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交银施罗德精选混合型证券投资基金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2005年9月29日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5,719,172,434.91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-187,268,770.31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-142,733,365.95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3,424,661,960.04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0.5988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-4.15%</w:t>
            </w:r>
          </w:p>
        </w:tc>
        <w:tc>
          <w:tcPr>
            <w:vAlign w:val="center"/>
          </w:tcPr>
          <w:p>
            <w:pPr>
              <w:jc w:val="center"/>
            </w:pPr>
            <w:r>
              <w:rPr>
                <w:color w:val="000000"/>
                <w:sz w:val="24"/>
                <w:szCs w:val="24"/>
              </w:rPr>
              <w:t>1.57%</w:t>
            </w:r>
          </w:p>
        </w:tc>
        <w:tc>
          <w:tcPr>
            <w:vAlign w:val="center"/>
          </w:tcPr>
          <w:p>
            <w:pPr>
              <w:jc w:val="center"/>
            </w:pPr>
            <w:r>
              <w:rPr>
                <w:color w:val="000000"/>
                <w:sz w:val="24"/>
                <w:szCs w:val="24"/>
              </w:rPr>
              <w:t>-1.11%</w:t>
            </w:r>
          </w:p>
        </w:tc>
        <w:tc>
          <w:tcPr>
            <w:vAlign w:val="center"/>
          </w:tcPr>
          <w:p>
            <w:pPr>
              <w:jc w:val="center"/>
            </w:pPr>
            <w:r>
              <w:rPr>
                <w:color w:val="000000"/>
                <w:sz w:val="24"/>
                <w:szCs w:val="24"/>
              </w:rPr>
              <w:t>1.02%</w:t>
            </w:r>
          </w:p>
        </w:tc>
        <w:tc>
          <w:tcPr>
            <w:vAlign w:val="center"/>
          </w:tcPr>
          <w:p>
            <w:pPr>
              <w:jc w:val="center"/>
            </w:pPr>
            <w:r>
              <w:rPr>
                <w:color w:val="000000"/>
                <w:sz w:val="24"/>
                <w:szCs w:val="24"/>
              </w:rPr>
              <w:t>-3.04%</w:t>
            </w:r>
          </w:p>
        </w:tc>
        <w:tc>
          <w:tcPr>
            <w:vAlign w:val="center"/>
          </w:tcPr>
          <w:p>
            <w:pPr>
              <w:jc w:val="center"/>
            </w:pPr>
            <w:r>
              <w:rPr>
                <w:color w:val="000000"/>
                <w:sz w:val="24"/>
                <w:szCs w:val="24"/>
              </w:rPr>
              <w:t>0.55%</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+25%×中信全债指数”变更为“75%×沪深300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交银施罗德精选混合型证券投资基金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2005年9月29日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交银精选混合、交银新成长混合的基金经理</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三季度国内经济增速继续放缓，中美贸易冲突有所升级，人民币对美元贬值压力加大。A股市场风险偏好继续下降，总体延续下跌趋势。资金追求确定性溢价，涌向A50为首的金融和消费。风格层面上证50反弹，中小板、创业板下跌。行业层面表现为银行和食品饮料等传统行业涨幅居前，电子、医药、传媒、计算机等新兴成长行业跌幅居前。</w:t>
      </w:r>
    </w:p>
    <w:p>
      <w:pPr>
        <w:spacing w:before="29" w:line="288" w:lineRule="auto"/>
        <w:ind w:firstLine="480" w:firstLineChars="200"/>
        <w:rPr>
          <w:color w:val="000000"/>
          <w:sz w:val="24"/>
          <w:szCs w:val="24"/>
        </w:rPr>
      </w:pPr>
      <w:r>
        <w:rPr>
          <w:color w:val="000000"/>
          <w:sz w:val="24"/>
          <w:szCs w:val="24"/>
        </w:rPr>
        <w:t>三季度本基金采取稳健投资策略，在二季度末大幅提高仓位后，三季度随着反弹降到中性略偏高仓位。行业配置增配医疗服务和房地产，减持传媒、电子、通信。三季度本基金净值出现一定幅度下跌，但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四季度，我们对A股市场持谨慎乐观态度。一方面，我们时刻关注经济下行趋势对相关上市公司盈利的负面影响，尤其是地产产业链和中美贸易战受害的科技硬件。另一方面，货币政策已经出现微调，流动性最紧的时刻可能已经过去，A股行业除了大消费以外，各子行业接近历史底部区域估值水平，我们相信价值只会迟来而不会缺席，权益类资产配置时机或已逐步到来。四季度本基金将维持中性略高仓位，看好医疗服务、房地产、传媒、公共事业、计算机等成长领域投资机会，精选优质成长公司股票，恪守安全边际，努力为基金持有人带来稳定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2,721,388,459.61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78.69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2,721,388,459.61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78.69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172,117,700.00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172,117,700.00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319,960,919.94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9.25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213,784,045.11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31,098,642.42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0.90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3,458,349,767.08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22,520,623.37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593,478,369.41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145,966,159.03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194,452,725.68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182,768,988.15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604,728,043.43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125,748,831.96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154,216,734.00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512,578,538.90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184,929,445.68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2,721,388,459.61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79.46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25,404,073</w:t>
            </w:r>
          </w:p>
        </w:tc>
        <w:tc>
          <w:tcPr>
            <w:vAlign w:val="center"/>
          </w:tcPr>
          <w:p>
            <w:pPr>
              <w:jc w:val="right"/>
            </w:pPr>
            <w:r>
              <w:rPr>
                <w:color w:val="000000"/>
                <w:sz w:val="24"/>
                <w:szCs w:val="24"/>
              </w:rPr>
              <w:t>309,167,568.41</w:t>
            </w:r>
          </w:p>
        </w:tc>
        <w:tc>
          <w:tcPr>
            <w:vAlign w:val="center"/>
          </w:tcPr>
          <w:p>
            <w:pPr>
              <w:jc w:val="right"/>
            </w:pPr>
            <w:r>
              <w:rPr>
                <w:color w:val="000000"/>
                <w:sz w:val="24"/>
                <w:szCs w:val="24"/>
              </w:rPr>
              <w:t>9.03</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16,940,122</w:t>
            </w:r>
          </w:p>
        </w:tc>
        <w:tc>
          <w:tcPr>
            <w:vAlign w:val="center"/>
          </w:tcPr>
          <w:p>
            <w:pPr>
              <w:jc w:val="right"/>
            </w:pPr>
            <w:r>
              <w:rPr>
                <w:color w:val="000000"/>
                <w:sz w:val="24"/>
                <w:szCs w:val="24"/>
              </w:rPr>
              <w:t>291,878,302.06</w:t>
            </w:r>
          </w:p>
        </w:tc>
        <w:tc>
          <w:tcPr>
            <w:vAlign w:val="center"/>
          </w:tcPr>
          <w:p>
            <w:pPr>
              <w:jc w:val="right"/>
            </w:pPr>
            <w:r>
              <w:rPr>
                <w:color w:val="000000"/>
                <w:sz w:val="24"/>
                <w:szCs w:val="24"/>
              </w:rPr>
              <w:t>8.52</w:t>
            </w:r>
          </w:p>
        </w:tc>
      </w:tr>
      <w:tr>
        <w:tc>
          <w:tcPr>
            <w:vAlign w:val="center"/>
          </w:tcPr>
          <w:p>
            <w:pPr>
              <w:jc w:val="center"/>
            </w:pPr>
            <w:r>
              <w:rPr>
                <w:color w:val="000000"/>
                <w:sz w:val="24"/>
                <w:szCs w:val="24"/>
              </w:rPr>
              <w:t>3</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9,175,806</w:t>
            </w:r>
          </w:p>
        </w:tc>
        <w:tc>
          <w:tcPr>
            <w:vAlign w:val="center"/>
          </w:tcPr>
          <w:p>
            <w:pPr>
              <w:jc w:val="right"/>
            </w:pPr>
            <w:r>
              <w:rPr>
                <w:color w:val="000000"/>
                <w:sz w:val="24"/>
                <w:szCs w:val="24"/>
              </w:rPr>
              <w:t>204,895,747.98</w:t>
            </w:r>
          </w:p>
        </w:tc>
        <w:tc>
          <w:tcPr>
            <w:vAlign w:val="center"/>
          </w:tcPr>
          <w:p>
            <w:pPr>
              <w:jc w:val="right"/>
            </w:pPr>
            <w:r>
              <w:rPr>
                <w:color w:val="000000"/>
                <w:sz w:val="24"/>
                <w:szCs w:val="24"/>
              </w:rPr>
              <w:t>5.98</w:t>
            </w:r>
          </w:p>
        </w:tc>
      </w:tr>
      <w:tr>
        <w:tc>
          <w:tcPr>
            <w:vAlign w:val="center"/>
          </w:tcPr>
          <w:p>
            <w:pPr>
              <w:jc w:val="center"/>
            </w:pPr>
            <w:r>
              <w:rPr>
                <w:color w:val="000000"/>
                <w:sz w:val="24"/>
                <w:szCs w:val="24"/>
              </w:rPr>
              <w:t>4</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6,854,316</w:t>
            </w:r>
          </w:p>
        </w:tc>
        <w:tc>
          <w:tcPr>
            <w:vAlign w:val="center"/>
          </w:tcPr>
          <w:p>
            <w:pPr>
              <w:jc w:val="right"/>
            </w:pPr>
            <w:r>
              <w:rPr>
                <w:color w:val="000000"/>
                <w:sz w:val="24"/>
                <w:szCs w:val="24"/>
              </w:rPr>
              <w:t>184,929,445.68</w:t>
            </w:r>
          </w:p>
        </w:tc>
        <w:tc>
          <w:tcPr>
            <w:vAlign w:val="center"/>
          </w:tcPr>
          <w:p>
            <w:pPr>
              <w:jc w:val="right"/>
            </w:pPr>
            <w:r>
              <w:rPr>
                <w:color w:val="000000"/>
                <w:sz w:val="24"/>
                <w:szCs w:val="24"/>
              </w:rPr>
              <w:t>5.40</w:t>
            </w:r>
          </w:p>
        </w:tc>
      </w:tr>
      <w:tr>
        <w:tc>
          <w:tcPr>
            <w:vAlign w:val="center"/>
          </w:tcPr>
          <w:p>
            <w:pPr>
              <w:jc w:val="center"/>
            </w:pPr>
            <w:r>
              <w:rPr>
                <w:color w:val="000000"/>
                <w:sz w:val="24"/>
                <w:szCs w:val="24"/>
              </w:rPr>
              <w:t>5</w:t>
            </w:r>
          </w:p>
        </w:tc>
        <w:tc>
          <w:tcPr>
            <w:vAlign w:val="center"/>
          </w:tcPr>
          <w:p>
            <w:pPr>
              <w:jc w:val="center"/>
            </w:pPr>
            <w:r>
              <w:rPr>
                <w:color w:val="000000"/>
                <w:sz w:val="24"/>
                <w:szCs w:val="24"/>
              </w:rPr>
              <w:t>601009</w:t>
            </w:r>
          </w:p>
        </w:tc>
        <w:tc>
          <w:tcPr>
            <w:vAlign w:val="center"/>
          </w:tcPr>
          <w:p>
            <w:pPr>
              <w:jc w:val="center"/>
            </w:pPr>
            <w:r>
              <w:rPr>
                <w:color w:val="000000"/>
                <w:sz w:val="24"/>
                <w:szCs w:val="24"/>
              </w:rPr>
              <w:t>南京银行</w:t>
            </w:r>
          </w:p>
        </w:tc>
        <w:tc>
          <w:tcPr>
            <w:vAlign w:val="center"/>
          </w:tcPr>
          <w:p>
            <w:pPr>
              <w:jc w:val="right"/>
            </w:pPr>
            <w:r>
              <w:rPr>
                <w:color w:val="000000"/>
                <w:sz w:val="24"/>
                <w:szCs w:val="24"/>
              </w:rPr>
              <w:t>23,891,371</w:t>
            </w:r>
          </w:p>
        </w:tc>
        <w:tc>
          <w:tcPr>
            <w:vAlign w:val="center"/>
          </w:tcPr>
          <w:p>
            <w:pPr>
              <w:jc w:val="right"/>
            </w:pPr>
            <w:r>
              <w:rPr>
                <w:color w:val="000000"/>
                <w:sz w:val="24"/>
                <w:szCs w:val="24"/>
              </w:rPr>
              <w:t>182,768,988.15</w:t>
            </w:r>
          </w:p>
        </w:tc>
        <w:tc>
          <w:tcPr>
            <w:vAlign w:val="center"/>
          </w:tcPr>
          <w:p>
            <w:pPr>
              <w:jc w:val="right"/>
            </w:pPr>
            <w:r>
              <w:rPr>
                <w:color w:val="000000"/>
                <w:sz w:val="24"/>
                <w:szCs w:val="24"/>
              </w:rPr>
              <w:t>5.34</w:t>
            </w:r>
          </w:p>
        </w:tc>
      </w:tr>
      <w:tr>
        <w:tc>
          <w:tcPr>
            <w:vAlign w:val="center"/>
          </w:tcPr>
          <w:p>
            <w:pPr>
              <w:jc w:val="center"/>
            </w:pPr>
            <w:r>
              <w:rPr>
                <w:color w:val="000000"/>
                <w:sz w:val="24"/>
                <w:szCs w:val="24"/>
              </w:rPr>
              <w:t>6</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3,168,697</w:t>
            </w:r>
          </w:p>
        </w:tc>
        <w:tc>
          <w:tcPr>
            <w:vAlign w:val="center"/>
          </w:tcPr>
          <w:p>
            <w:pPr>
              <w:jc w:val="right"/>
            </w:pPr>
            <w:r>
              <w:rPr>
                <w:color w:val="000000"/>
                <w:sz w:val="24"/>
                <w:szCs w:val="24"/>
              </w:rPr>
              <w:t>167,774,402.84</w:t>
            </w:r>
          </w:p>
        </w:tc>
        <w:tc>
          <w:tcPr>
            <w:vAlign w:val="center"/>
          </w:tcPr>
          <w:p>
            <w:pPr>
              <w:jc w:val="right"/>
            </w:pPr>
            <w:r>
              <w:rPr>
                <w:color w:val="000000"/>
                <w:sz w:val="24"/>
                <w:szCs w:val="24"/>
              </w:rPr>
              <w:t>4.90</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6,124,468</w:t>
            </w:r>
          </w:p>
        </w:tc>
        <w:tc>
          <w:tcPr>
            <w:vAlign w:val="center"/>
          </w:tcPr>
          <w:p>
            <w:pPr>
              <w:jc w:val="right"/>
            </w:pPr>
            <w:r>
              <w:rPr>
                <w:color w:val="000000"/>
                <w:sz w:val="24"/>
                <w:szCs w:val="24"/>
              </w:rPr>
              <w:t>160,399,816.92</w:t>
            </w:r>
          </w:p>
        </w:tc>
        <w:tc>
          <w:tcPr>
            <w:vAlign w:val="center"/>
          </w:tcPr>
          <w:p>
            <w:pPr>
              <w:jc w:val="right"/>
            </w:pPr>
            <w:r>
              <w:rPr>
                <w:color w:val="000000"/>
                <w:sz w:val="24"/>
                <w:szCs w:val="24"/>
              </w:rPr>
              <w:t>4.68</w:t>
            </w:r>
          </w:p>
        </w:tc>
      </w:tr>
      <w:tr>
        <w:tc>
          <w:tcPr>
            <w:vAlign w:val="center"/>
          </w:tcPr>
          <w:p>
            <w:pPr>
              <w:jc w:val="center"/>
            </w:pPr>
            <w:r>
              <w:rPr>
                <w:color w:val="000000"/>
                <w:sz w:val="24"/>
                <w:szCs w:val="24"/>
              </w:rPr>
              <w:t>8</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26,406,975</w:t>
            </w:r>
          </w:p>
        </w:tc>
        <w:tc>
          <w:tcPr>
            <w:vAlign w:val="center"/>
          </w:tcPr>
          <w:p>
            <w:pPr>
              <w:jc w:val="right"/>
            </w:pPr>
            <w:r>
              <w:rPr>
                <w:color w:val="000000"/>
                <w:sz w:val="24"/>
                <w:szCs w:val="24"/>
              </w:rPr>
              <w:t>154,216,734.00</w:t>
            </w:r>
          </w:p>
        </w:tc>
        <w:tc>
          <w:tcPr>
            <w:vAlign w:val="center"/>
          </w:tcPr>
          <w:p>
            <w:pPr>
              <w:jc w:val="right"/>
            </w:pPr>
            <w:r>
              <w:rPr>
                <w:color w:val="000000"/>
                <w:sz w:val="24"/>
                <w:szCs w:val="24"/>
              </w:rPr>
              <w:t>4.50</w:t>
            </w:r>
          </w:p>
        </w:tc>
      </w:tr>
      <w:tr>
        <w:tc>
          <w:tcPr>
            <w:vAlign w:val="center"/>
          </w:tcPr>
          <w:p>
            <w:pPr>
              <w:jc w:val="center"/>
            </w:pPr>
            <w:r>
              <w:rPr>
                <w:color w:val="000000"/>
                <w:sz w:val="24"/>
                <w:szCs w:val="24"/>
              </w:rPr>
              <w:t>9</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5,562,167</w:t>
            </w:r>
          </w:p>
        </w:tc>
        <w:tc>
          <w:tcPr>
            <w:vAlign w:val="center"/>
          </w:tcPr>
          <w:p>
            <w:pPr>
              <w:jc w:val="right"/>
            </w:pPr>
            <w:r>
              <w:rPr>
                <w:color w:val="000000"/>
                <w:sz w:val="24"/>
                <w:szCs w:val="24"/>
              </w:rPr>
              <w:t>135,160,658.10</w:t>
            </w:r>
          </w:p>
        </w:tc>
        <w:tc>
          <w:tcPr>
            <w:vAlign w:val="center"/>
          </w:tcPr>
          <w:p>
            <w:pPr>
              <w:jc w:val="right"/>
            </w:pPr>
            <w:r>
              <w:rPr>
                <w:color w:val="000000"/>
                <w:sz w:val="24"/>
                <w:szCs w:val="24"/>
              </w:rPr>
              <w:t>3.95</w:t>
            </w:r>
          </w:p>
        </w:tc>
      </w:tr>
      <w:tr>
        <w:tc>
          <w:tcPr>
            <w:vAlign w:val="center"/>
          </w:tcPr>
          <w:p>
            <w:pPr>
              <w:jc w:val="center"/>
            </w:pPr>
            <w:r>
              <w:rPr>
                <w:color w:val="000000"/>
                <w:sz w:val="24"/>
                <w:szCs w:val="24"/>
              </w:rPr>
              <w:t>10</w:t>
            </w:r>
          </w:p>
        </w:tc>
        <w:tc>
          <w:tcPr>
            <w:vAlign w:val="center"/>
          </w:tcPr>
          <w:p>
            <w:pPr>
              <w:jc w:val="center"/>
            </w:pPr>
            <w:r>
              <w:rPr>
                <w:color w:val="000000"/>
                <w:sz w:val="24"/>
                <w:szCs w:val="24"/>
              </w:rPr>
              <w:t>002456</w:t>
            </w:r>
          </w:p>
        </w:tc>
        <w:tc>
          <w:tcPr>
            <w:vAlign w:val="center"/>
          </w:tcPr>
          <w:p>
            <w:pPr>
              <w:jc w:val="center"/>
            </w:pPr>
            <w:r>
              <w:rPr>
                <w:color w:val="000000"/>
                <w:sz w:val="24"/>
                <w:szCs w:val="24"/>
              </w:rPr>
              <w:t>欧菲科技</w:t>
            </w:r>
          </w:p>
        </w:tc>
        <w:tc>
          <w:tcPr>
            <w:vAlign w:val="center"/>
          </w:tcPr>
          <w:p>
            <w:pPr>
              <w:jc w:val="right"/>
            </w:pPr>
            <w:r>
              <w:rPr>
                <w:color w:val="000000"/>
                <w:sz w:val="24"/>
                <w:szCs w:val="24"/>
              </w:rPr>
              <w:t>9,509,861</w:t>
            </w:r>
          </w:p>
        </w:tc>
        <w:tc>
          <w:tcPr>
            <w:vAlign w:val="center"/>
          </w:tcPr>
          <w:p>
            <w:pPr>
              <w:jc w:val="right"/>
            </w:pPr>
            <w:r>
              <w:rPr>
                <w:color w:val="000000"/>
                <w:sz w:val="24"/>
                <w:szCs w:val="24"/>
              </w:rPr>
              <w:t>128,288,024.89</w:t>
            </w:r>
          </w:p>
        </w:tc>
        <w:tc>
          <w:tcPr>
            <w:vAlign w:val="center"/>
          </w:tcPr>
          <w:p>
            <w:pPr>
              <w:jc w:val="right"/>
            </w:pPr>
            <w:r>
              <w:rPr>
                <w:color w:val="000000"/>
                <w:sz w:val="24"/>
                <w:szCs w:val="24"/>
              </w:rPr>
              <w:t>3.75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172,117,700.00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172,117,700.00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1,730,000</w:t>
            </w:r>
          </w:p>
        </w:tc>
        <w:tc>
          <w:tcPr>
            <w:vAlign w:val="center"/>
          </w:tcPr>
          <w:p>
            <w:pPr>
              <w:jc w:val="right"/>
            </w:pPr>
            <w:r>
              <w:rPr>
                <w:color w:val="000000"/>
                <w:sz w:val="24"/>
                <w:szCs w:val="24"/>
              </w:rPr>
              <w:t>172,117,700.00</w:t>
            </w:r>
          </w:p>
        </w:tc>
        <w:tc>
          <w:tcPr>
            <w:vAlign w:val="center"/>
          </w:tcPr>
          <w:p>
            <w:pPr>
              <w:jc w:val="right"/>
            </w:pPr>
            <w:r>
              <w:rPr>
                <w:color w:val="000000"/>
                <w:sz w:val="24"/>
                <w:szCs w:val="24"/>
              </w:rPr>
              <w:t>5.03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xml:space="preserve">本基金本报告期末未持有股指期货。 </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5.11.1报告期内本基金投资的前十名证券的发行主体除南京银行（证券代码：601009）外，未出现被监管部门立案调查，或在报告编制日前一年内受到公开谴责、处罚的情形。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601009）于2018年1月30日公告，公司收到中国银行业监督管理委员会江苏监管局行政处罚决定书（苏银监罚决字【2018】1号,对镇江分行违规办理票据业务违反审慎经营原则的行为罚款3230万元人民币。</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1,665,079.24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22,975,280.41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643,678.68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5,814,604.09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31,098,642.42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45,900,000.00</w:t>
            </w:r>
          </w:p>
        </w:tc>
        <w:tc>
          <w:tcPr>
            <w:vAlign w:val="center"/>
          </w:tcPr>
          <w:p>
            <w:pPr>
              <w:jc w:val="right"/>
            </w:pPr>
            <w:r>
              <w:rPr>
                <w:color w:val="000000"/>
                <w:sz w:val="24"/>
                <w:szCs w:val="24"/>
              </w:rPr>
              <w:t>1.34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5,445,282,819.73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418,471,469.96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144,581,854.78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5,719,172,434.91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 </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1、中国证监会批准交银施罗德精选股票证券投资基金募集的文件；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2、《交银施罗德精选混合型证券投资基金基金合同》；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3、《交银施罗德精选混合型证券投资基金招募说明书》；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4、《交银施罗德精选混合型证券投资基金托管协议》；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5、关于募集交银施罗德精选股票证券投资基金之法律意见书；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8、报告期内交银施罗德精选混合型证券投资基金在指定报刊上各项公告的原稿。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交银施罗德精选混合型证券投资基金2018年第3季度报告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