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二〇一八年十月二十六日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50181" w:rsidRDefault="001320D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960,474,676.15</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320DA" w:rsidRPr="008640AE" w:rsidTr="001320DA">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1320DA" w:rsidRPr="008640AE" w:rsidTr="001320D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3,880,515.35</w:t>
            </w:r>
          </w:p>
        </w:tc>
      </w:tr>
      <w:tr w:rsidR="001320DA" w:rsidRPr="008640AE" w:rsidTr="001320D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-168,693,557.52</w:t>
            </w:r>
          </w:p>
        </w:tc>
      </w:tr>
      <w:tr w:rsidR="001320DA" w:rsidRPr="008640AE" w:rsidTr="001320D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-0.1879</w:t>
            </w:r>
          </w:p>
        </w:tc>
      </w:tr>
      <w:tr w:rsidR="001320DA" w:rsidRPr="008640AE" w:rsidTr="001320DA">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1,221,648,021.24</w:t>
            </w:r>
          </w:p>
        </w:tc>
      </w:tr>
      <w:tr w:rsidR="001320DA" w:rsidRPr="008640AE" w:rsidTr="001320DA">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1.272</w:t>
            </w:r>
          </w:p>
        </w:tc>
      </w:tr>
    </w:tbl>
    <w:p w:rsidR="00050181" w:rsidRDefault="001320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734BE">
      <w:pPr>
        <w:autoSpaceDE w:val="0"/>
        <w:autoSpaceDN w:val="0"/>
        <w:adjustRightInd w:val="0"/>
        <w:spacing w:before="29" w:line="288" w:lineRule="auto"/>
        <w:ind w:firstLineChars="150" w:firstLine="360"/>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50181">
        <w:trPr>
          <w:jc w:val="center"/>
        </w:trPr>
        <w:tc>
          <w:tcPr>
            <w:tcW w:w="1701" w:type="dxa"/>
            <w:vAlign w:val="center"/>
          </w:tcPr>
          <w:p w:rsidR="00050181" w:rsidRDefault="001320DA">
            <w:pPr>
              <w:jc w:val="left"/>
            </w:pPr>
            <w:r>
              <w:rPr>
                <w:color w:val="000000"/>
                <w:sz w:val="24"/>
              </w:rPr>
              <w:t>过去三个月</w:t>
            </w:r>
          </w:p>
        </w:tc>
        <w:tc>
          <w:tcPr>
            <w:tcW w:w="1194" w:type="dxa"/>
            <w:vAlign w:val="center"/>
          </w:tcPr>
          <w:p w:rsidR="00050181" w:rsidRDefault="001320DA">
            <w:pPr>
              <w:jc w:val="right"/>
            </w:pPr>
            <w:r>
              <w:rPr>
                <w:color w:val="000000"/>
                <w:sz w:val="24"/>
              </w:rPr>
              <w:t>-13.00%</w:t>
            </w:r>
          </w:p>
        </w:tc>
        <w:tc>
          <w:tcPr>
            <w:tcW w:w="1194" w:type="dxa"/>
            <w:vAlign w:val="center"/>
          </w:tcPr>
          <w:p w:rsidR="00050181" w:rsidRDefault="001320DA">
            <w:pPr>
              <w:jc w:val="right"/>
            </w:pPr>
            <w:r>
              <w:rPr>
                <w:color w:val="000000"/>
                <w:sz w:val="24"/>
              </w:rPr>
              <w:t>1.54%</w:t>
            </w:r>
          </w:p>
        </w:tc>
        <w:tc>
          <w:tcPr>
            <w:tcW w:w="1194" w:type="dxa"/>
            <w:vAlign w:val="center"/>
          </w:tcPr>
          <w:p w:rsidR="00050181" w:rsidRDefault="001320DA">
            <w:pPr>
              <w:jc w:val="right"/>
            </w:pPr>
            <w:r>
              <w:rPr>
                <w:color w:val="000000"/>
                <w:sz w:val="24"/>
              </w:rPr>
              <w:t>-16.76%</w:t>
            </w:r>
          </w:p>
        </w:tc>
        <w:tc>
          <w:tcPr>
            <w:tcW w:w="1343" w:type="dxa"/>
            <w:vAlign w:val="center"/>
          </w:tcPr>
          <w:p w:rsidR="00050181" w:rsidRDefault="001320DA">
            <w:pPr>
              <w:jc w:val="right"/>
            </w:pPr>
            <w:r>
              <w:rPr>
                <w:color w:val="000000"/>
                <w:sz w:val="24"/>
              </w:rPr>
              <w:t>1.58%</w:t>
            </w:r>
          </w:p>
        </w:tc>
        <w:tc>
          <w:tcPr>
            <w:tcW w:w="1194" w:type="dxa"/>
            <w:vAlign w:val="center"/>
          </w:tcPr>
          <w:p w:rsidR="00050181" w:rsidRDefault="001320DA">
            <w:pPr>
              <w:jc w:val="right"/>
            </w:pPr>
            <w:r>
              <w:rPr>
                <w:color w:val="000000"/>
                <w:sz w:val="24"/>
              </w:rPr>
              <w:t>3.76%</w:t>
            </w:r>
          </w:p>
        </w:tc>
        <w:tc>
          <w:tcPr>
            <w:tcW w:w="1048" w:type="dxa"/>
            <w:vAlign w:val="center"/>
          </w:tcPr>
          <w:p w:rsidR="00050181" w:rsidRDefault="001320DA">
            <w:pPr>
              <w:jc w:val="right"/>
            </w:pPr>
            <w:r>
              <w:rPr>
                <w:color w:val="000000"/>
                <w:sz w:val="24"/>
              </w:rPr>
              <w:t>-0.04%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50181">
        <w:trPr>
          <w:jc w:val="center"/>
        </w:trPr>
        <w:tc>
          <w:tcPr>
            <w:tcW w:w="846" w:type="dxa"/>
            <w:vAlign w:val="center"/>
          </w:tcPr>
          <w:p w:rsidR="00050181" w:rsidRDefault="001320DA">
            <w:pPr>
              <w:jc w:val="center"/>
            </w:pPr>
            <w:r>
              <w:rPr>
                <w:color w:val="000000"/>
                <w:sz w:val="24"/>
              </w:rPr>
              <w:t>蔡铮</w:t>
            </w:r>
          </w:p>
        </w:tc>
        <w:tc>
          <w:tcPr>
            <w:tcW w:w="845" w:type="dxa"/>
            <w:vAlign w:val="center"/>
          </w:tcPr>
          <w:p w:rsidR="00050181" w:rsidRDefault="001320D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w:t>
            </w:r>
            <w:r>
              <w:rPr>
                <w:color w:val="000000"/>
                <w:sz w:val="24"/>
              </w:rPr>
              <w:lastRenderedPageBreak/>
              <w:t>多元资产管理副总监</w:t>
            </w:r>
          </w:p>
        </w:tc>
        <w:tc>
          <w:tcPr>
            <w:tcW w:w="1549" w:type="dxa"/>
            <w:vAlign w:val="center"/>
          </w:tcPr>
          <w:p w:rsidR="00050181" w:rsidRDefault="001320DA">
            <w:pPr>
              <w:jc w:val="center"/>
            </w:pPr>
            <w:r>
              <w:rPr>
                <w:color w:val="000000"/>
                <w:sz w:val="24"/>
              </w:rPr>
              <w:lastRenderedPageBreak/>
              <w:t>2015-05-27</w:t>
            </w:r>
          </w:p>
        </w:tc>
        <w:tc>
          <w:tcPr>
            <w:tcW w:w="1548" w:type="dxa"/>
            <w:vAlign w:val="center"/>
          </w:tcPr>
          <w:p w:rsidR="00050181" w:rsidRDefault="001320DA">
            <w:pPr>
              <w:jc w:val="center"/>
            </w:pPr>
            <w:r>
              <w:rPr>
                <w:color w:val="000000"/>
                <w:sz w:val="24"/>
              </w:rPr>
              <w:t>-</w:t>
            </w:r>
          </w:p>
        </w:tc>
        <w:tc>
          <w:tcPr>
            <w:tcW w:w="1407" w:type="dxa"/>
            <w:vAlign w:val="center"/>
          </w:tcPr>
          <w:p w:rsidR="00050181" w:rsidRDefault="001320DA">
            <w:pPr>
              <w:jc w:val="center"/>
            </w:pPr>
            <w:r>
              <w:rPr>
                <w:color w:val="000000"/>
                <w:sz w:val="24"/>
              </w:rPr>
              <w:t>9</w:t>
            </w:r>
            <w:r>
              <w:rPr>
                <w:color w:val="000000"/>
                <w:sz w:val="24"/>
              </w:rPr>
              <w:t>年</w:t>
            </w:r>
          </w:p>
        </w:tc>
        <w:tc>
          <w:tcPr>
            <w:tcW w:w="2673" w:type="dxa"/>
            <w:vAlign w:val="center"/>
          </w:tcPr>
          <w:p w:rsidR="00050181" w:rsidRDefault="001320DA">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050181" w:rsidRDefault="001320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0181" w:rsidRDefault="001320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0181" w:rsidRDefault="001320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050181" w:rsidRDefault="001320DA">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本季度全球主要经济体稳步回暖，但受美联储加息、中美贸易摩擦反复加剧等不确定因素影响，海外主要资本市场均表现出宽幅震荡走势；作为跟踪中证海外中国互联网指数的指数基金，本季度基金净值走势总体呈现宽幅震荡向下趋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国家多项政策持续扶持互联网、大数据、人工智能等战略性新兴产业，我国正逐渐成为全球科技创新的聚集地。市场情绪方面，中美贸易摩擦的影响在短期内或仍将延续，如未来贸易战形势或将有所缓和，可能引导市场情绪回归理性。我们总体上对于下一季度中国海外互联网板块的表现保持谨慎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1,137,370,477.79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91.72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258,051,458.18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20.81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879,319,019.61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70.91</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86,329,087.97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6.96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16,389,650.86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1,240,089,216.62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50181">
        <w:trPr>
          <w:jc w:val="center"/>
        </w:trPr>
        <w:tc>
          <w:tcPr>
            <w:tcW w:w="2484" w:type="dxa"/>
            <w:vAlign w:val="center"/>
          </w:tcPr>
          <w:p w:rsidR="00050181" w:rsidRDefault="001320DA">
            <w:pPr>
              <w:jc w:val="left"/>
            </w:pPr>
            <w:r>
              <w:rPr>
                <w:color w:val="000000"/>
                <w:sz w:val="24"/>
              </w:rPr>
              <w:t>美国</w:t>
            </w:r>
          </w:p>
        </w:tc>
        <w:tc>
          <w:tcPr>
            <w:tcW w:w="3214" w:type="dxa"/>
            <w:vAlign w:val="center"/>
          </w:tcPr>
          <w:p w:rsidR="00050181" w:rsidRDefault="001320DA">
            <w:pPr>
              <w:jc w:val="right"/>
            </w:pPr>
            <w:r>
              <w:rPr>
                <w:color w:val="000000"/>
                <w:sz w:val="24"/>
              </w:rPr>
              <w:t>925,783,129.73</w:t>
            </w:r>
          </w:p>
        </w:tc>
        <w:tc>
          <w:tcPr>
            <w:tcW w:w="3170" w:type="dxa"/>
            <w:vAlign w:val="center"/>
          </w:tcPr>
          <w:p w:rsidR="00050181" w:rsidRDefault="001320DA">
            <w:pPr>
              <w:jc w:val="right"/>
            </w:pPr>
            <w:r>
              <w:rPr>
                <w:color w:val="000000"/>
                <w:sz w:val="24"/>
              </w:rPr>
              <w:t>75.78</w:t>
            </w:r>
          </w:p>
        </w:tc>
      </w:tr>
      <w:tr w:rsidR="00050181">
        <w:trPr>
          <w:jc w:val="center"/>
        </w:trPr>
        <w:tc>
          <w:tcPr>
            <w:tcW w:w="2484" w:type="dxa"/>
            <w:vAlign w:val="center"/>
          </w:tcPr>
          <w:p w:rsidR="00050181" w:rsidRDefault="001320DA">
            <w:pPr>
              <w:jc w:val="left"/>
            </w:pPr>
            <w:r>
              <w:rPr>
                <w:color w:val="000000"/>
                <w:sz w:val="24"/>
              </w:rPr>
              <w:t>香港</w:t>
            </w:r>
          </w:p>
        </w:tc>
        <w:tc>
          <w:tcPr>
            <w:tcW w:w="3214" w:type="dxa"/>
            <w:vAlign w:val="center"/>
          </w:tcPr>
          <w:p w:rsidR="00050181" w:rsidRDefault="001320DA">
            <w:pPr>
              <w:jc w:val="right"/>
            </w:pPr>
            <w:r>
              <w:rPr>
                <w:color w:val="000000"/>
                <w:sz w:val="24"/>
              </w:rPr>
              <w:t>211,587,348.06</w:t>
            </w:r>
          </w:p>
        </w:tc>
        <w:tc>
          <w:tcPr>
            <w:tcW w:w="3170" w:type="dxa"/>
            <w:vAlign w:val="center"/>
          </w:tcPr>
          <w:p w:rsidR="00050181" w:rsidRDefault="001320DA">
            <w:pPr>
              <w:jc w:val="right"/>
            </w:pPr>
            <w:r>
              <w:rPr>
                <w:color w:val="000000"/>
                <w:sz w:val="24"/>
              </w:rPr>
              <w:t>17.32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1,137,370,477.79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93.10</w:t>
            </w:r>
          </w:p>
        </w:tc>
      </w:tr>
    </w:tbl>
    <w:p w:rsidR="00050181" w:rsidRDefault="001320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881B83">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050181">
        <w:tc>
          <w:tcPr>
            <w:tcW w:w="2787" w:type="dxa"/>
            <w:vAlign w:val="center"/>
          </w:tcPr>
          <w:p w:rsidR="00050181" w:rsidRDefault="001320DA">
            <w:pPr>
              <w:jc w:val="left"/>
            </w:pPr>
            <w:r>
              <w:rPr>
                <w:color w:val="000000"/>
                <w:sz w:val="24"/>
              </w:rPr>
              <w:t>通信服务</w:t>
            </w:r>
          </w:p>
        </w:tc>
        <w:tc>
          <w:tcPr>
            <w:tcW w:w="2976" w:type="dxa"/>
            <w:vAlign w:val="center"/>
          </w:tcPr>
          <w:p w:rsidR="00050181" w:rsidRDefault="001320DA">
            <w:pPr>
              <w:jc w:val="right"/>
            </w:pPr>
            <w:r>
              <w:rPr>
                <w:color w:val="000000"/>
                <w:sz w:val="24"/>
              </w:rPr>
              <w:t>741,262,795.67</w:t>
            </w:r>
          </w:p>
        </w:tc>
        <w:tc>
          <w:tcPr>
            <w:tcW w:w="3261" w:type="dxa"/>
            <w:vAlign w:val="center"/>
          </w:tcPr>
          <w:p w:rsidR="00050181" w:rsidRDefault="001320DA">
            <w:pPr>
              <w:jc w:val="right"/>
            </w:pPr>
            <w:r>
              <w:rPr>
                <w:color w:val="000000"/>
                <w:sz w:val="24"/>
              </w:rPr>
              <w:t>60.68</w:t>
            </w:r>
          </w:p>
        </w:tc>
      </w:tr>
      <w:tr w:rsidR="00050181">
        <w:tc>
          <w:tcPr>
            <w:tcW w:w="2787" w:type="dxa"/>
            <w:vAlign w:val="center"/>
          </w:tcPr>
          <w:p w:rsidR="00050181" w:rsidRDefault="001320DA">
            <w:pPr>
              <w:jc w:val="left"/>
            </w:pPr>
            <w:r>
              <w:rPr>
                <w:color w:val="000000"/>
                <w:sz w:val="24"/>
              </w:rPr>
              <w:t>非必需消费品</w:t>
            </w:r>
          </w:p>
        </w:tc>
        <w:tc>
          <w:tcPr>
            <w:tcW w:w="2976" w:type="dxa"/>
            <w:vAlign w:val="center"/>
          </w:tcPr>
          <w:p w:rsidR="00050181" w:rsidRDefault="001320DA">
            <w:pPr>
              <w:jc w:val="right"/>
            </w:pPr>
            <w:r>
              <w:rPr>
                <w:color w:val="000000"/>
                <w:sz w:val="24"/>
              </w:rPr>
              <w:t>318,504,108.77</w:t>
            </w:r>
          </w:p>
        </w:tc>
        <w:tc>
          <w:tcPr>
            <w:tcW w:w="3261" w:type="dxa"/>
            <w:vAlign w:val="center"/>
          </w:tcPr>
          <w:p w:rsidR="00050181" w:rsidRDefault="001320DA">
            <w:pPr>
              <w:jc w:val="right"/>
            </w:pPr>
            <w:r>
              <w:rPr>
                <w:color w:val="000000"/>
                <w:sz w:val="24"/>
              </w:rPr>
              <w:t>26.07</w:t>
            </w:r>
          </w:p>
        </w:tc>
      </w:tr>
      <w:tr w:rsidR="00050181">
        <w:tc>
          <w:tcPr>
            <w:tcW w:w="2787" w:type="dxa"/>
            <w:vAlign w:val="center"/>
          </w:tcPr>
          <w:p w:rsidR="00050181" w:rsidRDefault="001320DA">
            <w:pPr>
              <w:jc w:val="left"/>
            </w:pPr>
            <w:r>
              <w:rPr>
                <w:color w:val="000000"/>
                <w:sz w:val="24"/>
              </w:rPr>
              <w:t>工业</w:t>
            </w:r>
          </w:p>
        </w:tc>
        <w:tc>
          <w:tcPr>
            <w:tcW w:w="2976" w:type="dxa"/>
            <w:vAlign w:val="center"/>
          </w:tcPr>
          <w:p w:rsidR="00050181" w:rsidRDefault="001320DA">
            <w:pPr>
              <w:jc w:val="right"/>
            </w:pPr>
            <w:r>
              <w:rPr>
                <w:color w:val="000000"/>
                <w:sz w:val="24"/>
              </w:rPr>
              <w:t>31,748,336.16</w:t>
            </w:r>
          </w:p>
        </w:tc>
        <w:tc>
          <w:tcPr>
            <w:tcW w:w="3261" w:type="dxa"/>
            <w:vAlign w:val="center"/>
          </w:tcPr>
          <w:p w:rsidR="00050181" w:rsidRDefault="001320DA">
            <w:pPr>
              <w:jc w:val="right"/>
            </w:pPr>
            <w:r>
              <w:rPr>
                <w:color w:val="000000"/>
                <w:sz w:val="24"/>
              </w:rPr>
              <w:t>2.60</w:t>
            </w:r>
          </w:p>
        </w:tc>
      </w:tr>
      <w:tr w:rsidR="00050181">
        <w:tc>
          <w:tcPr>
            <w:tcW w:w="2787" w:type="dxa"/>
            <w:vAlign w:val="center"/>
          </w:tcPr>
          <w:p w:rsidR="00050181" w:rsidRDefault="001320DA">
            <w:pPr>
              <w:jc w:val="left"/>
            </w:pPr>
            <w:r>
              <w:rPr>
                <w:color w:val="000000"/>
                <w:sz w:val="24"/>
              </w:rPr>
              <w:t>信息技术</w:t>
            </w:r>
          </w:p>
        </w:tc>
        <w:tc>
          <w:tcPr>
            <w:tcW w:w="2976" w:type="dxa"/>
            <w:vAlign w:val="center"/>
          </w:tcPr>
          <w:p w:rsidR="00050181" w:rsidRDefault="001320DA">
            <w:pPr>
              <w:jc w:val="right"/>
            </w:pPr>
            <w:r>
              <w:rPr>
                <w:color w:val="000000"/>
                <w:sz w:val="24"/>
              </w:rPr>
              <w:t>34,395,004.34</w:t>
            </w:r>
          </w:p>
        </w:tc>
        <w:tc>
          <w:tcPr>
            <w:tcW w:w="3261" w:type="dxa"/>
            <w:vAlign w:val="center"/>
          </w:tcPr>
          <w:p w:rsidR="00050181" w:rsidRDefault="001320DA">
            <w:pPr>
              <w:jc w:val="right"/>
            </w:pPr>
            <w:r>
              <w:rPr>
                <w:color w:val="000000"/>
                <w:sz w:val="24"/>
              </w:rPr>
              <w:t>2.82</w:t>
            </w:r>
          </w:p>
        </w:tc>
      </w:tr>
      <w:tr w:rsidR="00050181">
        <w:tc>
          <w:tcPr>
            <w:tcW w:w="2787" w:type="dxa"/>
            <w:vAlign w:val="center"/>
          </w:tcPr>
          <w:p w:rsidR="00050181" w:rsidRDefault="001320DA">
            <w:pPr>
              <w:jc w:val="left"/>
            </w:pPr>
            <w:r>
              <w:rPr>
                <w:color w:val="000000"/>
                <w:sz w:val="24"/>
              </w:rPr>
              <w:t>金融</w:t>
            </w:r>
          </w:p>
        </w:tc>
        <w:tc>
          <w:tcPr>
            <w:tcW w:w="2976" w:type="dxa"/>
            <w:vAlign w:val="center"/>
          </w:tcPr>
          <w:p w:rsidR="00050181" w:rsidRDefault="001320DA">
            <w:pPr>
              <w:jc w:val="right"/>
            </w:pPr>
            <w:r>
              <w:rPr>
                <w:color w:val="000000"/>
                <w:sz w:val="24"/>
              </w:rPr>
              <w:t>11,460,232.85</w:t>
            </w:r>
          </w:p>
        </w:tc>
        <w:tc>
          <w:tcPr>
            <w:tcW w:w="3261" w:type="dxa"/>
            <w:vAlign w:val="center"/>
          </w:tcPr>
          <w:p w:rsidR="00050181" w:rsidRDefault="001320DA">
            <w:pPr>
              <w:jc w:val="right"/>
            </w:pPr>
            <w:r>
              <w:rPr>
                <w:color w:val="000000"/>
                <w:sz w:val="24"/>
              </w:rPr>
              <w:t>0.94</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1,137,370,477.79</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93.10</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w:t>
      </w:r>
      <w:r w:rsidRPr="008640AE">
        <w:rPr>
          <w:b/>
          <w:color w:val="000000"/>
          <w:kern w:val="0"/>
          <w:sz w:val="24"/>
        </w:rPr>
        <w:lastRenderedPageBreak/>
        <w:t>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2"/>
        <w:gridCol w:w="1614"/>
        <w:gridCol w:w="993"/>
        <w:gridCol w:w="1033"/>
        <w:gridCol w:w="639"/>
        <w:gridCol w:w="741"/>
        <w:gridCol w:w="1009"/>
        <w:gridCol w:w="1716"/>
        <w:gridCol w:w="970"/>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050181">
        <w:tc>
          <w:tcPr>
            <w:tcW w:w="0" w:type="auto"/>
            <w:vAlign w:val="center"/>
          </w:tcPr>
          <w:p w:rsidR="00050181" w:rsidRDefault="001320DA">
            <w:pPr>
              <w:jc w:val="center"/>
            </w:pPr>
            <w:r>
              <w:rPr>
                <w:color w:val="000000"/>
                <w:sz w:val="24"/>
              </w:rPr>
              <w:t>1</w:t>
            </w:r>
          </w:p>
        </w:tc>
        <w:tc>
          <w:tcPr>
            <w:tcW w:w="0" w:type="auto"/>
            <w:vAlign w:val="center"/>
          </w:tcPr>
          <w:p w:rsidR="00050181" w:rsidRDefault="001320DA">
            <w:pPr>
              <w:jc w:val="center"/>
            </w:pPr>
            <w:r>
              <w:rPr>
                <w:color w:val="000000"/>
                <w:sz w:val="24"/>
              </w:rPr>
              <w:t>Tencent Holdings Ltd</w:t>
            </w:r>
          </w:p>
        </w:tc>
        <w:tc>
          <w:tcPr>
            <w:tcW w:w="0" w:type="auto"/>
            <w:vAlign w:val="center"/>
          </w:tcPr>
          <w:p w:rsidR="00050181" w:rsidRDefault="001320DA">
            <w:pPr>
              <w:jc w:val="center"/>
            </w:pPr>
            <w:r>
              <w:rPr>
                <w:color w:val="000000"/>
                <w:sz w:val="24"/>
              </w:rPr>
              <w:t>腾讯控股</w:t>
            </w:r>
          </w:p>
        </w:tc>
        <w:tc>
          <w:tcPr>
            <w:tcW w:w="0" w:type="auto"/>
            <w:vAlign w:val="center"/>
          </w:tcPr>
          <w:p w:rsidR="00050181" w:rsidRDefault="001320DA">
            <w:pPr>
              <w:jc w:val="center"/>
            </w:pPr>
            <w:r>
              <w:rPr>
                <w:color w:val="000000"/>
                <w:sz w:val="24"/>
              </w:rPr>
              <w:t>700 HK</w:t>
            </w:r>
          </w:p>
        </w:tc>
        <w:tc>
          <w:tcPr>
            <w:tcW w:w="0" w:type="auto"/>
            <w:vAlign w:val="center"/>
          </w:tcPr>
          <w:p w:rsidR="00050181" w:rsidRDefault="001320DA">
            <w:pPr>
              <w:jc w:val="center"/>
            </w:pPr>
            <w:r>
              <w:rPr>
                <w:color w:val="000000"/>
                <w:sz w:val="24"/>
              </w:rPr>
              <w:t>香港证券交易所</w:t>
            </w:r>
          </w:p>
        </w:tc>
        <w:tc>
          <w:tcPr>
            <w:tcW w:w="0" w:type="auto"/>
            <w:vAlign w:val="center"/>
          </w:tcPr>
          <w:p w:rsidR="00050181" w:rsidRDefault="001320DA">
            <w:pPr>
              <w:jc w:val="center"/>
            </w:pPr>
            <w:r>
              <w:rPr>
                <w:color w:val="000000"/>
                <w:sz w:val="24"/>
              </w:rPr>
              <w:t>香港</w:t>
            </w:r>
          </w:p>
        </w:tc>
        <w:tc>
          <w:tcPr>
            <w:tcW w:w="0" w:type="auto"/>
            <w:vAlign w:val="center"/>
          </w:tcPr>
          <w:p w:rsidR="00050181" w:rsidRDefault="001320DA">
            <w:pPr>
              <w:jc w:val="right"/>
            </w:pPr>
            <w:r>
              <w:rPr>
                <w:color w:val="000000"/>
                <w:sz w:val="24"/>
              </w:rPr>
              <w:t>424,300</w:t>
            </w:r>
          </w:p>
        </w:tc>
        <w:tc>
          <w:tcPr>
            <w:tcW w:w="0" w:type="auto"/>
            <w:vAlign w:val="center"/>
          </w:tcPr>
          <w:p w:rsidR="00050181" w:rsidRDefault="001320DA">
            <w:pPr>
              <w:jc w:val="right"/>
            </w:pPr>
            <w:r>
              <w:rPr>
                <w:color w:val="000000"/>
                <w:sz w:val="24"/>
              </w:rPr>
              <w:t>120,553,324.09</w:t>
            </w:r>
          </w:p>
        </w:tc>
        <w:tc>
          <w:tcPr>
            <w:tcW w:w="0" w:type="auto"/>
            <w:vAlign w:val="center"/>
          </w:tcPr>
          <w:p w:rsidR="00050181" w:rsidRDefault="001320DA">
            <w:pPr>
              <w:jc w:val="right"/>
            </w:pPr>
            <w:r>
              <w:rPr>
                <w:color w:val="000000"/>
                <w:sz w:val="24"/>
              </w:rPr>
              <w:t>9.87</w:t>
            </w:r>
          </w:p>
        </w:tc>
      </w:tr>
      <w:tr w:rsidR="00050181">
        <w:tc>
          <w:tcPr>
            <w:tcW w:w="0" w:type="auto"/>
            <w:vAlign w:val="center"/>
          </w:tcPr>
          <w:p w:rsidR="00050181" w:rsidRDefault="001320DA">
            <w:pPr>
              <w:jc w:val="center"/>
            </w:pPr>
            <w:r>
              <w:rPr>
                <w:color w:val="000000"/>
                <w:sz w:val="24"/>
              </w:rPr>
              <w:t>2</w:t>
            </w:r>
          </w:p>
        </w:tc>
        <w:tc>
          <w:tcPr>
            <w:tcW w:w="0" w:type="auto"/>
            <w:vAlign w:val="center"/>
          </w:tcPr>
          <w:p w:rsidR="00050181" w:rsidRDefault="001320DA">
            <w:pPr>
              <w:jc w:val="center"/>
            </w:pPr>
            <w:r>
              <w:rPr>
                <w:color w:val="000000"/>
                <w:sz w:val="24"/>
              </w:rPr>
              <w:t>Alibaba Group Holding Ltd</w:t>
            </w:r>
          </w:p>
        </w:tc>
        <w:tc>
          <w:tcPr>
            <w:tcW w:w="0" w:type="auto"/>
            <w:vAlign w:val="center"/>
          </w:tcPr>
          <w:p w:rsidR="00050181" w:rsidRDefault="001320DA">
            <w:pPr>
              <w:jc w:val="center"/>
            </w:pPr>
            <w:r>
              <w:rPr>
                <w:color w:val="000000"/>
                <w:sz w:val="24"/>
              </w:rPr>
              <w:t>阿里巴巴集团控股有限公司</w:t>
            </w:r>
          </w:p>
        </w:tc>
        <w:tc>
          <w:tcPr>
            <w:tcW w:w="0" w:type="auto"/>
            <w:vAlign w:val="center"/>
          </w:tcPr>
          <w:p w:rsidR="00050181" w:rsidRDefault="001320DA">
            <w:pPr>
              <w:jc w:val="center"/>
            </w:pPr>
            <w:r>
              <w:rPr>
                <w:color w:val="000000"/>
                <w:sz w:val="24"/>
              </w:rPr>
              <w:t>BABA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97,696</w:t>
            </w:r>
          </w:p>
        </w:tc>
        <w:tc>
          <w:tcPr>
            <w:tcW w:w="0" w:type="auto"/>
            <w:vAlign w:val="center"/>
          </w:tcPr>
          <w:p w:rsidR="00050181" w:rsidRDefault="001320DA">
            <w:pPr>
              <w:jc w:val="right"/>
            </w:pPr>
            <w:r>
              <w:rPr>
                <w:color w:val="000000"/>
                <w:sz w:val="24"/>
              </w:rPr>
              <w:t>110,730,306.45</w:t>
            </w:r>
          </w:p>
        </w:tc>
        <w:tc>
          <w:tcPr>
            <w:tcW w:w="0" w:type="auto"/>
            <w:vAlign w:val="center"/>
          </w:tcPr>
          <w:p w:rsidR="00050181" w:rsidRDefault="001320DA">
            <w:pPr>
              <w:jc w:val="right"/>
            </w:pPr>
            <w:r>
              <w:rPr>
                <w:color w:val="000000"/>
                <w:sz w:val="24"/>
              </w:rPr>
              <w:t>9.06</w:t>
            </w:r>
          </w:p>
        </w:tc>
      </w:tr>
      <w:tr w:rsidR="00050181">
        <w:tc>
          <w:tcPr>
            <w:tcW w:w="0" w:type="auto"/>
            <w:vAlign w:val="center"/>
          </w:tcPr>
          <w:p w:rsidR="00050181" w:rsidRDefault="001320DA">
            <w:pPr>
              <w:jc w:val="center"/>
            </w:pPr>
            <w:r>
              <w:rPr>
                <w:color w:val="000000"/>
                <w:sz w:val="24"/>
              </w:rPr>
              <w:t>3</w:t>
            </w:r>
          </w:p>
        </w:tc>
        <w:tc>
          <w:tcPr>
            <w:tcW w:w="0" w:type="auto"/>
            <w:vAlign w:val="center"/>
          </w:tcPr>
          <w:p w:rsidR="00050181" w:rsidRDefault="001320DA">
            <w:pPr>
              <w:jc w:val="center"/>
            </w:pPr>
            <w:r>
              <w:rPr>
                <w:color w:val="000000"/>
                <w:sz w:val="24"/>
              </w:rPr>
              <w:t>Baidu Inc</w:t>
            </w:r>
          </w:p>
        </w:tc>
        <w:tc>
          <w:tcPr>
            <w:tcW w:w="0" w:type="auto"/>
            <w:vAlign w:val="center"/>
          </w:tcPr>
          <w:p w:rsidR="00050181" w:rsidRDefault="001320DA">
            <w:pPr>
              <w:jc w:val="center"/>
            </w:pPr>
            <w:r>
              <w:rPr>
                <w:color w:val="000000"/>
                <w:sz w:val="24"/>
              </w:rPr>
              <w:t>百度</w:t>
            </w:r>
          </w:p>
        </w:tc>
        <w:tc>
          <w:tcPr>
            <w:tcW w:w="0" w:type="auto"/>
            <w:vAlign w:val="center"/>
          </w:tcPr>
          <w:p w:rsidR="00050181" w:rsidRDefault="001320DA">
            <w:pPr>
              <w:jc w:val="center"/>
            </w:pPr>
            <w:r>
              <w:rPr>
                <w:color w:val="000000"/>
                <w:sz w:val="24"/>
              </w:rPr>
              <w:t>BIDU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69,549</w:t>
            </w:r>
          </w:p>
        </w:tc>
        <w:tc>
          <w:tcPr>
            <w:tcW w:w="0" w:type="auto"/>
            <w:vAlign w:val="center"/>
          </w:tcPr>
          <w:p w:rsidR="00050181" w:rsidRDefault="001320DA">
            <w:pPr>
              <w:jc w:val="right"/>
            </w:pPr>
            <w:r>
              <w:rPr>
                <w:color w:val="000000"/>
                <w:sz w:val="24"/>
              </w:rPr>
              <w:t>109,409,997.83</w:t>
            </w:r>
          </w:p>
        </w:tc>
        <w:tc>
          <w:tcPr>
            <w:tcW w:w="0" w:type="auto"/>
            <w:vAlign w:val="center"/>
          </w:tcPr>
          <w:p w:rsidR="00050181" w:rsidRDefault="001320DA">
            <w:pPr>
              <w:jc w:val="right"/>
            </w:pPr>
            <w:r>
              <w:rPr>
                <w:color w:val="000000"/>
                <w:sz w:val="24"/>
              </w:rPr>
              <w:t>8.96</w:t>
            </w:r>
          </w:p>
        </w:tc>
      </w:tr>
      <w:tr w:rsidR="00050181">
        <w:tc>
          <w:tcPr>
            <w:tcW w:w="0" w:type="auto"/>
            <w:vAlign w:val="center"/>
          </w:tcPr>
          <w:p w:rsidR="00050181" w:rsidRDefault="001320DA">
            <w:pPr>
              <w:jc w:val="center"/>
            </w:pPr>
            <w:r>
              <w:rPr>
                <w:color w:val="000000"/>
                <w:sz w:val="24"/>
              </w:rPr>
              <w:t>4</w:t>
            </w:r>
          </w:p>
        </w:tc>
        <w:tc>
          <w:tcPr>
            <w:tcW w:w="0" w:type="auto"/>
            <w:vAlign w:val="center"/>
          </w:tcPr>
          <w:p w:rsidR="00050181" w:rsidRDefault="001320DA">
            <w:pPr>
              <w:jc w:val="center"/>
            </w:pPr>
            <w:r>
              <w:rPr>
                <w:color w:val="000000"/>
                <w:sz w:val="24"/>
              </w:rPr>
              <w:t>NetEase Inc</w:t>
            </w:r>
          </w:p>
        </w:tc>
        <w:tc>
          <w:tcPr>
            <w:tcW w:w="0" w:type="auto"/>
            <w:vAlign w:val="center"/>
          </w:tcPr>
          <w:p w:rsidR="00050181" w:rsidRDefault="001320DA">
            <w:pPr>
              <w:jc w:val="center"/>
            </w:pPr>
            <w:r>
              <w:rPr>
                <w:color w:val="000000"/>
                <w:sz w:val="24"/>
              </w:rPr>
              <w:t>网易公司</w:t>
            </w:r>
          </w:p>
        </w:tc>
        <w:tc>
          <w:tcPr>
            <w:tcW w:w="0" w:type="auto"/>
            <w:vAlign w:val="center"/>
          </w:tcPr>
          <w:p w:rsidR="00050181" w:rsidRDefault="001320DA">
            <w:pPr>
              <w:jc w:val="center"/>
            </w:pPr>
            <w:r>
              <w:rPr>
                <w:color w:val="000000"/>
                <w:sz w:val="24"/>
              </w:rPr>
              <w:t>NTES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66,877</w:t>
            </w:r>
          </w:p>
        </w:tc>
        <w:tc>
          <w:tcPr>
            <w:tcW w:w="0" w:type="auto"/>
            <w:vAlign w:val="center"/>
          </w:tcPr>
          <w:p w:rsidR="00050181" w:rsidRDefault="001320DA">
            <w:pPr>
              <w:jc w:val="right"/>
            </w:pPr>
            <w:r>
              <w:rPr>
                <w:color w:val="000000"/>
                <w:sz w:val="24"/>
              </w:rPr>
              <w:t>105,008,753.98</w:t>
            </w:r>
          </w:p>
        </w:tc>
        <w:tc>
          <w:tcPr>
            <w:tcW w:w="0" w:type="auto"/>
            <w:vAlign w:val="center"/>
          </w:tcPr>
          <w:p w:rsidR="00050181" w:rsidRDefault="001320DA">
            <w:pPr>
              <w:jc w:val="right"/>
            </w:pPr>
            <w:r>
              <w:rPr>
                <w:color w:val="000000"/>
                <w:sz w:val="24"/>
              </w:rPr>
              <w:t>8.60</w:t>
            </w:r>
          </w:p>
        </w:tc>
      </w:tr>
      <w:tr w:rsidR="00050181">
        <w:tc>
          <w:tcPr>
            <w:tcW w:w="0" w:type="auto"/>
            <w:vAlign w:val="center"/>
          </w:tcPr>
          <w:p w:rsidR="00050181" w:rsidRDefault="001320DA">
            <w:pPr>
              <w:jc w:val="center"/>
            </w:pPr>
            <w:r>
              <w:rPr>
                <w:color w:val="000000"/>
                <w:sz w:val="24"/>
              </w:rPr>
              <w:t>5</w:t>
            </w:r>
          </w:p>
        </w:tc>
        <w:tc>
          <w:tcPr>
            <w:tcW w:w="0" w:type="auto"/>
            <w:vAlign w:val="center"/>
          </w:tcPr>
          <w:p w:rsidR="00050181" w:rsidRDefault="001320DA">
            <w:pPr>
              <w:jc w:val="center"/>
            </w:pPr>
            <w:r>
              <w:rPr>
                <w:color w:val="000000"/>
                <w:sz w:val="24"/>
              </w:rPr>
              <w:t>JD.com Inc</w:t>
            </w:r>
          </w:p>
        </w:tc>
        <w:tc>
          <w:tcPr>
            <w:tcW w:w="0" w:type="auto"/>
            <w:vAlign w:val="center"/>
          </w:tcPr>
          <w:p w:rsidR="00050181" w:rsidRDefault="001320DA">
            <w:pPr>
              <w:jc w:val="center"/>
            </w:pPr>
            <w:r>
              <w:rPr>
                <w:color w:val="000000"/>
                <w:sz w:val="24"/>
              </w:rPr>
              <w:t>京东</w:t>
            </w:r>
          </w:p>
        </w:tc>
        <w:tc>
          <w:tcPr>
            <w:tcW w:w="0" w:type="auto"/>
            <w:vAlign w:val="center"/>
          </w:tcPr>
          <w:p w:rsidR="00050181" w:rsidRDefault="001320DA">
            <w:pPr>
              <w:jc w:val="center"/>
            </w:pPr>
            <w:r>
              <w:rPr>
                <w:color w:val="000000"/>
                <w:sz w:val="24"/>
              </w:rPr>
              <w:t>JD US</w:t>
            </w:r>
          </w:p>
        </w:tc>
        <w:tc>
          <w:tcPr>
            <w:tcW w:w="0" w:type="auto"/>
            <w:vAlign w:val="center"/>
          </w:tcPr>
          <w:p w:rsidR="00050181" w:rsidRDefault="001320DA">
            <w:pPr>
              <w:jc w:val="center"/>
            </w:pPr>
            <w:r>
              <w:rPr>
                <w:color w:val="000000"/>
                <w:sz w:val="24"/>
              </w:rPr>
              <w:t>美国证券交</w:t>
            </w:r>
            <w:r>
              <w:rPr>
                <w:color w:val="000000"/>
                <w:sz w:val="24"/>
              </w:rPr>
              <w:lastRenderedPageBreak/>
              <w:t>易所</w:t>
            </w:r>
          </w:p>
        </w:tc>
        <w:tc>
          <w:tcPr>
            <w:tcW w:w="0" w:type="auto"/>
            <w:vAlign w:val="center"/>
          </w:tcPr>
          <w:p w:rsidR="00050181" w:rsidRDefault="001320DA">
            <w:pPr>
              <w:jc w:val="center"/>
            </w:pPr>
            <w:r>
              <w:rPr>
                <w:color w:val="000000"/>
                <w:sz w:val="24"/>
              </w:rPr>
              <w:lastRenderedPageBreak/>
              <w:t>美国</w:t>
            </w:r>
          </w:p>
        </w:tc>
        <w:tc>
          <w:tcPr>
            <w:tcW w:w="0" w:type="auto"/>
            <w:vAlign w:val="center"/>
          </w:tcPr>
          <w:p w:rsidR="00050181" w:rsidRDefault="001320DA">
            <w:pPr>
              <w:jc w:val="right"/>
            </w:pPr>
            <w:r>
              <w:rPr>
                <w:color w:val="000000"/>
                <w:sz w:val="24"/>
              </w:rPr>
              <w:t>351,116</w:t>
            </w:r>
          </w:p>
        </w:tc>
        <w:tc>
          <w:tcPr>
            <w:tcW w:w="0" w:type="auto"/>
            <w:vAlign w:val="center"/>
          </w:tcPr>
          <w:p w:rsidR="00050181" w:rsidRDefault="001320DA">
            <w:pPr>
              <w:jc w:val="right"/>
            </w:pPr>
            <w:r>
              <w:rPr>
                <w:color w:val="000000"/>
                <w:sz w:val="24"/>
              </w:rPr>
              <w:t>63,017,712.61</w:t>
            </w:r>
          </w:p>
        </w:tc>
        <w:tc>
          <w:tcPr>
            <w:tcW w:w="0" w:type="auto"/>
            <w:vAlign w:val="center"/>
          </w:tcPr>
          <w:p w:rsidR="00050181" w:rsidRDefault="001320DA">
            <w:pPr>
              <w:jc w:val="right"/>
            </w:pPr>
            <w:r>
              <w:rPr>
                <w:color w:val="000000"/>
                <w:sz w:val="24"/>
              </w:rPr>
              <w:t>5.16</w:t>
            </w:r>
          </w:p>
        </w:tc>
      </w:tr>
      <w:tr w:rsidR="00050181">
        <w:tc>
          <w:tcPr>
            <w:tcW w:w="0" w:type="auto"/>
            <w:vAlign w:val="center"/>
          </w:tcPr>
          <w:p w:rsidR="00050181" w:rsidRDefault="001320DA">
            <w:pPr>
              <w:jc w:val="center"/>
            </w:pPr>
            <w:r>
              <w:rPr>
                <w:color w:val="000000"/>
                <w:sz w:val="24"/>
              </w:rPr>
              <w:t>6</w:t>
            </w:r>
          </w:p>
        </w:tc>
        <w:tc>
          <w:tcPr>
            <w:tcW w:w="0" w:type="auto"/>
            <w:vAlign w:val="center"/>
          </w:tcPr>
          <w:p w:rsidR="00050181" w:rsidRDefault="001320DA">
            <w:pPr>
              <w:jc w:val="center"/>
            </w:pPr>
            <w:r>
              <w:rPr>
                <w:color w:val="000000"/>
                <w:sz w:val="24"/>
              </w:rPr>
              <w:t>iQIYI Inc</w:t>
            </w:r>
          </w:p>
        </w:tc>
        <w:tc>
          <w:tcPr>
            <w:tcW w:w="0" w:type="auto"/>
            <w:vAlign w:val="center"/>
          </w:tcPr>
          <w:p w:rsidR="00050181" w:rsidRDefault="001320DA">
            <w:pPr>
              <w:jc w:val="center"/>
            </w:pPr>
            <w:r>
              <w:rPr>
                <w:color w:val="000000"/>
                <w:sz w:val="24"/>
              </w:rPr>
              <w:t>爱奇艺</w:t>
            </w:r>
          </w:p>
        </w:tc>
        <w:tc>
          <w:tcPr>
            <w:tcW w:w="0" w:type="auto"/>
            <w:vAlign w:val="center"/>
          </w:tcPr>
          <w:p w:rsidR="00050181" w:rsidRDefault="001320DA">
            <w:pPr>
              <w:jc w:val="center"/>
            </w:pPr>
            <w:r>
              <w:rPr>
                <w:color w:val="000000"/>
                <w:sz w:val="24"/>
              </w:rPr>
              <w:t>IQ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310,808</w:t>
            </w:r>
          </w:p>
        </w:tc>
        <w:tc>
          <w:tcPr>
            <w:tcW w:w="0" w:type="auto"/>
            <w:vAlign w:val="center"/>
          </w:tcPr>
          <w:p w:rsidR="00050181" w:rsidRDefault="001320DA">
            <w:pPr>
              <w:jc w:val="right"/>
            </w:pPr>
            <w:r>
              <w:rPr>
                <w:color w:val="000000"/>
                <w:sz w:val="24"/>
              </w:rPr>
              <w:t>57,878,648.35</w:t>
            </w:r>
          </w:p>
        </w:tc>
        <w:tc>
          <w:tcPr>
            <w:tcW w:w="0" w:type="auto"/>
            <w:vAlign w:val="center"/>
          </w:tcPr>
          <w:p w:rsidR="00050181" w:rsidRDefault="001320DA">
            <w:pPr>
              <w:jc w:val="right"/>
            </w:pPr>
            <w:r>
              <w:rPr>
                <w:color w:val="000000"/>
                <w:sz w:val="24"/>
              </w:rPr>
              <w:t>4.74</w:t>
            </w:r>
          </w:p>
        </w:tc>
      </w:tr>
      <w:tr w:rsidR="00050181">
        <w:tc>
          <w:tcPr>
            <w:tcW w:w="0" w:type="auto"/>
            <w:vAlign w:val="center"/>
          </w:tcPr>
          <w:p w:rsidR="00050181" w:rsidRDefault="001320DA">
            <w:pPr>
              <w:jc w:val="center"/>
            </w:pPr>
            <w:r>
              <w:rPr>
                <w:color w:val="000000"/>
                <w:sz w:val="24"/>
              </w:rPr>
              <w:t>7</w:t>
            </w:r>
          </w:p>
        </w:tc>
        <w:tc>
          <w:tcPr>
            <w:tcW w:w="0" w:type="auto"/>
            <w:vAlign w:val="center"/>
          </w:tcPr>
          <w:p w:rsidR="00050181" w:rsidRDefault="001320DA">
            <w:pPr>
              <w:jc w:val="center"/>
            </w:pPr>
            <w:r>
              <w:rPr>
                <w:color w:val="000000"/>
                <w:sz w:val="24"/>
              </w:rPr>
              <w:t>58.com Inc</w:t>
            </w:r>
          </w:p>
        </w:tc>
        <w:tc>
          <w:tcPr>
            <w:tcW w:w="0" w:type="auto"/>
            <w:vAlign w:val="center"/>
          </w:tcPr>
          <w:p w:rsidR="00050181" w:rsidRDefault="001320DA">
            <w:pPr>
              <w:jc w:val="center"/>
            </w:pPr>
            <w:r>
              <w:rPr>
                <w:color w:val="000000"/>
                <w:sz w:val="24"/>
              </w:rPr>
              <w:t>58</w:t>
            </w:r>
            <w:r>
              <w:rPr>
                <w:color w:val="000000"/>
                <w:sz w:val="24"/>
              </w:rPr>
              <w:t>同城网</w:t>
            </w:r>
          </w:p>
        </w:tc>
        <w:tc>
          <w:tcPr>
            <w:tcW w:w="0" w:type="auto"/>
            <w:vAlign w:val="center"/>
          </w:tcPr>
          <w:p w:rsidR="00050181" w:rsidRDefault="001320DA">
            <w:pPr>
              <w:jc w:val="center"/>
            </w:pPr>
            <w:r>
              <w:rPr>
                <w:color w:val="000000"/>
                <w:sz w:val="24"/>
              </w:rPr>
              <w:t>WUBA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108,243</w:t>
            </w:r>
          </w:p>
        </w:tc>
        <w:tc>
          <w:tcPr>
            <w:tcW w:w="0" w:type="auto"/>
            <w:vAlign w:val="center"/>
          </w:tcPr>
          <w:p w:rsidR="00050181" w:rsidRDefault="001320DA">
            <w:pPr>
              <w:jc w:val="right"/>
            </w:pPr>
            <w:r>
              <w:rPr>
                <w:color w:val="000000"/>
                <w:sz w:val="24"/>
              </w:rPr>
              <w:t>54,804,418.08</w:t>
            </w:r>
          </w:p>
        </w:tc>
        <w:tc>
          <w:tcPr>
            <w:tcW w:w="0" w:type="auto"/>
            <w:vAlign w:val="center"/>
          </w:tcPr>
          <w:p w:rsidR="00050181" w:rsidRDefault="001320DA">
            <w:pPr>
              <w:jc w:val="right"/>
            </w:pPr>
            <w:r>
              <w:rPr>
                <w:color w:val="000000"/>
                <w:sz w:val="24"/>
              </w:rPr>
              <w:t>4.49</w:t>
            </w:r>
          </w:p>
        </w:tc>
      </w:tr>
      <w:tr w:rsidR="00050181">
        <w:tc>
          <w:tcPr>
            <w:tcW w:w="0" w:type="auto"/>
            <w:vAlign w:val="center"/>
          </w:tcPr>
          <w:p w:rsidR="00050181" w:rsidRDefault="001320DA">
            <w:pPr>
              <w:jc w:val="center"/>
            </w:pPr>
            <w:r>
              <w:rPr>
                <w:color w:val="000000"/>
                <w:sz w:val="24"/>
              </w:rPr>
              <w:t>8</w:t>
            </w:r>
          </w:p>
        </w:tc>
        <w:tc>
          <w:tcPr>
            <w:tcW w:w="0" w:type="auto"/>
            <w:vAlign w:val="center"/>
          </w:tcPr>
          <w:p w:rsidR="00050181" w:rsidRDefault="001320DA">
            <w:pPr>
              <w:jc w:val="center"/>
            </w:pPr>
            <w:r>
              <w:rPr>
                <w:color w:val="000000"/>
                <w:sz w:val="24"/>
              </w:rPr>
              <w:t>Momo Inc</w:t>
            </w:r>
          </w:p>
        </w:tc>
        <w:tc>
          <w:tcPr>
            <w:tcW w:w="0" w:type="auto"/>
            <w:vAlign w:val="center"/>
          </w:tcPr>
          <w:p w:rsidR="00050181" w:rsidRDefault="001320DA">
            <w:pPr>
              <w:jc w:val="center"/>
            </w:pPr>
            <w:r>
              <w:rPr>
                <w:color w:val="000000"/>
                <w:sz w:val="24"/>
              </w:rPr>
              <w:t>陌陌科技</w:t>
            </w:r>
          </w:p>
        </w:tc>
        <w:tc>
          <w:tcPr>
            <w:tcW w:w="0" w:type="auto"/>
            <w:vAlign w:val="center"/>
          </w:tcPr>
          <w:p w:rsidR="00050181" w:rsidRDefault="001320DA">
            <w:pPr>
              <w:jc w:val="center"/>
            </w:pPr>
            <w:r>
              <w:rPr>
                <w:color w:val="000000"/>
                <w:sz w:val="24"/>
              </w:rPr>
              <w:t>MOMO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180,381</w:t>
            </w:r>
          </w:p>
        </w:tc>
        <w:tc>
          <w:tcPr>
            <w:tcW w:w="0" w:type="auto"/>
            <w:vAlign w:val="center"/>
          </w:tcPr>
          <w:p w:rsidR="00050181" w:rsidRDefault="001320DA">
            <w:pPr>
              <w:jc w:val="right"/>
            </w:pPr>
            <w:r>
              <w:rPr>
                <w:color w:val="000000"/>
                <w:sz w:val="24"/>
              </w:rPr>
              <w:t>54,350,411.51</w:t>
            </w:r>
          </w:p>
        </w:tc>
        <w:tc>
          <w:tcPr>
            <w:tcW w:w="0" w:type="auto"/>
            <w:vAlign w:val="center"/>
          </w:tcPr>
          <w:p w:rsidR="00050181" w:rsidRDefault="001320DA">
            <w:pPr>
              <w:jc w:val="right"/>
            </w:pPr>
            <w:r>
              <w:rPr>
                <w:color w:val="000000"/>
                <w:sz w:val="24"/>
              </w:rPr>
              <w:t>4.45</w:t>
            </w:r>
          </w:p>
        </w:tc>
      </w:tr>
      <w:tr w:rsidR="00050181">
        <w:tc>
          <w:tcPr>
            <w:tcW w:w="0" w:type="auto"/>
            <w:vAlign w:val="center"/>
          </w:tcPr>
          <w:p w:rsidR="00050181" w:rsidRDefault="001320DA">
            <w:pPr>
              <w:jc w:val="center"/>
            </w:pPr>
            <w:r>
              <w:rPr>
                <w:color w:val="000000"/>
                <w:sz w:val="24"/>
              </w:rPr>
              <w:t>9</w:t>
            </w:r>
          </w:p>
        </w:tc>
        <w:tc>
          <w:tcPr>
            <w:tcW w:w="0" w:type="auto"/>
            <w:vAlign w:val="center"/>
          </w:tcPr>
          <w:p w:rsidR="00050181" w:rsidRDefault="001320DA">
            <w:pPr>
              <w:jc w:val="center"/>
            </w:pPr>
            <w:r>
              <w:rPr>
                <w:color w:val="000000"/>
                <w:sz w:val="24"/>
              </w:rPr>
              <w:t>Ctrip.com International Ltd</w:t>
            </w:r>
          </w:p>
        </w:tc>
        <w:tc>
          <w:tcPr>
            <w:tcW w:w="0" w:type="auto"/>
            <w:vAlign w:val="center"/>
          </w:tcPr>
          <w:p w:rsidR="00050181" w:rsidRDefault="001320DA">
            <w:pPr>
              <w:jc w:val="center"/>
            </w:pPr>
            <w:r>
              <w:rPr>
                <w:color w:val="000000"/>
                <w:sz w:val="24"/>
              </w:rPr>
              <w:t>携程旅行网国际有限公司</w:t>
            </w:r>
          </w:p>
        </w:tc>
        <w:tc>
          <w:tcPr>
            <w:tcW w:w="0" w:type="auto"/>
            <w:vAlign w:val="center"/>
          </w:tcPr>
          <w:p w:rsidR="00050181" w:rsidRDefault="001320DA">
            <w:pPr>
              <w:jc w:val="center"/>
            </w:pPr>
            <w:r>
              <w:rPr>
                <w:color w:val="000000"/>
                <w:sz w:val="24"/>
              </w:rPr>
              <w:t>CTRP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195,478</w:t>
            </w:r>
          </w:p>
        </w:tc>
        <w:tc>
          <w:tcPr>
            <w:tcW w:w="0" w:type="auto"/>
            <w:vAlign w:val="center"/>
          </w:tcPr>
          <w:p w:rsidR="00050181" w:rsidRDefault="001320DA">
            <w:pPr>
              <w:jc w:val="right"/>
            </w:pPr>
            <w:r>
              <w:rPr>
                <w:color w:val="000000"/>
                <w:sz w:val="24"/>
              </w:rPr>
              <w:t>49,983,698.01</w:t>
            </w:r>
          </w:p>
        </w:tc>
        <w:tc>
          <w:tcPr>
            <w:tcW w:w="0" w:type="auto"/>
            <w:vAlign w:val="center"/>
          </w:tcPr>
          <w:p w:rsidR="00050181" w:rsidRDefault="001320DA">
            <w:pPr>
              <w:jc w:val="right"/>
            </w:pPr>
            <w:r>
              <w:rPr>
                <w:color w:val="000000"/>
                <w:sz w:val="24"/>
              </w:rPr>
              <w:t>4.09</w:t>
            </w:r>
          </w:p>
        </w:tc>
      </w:tr>
      <w:tr w:rsidR="00050181">
        <w:tc>
          <w:tcPr>
            <w:tcW w:w="0" w:type="auto"/>
            <w:vAlign w:val="center"/>
          </w:tcPr>
          <w:p w:rsidR="00050181" w:rsidRDefault="001320DA">
            <w:pPr>
              <w:jc w:val="center"/>
            </w:pPr>
            <w:r>
              <w:rPr>
                <w:color w:val="000000"/>
                <w:sz w:val="24"/>
              </w:rPr>
              <w:t>10</w:t>
            </w:r>
          </w:p>
        </w:tc>
        <w:tc>
          <w:tcPr>
            <w:tcW w:w="0" w:type="auto"/>
            <w:vAlign w:val="center"/>
          </w:tcPr>
          <w:p w:rsidR="00050181" w:rsidRDefault="001320DA">
            <w:pPr>
              <w:jc w:val="center"/>
            </w:pPr>
            <w:r>
              <w:rPr>
                <w:color w:val="000000"/>
                <w:sz w:val="24"/>
              </w:rPr>
              <w:t>SINA Corp</w:t>
            </w:r>
          </w:p>
        </w:tc>
        <w:tc>
          <w:tcPr>
            <w:tcW w:w="0" w:type="auto"/>
            <w:vAlign w:val="center"/>
          </w:tcPr>
          <w:p w:rsidR="00050181" w:rsidRDefault="001320DA">
            <w:pPr>
              <w:jc w:val="center"/>
            </w:pPr>
            <w:r>
              <w:rPr>
                <w:color w:val="000000"/>
                <w:sz w:val="24"/>
              </w:rPr>
              <w:t>新浪公司</w:t>
            </w:r>
          </w:p>
        </w:tc>
        <w:tc>
          <w:tcPr>
            <w:tcW w:w="0" w:type="auto"/>
            <w:vAlign w:val="center"/>
          </w:tcPr>
          <w:p w:rsidR="00050181" w:rsidRDefault="001320DA">
            <w:pPr>
              <w:jc w:val="center"/>
            </w:pPr>
            <w:r>
              <w:rPr>
                <w:color w:val="000000"/>
                <w:sz w:val="24"/>
              </w:rPr>
              <w:t>SINA US</w:t>
            </w:r>
          </w:p>
        </w:tc>
        <w:tc>
          <w:tcPr>
            <w:tcW w:w="0" w:type="auto"/>
            <w:vAlign w:val="center"/>
          </w:tcPr>
          <w:p w:rsidR="00050181" w:rsidRDefault="001320DA">
            <w:pPr>
              <w:jc w:val="center"/>
            </w:pPr>
            <w:r>
              <w:rPr>
                <w:color w:val="000000"/>
                <w:sz w:val="24"/>
              </w:rPr>
              <w:t>美国证券交易所</w:t>
            </w:r>
          </w:p>
        </w:tc>
        <w:tc>
          <w:tcPr>
            <w:tcW w:w="0" w:type="auto"/>
            <w:vAlign w:val="center"/>
          </w:tcPr>
          <w:p w:rsidR="00050181" w:rsidRDefault="001320DA">
            <w:pPr>
              <w:jc w:val="center"/>
            </w:pPr>
            <w:r>
              <w:rPr>
                <w:color w:val="000000"/>
                <w:sz w:val="24"/>
              </w:rPr>
              <w:t>美国</w:t>
            </w:r>
          </w:p>
        </w:tc>
        <w:tc>
          <w:tcPr>
            <w:tcW w:w="0" w:type="auto"/>
            <w:vAlign w:val="center"/>
          </w:tcPr>
          <w:p w:rsidR="00050181" w:rsidRDefault="001320DA">
            <w:pPr>
              <w:jc w:val="right"/>
            </w:pPr>
            <w:r>
              <w:rPr>
                <w:color w:val="000000"/>
                <w:sz w:val="24"/>
              </w:rPr>
              <w:t>97,212</w:t>
            </w:r>
          </w:p>
        </w:tc>
        <w:tc>
          <w:tcPr>
            <w:tcW w:w="0" w:type="auto"/>
            <w:vAlign w:val="center"/>
          </w:tcPr>
          <w:p w:rsidR="00050181" w:rsidRDefault="001320DA">
            <w:pPr>
              <w:jc w:val="right"/>
            </w:pPr>
            <w:r>
              <w:rPr>
                <w:color w:val="000000"/>
                <w:sz w:val="24"/>
              </w:rPr>
              <w:t>46,464,110.12</w:t>
            </w:r>
          </w:p>
        </w:tc>
        <w:tc>
          <w:tcPr>
            <w:tcW w:w="0" w:type="auto"/>
            <w:vAlign w:val="center"/>
          </w:tcPr>
          <w:p w:rsidR="00050181" w:rsidRDefault="001320DA">
            <w:pPr>
              <w:jc w:val="right"/>
            </w:pPr>
            <w:r>
              <w:rPr>
                <w:color w:val="000000"/>
                <w:sz w:val="24"/>
              </w:rPr>
              <w:t>3.80</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报告期内本基金投资的前十名证券的发行主体除携程旅行网（证券代码：</w:t>
      </w:r>
      <w:r w:rsidR="00521EDE" w:rsidRPr="008640AE">
        <w:rPr>
          <w:color w:val="000000"/>
          <w:sz w:val="24"/>
        </w:rPr>
        <w:t>CTRP</w:t>
      </w:r>
      <w:r w:rsidR="00521EDE" w:rsidRPr="008640AE">
        <w:rPr>
          <w:color w:val="000000"/>
          <w:sz w:val="24"/>
        </w:rPr>
        <w:t>）外，未出现被监管部门立案调查，或在报告编制日前一年内受到公开谴责、处罚的情形。</w:t>
      </w:r>
    </w:p>
    <w:p w:rsidR="00050181" w:rsidRDefault="001320DA">
      <w:pPr>
        <w:spacing w:before="29" w:line="288" w:lineRule="auto"/>
        <w:rPr>
          <w:color w:val="000000"/>
          <w:sz w:val="24"/>
        </w:rPr>
      </w:pPr>
      <w:r>
        <w:rPr>
          <w:color w:val="000000"/>
          <w:sz w:val="24"/>
        </w:rPr>
        <w:t>报告期内本基金投资的前十名证券之一携程旅行网（证券代码：</w:t>
      </w:r>
      <w:r>
        <w:rPr>
          <w:color w:val="000000"/>
          <w:sz w:val="24"/>
        </w:rPr>
        <w:t>CTRP</w:t>
      </w:r>
      <w:r>
        <w:rPr>
          <w:color w:val="000000"/>
          <w:sz w:val="24"/>
        </w:rPr>
        <w:t>）因</w:t>
      </w:r>
      <w:r>
        <w:rPr>
          <w:color w:val="000000"/>
          <w:sz w:val="24"/>
        </w:rPr>
        <w:t>2017</w:t>
      </w:r>
      <w:r>
        <w:rPr>
          <w:color w:val="000000"/>
          <w:sz w:val="24"/>
        </w:rPr>
        <w:t>年</w:t>
      </w:r>
      <w:r>
        <w:rPr>
          <w:color w:val="000000"/>
          <w:sz w:val="24"/>
        </w:rPr>
        <w:t>12</w:t>
      </w:r>
      <w:r>
        <w:rPr>
          <w:color w:val="000000"/>
          <w:sz w:val="24"/>
        </w:rPr>
        <w:t>月上海保监局官网连续挂出两份行政处罚决定书，直指携程保险代理有限公司在</w:t>
      </w:r>
      <w:r>
        <w:rPr>
          <w:color w:val="000000"/>
          <w:sz w:val="24"/>
        </w:rPr>
        <w:t>2016</w:t>
      </w:r>
      <w:r>
        <w:rPr>
          <w:color w:val="000000"/>
          <w:sz w:val="24"/>
        </w:rPr>
        <w:t>年度通过携程旅行网违规销售保险产品，为此携程保险代理有限公司总计被上海保监局罚款</w:t>
      </w:r>
      <w:r>
        <w:rPr>
          <w:color w:val="000000"/>
          <w:sz w:val="24"/>
        </w:rPr>
        <w:t>40</w:t>
      </w:r>
      <w:r>
        <w:rPr>
          <w:color w:val="000000"/>
          <w:sz w:val="24"/>
        </w:rPr>
        <w:t>万元。</w:t>
      </w:r>
    </w:p>
    <w:p w:rsidR="00050181" w:rsidRDefault="001320DA">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B10BC1"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B10BC1">
          <w:rPr>
            <w:color w:val="000000"/>
            <w:kern w:val="0"/>
            <w:sz w:val="24"/>
          </w:rPr>
          <w:t>5.10.3</w:t>
        </w:r>
      </w:smartTag>
      <w:r w:rsidRPr="00B10BC1">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34,196.72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14,890.44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16,340,563.70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16,389,650.86</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B10BC1" w:rsidRDefault="0076518F" w:rsidP="005546C0">
      <w:pPr>
        <w:autoSpaceDE w:val="0"/>
        <w:autoSpaceDN w:val="0"/>
        <w:adjustRightInd w:val="0"/>
        <w:spacing w:before="29" w:line="288" w:lineRule="auto"/>
        <w:jc w:val="left"/>
        <w:rPr>
          <w:color w:val="000000"/>
          <w:kern w:val="0"/>
          <w:sz w:val="24"/>
        </w:rPr>
      </w:pPr>
      <w:r w:rsidRPr="00B10BC1">
        <w:rPr>
          <w:color w:val="000000"/>
          <w:kern w:val="0"/>
          <w:sz w:val="24"/>
        </w:rPr>
        <w:t>5.10.4</w:t>
      </w:r>
      <w:r w:rsidRPr="00B10BC1">
        <w:rPr>
          <w:color w:val="000000"/>
          <w:kern w:val="0"/>
          <w:sz w:val="24"/>
        </w:rPr>
        <w:t>报告期末持有的处于转股期的可转换债券明细</w:t>
      </w:r>
    </w:p>
    <w:p w:rsidR="000A55BD" w:rsidRPr="00B10BC1" w:rsidRDefault="000A55BD" w:rsidP="005546C0">
      <w:pPr>
        <w:autoSpaceDE w:val="0"/>
        <w:autoSpaceDN w:val="0"/>
        <w:adjustRightInd w:val="0"/>
        <w:spacing w:before="29" w:line="288" w:lineRule="auto"/>
        <w:jc w:val="left"/>
        <w:rPr>
          <w:color w:val="000000"/>
          <w:sz w:val="24"/>
        </w:rPr>
      </w:pPr>
      <w:r w:rsidRPr="00B10BC1">
        <w:rPr>
          <w:color w:val="000000"/>
          <w:sz w:val="24"/>
        </w:rPr>
        <w:t>本基金本报告期末未持有处于转股期的可转换债券。</w:t>
      </w:r>
    </w:p>
    <w:p w:rsidR="00EA3F21" w:rsidRPr="00B10BC1" w:rsidRDefault="00EA3F21" w:rsidP="005546C0">
      <w:pPr>
        <w:autoSpaceDE w:val="0"/>
        <w:autoSpaceDN w:val="0"/>
        <w:adjustRightInd w:val="0"/>
        <w:spacing w:before="29" w:line="288" w:lineRule="auto"/>
        <w:jc w:val="left"/>
        <w:rPr>
          <w:color w:val="000000"/>
          <w:sz w:val="24"/>
        </w:rPr>
      </w:pPr>
    </w:p>
    <w:p w:rsidR="0076518F" w:rsidRPr="00B10BC1"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B10BC1">
          <w:rPr>
            <w:color w:val="000000"/>
            <w:kern w:val="0"/>
            <w:sz w:val="24"/>
          </w:rPr>
          <w:t>5.10.5</w:t>
        </w:r>
      </w:smartTag>
      <w:r w:rsidRPr="00B10BC1">
        <w:rPr>
          <w:color w:val="000000"/>
          <w:kern w:val="0"/>
          <w:sz w:val="24"/>
        </w:rPr>
        <w:t>报告期末</w:t>
      </w:r>
      <w:r w:rsidR="005F690D" w:rsidRPr="00B10BC1">
        <w:rPr>
          <w:rFonts w:hint="eastAsia"/>
          <w:color w:val="000000"/>
          <w:kern w:val="0"/>
          <w:sz w:val="24"/>
        </w:rPr>
        <w:t>投资的</w:t>
      </w:r>
      <w:r w:rsidR="003E4E68" w:rsidRPr="00B10BC1">
        <w:rPr>
          <w:color w:val="000000"/>
          <w:kern w:val="0"/>
          <w:sz w:val="24"/>
        </w:rPr>
        <w:t>股票</w:t>
      </w:r>
      <w:r w:rsidRPr="00B10BC1">
        <w:rPr>
          <w:color w:val="000000"/>
          <w:kern w:val="0"/>
          <w:sz w:val="24"/>
        </w:rPr>
        <w:t>存在流通受限情况的说明</w:t>
      </w:r>
    </w:p>
    <w:p w:rsidR="006A77B5" w:rsidRPr="00B10BC1"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B10BC1">
          <w:rPr>
            <w:color w:val="000000"/>
            <w:kern w:val="0"/>
            <w:sz w:val="24"/>
          </w:rPr>
          <w:t>5.</w:t>
        </w:r>
        <w:r w:rsidRPr="00B10BC1">
          <w:rPr>
            <w:rFonts w:hint="eastAsia"/>
            <w:color w:val="000000"/>
            <w:kern w:val="0"/>
            <w:sz w:val="24"/>
          </w:rPr>
          <w:t>10</w:t>
        </w:r>
        <w:r w:rsidRPr="00B10BC1">
          <w:rPr>
            <w:color w:val="000000"/>
            <w:kern w:val="0"/>
            <w:sz w:val="24"/>
          </w:rPr>
          <w:t>.5</w:t>
        </w:r>
      </w:smartTag>
      <w:r w:rsidRPr="00B10BC1">
        <w:rPr>
          <w:color w:val="000000"/>
          <w:kern w:val="0"/>
          <w:sz w:val="24"/>
        </w:rPr>
        <w:t>.</w:t>
      </w:r>
      <w:r w:rsidRPr="00B10BC1">
        <w:rPr>
          <w:rFonts w:hint="eastAsia"/>
          <w:color w:val="000000"/>
          <w:kern w:val="0"/>
          <w:sz w:val="24"/>
        </w:rPr>
        <w:t xml:space="preserve">1 </w:t>
      </w:r>
      <w:r w:rsidRPr="00B10BC1">
        <w:rPr>
          <w:rFonts w:hint="eastAsia"/>
          <w:color w:val="000000"/>
          <w:kern w:val="0"/>
          <w:sz w:val="24"/>
        </w:rPr>
        <w:t>报告期末指数投资前十名股票中存在流通受限情况的说明</w:t>
      </w:r>
    </w:p>
    <w:p w:rsidR="001320DA" w:rsidRPr="00B10BC1" w:rsidRDefault="001320DA" w:rsidP="004C1FC8">
      <w:pPr>
        <w:autoSpaceDE w:val="0"/>
        <w:autoSpaceDN w:val="0"/>
        <w:adjustRightInd w:val="0"/>
        <w:spacing w:before="29" w:line="288" w:lineRule="auto"/>
        <w:jc w:val="left"/>
        <w:rPr>
          <w:color w:val="000000"/>
          <w:kern w:val="0"/>
          <w:sz w:val="24"/>
        </w:rPr>
      </w:pPr>
      <w:r w:rsidRPr="00B10BC1">
        <w:rPr>
          <w:rFonts w:hint="eastAsia"/>
          <w:color w:val="000000"/>
          <w:kern w:val="0"/>
          <w:sz w:val="24"/>
        </w:rPr>
        <w:t>本基金本报告期末前十名股票中不存在流通受限的情况。</w:t>
      </w:r>
    </w:p>
    <w:p w:rsidR="000E3004" w:rsidRPr="00B10BC1" w:rsidRDefault="000E3004" w:rsidP="004C1FC8">
      <w:pPr>
        <w:autoSpaceDE w:val="0"/>
        <w:autoSpaceDN w:val="0"/>
        <w:adjustRightInd w:val="0"/>
        <w:spacing w:before="29" w:line="288" w:lineRule="auto"/>
        <w:jc w:val="left"/>
        <w:rPr>
          <w:color w:val="000000"/>
          <w:kern w:val="0"/>
          <w:sz w:val="24"/>
        </w:rPr>
      </w:pPr>
    </w:p>
    <w:p w:rsidR="006A77B5" w:rsidRPr="00B10BC1"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B10BC1">
          <w:rPr>
            <w:color w:val="000000"/>
            <w:kern w:val="0"/>
            <w:sz w:val="24"/>
          </w:rPr>
          <w:t>5.</w:t>
        </w:r>
        <w:r w:rsidRPr="00B10BC1">
          <w:rPr>
            <w:rFonts w:hint="eastAsia"/>
            <w:color w:val="000000"/>
            <w:kern w:val="0"/>
            <w:sz w:val="24"/>
          </w:rPr>
          <w:t>10</w:t>
        </w:r>
        <w:r w:rsidRPr="00B10BC1">
          <w:rPr>
            <w:color w:val="000000"/>
            <w:kern w:val="0"/>
            <w:sz w:val="24"/>
          </w:rPr>
          <w:t>.5</w:t>
        </w:r>
      </w:smartTag>
      <w:r w:rsidRPr="00B10BC1">
        <w:rPr>
          <w:color w:val="000000"/>
          <w:kern w:val="0"/>
          <w:sz w:val="24"/>
        </w:rPr>
        <w:t>.</w:t>
      </w:r>
      <w:r w:rsidRPr="00B10BC1">
        <w:rPr>
          <w:rFonts w:hint="eastAsia"/>
          <w:color w:val="000000"/>
          <w:kern w:val="0"/>
          <w:sz w:val="24"/>
        </w:rPr>
        <w:t>2</w:t>
      </w:r>
      <w:r w:rsidRPr="00B10BC1">
        <w:rPr>
          <w:rFonts w:hint="eastAsia"/>
          <w:color w:val="000000"/>
          <w:kern w:val="0"/>
          <w:sz w:val="24"/>
        </w:rPr>
        <w:t>报告</w:t>
      </w:r>
      <w:r w:rsidRPr="00B10BC1">
        <w:rPr>
          <w:color w:val="000000"/>
          <w:kern w:val="0"/>
          <w:sz w:val="24"/>
        </w:rPr>
        <w:t>期末</w:t>
      </w:r>
      <w:r w:rsidRPr="00B10BC1">
        <w:rPr>
          <w:rFonts w:hint="eastAsia"/>
          <w:color w:val="000000"/>
          <w:kern w:val="0"/>
          <w:sz w:val="24"/>
        </w:rPr>
        <w:t>积极投资</w:t>
      </w:r>
      <w:r w:rsidRPr="00B10BC1">
        <w:rPr>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840,879,309.71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279,554,466.05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159,959,099.61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960,474,676.15</w:t>
            </w:r>
          </w:p>
        </w:tc>
      </w:tr>
    </w:tbl>
    <w:p w:rsidR="00050181" w:rsidRDefault="001320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881B83">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050181" w:rsidRDefault="001320DA">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050181" w:rsidRDefault="001320DA">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050181" w:rsidRDefault="001320DA">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050181" w:rsidRDefault="001320DA">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050181" w:rsidRDefault="001320DA">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050181" w:rsidRDefault="001320D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5"/>
      <w:footerReference w:type="even" r:id="rId16"/>
      <w:headerReference w:type="first" r:id="rId17"/>
      <w:footerReference w:type="first" r:id="rId1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D7E" w:rsidRDefault="000A0D7E">
      <w:r>
        <w:separator/>
      </w:r>
    </w:p>
  </w:endnote>
  <w:endnote w:type="continuationSeparator" w:id="0">
    <w:p w:rsidR="000A0D7E" w:rsidRDefault="000A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Pr="001D0DB0" w:rsidRDefault="005734BE" w:rsidP="00B918B8">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A6712">
      <w:rPr>
        <w:noProof/>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A6712">
      <w:rPr>
        <w:noProof/>
        <w:kern w:val="0"/>
        <w:szCs w:val="21"/>
      </w:rPr>
      <w:t>13</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34BE" w:rsidRDefault="005734BE">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D7E" w:rsidRDefault="000A0D7E">
      <w:r>
        <w:separator/>
      </w:r>
    </w:p>
  </w:footnote>
  <w:footnote w:type="continuationSeparator" w:id="0">
    <w:p w:rsidR="000A0D7E" w:rsidRDefault="000A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Pr="00F078BA" w:rsidRDefault="005734BE"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BE" w:rsidRDefault="005734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0181"/>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3185"/>
    <w:rsid w:val="00094876"/>
    <w:rsid w:val="00095912"/>
    <w:rsid w:val="00095CE0"/>
    <w:rsid w:val="00096933"/>
    <w:rsid w:val="00097230"/>
    <w:rsid w:val="000A09BE"/>
    <w:rsid w:val="000A0D7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004"/>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0EB8"/>
    <w:rsid w:val="001320DA"/>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0C55"/>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571C9"/>
    <w:rsid w:val="00560194"/>
    <w:rsid w:val="00560C94"/>
    <w:rsid w:val="0056291C"/>
    <w:rsid w:val="0056509C"/>
    <w:rsid w:val="00565A63"/>
    <w:rsid w:val="00565E5C"/>
    <w:rsid w:val="00566588"/>
    <w:rsid w:val="00566F22"/>
    <w:rsid w:val="00571BD3"/>
    <w:rsid w:val="0057275D"/>
    <w:rsid w:val="005734BE"/>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1B83"/>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BC1"/>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712"/>
    <w:rsid w:val="00EA6FA7"/>
    <w:rsid w:val="00EA7CD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3BCEBE4-F02B-4BB4-A108-83E21855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7D88-4E85-4023-98C4-9D7B1645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qdii.dot</Template>
  <TotalTime>191</TotalTime>
  <Pages>1</Pages>
  <Words>1093</Words>
  <Characters>6235</Characters>
  <Application>Microsoft Office Word</Application>
  <DocSecurity>0</DocSecurity>
  <Lines>51</Lines>
  <Paragraphs>14</Paragraphs>
  <ScaleCrop>false</ScaleCrop>
  <Company>TRT. Ltd. Co.</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310</cp:revision>
  <cp:lastPrinted>2007-07-19T00:46:00Z</cp:lastPrinted>
  <dcterms:created xsi:type="dcterms:W3CDTF">2013-08-01T05:26:00Z</dcterms:created>
  <dcterms:modified xsi:type="dcterms:W3CDTF">2018-10-22T08:03:00Z</dcterms:modified>
</cp:coreProperties>
</file>