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F22F00" w:rsidRDefault="00F22F00" w:rsidRPr="008640AE">
      <w:pPr>
        <w:autoSpaceDE w:val="0"/>
        <w:autoSpaceDN w:val="0"/>
        <w:adjustRightInd w:val="0"/>
        <w:spacing w:before="29" w:line="288" w:lineRule="auto"/>
        <w:jc w:val="left"/>
        <w:rPr>
          <w:color w:val="000000"/>
          <w:kern w:val="0"/>
          <w:sz w:val="24"/>
        </w:rPr>
      </w:pPr>
    </w:p>
    <w:p w:rsidP="005546C0" w:rsidR="00F22F00" w:rsidRDefault="00F22F00" w:rsidRPr="006A23FB">
      <w:pPr>
        <w:spacing w:before="29" w:line="288" w:lineRule="auto"/>
        <w:jc w:val="center"/>
        <w:rPr>
          <w:b/>
          <w:sz w:val="36"/>
          <w:szCs w:val="36"/>
        </w:rPr>
      </w:pPr>
      <w:r w:rsidRPr="006A23FB">
        <w:rPr>
          <w:b/>
          <w:sz w:val="36"/>
          <w:szCs w:val="36"/>
        </w:rPr>
        <w:t>交银施罗德环球精选价值证券投资基金</w:t>
      </w:r>
    </w:p>
    <w:p w:rsidP="005546C0" w:rsidR="00F22F00" w:rsidRDefault="00F22F00" w:rsidRPr="006A23FB">
      <w:pPr>
        <w:spacing w:before="29" w:line="288" w:lineRule="auto"/>
        <w:jc w:val="center"/>
        <w:rPr>
          <w:b/>
          <w:sz w:val="36"/>
          <w:szCs w:val="36"/>
        </w:rPr>
      </w:pPr>
      <w:r w:rsidRPr="006A23FB">
        <w:rPr>
          <w:b/>
          <w:sz w:val="36"/>
          <w:szCs w:val="36"/>
        </w:rPr>
        <w:t>2018年第3季度报告</w:t>
      </w:r>
    </w:p>
    <w:p w:rsidP="005546C0" w:rsidR="00397616" w:rsidRDefault="00623556" w:rsidRPr="006A23FB">
      <w:pPr>
        <w:spacing w:before="29" w:line="288" w:lineRule="auto"/>
        <w:jc w:val="center"/>
        <w:rPr>
          <w:b/>
          <w:sz w:val="36"/>
          <w:szCs w:val="36"/>
        </w:rPr>
      </w:pPr>
      <w:r w:rsidRPr="006A23FB">
        <w:rPr>
          <w:b/>
          <w:sz w:val="36"/>
          <w:szCs w:val="36"/>
        </w:rPr>
        <w:t>2018年9月30日</w:t>
      </w: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ind w:firstLine="2168" w:firstLineChars="900"/>
        <w:rPr>
          <w:b/>
          <w:color w:val="000000"/>
          <w:sz w:val="24"/>
        </w:rPr>
      </w:pP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基金管理人：</w:t>
      </w:r>
      <w:r w:rsidRPr="006A23FB">
        <w:rPr>
          <w:b/>
          <w:color w:val="000000"/>
          <w:sz w:val="24"/>
        </w:rPr>
        <w:t>交银施罗德基金管理有限公司</w:t>
      </w: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基金托管人：</w:t>
      </w:r>
      <w:r w:rsidRPr="006A23FB">
        <w:rPr>
          <w:b/>
          <w:color w:val="000000"/>
          <w:sz w:val="24"/>
        </w:rPr>
        <w:t>中国建设银行股份有限公司</w:t>
      </w:r>
    </w:p>
    <w:p w:rsidP="005546C0" w:rsidR="007D1292" w:rsidRDefault="007D1292" w:rsidRPr="006A23FB">
      <w:pPr>
        <w:spacing w:before="29" w:line="288" w:lineRule="auto"/>
        <w:ind w:firstLine="2168" w:firstLineChars="900"/>
        <w:rPr>
          <w:b/>
          <w:color w:val="000000"/>
          <w:sz w:val="24"/>
        </w:rPr>
      </w:pPr>
      <w:r w:rsidRPr="006A23FB">
        <w:rPr>
          <w:b/>
          <w:color w:val="000000"/>
          <w:sz w:val="24"/>
        </w:rPr>
        <w:t>报告送出日期：</w:t>
      </w:r>
      <w:r w:rsidR="00CB44DE" w:rsidRPr="006A23FB">
        <w:rPr>
          <w:b/>
          <w:color w:val="000000"/>
          <w:sz w:val="24"/>
        </w:rPr>
        <w:t/>
      </w:r>
      <w:r w:rsidR="00623556" w:rsidRPr="006A23FB">
        <w:rPr>
          <w:b/>
          <w:color w:val="000000"/>
          <w:sz w:val="24"/>
        </w:rPr>
        <w:t/>
      </w:r>
      <w:r w:rsidR="00CB44DE" w:rsidRPr="006A23FB">
        <w:rPr>
          <w:b/>
          <w:color w:val="000000"/>
          <w:sz w:val="24"/>
        </w:rPr>
        <w:t>二〇一八年十月二十六日</w:t>
      </w:r>
    </w:p>
    <w:p w:rsidP="005546C0" w:rsidR="00CC4CB4" w:rsidRDefault="00CC4CB4" w:rsidRPr="008640AE">
      <w:pPr>
        <w:spacing w:before="29" w:line="288" w:lineRule="auto"/>
        <w:ind w:firstLine="2168" w:firstLineChars="900"/>
        <w:rPr>
          <w:b/>
          <w:color w:val="000000"/>
          <w:sz w:val="24"/>
        </w:rPr>
        <w:sectPr w:rsidR="00CC4CB4" w:rsidRPr="008640AE" w:rsidSect="00C6069A">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p>
    <w:p w:rsidP="00BB3041" w:rsidR="0076518F" w:rsidRDefault="0076518F" w:rsidRPr="008640AE">
      <w:pPr>
        <w:pStyle w:val="1"/>
        <w:spacing w:afterLines="100" w:before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基金托管人中国建设银行股份有限公司根据本基金合同规定，于2018年10月25日复核了本报告中的财务指标、净值表现和投资组合报告等内容，保证复核内容不存在虚假记载、误导性陈述或者重大遗漏。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5546C0" w:rsidR="007D1292" w:rsidRDefault="007D1292" w:rsidRPr="008640AE">
      <w:pPr>
        <w:spacing w:before="29" w:line="288" w:lineRule="auto"/>
        <w:ind w:firstLine="480" w:firstLineChars="200"/>
        <w:rPr>
          <w:color w:val="000000"/>
          <w:sz w:val="24"/>
        </w:rPr>
      </w:pPr>
      <w:r w:rsidRPr="008640AE">
        <w:rPr>
          <w:color w:val="000000"/>
          <w:sz w:val="24"/>
        </w:rPr>
        <w:t>本报告期自2018年7月1日起至9月30日止。</w:t>
      </w:r>
    </w:p>
    <w:p w:rsidP="005546C0" w:rsidR="00110D1F" w:rsidRDefault="00110D1F" w:rsidRPr="008640AE">
      <w:pPr>
        <w:spacing w:before="29" w:line="288" w:lineRule="auto"/>
        <w:ind w:firstLine="480" w:firstLineChars="200"/>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135"/>
        <w:gridCol w:w="2866"/>
        <w:gridCol w:w="2867"/>
      </w:tblGrid>
      <w:tr w:rsidR="00363E15" w:rsidRPr="008640AE" w:rsidTr="0010282F">
        <w:trPr>
          <w:jc w:val="center"/>
        </w:trPr>
        <w:tc>
          <w:tcPr>
            <w:tcW w:type="dxa" w:w="3135"/>
            <w:vAlign w:val="center"/>
          </w:tcPr>
          <w:p w:rsidP="005546C0" w:rsidR="00363E15" w:rsidRDefault="00363E15" w:rsidRPr="008640AE">
            <w:pPr>
              <w:adjustRightInd w:val="0"/>
              <w:spacing w:before="29" w:line="288" w:lineRule="auto"/>
              <w:ind w:left="17"/>
              <w:jc w:val="left"/>
              <w:rPr>
                <w:kern w:val="0"/>
                <w:sz w:val="24"/>
              </w:rPr>
            </w:pPr>
            <w:r w:rsidRPr="008640AE">
              <w:rPr>
                <w:kern w:val="0"/>
                <w:sz w:val="24"/>
              </w:rPr>
              <w:t>基金简称</w:t>
            </w:r>
          </w:p>
        </w:tc>
        <w:tc>
          <w:tcPr>
            <w:tcW w:type="dxa" w:w="5733"/>
            <w:gridSpan w:val="2"/>
            <w:vAlign w:val="center"/>
          </w:tcPr>
          <w:p w:rsidP="005546C0" w:rsidR="00363E15" w:rsidRDefault="00363E15" w:rsidRPr="008640AE">
            <w:pPr>
              <w:adjustRightInd w:val="0"/>
              <w:spacing w:before="29" w:line="288" w:lineRule="auto"/>
              <w:ind w:left="17"/>
              <w:jc w:val="left"/>
              <w:rPr>
                <w:color w:val="000000"/>
                <w:kern w:val="0"/>
                <w:sz w:val="24"/>
              </w:rPr>
            </w:pPr>
            <w:r w:rsidRPr="008640AE">
              <w:rPr>
                <w:color w:val="000000"/>
                <w:kern w:val="0"/>
                <w:sz w:val="24"/>
              </w:rPr>
              <w:t>交银环球精选混合(QDII)</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基金主代码</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type="dxa" w:w="3135"/>
            <w:vAlign w:val="center"/>
          </w:tcPr>
          <w:p w:rsidP="005546C0" w:rsidR="005837E4" w:rsidRDefault="005837E4" w:rsidRPr="008640AE">
            <w:pPr>
              <w:adjustRightInd w:val="0"/>
              <w:spacing w:before="29" w:line="288" w:lineRule="auto"/>
              <w:ind w:left="17"/>
              <w:jc w:val="left"/>
              <w:rPr>
                <w:kern w:val="0"/>
                <w:sz w:val="24"/>
              </w:rPr>
            </w:pPr>
            <w:r w:rsidRPr="008640AE">
              <w:rPr>
                <w:kern w:val="0"/>
                <w:sz w:val="24"/>
              </w:rPr>
              <w:t>交易代码</w:t>
            </w:r>
          </w:p>
        </w:tc>
        <w:tc>
          <w:tcPr>
            <w:tcW w:type="dxa" w:w="5733"/>
            <w:gridSpan w:val="2"/>
            <w:vAlign w:val="center"/>
          </w:tcPr>
          <w:p w:rsidP="005546C0" w:rsidR="005837E4" w:rsidRDefault="005837E4" w:rsidRPr="008640AE">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基金运作方式</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基金合同生效日</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2008年8月22日</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报告期末基金份额总额</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63,483,155.28</w:t>
            </w:r>
            <w:r w:rsidRPr="008640AE">
              <w:rPr>
                <w:color w:val="000000"/>
                <w:kern w:val="0"/>
                <w:sz w:val="24"/>
              </w:rPr>
              <w:t>份</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投资目标</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投资策略</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业绩比较基准</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70%×标准普尔全球大中盘指数(S&amp;P Global LargeMidCap Index)+30%×恒生指数</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风险收益特征</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基金管理人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基金托管人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JPMorgan Chase Bank，National Association</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摩根大通银行</w:t>
            </w:r>
          </w:p>
        </w:tc>
      </w:tr>
    </w:tbl>
    <w:p w:rsidP="005546C0" w:rsidR="001C1457" w:rsidRDefault="001C1457"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jc w:val="center"/>
              <w:rPr>
                <w:kern w:val="0"/>
                <w:sz w:val="24"/>
              </w:rPr>
            </w:pPr>
            <w:r w:rsidRPr="008640AE">
              <w:rPr>
                <w:kern w:val="0"/>
                <w:sz w:val="24"/>
              </w:rPr>
              <w:t>主要财务指标</w:t>
            </w:r>
            <w:r w:rsidR="001B28D0" w:rsidRPr="008640AE">
              <w:rPr>
                <w:kern w:val="0"/>
                <w:sz w:val="24"/>
              </w:rPr>
              <w:t/>
            </w:r>
          </w:p>
        </w:tc>
        <w:tc>
          <w:tcPr>
            <w:tcW w:type="dxa" w:w="4962"/>
            <w:hMerge w:val="restart"/>
            <w:vAlign w:val="center"/>
          </w:tcPr>
          <w:p w:rsidP="005546C0" w:rsidR="000306F0" w:rsidRDefault="000306F0" w:rsidRPr="008640AE">
            <w:pPr>
              <w:adjustRightInd w:val="0"/>
              <w:spacing w:before="29" w:line="288" w:lineRule="auto"/>
              <w:ind w:left="17"/>
              <w:jc w:val="center"/>
              <w:rPr>
                <w:color w:val="000000"/>
                <w:sz w:val="24"/>
              </w:rPr>
            </w:pPr>
            <w:r w:rsidRPr="008640AE">
              <w:rPr>
                <w:color w:val="000000"/>
                <w:sz w:val="24"/>
              </w:rPr>
              <w:t>报告期</w:t>
            </w:r>
          </w:p>
          <w:p w:rsidP="005546C0" w:rsidR="007D1292" w:rsidRDefault="000306F0" w:rsidRPr="008640AE">
            <w:pPr>
              <w:adjustRightInd w:val="0"/>
              <w:spacing w:before="29" w:line="288" w:lineRule="auto"/>
              <w:ind w:left="17"/>
              <w:jc w:val="center"/>
              <w:rPr>
                <w:color w:val="000000"/>
                <w:sz w:val="24"/>
              </w:rPr>
            </w:pPr>
            <w:r w:rsidRPr="008640AE">
              <w:rPr>
                <w:color w:val="000000"/>
                <w:sz w:val="24"/>
              </w:rPr>
              <w:t>(2018年7月1日-2018年9月30日)</w:t>
            </w:r>
          </w:p>
        </w:tc>
        <w:tc>
          <w:tcPr>
            <w:tcW w:type="dxa" w:w="2410"/>
            <w:hMerge/>
            <w:vAlign w:val="center"/>
          </w:tcPr>
          <w:p w:rsidP="005546C0" w:rsidR="007D1292" w:rsidRDefault="007D1292" w:rsidRPr="008640AE">
            <w:pPr>
              <w:adjustRightInd w:val="0"/>
              <w:spacing w:before="29" w:line="288" w:lineRule="auto"/>
              <w:ind w:left="17"/>
              <w:jc w:val="center"/>
              <w:rPr>
                <w:color w:val="000000"/>
                <w:sz w:val="24"/>
              </w:rPr>
            </w:pPr>
            <w:r w:rsidRPr="008640AE">
              <w:rPr>
                <w:color w:val="000000"/>
                <w:sz w:val="24"/>
              </w:rPr>
              <w:t>上期金额</w:t>
            </w:r>
            <w:r w:rsidR="0018734E" w:rsidRPr="008640AE">
              <w:rPr>
                <w:color w:val="000000"/>
                <w:sz w:val="24"/>
              </w:rPr>
              <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3,370,991.37</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7,027,431.11</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0.1112</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122,784,749.62</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trHeight w:val="158"/>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1.934</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5546C0" w:rsidR="007D1292" w:rsidRDefault="007D1292" w:rsidRPr="008640AE">
      <w:pPr>
        <w:autoSpaceDE w:val="0"/>
        <w:autoSpaceDN w:val="0"/>
        <w:adjustRightInd w:val="0"/>
        <w:spacing w:before="29" w:line="288" w:lineRule="auto"/>
        <w:jc w:val="left"/>
        <w:rPr>
          <w:color w:val="000000"/>
          <w:sz w:val="24"/>
        </w:rPr>
      </w:pPr>
      <w:r w:rsidRPr="008640AE">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P="005546C0" w:rsidR="0076518F" w:rsidRDefault="0076518F" w:rsidRPr="008640AE">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1701"/>
        <w:gridCol w:w="1194"/>
        <w:gridCol w:w="1194"/>
        <w:gridCol w:w="1194"/>
        <w:gridCol w:w="1343"/>
        <w:gridCol w:w="1194"/>
        <w:gridCol w:w="1048"/>
      </w:tblGrid>
      <w:tr w:rsidR="007D1292" w:rsidRPr="008640AE" w:rsidTr="00811B44">
        <w:trPr>
          <w:jc w:val="center"/>
        </w:trPr>
        <w:tc>
          <w:tcPr>
            <w:tcW w:type="dxa" w:w="161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阶段</w:t>
            </w:r>
            <w:r w:rsidR="00026BFF" w:rsidRPr="008640AE">
              <w:rPr>
                <w:color w:val="000000"/>
                <w:sz w:val="24"/>
              </w:rPr>
              <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type="dxa" w:w="127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type="dxa" w:w="99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tc>
          <w:tcPr>
            <w:vAlign w:val="center"/>
          </w:tcPr>
          <w:p>
            <w:pPr>
              <w:jc w:val="left"/>
            </w:pPr>
            <w:r>
              <w:rPr>
                <w:color w:val="000000"/>
                <w:sz w:val="24"/>
              </w:rPr>
              <w:t>过去三个月</w:t>
            </w:r>
          </w:p>
        </w:tc>
        <w:tc>
          <w:tcPr>
            <w:vAlign w:val="center"/>
          </w:tcPr>
          <w:p>
            <w:pPr>
              <w:jc w:val="right"/>
            </w:pPr>
            <w:r>
              <w:rPr>
                <w:color w:val="000000"/>
                <w:sz w:val="24"/>
              </w:rPr>
              <w:t>6.09%</w:t>
            </w:r>
          </w:p>
        </w:tc>
        <w:tc>
          <w:tcPr>
            <w:vAlign w:val="center"/>
          </w:tcPr>
          <w:p>
            <w:pPr>
              <w:jc w:val="right"/>
            </w:pPr>
            <w:r>
              <w:rPr>
                <w:color w:val="000000"/>
                <w:sz w:val="24"/>
              </w:rPr>
              <w:t>0.56%</w:t>
            </w:r>
          </w:p>
        </w:tc>
        <w:tc>
          <w:tcPr>
            <w:vAlign w:val="center"/>
          </w:tcPr>
          <w:p>
            <w:pPr>
              <w:jc w:val="right"/>
            </w:pPr>
            <w:r>
              <w:rPr>
                <w:color w:val="000000"/>
                <w:sz w:val="24"/>
              </w:rPr>
              <w:t>1.48%</w:t>
            </w:r>
          </w:p>
        </w:tc>
        <w:tc>
          <w:tcPr>
            <w:vAlign w:val="center"/>
          </w:tcPr>
          <w:p>
            <w:pPr>
              <w:jc w:val="right"/>
            </w:pPr>
            <w:r>
              <w:rPr>
                <w:color w:val="000000"/>
                <w:sz w:val="24"/>
              </w:rPr>
              <w:t>0.56%</w:t>
            </w:r>
          </w:p>
        </w:tc>
        <w:tc>
          <w:tcPr>
            <w:vAlign w:val="center"/>
          </w:tcPr>
          <w:p>
            <w:pPr>
              <w:jc w:val="right"/>
            </w:pPr>
            <w:r>
              <w:rPr>
                <w:color w:val="000000"/>
                <w:sz w:val="24"/>
              </w:rPr>
              <w:t>4.61%</w:t>
            </w:r>
          </w:p>
        </w:tc>
        <w:tc>
          <w:tcPr>
            <w:vAlign w:val="center"/>
          </w:tcPr>
          <w:p>
            <w:pPr>
              <w:jc w:val="right"/>
            </w:pPr>
            <w:r>
              <w:rPr>
                <w:color w:val="000000"/>
                <w:sz w:val="24"/>
              </w:rPr>
              <w:t>0.00%</w:t>
            </w:r>
          </w:p>
        </w:tc>
      </w:tr>
    </w:tbl>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P="005546C0" w:rsidR="00A96FD9" w:rsidRDefault="00A96FD9" w:rsidRPr="008640AE">
      <w:pPr>
        <w:spacing w:before="29" w:line="288" w:lineRule="auto"/>
        <w:jc w:val="center"/>
        <w:rPr>
          <w:sz w:val="24"/>
        </w:rPr>
      </w:pPr>
      <w:r w:rsidRPr="008640AE">
        <w:rPr>
          <w:sz w:val="24"/>
        </w:rPr>
        <w:t>交银施罗德环球精选价值证券投资基金</w:t>
      </w:r>
    </w:p>
    <w:p w:rsidP="005546C0" w:rsidR="00FB39F7" w:rsidRDefault="00F94B4D" w:rsidRPr="008640A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P="005546C0" w:rsidR="005908C0" w:rsidRDefault="005908C0" w:rsidRPr="008640AE">
      <w:pPr>
        <w:spacing w:before="29" w:line="288" w:lineRule="auto"/>
        <w:jc w:val="center"/>
        <w:rPr>
          <w:sz w:val="24"/>
        </w:rPr>
      </w:pPr>
      <w:r w:rsidRPr="008640AE">
        <w:rPr>
          <w:color w:val="000000"/>
          <w:kern w:val="0"/>
          <w:sz w:val="24"/>
        </w:rPr>
        <w:t>（</w:t>
      </w:r>
      <w:r w:rsidR="00623556" w:rsidRPr="008640AE">
        <w:rPr>
          <w:color w:val="000000"/>
          <w:kern w:val="0"/>
          <w:sz w:val="24"/>
        </w:rPr>
        <w:t>2008年8月22日</w:t>
      </w:r>
      <w:r w:rsidRPr="008640AE">
        <w:rPr>
          <w:color w:val="000000"/>
          <w:kern w:val="0"/>
          <w:sz w:val="24"/>
        </w:rPr>
        <w:t>至</w:t>
      </w:r>
      <w:r w:rsidRPr="008640AE">
        <w:rPr>
          <w:color w:val="000000"/>
          <w:kern w:val="0"/>
          <w:sz w:val="24"/>
        </w:rPr>
        <w:t>2018年9月30日</w:t>
      </w:r>
      <w:r w:rsidRPr="008640AE">
        <w:rPr>
          <w:color w:val="000000"/>
          <w:kern w:val="0"/>
          <w:sz w:val="24"/>
        </w:rPr>
        <w:t>）</w:t>
      </w:r>
    </w:p>
    <w:p w:rsidP="005546C0" w:rsidR="00A96FD9" w:rsidRDefault="00566F22" w:rsidRPr="008640AE">
      <w:pPr>
        <w:tabs>
          <w:tab w:pos="1800" w:val="left"/>
        </w:tabs>
        <w:spacing w:before="29" w:line="288" w:lineRule="auto"/>
        <w:jc w:val="center"/>
        <w:rPr>
          <w:color w:val="000000"/>
          <w:sz w:val="24"/>
        </w:rPr>
      </w:pPr>
      <w:r w:rsidRPr="008640AE">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5546C0" w:rsidR="00A96FD9" w:rsidRDefault="00A96FD9" w:rsidRPr="008640AE">
      <w:pPr>
        <w:autoSpaceDE w:val="0"/>
        <w:autoSpaceDN w:val="0"/>
        <w:adjustRightInd w:val="0"/>
        <w:spacing w:before="29" w:line="288" w:lineRule="auto"/>
        <w:jc w:val="left"/>
        <w:rPr>
          <w:color w:val="000000"/>
          <w:sz w:val="24"/>
        </w:rPr>
      </w:pPr>
      <w:r w:rsidRPr="008640AE">
        <w:rPr>
          <w:color w:val="000000"/>
          <w:sz w:val="24"/>
        </w:rPr>
        <w:t/>
      </w:r>
      <w:r w:rsidR="00FB7363" w:rsidRPr="008640AE">
        <w:rPr>
          <w:color w:val="000000"/>
          <w:sz w:val="24"/>
        </w:rPr>
        <w:t/>
      </w:r>
      <w:r w:rsidRPr="008640AE">
        <w:rPr>
          <w:color w:val="000000"/>
          <w:sz w:val="24"/>
        </w:rPr>
        <w:t>注：本基金建仓期为自基金合同生效日起的6个月。截至建仓期结束，本基金各项资产配置比例符合基金合同及招募说明书有关投资比例的约定。</w:t>
      </w:r>
    </w:p>
    <w:p w:rsidP="005546C0" w:rsidR="00EA3F21" w:rsidRDefault="00EA3F21"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0A0"/>
      </w:tblPr>
      <w:tblGrid>
        <w:gridCol w:w="846"/>
        <w:gridCol w:w="845"/>
        <w:gridCol w:w="1549"/>
        <w:gridCol w:w="1548"/>
        <w:gridCol w:w="1407"/>
        <w:gridCol w:w="2673"/>
      </w:tblGrid>
      <w:tr w:rsidR="007D1292" w:rsidRPr="008640AE" w:rsidTr="00811B44">
        <w:trPr>
          <w:trHeight w:val="292"/>
          <w:jc w:val="center"/>
        </w:trPr>
        <w:tc>
          <w:tcPr>
            <w:tcW w:type="dxa" w:w="851"/>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姓名</w:t>
            </w:r>
          </w:p>
        </w:tc>
        <w:tc>
          <w:tcPr>
            <w:tcW w:type="dxa" w:w="850"/>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职务</w:t>
            </w:r>
          </w:p>
        </w:tc>
        <w:tc>
          <w:tcPr>
            <w:tcW w:type="dxa" w:w="3119"/>
            <w:gridSpan w:val="2"/>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type="dxa" w:w="1417"/>
            <w:vMerge w:val="restart"/>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type="dxa" w:w="2694"/>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type="dxa" w:w="851"/>
            <w:vMerge/>
            <w:vAlign w:val="center"/>
          </w:tcPr>
          <w:p w:rsidP="005546C0" w:rsidR="007D1292" w:rsidRDefault="007D1292" w:rsidRPr="008640AE">
            <w:pPr>
              <w:widowControl/>
              <w:spacing w:before="29" w:line="288" w:lineRule="auto"/>
              <w:jc w:val="left"/>
              <w:rPr>
                <w:color w:val="000000"/>
                <w:kern w:val="0"/>
                <w:sz w:val="24"/>
              </w:rPr>
            </w:pPr>
          </w:p>
        </w:tc>
        <w:tc>
          <w:tcPr>
            <w:tcW w:type="dxa" w:w="850"/>
            <w:vMerge/>
            <w:vAlign w:val="center"/>
          </w:tcPr>
          <w:p w:rsidP="005546C0" w:rsidR="007D1292" w:rsidRDefault="007D1292" w:rsidRPr="008640AE">
            <w:pPr>
              <w:widowControl/>
              <w:spacing w:before="29" w:line="288" w:lineRule="auto"/>
              <w:jc w:val="left"/>
              <w:rPr>
                <w:color w:val="000000"/>
                <w:kern w:val="0"/>
                <w:sz w:val="24"/>
              </w:rPr>
            </w:pPr>
          </w:p>
        </w:tc>
        <w:tc>
          <w:tcPr>
            <w:tcW w:type="dxa" w:w="1560"/>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type="dxa" w:w="1559"/>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type="dxa" w:w="1417"/>
            <w:vMerge/>
            <w:vAlign w:val="center"/>
          </w:tcPr>
          <w:p w:rsidP="005546C0" w:rsidR="007D1292" w:rsidRDefault="007D1292" w:rsidRPr="008640AE">
            <w:pPr>
              <w:widowControl/>
              <w:spacing w:before="29" w:line="288" w:lineRule="auto"/>
              <w:jc w:val="left"/>
              <w:rPr>
                <w:color w:val="000000"/>
                <w:kern w:val="0"/>
                <w:sz w:val="24"/>
              </w:rPr>
            </w:pPr>
          </w:p>
        </w:tc>
        <w:tc>
          <w:tcPr>
            <w:tcW w:type="dxa" w:w="2694"/>
            <w:vMerge/>
            <w:vAlign w:val="center"/>
          </w:tcPr>
          <w:p w:rsidP="005546C0" w:rsidR="007D1292" w:rsidRDefault="007D1292" w:rsidRPr="008640AE">
            <w:pPr>
              <w:widowControl/>
              <w:spacing w:before="29" w:line="288" w:lineRule="auto"/>
              <w:jc w:val="left"/>
              <w:rPr>
                <w:color w:val="000000"/>
                <w:kern w:val="0"/>
                <w:sz w:val="24"/>
              </w:rPr>
            </w:pPr>
          </w:p>
        </w:tc>
      </w:tr>
      <w:tr>
        <w:tc>
          <w:tcPr>
            <w:vAlign w:val="center"/>
          </w:tcPr>
          <w:p>
            <w:pPr>
              <w:jc w:val="center"/>
            </w:pPr>
            <w:r>
              <w:rPr>
                <w:color w:val="000000"/>
                <w:sz w:val="24"/>
              </w:rPr>
              <w:t>陈俊华</w:t>
            </w:r>
          </w:p>
        </w:tc>
        <w:tc>
          <w:tcPr>
            <w:vAlign w:val="center"/>
          </w:tcPr>
          <w:p>
            <w:pPr>
              <w:jc w:val="center"/>
            </w:pPr>
            <w:r>
              <w:rPr>
                <w:color w:val="000000"/>
                <w:sz w:val="24"/>
              </w:rPr>
              <w:t>交银环球精选混合(QDII)、交银全球资源混合(QDII)、交银沪港深价值精选混合的基金经理</w:t>
            </w:r>
          </w:p>
        </w:tc>
        <w:tc>
          <w:tcPr>
            <w:vAlign w:val="center"/>
          </w:tcPr>
          <w:p>
            <w:pPr>
              <w:jc w:val="center"/>
            </w:pPr>
            <w:r>
              <w:rPr>
                <w:color w:val="000000"/>
                <w:sz w:val="24"/>
              </w:rPr>
              <w:t>2015-11-21</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left"/>
            </w:pPr>
            <w:r>
              <w:rPr>
                <w:color w:val="000000"/>
                <w:sz w:val="24"/>
              </w:rPr>
              <w:t>陈俊华女士，中国国籍，上海交通大学金融学硕士。历任国泰君安证券研究部研究员、中国国际金融有限公司研究部公用事业组负责人。2015年加入交银施罗德基金管理有限公司。</w:t>
            </w:r>
          </w:p>
        </w:tc>
      </w:tr>
      <w:tr>
        <w:tc>
          <w:tcPr>
            <w:vAlign w:val="center"/>
          </w:tcPr>
          <w:p>
            <w:pPr>
              <w:jc w:val="center"/>
            </w:pPr>
            <w:r>
              <w:rPr>
                <w:color w:val="000000"/>
                <w:sz w:val="24"/>
              </w:rPr>
              <w:t>周中</w:t>
            </w:r>
          </w:p>
        </w:tc>
        <w:tc>
          <w:tcPr>
            <w:vAlign w:val="center"/>
          </w:tcPr>
          <w:p>
            <w:pPr>
              <w:jc w:val="center"/>
            </w:pPr>
            <w:r>
              <w:rPr>
                <w:color w:val="000000"/>
                <w:sz w:val="24"/>
              </w:rPr>
              <w:t>交银环球精选混合(QDII)、交银全球资源混合(QDII)、交银创新成长混合的基金经理</w:t>
            </w:r>
          </w:p>
        </w:tc>
        <w:tc>
          <w:tcPr>
            <w:vAlign w:val="center"/>
          </w:tcPr>
          <w:p>
            <w:pPr>
              <w:jc w:val="center"/>
            </w:pPr>
            <w:r>
              <w:rPr>
                <w:color w:val="000000"/>
                <w:sz w:val="24"/>
              </w:rPr>
              <w:t>2015-12-12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left"/>
            </w:pPr>
            <w:r>
              <w:rPr>
                <w:color w:val="000000"/>
                <w:sz w:val="24"/>
              </w:rPr>
              <w:t>周中先生，中国国籍，复旦大学金融学硕士。历任野村证券亚太区股票研究部研究助理，中银国际证券研究部研究员、高级经理，瑞银证券研究部行业分析师、董事。2015年加入交银施罗德基金管理有限公司。</w:t>
            </w:r>
          </w:p>
        </w:tc>
      </w:tr>
    </w:tbl>
    <w:p w:rsidP="005546C0" w:rsidR="00A47E47" w:rsidRDefault="00A47E47" w:rsidRPr="008640AE">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F077D2" w:rsidRPr="008640AE">
        <w:rPr>
          <w:b/>
          <w:color w:val="000000"/>
          <w:kern w:val="0"/>
          <w:sz w:val="24"/>
        </w:rPr>
        <w:t>2</w:t>
      </w:r>
      <w:r w:rsidR="0076518F" w:rsidRPr="008640AE">
        <w:rPr>
          <w:b/>
          <w:color w:val="000000"/>
          <w:kern w:val="0"/>
          <w:sz w:val="24"/>
        </w:rPr>
        <w:t>境外投资顾问为本基金提供投资建议的主要成员简介</w:t>
      </w:r>
    </w:p>
    <w:tbl>
      <w:tblPr>
        <w:tblStyle w:val="af7"/>
        <w:tblW w:type="dxa" w:w="8868"/>
        <w:jc w:val="center"/>
        <w:tblLayout w:type="fixed"/>
        <w:tblCellMar>
          <w:top w:type="dxa" w:w="57"/>
          <w:bottom w:type="dxa" w:w="57"/>
        </w:tblCellMar>
        <w:tblLook w:val="04A0"/>
      </w:tblPr>
      <w:tblGrid>
        <w:gridCol w:w="2070"/>
        <w:gridCol w:w="2465"/>
        <w:gridCol w:w="2116"/>
        <w:gridCol w:w="2217"/>
      </w:tblGrid>
      <w:tr w:rsidR="004061D9" w:rsidRPr="008640AE" w:rsidTr="00811B44">
        <w:trPr>
          <w:jc w:val="center"/>
        </w:trPr>
        <w:tc>
          <w:tcPr>
            <w:tcW w:type="dxa" w:w="198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type="dxa" w:w="2366"/>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type="dxa" w:w="2031"/>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type="dxa" w:w="212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tc>
          <w:tcPr>
            <w:vAlign w:val="center"/>
          </w:tcPr>
          <w:p>
            <w:pPr>
              <w:jc w:val="center"/>
            </w:pPr>
            <w:r>
              <w:rPr>
                <w:color w:val="000000"/>
                <w:sz w:val="24"/>
              </w:rPr>
              <w:t>Simon Webber</w:t>
            </w:r>
          </w:p>
        </w:tc>
        <w:tc>
          <w:tcPr>
            <w:vAlign w:val="center"/>
          </w:tcPr>
          <w:p>
            <w:pPr>
              <w:jc w:val="center"/>
            </w:pPr>
            <w:r>
              <w:rPr>
                <w:color w:val="000000"/>
                <w:sz w:val="24"/>
              </w:rPr>
              <w:t>施罗德集团多区域（全球及国际）股票投资主管、全球和国际股票基金经理、全球气候变化股票基金经理</w:t>
            </w:r>
          </w:p>
        </w:tc>
        <w:tc>
          <w:tcPr>
            <w:vAlign w:val="center"/>
          </w:tcPr>
          <w:p>
            <w:pPr>
              <w:jc w:val="center"/>
            </w:pPr>
            <w:r>
              <w:rPr>
                <w:color w:val="000000"/>
                <w:sz w:val="24"/>
              </w:rPr>
              <w:t>19年</w:t>
            </w:r>
          </w:p>
        </w:tc>
        <w:tc>
          <w:tcPr>
            <w:vAlign w:val="center"/>
          </w:tcPr>
          <w:p>
            <w:pPr>
              <w:jc w:val="left"/>
            </w:pPr>
            <w:r>
              <w:rPr>
                <w:color w:val="000000"/>
                <w:sz w:val="24"/>
              </w:rPr>
              <w:t>Simon Webber先生，英国曼彻斯特大学物理学学士，CFA。1999年加入施罗德投资管理有限公司，历任全球技术团队分析员。</w:t>
            </w:r>
          </w:p>
        </w:tc>
      </w:tr>
    </w:tbl>
    <w:p w:rsidP="005546C0" w:rsidR="00FB47E0" w:rsidRDefault="00FB47E0"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A32FDA" w:rsidRPr="008640AE">
        <w:rPr>
          <w:b/>
          <w:color w:val="000000"/>
          <w:kern w:val="0"/>
          <w:sz w:val="24"/>
        </w:rPr>
        <w:t>3</w:t>
      </w:r>
      <w:r w:rsidR="0076518F" w:rsidRPr="008640AE">
        <w:rPr>
          <w:b/>
          <w:color w:val="000000"/>
          <w:kern w:val="0"/>
          <w:sz w:val="24"/>
        </w:rPr>
        <w:t>报告期内本基金运作遵规守信情况说明</w:t>
      </w:r>
    </w:p>
    <w:p w:rsidP="005546C0" w:rsidR="00363E15" w:rsidRDefault="00363E15" w:rsidRPr="008640AE">
      <w:pPr>
        <w:spacing w:before="29" w:line="288" w:lineRule="auto"/>
        <w:ind w:firstLine="480" w:firstLineChars="20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P="005546C0" w:rsidR="00AB42E2" w:rsidRDefault="00AB42E2" w:rsidRPr="008640AE">
      <w:pPr>
        <w:spacing w:before="29" w:line="288" w:lineRule="auto"/>
        <w:rPr>
          <w:sz w:val="24"/>
        </w:rPr>
      </w:pPr>
      <w:r w:rsidRPr="008640AE">
        <w:rPr>
          <w:sz w:val="24"/>
        </w:rPr>
        <w:t>4.</w:t>
      </w:r>
      <w:r w:rsidR="00A32FDA" w:rsidRPr="008640AE">
        <w:rPr>
          <w:sz w:val="24"/>
        </w:rPr>
        <w:t>4.1</w:t>
      </w:r>
      <w:r w:rsidRPr="008640AE">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5546C0" w:rsidR="00AB42E2" w:rsidRDefault="001F3C28" w:rsidRPr="008640AE">
      <w:pPr>
        <w:spacing w:before="29" w:line="288" w:lineRule="auto"/>
        <w:ind w:firstLine="480" w:firstLineChars="200"/>
        <w:rPr>
          <w:color w:val="000000"/>
          <w:sz w:val="24"/>
        </w:rPr>
      </w:pPr>
      <w:r w:rsidRPr="008640AE">
        <w:rPr>
          <w:color w:val="000000"/>
          <w:sz w:val="24"/>
        </w:rPr>
        <w:t>报告期内本公司严格执行公平交易制度，公平对待旗下各投资组合，未发现任何违反公平交易的行为。</w:t>
      </w:r>
    </w:p>
    <w:p w:rsidP="005546C0" w:rsidR="00EA3F21" w:rsidRDefault="00EA3F21" w:rsidRPr="008640AE">
      <w:pPr>
        <w:spacing w:before="29" w:line="288" w:lineRule="auto"/>
        <w:ind w:firstLine="480" w:firstLineChars="200"/>
        <w:rPr>
          <w:color w:val="000000"/>
          <w:sz w:val="24"/>
        </w:rPr>
      </w:pPr>
    </w:p>
    <w:p w:rsidP="005546C0" w:rsidR="00AB42E2" w:rsidRDefault="00AB42E2" w:rsidRPr="008640AE">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P="005546C0" w:rsidR="001F3C28" w:rsidRDefault="001F3C28" w:rsidRPr="008640AE">
      <w:pPr>
        <w:spacing w:before="29" w:line="288" w:lineRule="auto"/>
        <w:ind w:firstLine="480" w:firstLineChars="20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5546C0" w:rsidR="0076518F" w:rsidRDefault="0076518F" w:rsidRPr="008640AE">
      <w:pPr>
        <w:autoSpaceDE w:val="0"/>
        <w:autoSpaceDN w:val="0"/>
        <w:adjustRightInd w:val="0"/>
        <w:spacing w:before="29" w:line="288" w:lineRule="auto"/>
        <w:jc w:val="left"/>
        <w:rPr>
          <w:b/>
          <w:color w:val="000000"/>
          <w:kern w:val="0"/>
          <w:sz w:val="24"/>
        </w:rPr>
      </w:pPr>
    </w:p>
    <w:p w:rsidP="005546C0" w:rsidR="00462B61" w:rsidRDefault="009D0169" w:rsidRPr="008640AE">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pPr>
        <w:spacing w:before="29" w:line="288" w:lineRule="auto"/>
        <w:ind w:firstLine="480" w:firstLineChars="200"/>
        <w:rPr>
          <w:color w:val="000000"/>
          <w:sz w:val="24"/>
        </w:rPr>
      </w:pPr>
      <w:r>
        <w:rPr>
          <w:color w:val="000000"/>
          <w:sz w:val="24"/>
        </w:rPr>
        <w:t>2018年三季度，国内经济运行环境是市场关注的焦点，比较而言，市场对海外信息的关注较上季度有所减弱。国内经济环境方面，中报季节，龙头公司平淡的业绩，给市场短期内增添压力，触发股价回调。尽管在九月份，市场出现了估值修复，但整体而言，信心仍不足。值得关注的是，经过三季度的调整，目前龙头公司的估值回到了较低的水平，现阶段股价已经反映了一定的悲观预期，且近期宏观层面一系列的财政、货币政策，都有助于推动企业运营和业绩的逐步改善，但短期内，市场股价走势并未反应对这些政策的预期。比较而言，我们认为，四季度市场不确定性的因素将重新聚焦到海外，中美贸易摩擦、美股调整风险都有可能增加新兴股市波动。</w:t>
      </w:r>
    </w:p>
    <w:p>
      <w:pPr>
        <w:spacing w:before="29" w:line="288" w:lineRule="auto"/>
        <w:ind w:firstLine="480" w:firstLineChars="200"/>
        <w:rPr>
          <w:color w:val="000000"/>
          <w:sz w:val="24"/>
        </w:rPr>
      </w:pPr>
      <w:r>
        <w:rPr>
          <w:color w:val="000000"/>
          <w:sz w:val="24"/>
        </w:rPr>
        <w:t>三季度，我们仓位保持稳定，进行结构调整，主要操作集中于调整了消费（博彩、汽车）板块、医药板块的持仓结构。总体风格仍然以谨慎为主，业绩可持续性为第一要素，优选低估值品种。</w:t>
      </w:r>
    </w:p>
    <w:p w:rsidP="005546C0" w:rsidR="00B0116D" w:rsidRDefault="00B0116D" w:rsidRPr="008640AE">
      <w:pPr>
        <w:spacing w:before="29" w:line="288" w:lineRule="auto"/>
        <w:ind w:firstLine="480" w:firstLineChars="200"/>
        <w:rPr>
          <w:color w:val="000000"/>
          <w:sz w:val="24"/>
        </w:rPr>
      </w:pPr>
      <w:r w:rsidRPr="008640AE">
        <w:rPr>
          <w:color w:val="000000"/>
          <w:sz w:val="24"/>
        </w:rPr>
        <w:t>展望四季度和明年上半年，我们总体呈谨慎态度，但对于个股的筛选将更加积极，仍坚持自下而上的选股风格。经过中报的披露，许多公司的业绩预期已经降了下来。我们密切关注三季报的情况，预计市场会进一步调整盈利预测，行业和公司会出现分化。另一方面，海外因素的不确定性在四季度仍在，我们需要对港股的波动增大做好预判。对于中长期的行业判断，我们仍看好中国的消费升级和制造业集群效应带来的优势，我们将继续勤勉尽责，积极调研公司，寻找拥有“稀缺性”的优质标的，努力为投资人赚取稳健的回报。</w:t>
      </w:r>
    </w:p>
    <w:p w:rsidP="005546C0" w:rsidR="00FD7298" w:rsidRDefault="00B0116D" w:rsidRPr="008640AE">
      <w:pPr>
        <w:spacing w:before="29" w:line="288" w:lineRule="auto"/>
        <w:ind w:firstLine="480" w:firstLineChars="200"/>
        <w:rPr>
          <w:color w:val="000000"/>
          <w:sz w:val="24"/>
        </w:rPr>
      </w:pPr>
      <w:r w:rsidRPr="008640AE">
        <w:rPr>
          <w:color w:val="000000"/>
          <w:sz w:val="24"/>
        </w:rPr>
        <w:t>本基金（各类）份额净值及业绩表现请见“3.1 主要财务指标” 及“3.2.1本报告期基金份额净值增长率及其与同期业绩比较基准收益率的比较”部分披露。</w:t>
      </w:r>
    </w:p>
    <w:p w:rsidP="005546C0" w:rsidR="00C736BB" w:rsidRDefault="00C736BB" w:rsidRPr="008640AE">
      <w:pPr>
        <w:spacing w:before="29" w:line="288" w:lineRule="auto"/>
        <w:ind w:firstLine="480" w:firstLineChars="200"/>
        <w:rPr>
          <w:color w:val="000000"/>
          <w:sz w:val="24"/>
        </w:rPr>
      </w:pPr>
    </w:p>
    <w:p w:rsidP="00C477A2" w:rsidR="00C477A2" w:rsidRDefault="00C477A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C477A2" w:rsidR="00C477A2" w:rsidRDefault="00C477A2">
      <w:pPr>
        <w:spacing w:before="29" w:line="288" w:lineRule="auto"/>
        <w:ind w:firstLine="480" w:firstLineChars="200"/>
        <w:rPr>
          <w:color w:val="000000"/>
          <w:sz w:val="24"/>
        </w:rPr>
      </w:pPr>
      <w:r w:rsidRPr="002070B4">
        <w:rPr>
          <w:color w:val="000000"/>
          <w:sz w:val="24"/>
        </w:rPr>
        <w:lastRenderedPageBreak/>
        <w:t>本基金本报告期内无需预警说明。</w:t>
      </w:r>
    </w:p>
    <w:p w:rsidP="005546C0" w:rsidR="00EA3F21" w:rsidRDefault="00EA3F21" w:rsidRPr="008640AE">
      <w:pPr>
        <w:spacing w:before="29" w:line="288" w:lineRule="auto"/>
        <w:ind w:firstLine="480" w:firstLineChars="200"/>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05"/>
        <w:gridCol w:w="3957"/>
        <w:gridCol w:w="2644"/>
        <w:gridCol w:w="1462"/>
      </w:tblGrid>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序号</w:t>
            </w:r>
          </w:p>
        </w:tc>
        <w:tc>
          <w:tcPr>
            <w:tcW w:type="dxa" w:w="4253"/>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项目</w:t>
            </w:r>
            <w:r w:rsidR="00304106" w:rsidRPr="008640AE">
              <w:rPr>
                <w:color w:val="000000"/>
                <w:sz w:val="24"/>
              </w:rPr>
              <w:t/>
            </w:r>
          </w:p>
        </w:tc>
        <w:tc>
          <w:tcPr>
            <w:tcW w:type="dxa" w:w="283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type="dxa" w:w="1559"/>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1</w:t>
            </w: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权益投资</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103,402,988.18</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82.88</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B0A73" w:rsidRPr="008640AE">
              <w:rPr>
                <w:color w:val="000000"/>
                <w:sz w:val="24"/>
              </w:rPr>
              <w:t/>
            </w:r>
            <w:r w:rsidRPr="008640AE">
              <w:rPr>
                <w:color w:val="000000"/>
                <w:sz w:val="24"/>
              </w:rPr>
              <w:t>102,264,977.26</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620ED" w:rsidRPr="008640AE">
              <w:rPr>
                <w:color w:val="000000"/>
                <w:sz w:val="24"/>
              </w:rPr>
              <w:t/>
            </w:r>
            <w:r w:rsidRPr="008640AE">
              <w:rPr>
                <w:color w:val="000000"/>
                <w:sz w:val="24"/>
              </w:rPr>
              <w:t>81.97</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firstLine="720" w:firstLineChars="300" w:left="17"/>
              <w:jc w:val="left"/>
              <w:rPr>
                <w:color w:val="000000"/>
                <w:sz w:val="24"/>
              </w:rPr>
            </w:pPr>
            <w:r w:rsidRPr="008640AE">
              <w:rPr>
                <w:color w:val="000000"/>
                <w:sz w:val="24"/>
              </w:rPr>
              <w:t>存托凭证</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1,138,010.92</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0.91</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优先股</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房地产信托</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lastRenderedPageBreak/>
              <w:t>2</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基金投资</w:t>
            </w:r>
          </w:p>
        </w:tc>
        <w:tc>
          <w:tcPr>
            <w:tcW w:type="dxa" w:w="2835"/>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3</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固定收益投资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00900F02" w:rsidRPr="008640AE">
              <w:rPr>
                <w:color w:val="000000"/>
                <w:sz w:val="24"/>
              </w:rPr>
              <w:t/>
            </w: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其中：债券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utoSpaceDE w:val="0"/>
              <w:autoSpaceDN w:val="0"/>
              <w:adjustRightInd w:val="0"/>
              <w:spacing w:before="29" w:line="288" w:lineRule="auto"/>
              <w:ind w:firstLine="720" w:firstLineChars="300" w:left="17"/>
              <w:jc w:val="left"/>
              <w:rPr>
                <w:color w:val="000000"/>
                <w:sz w:val="24"/>
              </w:rPr>
            </w:pPr>
            <w:r w:rsidRPr="008640AE">
              <w:rPr>
                <w:color w:val="000000"/>
                <w:sz w:val="24"/>
              </w:rPr>
              <w:t>资产支持证券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4</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金融衍生品投资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其中：远期</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Del="00455464"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期货</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期权</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15" w:firstLineChars="298"/>
              <w:rPr>
                <w:color w:val="000000"/>
                <w:sz w:val="24"/>
              </w:rPr>
            </w:pPr>
            <w:r w:rsidRPr="008640AE">
              <w:rPr>
                <w:color w:val="000000"/>
                <w:sz w:val="24"/>
              </w:rPr>
              <w:t>权证</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5</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其中：买断式回购的买入返售金融资产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6</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货币市场工具</w:t>
            </w:r>
          </w:p>
        </w:tc>
        <w:tc>
          <w:tcPr>
            <w:tcW w:type="dxa" w:w="2835"/>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7</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银行存款和结算备付金合计</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18,842,404.34</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15.10</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Pr="008640AE">
              <w:rPr>
                <w:color w:val="000000"/>
                <w:sz w:val="24"/>
              </w:rPr>
              <w:lastRenderedPageBreak/>
              <w:t/>
            </w:r>
            <w:r w:rsidR="00466B17" w:rsidRPr="008640AE">
              <w:rPr>
                <w:color w:val="000000"/>
                <w:sz w:val="24"/>
              </w:rPr>
              <w:t/>
            </w:r>
            <w:r w:rsidRPr="008640AE">
              <w:rPr>
                <w:color w:val="000000"/>
                <w:sz w:val="24"/>
              </w:rPr>
              <w:t>8</w:t>
            </w:r>
          </w:p>
        </w:tc>
        <w:tc>
          <w:tcPr>
            <w:tcW w:type="dxa" w:w="4253"/>
            <w:shd w:color="auto" w:fill="auto" w:val="clear"/>
            <w:vAlign w:val="center"/>
          </w:tcPr>
          <w:p w:rsidP="005546C0" w:rsidR="00E462F4" w:rsidRDefault="001303FF" w:rsidRPr="008640AE">
            <w:pPr>
              <w:spacing w:before="29" w:line="288" w:lineRule="auto"/>
              <w:jc w:val="left"/>
              <w:rPr>
                <w:sz w:val="24"/>
              </w:rPr>
            </w:pPr>
            <w:r w:rsidRPr="008640AE">
              <w:rPr>
                <w:color w:val="000000"/>
                <w:sz w:val="24"/>
              </w:rPr>
              <w:lastRenderedPageBreak/>
              <w:t>其他</w:t>
            </w:r>
            <w:r w:rsidR="00E462F4" w:rsidRPr="008640AE">
              <w:rPr>
                <w:color w:val="000000"/>
                <w:sz w:val="24"/>
              </w:rPr>
              <w:t>资产</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
            </w:r>
            <w:r w:rsidRPr="008640AE">
              <w:rPr>
                <w:color w:val="000000"/>
                <w:sz w:val="24"/>
              </w:rPr>
              <w:lastRenderedPageBreak/>
              <w:t>2,516,122.67</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lastRenderedPageBreak/>
              <w:t/>
            </w:r>
            <w:r w:rsidRPr="008640AE">
              <w:rPr>
                <w:color w:val="000000"/>
                <w:sz w:val="24"/>
              </w:rPr>
              <w:lastRenderedPageBreak/>
              <w:t>2.02</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
            </w:r>
            <w:r w:rsidR="00466B17" w:rsidRPr="008640AE">
              <w:rPr>
                <w:color w:val="000000"/>
                <w:sz w:val="24"/>
              </w:rPr>
              <w:t/>
            </w:r>
            <w:r w:rsidRPr="008640AE">
              <w:rPr>
                <w:color w:val="000000"/>
                <w:sz w:val="24"/>
              </w:rPr>
              <w:t>9</w:t>
            </w:r>
          </w:p>
        </w:tc>
        <w:tc>
          <w:tcPr>
            <w:tcW w:type="dxa" w:w="4253"/>
            <w:shd w:color="auto" w:fill="auto" w:val="clear"/>
            <w:vAlign w:val="center"/>
          </w:tcPr>
          <w:p w:rsidP="005546C0" w:rsidR="00E462F4" w:rsidRDefault="00E462F4" w:rsidRPr="008640AE">
            <w:pPr>
              <w:spacing w:before="29" w:line="288" w:lineRule="auto"/>
              <w:jc w:val="left"/>
              <w:rPr>
                <w:sz w:val="24"/>
              </w:rPr>
            </w:pPr>
            <w:r w:rsidRPr="008640AE">
              <w:rPr>
                <w:color w:val="000000"/>
                <w:sz w:val="24"/>
              </w:rPr>
              <w:t>合计</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124,761,515.19</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100.00</w:t>
            </w:r>
          </w:p>
        </w:tc>
      </w:tr>
    </w:tbl>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type="dxa" w:w="8868"/>
        <w:jc w:val="center"/>
        <w:tblLayout w:type="fixed"/>
        <w:tblCellMar>
          <w:top w:type="dxa" w:w="57"/>
          <w:bottom w:type="dxa" w:w="57"/>
        </w:tblCellMar>
        <w:tblLook w:val="04A0"/>
      </w:tblPr>
      <w:tblGrid>
        <w:gridCol w:w="2484"/>
        <w:gridCol w:w="3214"/>
        <w:gridCol w:w="3170"/>
      </w:tblGrid>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type="dxa" w:w="3118"/>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type="dxa" w:w="3076"/>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美国</w:t>
            </w:r>
          </w:p>
        </w:tc>
        <w:tc>
          <w:tcPr>
            <w:vAlign w:val="center"/>
          </w:tcPr>
          <w:p>
            <w:pPr>
              <w:jc w:val="right"/>
            </w:pPr>
            <w:r>
              <w:rPr>
                <w:color w:val="000000"/>
                <w:sz w:val="24"/>
              </w:rPr>
              <w:t>62,712,561.84</w:t>
            </w:r>
          </w:p>
        </w:tc>
        <w:tc>
          <w:tcPr>
            <w:vAlign w:val="center"/>
          </w:tcPr>
          <w:p>
            <w:pPr>
              <w:jc w:val="right"/>
            </w:pPr>
            <w:r>
              <w:rPr>
                <w:color w:val="000000"/>
                <w:sz w:val="24"/>
              </w:rPr>
              <w:t>51.08</w:t>
            </w:r>
          </w:p>
        </w:tc>
      </w:tr>
      <w:tr>
        <w:tc>
          <w:tcPr>
            <w:vAlign w:val="center"/>
          </w:tcPr>
          <w:p>
            <w:pPr>
              <w:jc w:val="left"/>
            </w:pPr>
            <w:r>
              <w:rPr>
                <w:color w:val="000000"/>
                <w:sz w:val="24"/>
              </w:rPr>
              <w:t>香港</w:t>
            </w:r>
          </w:p>
        </w:tc>
        <w:tc>
          <w:tcPr>
            <w:vAlign w:val="center"/>
          </w:tcPr>
          <w:p>
            <w:pPr>
              <w:jc w:val="right"/>
            </w:pPr>
            <w:r>
              <w:rPr>
                <w:color w:val="000000"/>
                <w:sz w:val="24"/>
              </w:rPr>
              <w:t>16,760,593.12</w:t>
            </w:r>
          </w:p>
        </w:tc>
        <w:tc>
          <w:tcPr>
            <w:vAlign w:val="center"/>
          </w:tcPr>
          <w:p>
            <w:pPr>
              <w:jc w:val="right"/>
            </w:pPr>
            <w:r>
              <w:rPr>
                <w:color w:val="000000"/>
                <w:sz w:val="24"/>
              </w:rPr>
              <w:t>13.65</w:t>
            </w:r>
          </w:p>
        </w:tc>
      </w:tr>
      <w:tr>
        <w:tc>
          <w:tcPr>
            <w:vAlign w:val="center"/>
          </w:tcPr>
          <w:p>
            <w:pPr>
              <w:jc w:val="left"/>
            </w:pPr>
            <w:r>
              <w:rPr>
                <w:color w:val="000000"/>
                <w:sz w:val="24"/>
              </w:rPr>
              <w:t>法国</w:t>
            </w:r>
          </w:p>
        </w:tc>
        <w:tc>
          <w:tcPr>
            <w:vAlign w:val="center"/>
          </w:tcPr>
          <w:p>
            <w:pPr>
              <w:jc w:val="right"/>
            </w:pPr>
            <w:r>
              <w:rPr>
                <w:color w:val="000000"/>
                <w:sz w:val="24"/>
              </w:rPr>
              <w:t>5,409,868.91</w:t>
            </w:r>
          </w:p>
        </w:tc>
        <w:tc>
          <w:tcPr>
            <w:vAlign w:val="center"/>
          </w:tcPr>
          <w:p>
            <w:pPr>
              <w:jc w:val="right"/>
            </w:pPr>
            <w:r>
              <w:rPr>
                <w:color w:val="000000"/>
                <w:sz w:val="24"/>
              </w:rPr>
              <w:t>4.41</w:t>
            </w:r>
          </w:p>
        </w:tc>
      </w:tr>
      <w:tr>
        <w:tc>
          <w:tcPr>
            <w:vAlign w:val="center"/>
          </w:tcPr>
          <w:p>
            <w:pPr>
              <w:jc w:val="left"/>
            </w:pPr>
            <w:r>
              <w:rPr>
                <w:color w:val="000000"/>
                <w:sz w:val="24"/>
              </w:rPr>
              <w:t>日本</w:t>
            </w:r>
          </w:p>
        </w:tc>
        <w:tc>
          <w:tcPr>
            <w:vAlign w:val="center"/>
          </w:tcPr>
          <w:p>
            <w:pPr>
              <w:jc w:val="right"/>
            </w:pPr>
            <w:r>
              <w:rPr>
                <w:color w:val="000000"/>
                <w:sz w:val="24"/>
              </w:rPr>
              <w:t>4,416,883.44</w:t>
            </w:r>
          </w:p>
        </w:tc>
        <w:tc>
          <w:tcPr>
            <w:vAlign w:val="center"/>
          </w:tcPr>
          <w:p>
            <w:pPr>
              <w:jc w:val="right"/>
            </w:pPr>
            <w:r>
              <w:rPr>
                <w:color w:val="000000"/>
                <w:sz w:val="24"/>
              </w:rPr>
              <w:t>3.60</w:t>
            </w:r>
          </w:p>
        </w:tc>
      </w:tr>
      <w:tr>
        <w:tc>
          <w:tcPr>
            <w:vAlign w:val="center"/>
          </w:tcPr>
          <w:p>
            <w:pPr>
              <w:jc w:val="left"/>
            </w:pPr>
            <w:r>
              <w:rPr>
                <w:color w:val="000000"/>
                <w:sz w:val="24"/>
              </w:rPr>
              <w:t>加拿大</w:t>
            </w:r>
          </w:p>
        </w:tc>
        <w:tc>
          <w:tcPr>
            <w:vAlign w:val="center"/>
          </w:tcPr>
          <w:p>
            <w:pPr>
              <w:jc w:val="right"/>
            </w:pPr>
            <w:r>
              <w:rPr>
                <w:color w:val="000000"/>
                <w:sz w:val="24"/>
              </w:rPr>
              <w:t>3,896,249.17</w:t>
            </w:r>
          </w:p>
        </w:tc>
        <w:tc>
          <w:tcPr>
            <w:vAlign w:val="center"/>
          </w:tcPr>
          <w:p>
            <w:pPr>
              <w:jc w:val="right"/>
            </w:pPr>
            <w:r>
              <w:rPr>
                <w:color w:val="000000"/>
                <w:sz w:val="24"/>
              </w:rPr>
              <w:t>3.17</w:t>
            </w:r>
          </w:p>
        </w:tc>
      </w:tr>
      <w:tr>
        <w:tc>
          <w:tcPr>
            <w:vAlign w:val="center"/>
          </w:tcPr>
          <w:p>
            <w:pPr>
              <w:jc w:val="left"/>
            </w:pPr>
            <w:r>
              <w:rPr>
                <w:color w:val="000000"/>
                <w:sz w:val="24"/>
              </w:rPr>
              <w:t>英国</w:t>
            </w:r>
          </w:p>
        </w:tc>
        <w:tc>
          <w:tcPr>
            <w:vAlign w:val="center"/>
          </w:tcPr>
          <w:p>
            <w:pPr>
              <w:jc w:val="right"/>
            </w:pPr>
            <w:r>
              <w:rPr>
                <w:color w:val="000000"/>
                <w:sz w:val="24"/>
              </w:rPr>
              <w:t>3,232,694.94</w:t>
            </w:r>
          </w:p>
        </w:tc>
        <w:tc>
          <w:tcPr>
            <w:vAlign w:val="center"/>
          </w:tcPr>
          <w:p>
            <w:pPr>
              <w:jc w:val="right"/>
            </w:pPr>
            <w:r>
              <w:rPr>
                <w:color w:val="000000"/>
                <w:sz w:val="24"/>
              </w:rPr>
              <w:t>2.63</w:t>
            </w:r>
          </w:p>
        </w:tc>
      </w:tr>
      <w:tr>
        <w:tc>
          <w:tcPr>
            <w:vAlign w:val="center"/>
          </w:tcPr>
          <w:p>
            <w:pPr>
              <w:jc w:val="left"/>
            </w:pPr>
            <w:r>
              <w:rPr>
                <w:color w:val="000000"/>
                <w:sz w:val="24"/>
              </w:rPr>
              <w:t>瑞士</w:t>
            </w:r>
          </w:p>
        </w:tc>
        <w:tc>
          <w:tcPr>
            <w:vAlign w:val="center"/>
          </w:tcPr>
          <w:p>
            <w:pPr>
              <w:jc w:val="right"/>
            </w:pPr>
            <w:r>
              <w:rPr>
                <w:color w:val="000000"/>
                <w:sz w:val="24"/>
              </w:rPr>
              <w:t>2,569,267.64</w:t>
            </w:r>
          </w:p>
        </w:tc>
        <w:tc>
          <w:tcPr>
            <w:vAlign w:val="center"/>
          </w:tcPr>
          <w:p>
            <w:pPr>
              <w:jc w:val="right"/>
            </w:pPr>
            <w:r>
              <w:rPr>
                <w:color w:val="000000"/>
                <w:sz w:val="24"/>
              </w:rPr>
              <w:t>2.09</w:t>
            </w:r>
          </w:p>
        </w:tc>
      </w:tr>
      <w:tr>
        <w:tc>
          <w:tcPr>
            <w:vAlign w:val="center"/>
          </w:tcPr>
          <w:p>
            <w:pPr>
              <w:jc w:val="left"/>
            </w:pPr>
            <w:r>
              <w:rPr>
                <w:color w:val="000000"/>
                <w:sz w:val="24"/>
              </w:rPr>
              <w:t>德国</w:t>
            </w:r>
          </w:p>
        </w:tc>
        <w:tc>
          <w:tcPr>
            <w:vAlign w:val="center"/>
          </w:tcPr>
          <w:p>
            <w:pPr>
              <w:jc w:val="right"/>
            </w:pPr>
            <w:r>
              <w:rPr>
                <w:color w:val="000000"/>
                <w:sz w:val="24"/>
              </w:rPr>
              <w:t>1,819,177.79</w:t>
            </w:r>
          </w:p>
        </w:tc>
        <w:tc>
          <w:tcPr>
            <w:vAlign w:val="center"/>
          </w:tcPr>
          <w:p>
            <w:pPr>
              <w:jc w:val="right"/>
            </w:pPr>
            <w:r>
              <w:rPr>
                <w:color w:val="000000"/>
                <w:sz w:val="24"/>
              </w:rPr>
              <w:t>1.48</w:t>
            </w:r>
          </w:p>
        </w:tc>
      </w:tr>
      <w:tr>
        <w:tc>
          <w:tcPr>
            <w:vAlign w:val="center"/>
          </w:tcPr>
          <w:p>
            <w:pPr>
              <w:jc w:val="left"/>
            </w:pPr>
            <w:r>
              <w:rPr>
                <w:color w:val="000000"/>
                <w:sz w:val="24"/>
              </w:rPr>
              <w:t>荷兰</w:t>
            </w:r>
          </w:p>
        </w:tc>
        <w:tc>
          <w:tcPr>
            <w:vAlign w:val="center"/>
          </w:tcPr>
          <w:p>
            <w:pPr>
              <w:jc w:val="right"/>
            </w:pPr>
            <w:r>
              <w:rPr>
                <w:color w:val="000000"/>
                <w:sz w:val="24"/>
              </w:rPr>
              <w:t>1,037,318.06</w:t>
            </w:r>
          </w:p>
        </w:tc>
        <w:tc>
          <w:tcPr>
            <w:vAlign w:val="center"/>
          </w:tcPr>
          <w:p>
            <w:pPr>
              <w:jc w:val="right"/>
            </w:pPr>
            <w:r>
              <w:rPr>
                <w:color w:val="000000"/>
                <w:sz w:val="24"/>
              </w:rPr>
              <w:t>0.84</w:t>
            </w:r>
          </w:p>
        </w:tc>
      </w:tr>
      <w:tr>
        <w:tc>
          <w:tcPr>
            <w:vAlign w:val="center"/>
          </w:tcPr>
          <w:p>
            <w:pPr>
              <w:jc w:val="left"/>
            </w:pPr>
            <w:r>
              <w:rPr>
                <w:color w:val="000000"/>
                <w:sz w:val="24"/>
              </w:rPr>
              <w:t>澳大利亚</w:t>
            </w:r>
          </w:p>
        </w:tc>
        <w:tc>
          <w:tcPr>
            <w:vAlign w:val="center"/>
          </w:tcPr>
          <w:p>
            <w:pPr>
              <w:jc w:val="right"/>
            </w:pPr>
            <w:r>
              <w:rPr>
                <w:color w:val="000000"/>
                <w:sz w:val="24"/>
              </w:rPr>
              <w:t>913,647.43</w:t>
            </w:r>
          </w:p>
        </w:tc>
        <w:tc>
          <w:tcPr>
            <w:vAlign w:val="center"/>
          </w:tcPr>
          <w:p>
            <w:pPr>
              <w:jc w:val="right"/>
            </w:pPr>
            <w:r>
              <w:rPr>
                <w:color w:val="000000"/>
                <w:sz w:val="24"/>
              </w:rPr>
              <w:t>0.74</w:t>
            </w:r>
          </w:p>
        </w:tc>
      </w:tr>
      <w:tr>
        <w:tc>
          <w:tcPr>
            <w:vAlign w:val="center"/>
          </w:tcPr>
          <w:p>
            <w:pPr>
              <w:jc w:val="left"/>
            </w:pPr>
            <w:r>
              <w:rPr>
                <w:color w:val="000000"/>
                <w:sz w:val="24"/>
              </w:rPr>
              <w:t>巴西</w:t>
            </w:r>
          </w:p>
        </w:tc>
        <w:tc>
          <w:tcPr>
            <w:vAlign w:val="center"/>
          </w:tcPr>
          <w:p>
            <w:pPr>
              <w:jc w:val="right"/>
            </w:pPr>
            <w:r>
              <w:rPr>
                <w:color w:val="000000"/>
                <w:sz w:val="24"/>
              </w:rPr>
              <w:t>634,725.84</w:t>
            </w:r>
          </w:p>
        </w:tc>
        <w:tc>
          <w:tcPr>
            <w:vAlign w:val="center"/>
          </w:tcPr>
          <w:p>
            <w:pPr>
              <w:jc w:val="right"/>
            </w:pPr>
            <w:r>
              <w:rPr>
                <w:color w:val="000000"/>
                <w:sz w:val="24"/>
              </w:rPr>
              <w:t>0.52</w:t>
            </w:r>
          </w:p>
        </w:tc>
      </w:tr>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jc w:val="left"/>
              <w:rPr>
                <w:color w:val="000000"/>
                <w:sz w:val="24"/>
              </w:rPr>
            </w:pPr>
            <w:r w:rsidRPr="008640AE">
              <w:rPr>
                <w:color w:val="000000"/>
                <w:sz w:val="24"/>
              </w:rPr>
              <w:t>合计</w:t>
            </w:r>
          </w:p>
        </w:tc>
        <w:tc>
          <w:tcPr>
            <w:tcW w:type="dxa" w:w="3118"/>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103,402,988.18</w:t>
            </w:r>
          </w:p>
        </w:tc>
        <w:tc>
          <w:tcPr>
            <w:tcW w:type="dxa" w:w="3076"/>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84.21</w:t>
            </w:r>
          </w:p>
        </w:tc>
      </w:tr>
    </w:tbl>
    <w:p>
      <w:pPr>
        <w:autoSpaceDE w:val="0"/>
        <w:autoSpaceDN w:val="0"/>
        <w:adjustRightInd w:val="0"/>
        <w:spacing w:before="29" w:line="288" w:lineRule="auto"/>
        <w:jc w:val="left"/>
        <w:rPr>
          <w:color w:val="000000"/>
          <w:sz w:val="24"/>
        </w:rPr>
      </w:pPr>
      <w:r>
        <w:rPr>
          <w:color w:val="000000"/>
          <w:sz w:val="24"/>
        </w:rPr>
        <w:t>注：1、国家（地区）类别根据其所在的证券交易所确定；</w:t>
      </w:r>
    </w:p>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 xml:space="preserve">    2、ADR、GDR按照存托凭证本身挂牌的证券交易所确定。</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C37E98"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type="dxa" w:w="8868"/>
        <w:jc w:val="center"/>
        <w:tblLayout w:type="fixed"/>
        <w:tblCellMar>
          <w:top w:type="dxa" w:w="57"/>
          <w:bottom w:type="dxa" w:w="57"/>
        </w:tblCellMar>
        <w:tblLook w:val="04A0"/>
      </w:tblPr>
      <w:tblGrid>
        <w:gridCol w:w="2904"/>
        <w:gridCol w:w="2657"/>
        <w:gridCol w:w="3307"/>
      </w:tblGrid>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r w:rsidR="00304E97" w:rsidRPr="008640AE">
              <w:rPr>
                <w:color w:val="000000"/>
                <w:kern w:val="0"/>
                <w:sz w:val="24"/>
              </w:rPr>
              <w:t/>
            </w:r>
          </w:p>
        </w:tc>
        <w:tc>
          <w:tcPr>
            <w:tcW w:type="dxa" w:w="2551"/>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type="dxa" w:w="3175"/>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保健</w:t>
            </w:r>
          </w:p>
        </w:tc>
        <w:tc>
          <w:tcPr>
            <w:vAlign w:val="center"/>
          </w:tcPr>
          <w:p>
            <w:pPr>
              <w:jc w:val="right"/>
            </w:pPr>
            <w:r>
              <w:rPr>
                <w:color w:val="000000"/>
                <w:sz w:val="24"/>
              </w:rPr>
              <w:t>16,679,696.71</w:t>
            </w:r>
          </w:p>
        </w:tc>
        <w:tc>
          <w:tcPr>
            <w:vAlign w:val="center"/>
          </w:tcPr>
          <w:p>
            <w:pPr>
              <w:jc w:val="right"/>
            </w:pPr>
            <w:r>
              <w:rPr>
                <w:color w:val="000000"/>
                <w:sz w:val="24"/>
              </w:rPr>
              <w:t>13.58</w:t>
            </w:r>
          </w:p>
        </w:tc>
      </w:tr>
      <w:tr>
        <w:tc>
          <w:tcPr>
            <w:vAlign w:val="center"/>
          </w:tcPr>
          <w:p>
            <w:pPr>
              <w:jc w:val="left"/>
            </w:pPr>
            <w:r>
              <w:rPr>
                <w:color w:val="000000"/>
                <w:sz w:val="24"/>
              </w:rPr>
              <w:t>信息技术</w:t>
            </w:r>
          </w:p>
        </w:tc>
        <w:tc>
          <w:tcPr>
            <w:vAlign w:val="center"/>
          </w:tcPr>
          <w:p>
            <w:pPr>
              <w:jc w:val="right"/>
            </w:pPr>
            <w:r>
              <w:rPr>
                <w:color w:val="000000"/>
                <w:sz w:val="24"/>
              </w:rPr>
              <w:t>14,270,018.09</w:t>
            </w:r>
          </w:p>
        </w:tc>
        <w:tc>
          <w:tcPr>
            <w:vAlign w:val="center"/>
          </w:tcPr>
          <w:p>
            <w:pPr>
              <w:jc w:val="right"/>
            </w:pPr>
            <w:r>
              <w:rPr>
                <w:color w:val="000000"/>
                <w:sz w:val="24"/>
              </w:rPr>
              <w:t>11.62</w:t>
            </w:r>
          </w:p>
        </w:tc>
      </w:tr>
      <w:tr>
        <w:tc>
          <w:tcPr>
            <w:vAlign w:val="center"/>
          </w:tcPr>
          <w:p>
            <w:pPr>
              <w:jc w:val="left"/>
            </w:pPr>
            <w:r>
              <w:rPr>
                <w:color w:val="000000"/>
                <w:sz w:val="24"/>
              </w:rPr>
              <w:t>金融</w:t>
            </w:r>
          </w:p>
        </w:tc>
        <w:tc>
          <w:tcPr>
            <w:vAlign w:val="center"/>
          </w:tcPr>
          <w:p>
            <w:pPr>
              <w:jc w:val="right"/>
            </w:pPr>
            <w:r>
              <w:rPr>
                <w:color w:val="000000"/>
                <w:sz w:val="24"/>
              </w:rPr>
              <w:t>13,758,845.68</w:t>
            </w:r>
          </w:p>
        </w:tc>
        <w:tc>
          <w:tcPr>
            <w:vAlign w:val="center"/>
          </w:tcPr>
          <w:p>
            <w:pPr>
              <w:jc w:val="right"/>
            </w:pPr>
            <w:r>
              <w:rPr>
                <w:color w:val="000000"/>
                <w:sz w:val="24"/>
              </w:rPr>
              <w:t>11.21</w:t>
            </w:r>
          </w:p>
        </w:tc>
      </w:tr>
      <w:tr>
        <w:tc>
          <w:tcPr>
            <w:vAlign w:val="center"/>
          </w:tcPr>
          <w:p>
            <w:pPr>
              <w:jc w:val="left"/>
            </w:pPr>
            <w:r>
              <w:rPr>
                <w:color w:val="000000"/>
                <w:sz w:val="24"/>
              </w:rPr>
              <w:t>非必需消费品</w:t>
            </w:r>
          </w:p>
        </w:tc>
        <w:tc>
          <w:tcPr>
            <w:vAlign w:val="center"/>
          </w:tcPr>
          <w:p>
            <w:pPr>
              <w:jc w:val="right"/>
            </w:pPr>
            <w:r>
              <w:rPr>
                <w:color w:val="000000"/>
                <w:sz w:val="24"/>
              </w:rPr>
              <w:t>13,465,063.32</w:t>
            </w:r>
          </w:p>
        </w:tc>
        <w:tc>
          <w:tcPr>
            <w:vAlign w:val="center"/>
          </w:tcPr>
          <w:p>
            <w:pPr>
              <w:jc w:val="right"/>
            </w:pPr>
            <w:r>
              <w:rPr>
                <w:color w:val="000000"/>
                <w:sz w:val="24"/>
              </w:rPr>
              <w:t>10.97</w:t>
            </w:r>
          </w:p>
        </w:tc>
      </w:tr>
      <w:tr>
        <w:tc>
          <w:tcPr>
            <w:vAlign w:val="center"/>
          </w:tcPr>
          <w:p>
            <w:pPr>
              <w:jc w:val="left"/>
            </w:pPr>
            <w:r>
              <w:rPr>
                <w:color w:val="000000"/>
                <w:sz w:val="24"/>
              </w:rPr>
              <w:t>电信服务</w:t>
            </w:r>
          </w:p>
        </w:tc>
        <w:tc>
          <w:tcPr>
            <w:vAlign w:val="center"/>
          </w:tcPr>
          <w:p>
            <w:pPr>
              <w:jc w:val="right"/>
            </w:pPr>
            <w:r>
              <w:rPr>
                <w:color w:val="000000"/>
                <w:sz w:val="24"/>
              </w:rPr>
              <w:t>12,904,498.86</w:t>
            </w:r>
          </w:p>
        </w:tc>
        <w:tc>
          <w:tcPr>
            <w:vAlign w:val="center"/>
          </w:tcPr>
          <w:p>
            <w:pPr>
              <w:jc w:val="right"/>
            </w:pPr>
            <w:r>
              <w:rPr>
                <w:color w:val="000000"/>
                <w:sz w:val="24"/>
              </w:rPr>
              <w:t>10.51</w:t>
            </w:r>
          </w:p>
        </w:tc>
      </w:tr>
      <w:tr>
        <w:tc>
          <w:tcPr>
            <w:vAlign w:val="center"/>
          </w:tcPr>
          <w:p>
            <w:pPr>
              <w:jc w:val="left"/>
            </w:pPr>
            <w:r>
              <w:rPr>
                <w:color w:val="000000"/>
                <w:sz w:val="24"/>
              </w:rPr>
              <w:t>工业</w:t>
            </w:r>
          </w:p>
        </w:tc>
        <w:tc>
          <w:tcPr>
            <w:vAlign w:val="center"/>
          </w:tcPr>
          <w:p>
            <w:pPr>
              <w:jc w:val="right"/>
            </w:pPr>
            <w:r>
              <w:rPr>
                <w:color w:val="000000"/>
                <w:sz w:val="24"/>
              </w:rPr>
              <w:t>9,635,438.61</w:t>
            </w:r>
          </w:p>
        </w:tc>
        <w:tc>
          <w:tcPr>
            <w:vAlign w:val="center"/>
          </w:tcPr>
          <w:p>
            <w:pPr>
              <w:jc w:val="right"/>
            </w:pPr>
            <w:r>
              <w:rPr>
                <w:color w:val="000000"/>
                <w:sz w:val="24"/>
              </w:rPr>
              <w:t>7.85</w:t>
            </w:r>
          </w:p>
        </w:tc>
      </w:tr>
      <w:tr>
        <w:tc>
          <w:tcPr>
            <w:vAlign w:val="center"/>
          </w:tcPr>
          <w:p>
            <w:pPr>
              <w:jc w:val="left"/>
            </w:pPr>
            <w:r>
              <w:rPr>
                <w:color w:val="000000"/>
                <w:sz w:val="24"/>
              </w:rPr>
              <w:t>必需消费品</w:t>
            </w:r>
          </w:p>
        </w:tc>
        <w:tc>
          <w:tcPr>
            <w:vAlign w:val="center"/>
          </w:tcPr>
          <w:p>
            <w:pPr>
              <w:jc w:val="right"/>
            </w:pPr>
            <w:r>
              <w:rPr>
                <w:color w:val="000000"/>
                <w:sz w:val="24"/>
              </w:rPr>
              <w:t>7,556,016.09</w:t>
            </w:r>
          </w:p>
        </w:tc>
        <w:tc>
          <w:tcPr>
            <w:vAlign w:val="center"/>
          </w:tcPr>
          <w:p>
            <w:pPr>
              <w:jc w:val="right"/>
            </w:pPr>
            <w:r>
              <w:rPr>
                <w:color w:val="000000"/>
                <w:sz w:val="24"/>
              </w:rPr>
              <w:t>6.15</w:t>
            </w:r>
          </w:p>
        </w:tc>
      </w:tr>
      <w:tr>
        <w:tc>
          <w:tcPr>
            <w:vAlign w:val="center"/>
          </w:tcPr>
          <w:p>
            <w:pPr>
              <w:jc w:val="left"/>
            </w:pPr>
            <w:r>
              <w:rPr>
                <w:color w:val="000000"/>
                <w:sz w:val="24"/>
              </w:rPr>
              <w:t>能源</w:t>
            </w:r>
          </w:p>
        </w:tc>
        <w:tc>
          <w:tcPr>
            <w:vAlign w:val="center"/>
          </w:tcPr>
          <w:p>
            <w:pPr>
              <w:jc w:val="right"/>
            </w:pPr>
            <w:r>
              <w:rPr>
                <w:color w:val="000000"/>
                <w:sz w:val="24"/>
              </w:rPr>
              <w:t>6,348,865.60</w:t>
            </w:r>
          </w:p>
        </w:tc>
        <w:tc>
          <w:tcPr>
            <w:vAlign w:val="center"/>
          </w:tcPr>
          <w:p>
            <w:pPr>
              <w:jc w:val="right"/>
            </w:pPr>
            <w:r>
              <w:rPr>
                <w:color w:val="000000"/>
                <w:sz w:val="24"/>
              </w:rPr>
              <w:t>5.17</w:t>
            </w:r>
          </w:p>
        </w:tc>
      </w:tr>
      <w:tr>
        <w:tc>
          <w:tcPr>
            <w:vAlign w:val="center"/>
          </w:tcPr>
          <w:p>
            <w:pPr>
              <w:jc w:val="left"/>
            </w:pPr>
            <w:r>
              <w:rPr>
                <w:color w:val="000000"/>
                <w:sz w:val="24"/>
              </w:rPr>
              <w:t>材料</w:t>
            </w:r>
          </w:p>
        </w:tc>
        <w:tc>
          <w:tcPr>
            <w:vAlign w:val="center"/>
          </w:tcPr>
          <w:p>
            <w:pPr>
              <w:jc w:val="right"/>
            </w:pPr>
            <w:r>
              <w:rPr>
                <w:color w:val="000000"/>
                <w:sz w:val="24"/>
              </w:rPr>
              <w:t>5,472,826.19</w:t>
            </w:r>
          </w:p>
        </w:tc>
        <w:tc>
          <w:tcPr>
            <w:vAlign w:val="center"/>
          </w:tcPr>
          <w:p>
            <w:pPr>
              <w:jc w:val="right"/>
            </w:pPr>
            <w:r>
              <w:rPr>
                <w:color w:val="000000"/>
                <w:sz w:val="24"/>
              </w:rPr>
              <w:t>4.46</w:t>
            </w:r>
          </w:p>
        </w:tc>
      </w:tr>
      <w:tr>
        <w:tc>
          <w:tcPr>
            <w:vAlign w:val="center"/>
          </w:tcPr>
          <w:p>
            <w:pPr>
              <w:jc w:val="left"/>
            </w:pPr>
            <w:r>
              <w:rPr>
                <w:color w:val="000000"/>
                <w:sz w:val="24"/>
              </w:rPr>
              <w:t>房地产</w:t>
            </w:r>
          </w:p>
        </w:tc>
        <w:tc>
          <w:tcPr>
            <w:vAlign w:val="center"/>
          </w:tcPr>
          <w:p>
            <w:pPr>
              <w:jc w:val="right"/>
            </w:pPr>
            <w:r>
              <w:rPr>
                <w:color w:val="000000"/>
                <w:sz w:val="24"/>
              </w:rPr>
              <w:t>1,800,382.40</w:t>
            </w:r>
          </w:p>
        </w:tc>
        <w:tc>
          <w:tcPr>
            <w:vAlign w:val="center"/>
          </w:tcPr>
          <w:p>
            <w:pPr>
              <w:jc w:val="right"/>
            </w:pPr>
            <w:r>
              <w:rPr>
                <w:color w:val="000000"/>
                <w:sz w:val="24"/>
              </w:rPr>
              <w:t>1.47</w:t>
            </w:r>
          </w:p>
        </w:tc>
      </w:tr>
      <w:tr>
        <w:tc>
          <w:tcPr>
            <w:vAlign w:val="center"/>
          </w:tcPr>
          <w:p>
            <w:pPr>
              <w:jc w:val="left"/>
            </w:pPr>
            <w:r>
              <w:rPr>
                <w:color w:val="000000"/>
                <w:sz w:val="24"/>
              </w:rPr>
              <w:t>公共事业</w:t>
            </w:r>
          </w:p>
        </w:tc>
        <w:tc>
          <w:tcPr>
            <w:vAlign w:val="center"/>
          </w:tcPr>
          <w:p>
            <w:pPr>
              <w:jc w:val="right"/>
            </w:pPr>
            <w:r>
              <w:rPr>
                <w:color w:val="000000"/>
                <w:sz w:val="24"/>
              </w:rPr>
              <w:t>1,511,336.63</w:t>
            </w:r>
          </w:p>
        </w:tc>
        <w:tc>
          <w:tcPr>
            <w:vAlign w:val="center"/>
          </w:tcPr>
          <w:p>
            <w:pPr>
              <w:jc w:val="right"/>
            </w:pPr>
            <w:r>
              <w:rPr>
                <w:color w:val="000000"/>
                <w:sz w:val="24"/>
              </w:rPr>
              <w:t>1.23</w:t>
            </w:r>
          </w:p>
        </w:tc>
      </w:tr>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left"/>
              <w:rPr>
                <w:color w:val="000000"/>
                <w:sz w:val="24"/>
              </w:rPr>
            </w:pPr>
            <w:r w:rsidRPr="008640AE">
              <w:rPr>
                <w:color w:val="000000"/>
                <w:sz w:val="24"/>
              </w:rPr>
              <w:t>合计</w:t>
            </w:r>
          </w:p>
        </w:tc>
        <w:tc>
          <w:tcPr>
            <w:tcW w:type="dxa" w:w="2551"/>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
            </w:r>
            <w:r w:rsidRPr="008640AE">
              <w:rPr>
                <w:color w:val="000000"/>
                <w:sz w:val="24"/>
              </w:rPr>
              <w:lastRenderedPageBreak/>
              <w:t>103,402,988.18</w:t>
            </w:r>
          </w:p>
        </w:tc>
        <w:tc>
          <w:tcPr>
            <w:tcW w:type="dxa" w:w="3175"/>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lastRenderedPageBreak/>
              <w:t/>
            </w:r>
            <w:r w:rsidRPr="008640AE">
              <w:rPr>
                <w:color w:val="000000"/>
                <w:sz w:val="24"/>
              </w:rPr>
              <w:lastRenderedPageBreak/>
              <w:t>84.21</w:t>
            </w:r>
          </w:p>
        </w:tc>
      </w:tr>
    </w:tbl>
    <w:p w:rsidP="005546C0" w:rsidR="005B6AC7" w:rsidRDefault="00363E15" w:rsidRPr="008640AE">
      <w:pPr>
        <w:autoSpaceDE w:val="0"/>
        <w:autoSpaceDN w:val="0"/>
        <w:adjustRightInd w:val="0"/>
        <w:spacing w:before="29" w:line="288" w:lineRule="auto"/>
        <w:jc w:val="left"/>
        <w:rPr>
          <w:color w:val="000000"/>
          <w:sz w:val="24"/>
        </w:rPr>
      </w:pPr>
      <w:r w:rsidRPr="008640AE">
        <w:rPr>
          <w:color w:val="000000"/>
          <w:sz w:val="24"/>
        </w:rPr>
        <w:lastRenderedPageBreak/>
        <w:t/>
      </w:r>
      <w:r w:rsidR="000A521D" w:rsidRPr="008640AE">
        <w:rPr>
          <w:color w:val="000000"/>
          <w:sz w:val="24"/>
        </w:rPr>
        <w:t>注：以上分类采用全球行业分类标准（GICS）。</w:t>
      </w:r>
    </w:p>
    <w:p w:rsidP="005546C0" w:rsidR="000A521D" w:rsidRDefault="000A521D" w:rsidRPr="008640AE">
      <w:pPr>
        <w:autoSpaceDE w:val="0"/>
        <w:autoSpaceDN w:val="0"/>
        <w:adjustRightInd w:val="0"/>
        <w:spacing w:before="29" w:line="288" w:lineRule="auto"/>
        <w:jc w:val="left"/>
        <w:rPr>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type="auto" w:w="0"/>
        <w:jc w:val="center"/>
        <w:tblLayout w:type="fixed"/>
        <w:tblCellMar>
          <w:top w:type="dxa" w:w="57"/>
          <w:bottom w:type="dxa" w:w="57"/>
        </w:tblCellMar>
        <w:tblLook w:val="04A0"/>
      </w:tblPr>
      <w:tblGrid>
        <w:gridCol w:w="1243"/>
        <w:gridCol w:w="971"/>
        <w:gridCol w:w="993"/>
        <w:gridCol w:w="725"/>
        <w:gridCol w:w="747"/>
        <w:gridCol w:w="975"/>
        <w:gridCol w:w="1175"/>
        <w:gridCol w:w="975"/>
        <w:gridCol w:w="1175"/>
      </w:tblGrid>
      <w:tr w:rsidR="001C7D5D" w:rsidRPr="00293A87" w:rsidTr="00811B44">
        <w:trPr>
          <w:jc w:val="center"/>
        </w:trPr>
        <w:tc>
          <w:tcPr>
            <w:tcW w:type="dxa" w:w="1243"/>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type="dxa" w:w="971"/>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公司名称（英文）</w:t>
            </w:r>
          </w:p>
        </w:tc>
        <w:tc>
          <w:tcPr>
            <w:tcW w:type="dxa" w:w="993"/>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公司名称（中文）</w:t>
            </w:r>
          </w:p>
        </w:tc>
        <w:tc>
          <w:tcPr>
            <w:tcW w:type="dxa" w:w="725"/>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证券代码</w:t>
            </w:r>
          </w:p>
        </w:tc>
        <w:tc>
          <w:tcPr>
            <w:tcW w:type="dxa" w:w="747"/>
            <w:vAlign w:val="center"/>
          </w:tcPr>
          <w:p w:rsidP="005546C0" w:rsidR="001C7D5D" w:rsidRDefault="009B6E8F"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Amazon.Com Inc</w:t>
            </w:r>
          </w:p>
        </w:tc>
        <w:tc>
          <w:tcPr>
            <w:vAlign w:val="center"/>
          </w:tcPr>
          <w:p>
            <w:pPr>
              <w:jc w:val="center"/>
            </w:pPr>
            <w:r>
              <w:rPr>
                <w:color w:val="000000"/>
                <w:sz w:val="24"/>
              </w:rPr>
              <w:t>亚马逊公司</w:t>
            </w:r>
          </w:p>
        </w:tc>
        <w:tc>
          <w:tcPr>
            <w:vAlign w:val="center"/>
          </w:tcPr>
          <w:p>
            <w:pPr>
              <w:jc w:val="center"/>
            </w:pPr>
            <w:r>
              <w:rPr>
                <w:color w:val="000000"/>
                <w:sz w:val="24"/>
              </w:rPr>
              <w:t>AMZN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239</w:t>
            </w:r>
          </w:p>
        </w:tc>
        <w:tc>
          <w:tcPr>
            <w:vAlign w:val="center"/>
          </w:tcPr>
          <w:p>
            <w:pPr>
              <w:jc w:val="right"/>
            </w:pPr>
            <w:r>
              <w:rPr>
                <w:color w:val="000000"/>
                <w:sz w:val="24"/>
              </w:rPr>
              <w:t>3,293,189.99</w:t>
            </w:r>
          </w:p>
        </w:tc>
        <w:tc>
          <w:tcPr>
            <w:vAlign w:val="center"/>
          </w:tcPr>
          <w:p>
            <w:pPr>
              <w:jc w:val="right"/>
            </w:pPr>
            <w:r>
              <w:rPr>
                <w:color w:val="000000"/>
                <w:sz w:val="24"/>
              </w:rPr>
              <w:t>2.68</w:t>
            </w:r>
          </w:p>
        </w:tc>
      </w:tr>
      <w:tr>
        <w:tc>
          <w:tcPr>
            <w:vAlign w:val="center"/>
          </w:tcPr>
          <w:p>
            <w:pPr>
              <w:jc w:val="center"/>
            </w:pPr>
            <w:r>
              <w:rPr>
                <w:color w:val="000000"/>
                <w:sz w:val="24"/>
              </w:rPr>
              <w:t>2</w:t>
            </w:r>
          </w:p>
        </w:tc>
        <w:tc>
          <w:tcPr>
            <w:vAlign w:val="center"/>
          </w:tcPr>
          <w:p>
            <w:pPr>
              <w:jc w:val="center"/>
            </w:pPr>
            <w:r>
              <w:rPr>
                <w:color w:val="000000"/>
                <w:sz w:val="24"/>
              </w:rPr>
              <w:t>Alphabet Inc</w:t>
            </w:r>
          </w:p>
        </w:tc>
        <w:tc>
          <w:tcPr>
            <w:vAlign w:val="center"/>
          </w:tcPr>
          <w:p>
            <w:pPr>
              <w:jc w:val="center"/>
            </w:pPr>
            <w:r>
              <w:rPr>
                <w:color w:val="000000"/>
                <w:sz w:val="24"/>
              </w:rPr>
              <w:t>Alphabet公司</w:t>
            </w:r>
          </w:p>
        </w:tc>
        <w:tc>
          <w:tcPr>
            <w:vAlign w:val="center"/>
          </w:tcPr>
          <w:p>
            <w:pPr>
              <w:jc w:val="center"/>
            </w:pPr>
            <w:r>
              <w:rPr>
                <w:color w:val="000000"/>
                <w:sz w:val="24"/>
              </w:rPr>
              <w:t>GOOGL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365</w:t>
            </w:r>
          </w:p>
        </w:tc>
        <w:tc>
          <w:tcPr>
            <w:vAlign w:val="center"/>
          </w:tcPr>
          <w:p>
            <w:pPr>
              <w:jc w:val="right"/>
            </w:pPr>
            <w:r>
              <w:rPr>
                <w:color w:val="000000"/>
                <w:sz w:val="24"/>
              </w:rPr>
              <w:t>3,030,866.83</w:t>
            </w:r>
          </w:p>
        </w:tc>
        <w:tc>
          <w:tcPr>
            <w:vAlign w:val="center"/>
          </w:tcPr>
          <w:p>
            <w:pPr>
              <w:jc w:val="right"/>
            </w:pPr>
            <w:r>
              <w:rPr>
                <w:color w:val="000000"/>
                <w:sz w:val="24"/>
              </w:rPr>
              <w:t>2.47</w:t>
            </w:r>
          </w:p>
        </w:tc>
      </w:tr>
      <w:tr>
        <w:tc>
          <w:tcPr>
            <w:vAlign w:val="center"/>
          </w:tcPr>
          <w:p>
            <w:pPr>
              <w:jc w:val="center"/>
            </w:pPr>
            <w:r>
              <w:rPr>
                <w:color w:val="000000"/>
                <w:sz w:val="24"/>
              </w:rPr>
              <w:t>3</w:t>
            </w:r>
          </w:p>
        </w:tc>
        <w:tc>
          <w:tcPr>
            <w:vAlign w:val="center"/>
          </w:tcPr>
          <w:p>
            <w:pPr>
              <w:jc w:val="center"/>
            </w:pPr>
            <w:r>
              <w:rPr>
                <w:color w:val="000000"/>
                <w:sz w:val="24"/>
              </w:rPr>
              <w:t>Apple Inc</w:t>
            </w:r>
          </w:p>
        </w:tc>
        <w:tc>
          <w:tcPr>
            <w:vAlign w:val="center"/>
          </w:tcPr>
          <w:p>
            <w:pPr>
              <w:jc w:val="center"/>
            </w:pPr>
            <w:r>
              <w:rPr>
                <w:color w:val="000000"/>
                <w:sz w:val="24"/>
              </w:rPr>
              <w:t>苹果公司</w:t>
            </w:r>
          </w:p>
        </w:tc>
        <w:tc>
          <w:tcPr>
            <w:vAlign w:val="center"/>
          </w:tcPr>
          <w:p>
            <w:pPr>
              <w:jc w:val="center"/>
            </w:pPr>
            <w:r>
              <w:rPr>
                <w:color w:val="000000"/>
                <w:sz w:val="24"/>
              </w:rPr>
              <w:t>AAPL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1,727</w:t>
            </w:r>
          </w:p>
        </w:tc>
        <w:tc>
          <w:tcPr>
            <w:vAlign w:val="center"/>
          </w:tcPr>
          <w:p>
            <w:pPr>
              <w:jc w:val="right"/>
            </w:pPr>
            <w:r>
              <w:rPr>
                <w:color w:val="000000"/>
                <w:sz w:val="24"/>
              </w:rPr>
              <w:t>2,681,876.62</w:t>
            </w:r>
          </w:p>
        </w:tc>
        <w:tc>
          <w:tcPr>
            <w:vAlign w:val="center"/>
          </w:tcPr>
          <w:p>
            <w:pPr>
              <w:jc w:val="right"/>
            </w:pPr>
            <w:r>
              <w:rPr>
                <w:color w:val="000000"/>
                <w:sz w:val="24"/>
              </w:rPr>
              <w:t>2.18</w:t>
            </w:r>
          </w:p>
        </w:tc>
      </w:tr>
      <w:tr>
        <w:tc>
          <w:tcPr>
            <w:vAlign w:val="center"/>
          </w:tcPr>
          <w:p>
            <w:pPr>
              <w:jc w:val="center"/>
            </w:pPr>
            <w:r>
              <w:rPr>
                <w:color w:val="000000"/>
                <w:sz w:val="24"/>
              </w:rPr>
              <w:t>4</w:t>
            </w:r>
          </w:p>
        </w:tc>
        <w:tc>
          <w:tcPr>
            <w:vAlign w:val="center"/>
          </w:tcPr>
          <w:p>
            <w:pPr>
              <w:jc w:val="center"/>
            </w:pPr>
            <w:r>
              <w:rPr>
                <w:color w:val="000000"/>
                <w:sz w:val="24"/>
              </w:rPr>
              <w:t>Unitedhealth Group Inc</w:t>
            </w:r>
          </w:p>
        </w:tc>
        <w:tc>
          <w:tcPr>
            <w:vAlign w:val="center"/>
          </w:tcPr>
          <w:p>
            <w:pPr>
              <w:jc w:val="center"/>
            </w:pPr>
            <w:r>
              <w:rPr>
                <w:color w:val="000000"/>
                <w:sz w:val="24"/>
              </w:rPr>
              <w:t>美国联合健康集团</w:t>
            </w:r>
          </w:p>
        </w:tc>
        <w:tc>
          <w:tcPr>
            <w:vAlign w:val="center"/>
          </w:tcPr>
          <w:p>
            <w:pPr>
              <w:jc w:val="center"/>
            </w:pPr>
            <w:r>
              <w:rPr>
                <w:color w:val="000000"/>
                <w:sz w:val="24"/>
              </w:rPr>
              <w:t>UNH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1,406</w:t>
            </w:r>
          </w:p>
        </w:tc>
        <w:tc>
          <w:tcPr>
            <w:vAlign w:val="center"/>
          </w:tcPr>
          <w:p>
            <w:pPr>
              <w:jc w:val="right"/>
            </w:pPr>
            <w:r>
              <w:rPr>
                <w:color w:val="000000"/>
                <w:sz w:val="24"/>
              </w:rPr>
              <w:t>2,573,180.17</w:t>
            </w:r>
          </w:p>
        </w:tc>
        <w:tc>
          <w:tcPr>
            <w:vAlign w:val="center"/>
          </w:tcPr>
          <w:p>
            <w:pPr>
              <w:jc w:val="right"/>
            </w:pPr>
            <w:r>
              <w:rPr>
                <w:color w:val="000000"/>
                <w:sz w:val="24"/>
              </w:rPr>
              <w:t>2.10</w:t>
            </w:r>
          </w:p>
        </w:tc>
      </w:tr>
      <w:tr>
        <w:tc>
          <w:tcPr>
            <w:vAlign w:val="center"/>
          </w:tcPr>
          <w:p>
            <w:pPr>
              <w:jc w:val="center"/>
            </w:pPr>
            <w:r>
              <w:rPr>
                <w:color w:val="000000"/>
                <w:sz w:val="24"/>
              </w:rPr>
              <w:t>5</w:t>
            </w:r>
          </w:p>
        </w:tc>
        <w:tc>
          <w:tcPr>
            <w:vAlign w:val="center"/>
          </w:tcPr>
          <w:p>
            <w:pPr>
              <w:jc w:val="center"/>
            </w:pPr>
            <w:r>
              <w:rPr>
                <w:color w:val="000000"/>
                <w:sz w:val="24"/>
              </w:rPr>
              <w:t>Visa Inc</w:t>
            </w:r>
          </w:p>
        </w:tc>
        <w:tc>
          <w:tcPr>
            <w:vAlign w:val="center"/>
          </w:tcPr>
          <w:p>
            <w:pPr>
              <w:jc w:val="center"/>
            </w:pPr>
            <w:r>
              <w:rPr>
                <w:color w:val="000000"/>
                <w:sz w:val="24"/>
              </w:rPr>
              <w:t>维萨公司</w:t>
            </w:r>
          </w:p>
        </w:tc>
        <w:tc>
          <w:tcPr>
            <w:vAlign w:val="center"/>
          </w:tcPr>
          <w:p>
            <w:pPr>
              <w:jc w:val="center"/>
            </w:pPr>
            <w:r>
              <w:rPr>
                <w:color w:val="000000"/>
                <w:sz w:val="24"/>
              </w:rPr>
              <w:t>V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2,480</w:t>
            </w:r>
          </w:p>
        </w:tc>
        <w:tc>
          <w:tcPr>
            <w:vAlign w:val="center"/>
          </w:tcPr>
          <w:p>
            <w:pPr>
              <w:jc w:val="right"/>
            </w:pPr>
            <w:r>
              <w:rPr>
                <w:color w:val="000000"/>
                <w:sz w:val="24"/>
              </w:rPr>
              <w:t>2,560,597.84</w:t>
            </w:r>
          </w:p>
        </w:tc>
        <w:tc>
          <w:tcPr>
            <w:vAlign w:val="center"/>
          </w:tcPr>
          <w:p>
            <w:pPr>
              <w:jc w:val="right"/>
            </w:pPr>
            <w:r>
              <w:rPr>
                <w:color w:val="000000"/>
                <w:sz w:val="24"/>
              </w:rPr>
              <w:t>2.09</w:t>
            </w:r>
          </w:p>
        </w:tc>
      </w:tr>
      <w:tr>
        <w:tc>
          <w:tcPr>
            <w:vAlign w:val="center"/>
          </w:tcPr>
          <w:p>
            <w:pPr>
              <w:jc w:val="center"/>
            </w:pPr>
            <w:r>
              <w:rPr>
                <w:color w:val="000000"/>
                <w:sz w:val="24"/>
              </w:rPr>
              <w:t>6</w:t>
            </w:r>
          </w:p>
        </w:tc>
        <w:tc>
          <w:tcPr>
            <w:vAlign w:val="center"/>
          </w:tcPr>
          <w:p>
            <w:pPr>
              <w:jc w:val="center"/>
            </w:pPr>
            <w:r>
              <w:rPr>
                <w:color w:val="000000"/>
                <w:sz w:val="24"/>
              </w:rPr>
              <w:t>Bank of America Corporation</w:t>
            </w:r>
          </w:p>
        </w:tc>
        <w:tc>
          <w:tcPr>
            <w:vAlign w:val="center"/>
          </w:tcPr>
          <w:p>
            <w:pPr>
              <w:jc w:val="center"/>
            </w:pPr>
            <w:r>
              <w:rPr>
                <w:color w:val="000000"/>
                <w:sz w:val="24"/>
              </w:rPr>
              <w:t>美国银行</w:t>
            </w:r>
          </w:p>
        </w:tc>
        <w:tc>
          <w:tcPr>
            <w:vAlign w:val="center"/>
          </w:tcPr>
          <w:p>
            <w:pPr>
              <w:jc w:val="center"/>
            </w:pPr>
            <w:r>
              <w:rPr>
                <w:color w:val="000000"/>
                <w:sz w:val="24"/>
              </w:rPr>
              <w:t>BAC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12,478</w:t>
            </w:r>
          </w:p>
        </w:tc>
        <w:tc>
          <w:tcPr>
            <w:vAlign w:val="center"/>
          </w:tcPr>
          <w:p>
            <w:pPr>
              <w:jc w:val="right"/>
            </w:pPr>
            <w:r>
              <w:rPr>
                <w:color w:val="000000"/>
                <w:sz w:val="24"/>
              </w:rPr>
              <w:t>2,528,806.85</w:t>
            </w:r>
          </w:p>
        </w:tc>
        <w:tc>
          <w:tcPr>
            <w:vAlign w:val="center"/>
          </w:tcPr>
          <w:p>
            <w:pPr>
              <w:jc w:val="right"/>
            </w:pPr>
            <w:r>
              <w:rPr>
                <w:color w:val="000000"/>
                <w:sz w:val="24"/>
              </w:rPr>
              <w:t>2.06</w:t>
            </w:r>
          </w:p>
        </w:tc>
      </w:tr>
      <w:tr>
        <w:tc>
          <w:tcPr>
            <w:vAlign w:val="center"/>
          </w:tcPr>
          <w:p>
            <w:pPr>
              <w:jc w:val="center"/>
            </w:pPr>
            <w:r>
              <w:rPr>
                <w:color w:val="000000"/>
                <w:sz w:val="24"/>
              </w:rPr>
              <w:t>7</w:t>
            </w:r>
          </w:p>
        </w:tc>
        <w:tc>
          <w:tcPr>
            <w:vAlign w:val="center"/>
          </w:tcPr>
          <w:p>
            <w:pPr>
              <w:jc w:val="center"/>
            </w:pPr>
            <w:r>
              <w:rPr>
                <w:color w:val="000000"/>
                <w:sz w:val="24"/>
              </w:rPr>
              <w:t>Danaher Corporation</w:t>
            </w:r>
          </w:p>
        </w:tc>
        <w:tc>
          <w:tcPr>
            <w:vAlign w:val="center"/>
          </w:tcPr>
          <w:p>
            <w:pPr>
              <w:jc w:val="center"/>
            </w:pPr>
            <w:r>
              <w:rPr>
                <w:color w:val="000000"/>
                <w:sz w:val="24"/>
              </w:rPr>
              <w:t>丹纳赫</w:t>
            </w:r>
          </w:p>
        </w:tc>
        <w:tc>
          <w:tcPr>
            <w:vAlign w:val="center"/>
          </w:tcPr>
          <w:p>
            <w:pPr>
              <w:jc w:val="center"/>
            </w:pPr>
            <w:r>
              <w:rPr>
                <w:color w:val="000000"/>
                <w:sz w:val="24"/>
              </w:rPr>
              <w:t>DHR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3,322</w:t>
            </w:r>
          </w:p>
        </w:tc>
        <w:tc>
          <w:tcPr>
            <w:vAlign w:val="center"/>
          </w:tcPr>
          <w:p>
            <w:pPr>
              <w:jc w:val="right"/>
            </w:pPr>
            <w:r>
              <w:rPr>
                <w:color w:val="000000"/>
                <w:sz w:val="24"/>
              </w:rPr>
              <w:t>2,483,174.64</w:t>
            </w:r>
          </w:p>
        </w:tc>
        <w:tc>
          <w:tcPr>
            <w:vAlign w:val="center"/>
          </w:tcPr>
          <w:p>
            <w:pPr>
              <w:jc w:val="right"/>
            </w:pPr>
            <w:r>
              <w:rPr>
                <w:color w:val="000000"/>
                <w:sz w:val="24"/>
              </w:rPr>
              <w:t>2.02</w:t>
            </w:r>
          </w:p>
        </w:tc>
      </w:tr>
      <w:tr>
        <w:tc>
          <w:tcPr>
            <w:vAlign w:val="center"/>
          </w:tcPr>
          <w:p>
            <w:pPr>
              <w:jc w:val="center"/>
            </w:pPr>
            <w:r>
              <w:rPr>
                <w:color w:val="000000"/>
                <w:sz w:val="24"/>
              </w:rPr>
              <w:t>8</w:t>
            </w:r>
          </w:p>
        </w:tc>
        <w:tc>
          <w:tcPr>
            <w:vAlign w:val="center"/>
          </w:tcPr>
          <w:p>
            <w:pPr>
              <w:jc w:val="center"/>
            </w:pPr>
            <w:r>
              <w:rPr>
                <w:color w:val="000000"/>
                <w:sz w:val="24"/>
              </w:rPr>
              <w:t>T-Mobile US Inc</w:t>
            </w:r>
          </w:p>
        </w:tc>
        <w:tc>
          <w:tcPr>
            <w:vAlign w:val="center"/>
          </w:tcPr>
          <w:p>
            <w:pPr>
              <w:jc w:val="center"/>
            </w:pPr>
            <w:r>
              <w:rPr>
                <w:color w:val="000000"/>
                <w:sz w:val="24"/>
              </w:rPr>
              <w:t>T-Mobile US有限公司</w:t>
            </w:r>
          </w:p>
        </w:tc>
        <w:tc>
          <w:tcPr>
            <w:vAlign w:val="center"/>
          </w:tcPr>
          <w:p>
            <w:pPr>
              <w:jc w:val="center"/>
            </w:pPr>
            <w:r>
              <w:rPr>
                <w:color w:val="000000"/>
                <w:sz w:val="24"/>
              </w:rPr>
              <w:t>TMUS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4,980</w:t>
            </w:r>
          </w:p>
        </w:tc>
        <w:tc>
          <w:tcPr>
            <w:vAlign w:val="center"/>
          </w:tcPr>
          <w:p>
            <w:pPr>
              <w:jc w:val="right"/>
            </w:pPr>
            <w:r>
              <w:rPr>
                <w:color w:val="000000"/>
                <w:sz w:val="24"/>
              </w:rPr>
              <w:t>2,404,255.63</w:t>
            </w:r>
          </w:p>
        </w:tc>
        <w:tc>
          <w:tcPr>
            <w:vAlign w:val="center"/>
          </w:tcPr>
          <w:p>
            <w:pPr>
              <w:jc w:val="right"/>
            </w:pPr>
            <w:r>
              <w:rPr>
                <w:color w:val="000000"/>
                <w:sz w:val="24"/>
              </w:rPr>
              <w:t>1.96</w:t>
            </w:r>
          </w:p>
        </w:tc>
      </w:tr>
      <w:tr>
        <w:tc>
          <w:tcPr>
            <w:vAlign w:val="center"/>
          </w:tcPr>
          <w:p>
            <w:pPr>
              <w:jc w:val="center"/>
            </w:pPr>
            <w:r>
              <w:rPr>
                <w:color w:val="000000"/>
                <w:sz w:val="24"/>
              </w:rPr>
              <w:t>9</w:t>
            </w:r>
          </w:p>
        </w:tc>
        <w:tc>
          <w:tcPr>
            <w:vAlign w:val="center"/>
          </w:tcPr>
          <w:p>
            <w:pPr>
              <w:jc w:val="center"/>
            </w:pPr>
            <w:r>
              <w:rPr>
                <w:color w:val="000000"/>
                <w:sz w:val="24"/>
              </w:rPr>
              <w:t>Thermo Fisher Scientific Inc</w:t>
            </w:r>
          </w:p>
        </w:tc>
        <w:tc>
          <w:tcPr>
            <w:vAlign w:val="center"/>
          </w:tcPr>
          <w:p>
            <w:pPr>
              <w:jc w:val="center"/>
            </w:pPr>
            <w:r>
              <w:rPr>
                <w:color w:val="000000"/>
                <w:sz w:val="24"/>
              </w:rPr>
              <w:t>赛默飞世尔科技公司</w:t>
            </w:r>
          </w:p>
        </w:tc>
        <w:tc>
          <w:tcPr>
            <w:vAlign w:val="center"/>
          </w:tcPr>
          <w:p>
            <w:pPr>
              <w:jc w:val="center"/>
            </w:pPr>
            <w:r>
              <w:rPr>
                <w:color w:val="000000"/>
                <w:sz w:val="24"/>
              </w:rPr>
              <w:t>TMO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1,411</w:t>
            </w:r>
          </w:p>
        </w:tc>
        <w:tc>
          <w:tcPr>
            <w:vAlign w:val="center"/>
          </w:tcPr>
          <w:p>
            <w:pPr>
              <w:jc w:val="right"/>
            </w:pPr>
            <w:r>
              <w:rPr>
                <w:color w:val="000000"/>
                <w:sz w:val="24"/>
              </w:rPr>
              <w:t>2,369,175.02</w:t>
            </w:r>
          </w:p>
        </w:tc>
        <w:tc>
          <w:tcPr>
            <w:vAlign w:val="center"/>
          </w:tcPr>
          <w:p>
            <w:pPr>
              <w:jc w:val="right"/>
            </w:pPr>
            <w:r>
              <w:rPr>
                <w:color w:val="000000"/>
                <w:sz w:val="24"/>
              </w:rPr>
              <w:t>1.93</w:t>
            </w:r>
          </w:p>
        </w:tc>
      </w:tr>
      <w:tr>
        <w:tc>
          <w:tcPr>
            <w:vAlign w:val="center"/>
          </w:tcPr>
          <w:p>
            <w:pPr>
              <w:jc w:val="center"/>
            </w:pPr>
            <w:r>
              <w:rPr>
                <w:color w:val="000000"/>
                <w:sz w:val="24"/>
              </w:rPr>
              <w:t>10</w:t>
            </w:r>
          </w:p>
        </w:tc>
        <w:tc>
          <w:tcPr>
            <w:vAlign w:val="center"/>
          </w:tcPr>
          <w:p>
            <w:pPr>
              <w:jc w:val="center"/>
            </w:pPr>
            <w:r>
              <w:rPr>
                <w:color w:val="000000"/>
                <w:sz w:val="24"/>
              </w:rPr>
              <w:t>Microsoft Corp.</w:t>
            </w:r>
          </w:p>
        </w:tc>
        <w:tc>
          <w:tcPr>
            <w:vAlign w:val="center"/>
          </w:tcPr>
          <w:p>
            <w:pPr>
              <w:jc w:val="center"/>
            </w:pPr>
            <w:r>
              <w:rPr>
                <w:color w:val="000000"/>
                <w:sz w:val="24"/>
              </w:rPr>
              <w:t>微软公司</w:t>
            </w:r>
          </w:p>
        </w:tc>
        <w:tc>
          <w:tcPr>
            <w:vAlign w:val="center"/>
          </w:tcPr>
          <w:p>
            <w:pPr>
              <w:jc w:val="center"/>
            </w:pPr>
            <w:r>
              <w:rPr>
                <w:color w:val="000000"/>
                <w:sz w:val="24"/>
              </w:rPr>
              <w:t>MSFT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2,947</w:t>
            </w:r>
          </w:p>
        </w:tc>
        <w:tc>
          <w:tcPr>
            <w:vAlign w:val="center"/>
          </w:tcPr>
          <w:p>
            <w:pPr>
              <w:jc w:val="right"/>
            </w:pPr>
            <w:r>
              <w:rPr>
                <w:color w:val="000000"/>
                <w:sz w:val="24"/>
              </w:rPr>
              <w:t>2,318,623.28</w:t>
            </w:r>
          </w:p>
        </w:tc>
        <w:tc>
          <w:tcPr>
            <w:vAlign w:val="center"/>
          </w:tcPr>
          <w:p>
            <w:pPr>
              <w:jc w:val="right"/>
            </w:pPr>
            <w:r>
              <w:rPr>
                <w:color w:val="000000"/>
                <w:sz w:val="24"/>
              </w:rPr>
              <w:t>1.89</w:t>
            </w:r>
          </w:p>
        </w:tc>
      </w:tr>
    </w:tbl>
    <w:p w:rsidP="005546C0" w:rsidR="00521EDE" w:rsidRDefault="00521EDE" w:rsidRPr="008640AE">
      <w:pPr>
        <w:autoSpaceDE w:val="0"/>
        <w:autoSpaceDN w:val="0"/>
        <w:adjustRightInd w:val="0"/>
        <w:spacing w:before="29" w:line="288" w:lineRule="auto"/>
        <w:ind w:left="15"/>
        <w:jc w:val="left"/>
        <w:rPr>
          <w:color w:val="00000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P="005546C0" w:rsidR="005B6AC7" w:rsidRDefault="005B6AC7" w:rsidRPr="008640AE">
      <w:pPr>
        <w:autoSpaceDE w:val="0"/>
        <w:autoSpaceDN w:val="0"/>
        <w:adjustRightInd w:val="0"/>
        <w:spacing w:before="29" w:line="288" w:lineRule="auto"/>
        <w:ind w:left="15"/>
        <w:jc w:val="left"/>
        <w:rPr>
          <w:b/>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本基金本报告期末未持有金融衍生品。</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AC424A"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2C1372"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10</w:t>
      </w:r>
      <w:r w:rsidR="0076518F" w:rsidRPr="008640AE">
        <w:rPr>
          <w:b/>
          <w:color w:val="000000"/>
          <w:kern w:val="0"/>
          <w:sz w:val="24"/>
        </w:rPr>
        <w:t>投资组合报告附注</w:t>
      </w:r>
    </w:p>
    <w:p w:rsidP="00A31920" w:rsidR="0076518F" w:rsidRDefault="004966FE" w:rsidRPr="008640A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P="00A31920" w:rsidR="0076518F" w:rsidRDefault="001D3187" w:rsidRPr="008640A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color w:val="000000"/>
            <w:kern w:val="0"/>
            <w:sz w:val="24"/>
          </w:rPr>
          <w:t>5.10.3</w:t>
        </w:r>
      </w:smartTag>
      <w:r w:rsidRPr="008640AE">
        <w:rPr>
          <w:color w:val="000000"/>
          <w:kern w:val="0"/>
          <w:sz w:val="24"/>
        </w:rPr>
        <w:t>其他资产构成</w:t>
      </w:r>
    </w:p>
    <w:tbl>
      <w:tblPr>
        <w:tblStyle w:val="af7"/>
        <w:tblW w:type="dxa" w:w="8868"/>
        <w:jc w:val="center"/>
        <w:tblInd w:type="dxa" w:w="15"/>
        <w:tblLayout w:type="fixed"/>
        <w:tblLook w:val="04A0"/>
      </w:tblPr>
      <w:tblGrid>
        <w:gridCol w:w="836"/>
        <w:gridCol w:w="3024"/>
        <w:gridCol w:w="5008"/>
      </w:tblGrid>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type="dxa" w:w="2903"/>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type="dxa" w:w="4808"/>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2</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966,118.34</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3</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248,002.45</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4</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875.24</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5</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370,092.20</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6</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931,034.44</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7</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8</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
            </w:r>
            <w:r w:rsidRPr="008640AE">
              <w:rPr>
                <w:color w:val="000000"/>
                <w:sz w:val="24"/>
              </w:rPr>
              <w:lastRenderedPageBreak/>
              <w:t>9</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lastRenderedPageBreak/>
              <w:t>合计</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2,516,122.67</w:t>
            </w:r>
          </w:p>
        </w:tc>
      </w:tr>
    </w:tbl>
    <w:p w:rsidP="005546C0" w:rsidR="00A22D4B" w:rsidRDefault="00A22D4B" w:rsidRPr="008640AE">
      <w:pPr>
        <w:autoSpaceDE w:val="0"/>
        <w:autoSpaceDN w:val="0"/>
        <w:adjustRightInd w:val="0"/>
        <w:spacing w:before="29" w:line="288" w:lineRule="auto"/>
        <w:jc w:val="left"/>
        <w:rPr>
          <w:b/>
          <w:color w:val="000000"/>
          <w:kern w:val="0"/>
          <w:sz w:val="24"/>
        </w:rPr>
      </w:pPr>
    </w:p>
    <w:p w:rsidP="005546C0" w:rsidR="0076518F" w:rsidRDefault="0076518F" w:rsidRPr="008640AE">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P="005546C0" w:rsidR="00EA3F21" w:rsidRDefault="00EA3F21" w:rsidRPr="008640AE">
      <w:pPr>
        <w:autoSpaceDE w:val="0"/>
        <w:autoSpaceDN w:val="0"/>
        <w:adjustRightInd w:val="0"/>
        <w:spacing w:before="29" w:line="288" w:lineRule="auto"/>
        <w:jc w:val="left"/>
        <w:rPr>
          <w:color w:val="000000"/>
          <w:sz w:val="24"/>
        </w:rPr>
      </w:pP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color w:val="000000"/>
            <w:kern w:val="0"/>
            <w:sz w:val="24"/>
          </w:rPr>
          <w:t>5.10.5</w:t>
        </w:r>
      </w:smartTag>
      <w:r w:rsidRPr="008640AE">
        <w:rPr>
          <w:color w:val="000000"/>
          <w:kern w:val="0"/>
          <w:sz w:val="24"/>
        </w:rPr>
        <w:t>报告期末前十名股票中存在流通受限情况的说明</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P="005546C0" w:rsidR="000E3B88" w:rsidRDefault="000E3B88" w:rsidRPr="008640AE">
      <w:pPr>
        <w:autoSpaceDE w:val="0"/>
        <w:autoSpaceDN w:val="0"/>
        <w:adjustRightInd w:val="0"/>
        <w:spacing w:before="29" w:line="288" w:lineRule="auto"/>
        <w:jc w:val="left"/>
        <w:rPr>
          <w:color w:val="000000"/>
          <w:sz w:val="24"/>
        </w:rPr>
      </w:pPr>
    </w:p>
    <w:p w:rsidP="005546C0" w:rsidR="0076518F" w:rsidRDefault="00280566" w:rsidRPr="008640AE">
      <w:pPr>
        <w:autoSpaceDE w:val="0"/>
        <w:autoSpaceDN w:val="0"/>
        <w:adjustRightInd w:val="0"/>
        <w:spacing w:before="29" w:line="288" w:lineRule="auto"/>
        <w:jc w:val="left"/>
        <w:rPr>
          <w:color w:val="000000"/>
          <w:kern w:val="0"/>
          <w:sz w:val="24"/>
        </w:rPr>
      </w:pPr>
      <w:r w:rsidRPr="008640AE">
        <w:rPr>
          <w:color w:val="000000"/>
          <w:kern w:val="0"/>
          <w:sz w:val="24"/>
        </w:rPr>
        <w:t/>
      </w:r>
      <w:r w:rsidR="0076518F" w:rsidRPr="008640AE">
        <w:rPr>
          <w:color w:val="000000"/>
          <w:kern w:val="0"/>
          <w:sz w:val="24"/>
        </w:rPr>
        <w:t>5.10.6</w:t>
      </w:r>
      <w:r w:rsidR="001C46E1" w:rsidRPr="008640AE">
        <w:rPr>
          <w:color w:val="000000"/>
          <w:kern w:val="0"/>
          <w:sz w:val="24"/>
        </w:rPr>
        <w:t>投资组合报告附注的其他文字描述部分</w:t>
      </w:r>
    </w:p>
    <w:p w:rsidP="00A31920" w:rsidR="000A55BD" w:rsidRDefault="000A55BD" w:rsidRPr="008640AE">
      <w:pPr>
        <w:spacing w:before="29" w:line="288" w:lineRule="auto"/>
        <w:rPr>
          <w:color w:val="000000"/>
          <w:sz w:val="24"/>
        </w:rPr>
      </w:pPr>
      <w:r w:rsidRPr="008640AE">
        <w:rPr>
          <w:color w:val="000000"/>
          <w:sz w:val="24"/>
        </w:rPr>
        <w:t>由于四舍五入的原因，分项之和与合计项之间可能存在尾差。</w:t>
      </w:r>
    </w:p>
    <w:p w:rsidP="005546C0" w:rsidR="00997813" w:rsidRDefault="00997813" w:rsidRPr="008640AE">
      <w:pPr>
        <w:spacing w:before="29" w:line="288" w:lineRule="auto"/>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type="dxa" w:w="8861"/>
        <w:jc w:val="center"/>
        <w:tblLayout w:type="fixed"/>
        <w:tblLook w:val="0000"/>
      </w:tblPr>
      <w:tblGrid>
        <w:gridCol w:w="4609"/>
        <w:gridCol w:w="4252"/>
      </w:tblGrid>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报告期期初基金份额总额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BF1DD5" w:rsidRPr="008640AE">
            <w:pPr>
              <w:autoSpaceDE w:val="0"/>
              <w:autoSpaceDN w:val="0"/>
              <w:adjustRightInd w:val="0"/>
              <w:spacing w:before="29" w:line="288" w:lineRule="auto"/>
              <w:ind w:left="17"/>
              <w:jc w:val="right"/>
              <w:rPr>
                <w:color w:val="000000"/>
                <w:sz w:val="24"/>
              </w:rPr>
            </w:pPr>
            <w:r w:rsidRPr="008640AE">
              <w:rPr>
                <w:color w:val="000000"/>
                <w:sz w:val="24"/>
              </w:rPr>
              <w:t/>
            </w:r>
            <w:r w:rsidR="008975BC" w:rsidRPr="008640AE">
              <w:rPr>
                <w:color w:val="000000"/>
                <w:sz w:val="24"/>
              </w:rPr>
              <w:t>63,199,718.59</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A236D2"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3,955,674.33</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1976B1" w:rsidRPr="008640AE">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3,672,237.64</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E8405D" w:rsidR="008975BC" w:rsidRDefault="003C60D5"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2C3CD4"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63,483,155.28</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注：1、如果本报告期间发生转换入、红利再投业务，则总申购份额中包含该业务；   </w:t>
      </w:r>
    </w:p>
    <w:p w:rsidP="005546C0" w:rsidR="004027BA" w:rsidRDefault="004027BA" w:rsidRPr="008640AE">
      <w:pPr>
        <w:autoSpaceDE w:val="0"/>
        <w:autoSpaceDN w:val="0"/>
        <w:adjustRightInd w:val="0"/>
        <w:spacing w:before="29" w:line="288" w:lineRule="auto"/>
        <w:jc w:val="left"/>
        <w:rPr>
          <w:color w:val="000000"/>
          <w:sz w:val="24"/>
        </w:rPr>
      </w:pPr>
      <w:r w:rsidRPr="008640AE">
        <w:rPr>
          <w:color w:val="000000"/>
          <w:sz w:val="24"/>
        </w:rPr>
        <w:t xml:space="preserve">    2、如果本报告期间发生转换出业务，则总赎回份额中包含该业务。</w:t>
      </w:r>
    </w:p>
    <w:p w:rsidP="005546C0" w:rsidR="00CF0249" w:rsidRDefault="00CF0249" w:rsidRPr="008640AE">
      <w:pPr>
        <w:autoSpaceDE w:val="0"/>
        <w:autoSpaceDN w:val="0"/>
        <w:adjustRightInd w:val="0"/>
        <w:spacing w:before="29" w:line="288" w:lineRule="auto"/>
        <w:jc w:val="left"/>
        <w:rPr>
          <w:color w:val="000000"/>
          <w:sz w:val="24"/>
        </w:rPr>
      </w:pPr>
    </w:p>
    <w:p w:rsidP="00BB3041" w:rsidR="005E64DA" w:rsidRDefault="005E64DA" w:rsidRPr="008640AE">
      <w:pPr>
        <w:pStyle w:val="1"/>
        <w:spacing w:afterLines="100" w:beforeLines="100" w:line="288" w:lineRule="auto"/>
        <w:jc w:val="center"/>
        <w:rPr>
          <w:color w:val="000000"/>
          <w:kern w:val="0"/>
          <w:sz w:val="24"/>
          <w:szCs w:val="24"/>
        </w:rPr>
      </w:pPr>
      <w:r w:rsidRPr="008640AE">
        <w:rPr>
          <w:color w:val="000000"/>
          <w:kern w:val="0"/>
          <w:sz w:val="24"/>
          <w:szCs w:val="24"/>
        </w:rPr>
        <w:t>§</w:t>
      </w:r>
      <w:r w:rsidR="001A76EF">
        <w:rPr>
          <w:rFonts w:hint="eastAsia"/>
          <w:color w:val="000000"/>
          <w:kern w:val="0"/>
          <w:sz w:val="24"/>
          <w:szCs w:val="24"/>
        </w:rPr>
        <w:t/>
      </w:r>
      <w:r w:rsidRPr="008640AE">
        <w:rPr>
          <w:color w:val="000000"/>
          <w:kern w:val="0"/>
          <w:sz w:val="24"/>
          <w:szCs w:val="24"/>
        </w:rPr>
        <w:t xml:space="preserve">7  </w:t>
      </w:r>
      <w:r w:rsidRPr="008640AE">
        <w:rPr>
          <w:color w:val="000000"/>
          <w:kern w:val="0"/>
          <w:sz w:val="24"/>
          <w:szCs w:val="24"/>
        </w:rPr>
        <w:t>基金管理人运用固有资金投资本基金交易明细</w:t>
      </w:r>
    </w:p>
    <w:p w:rsidP="005546C0" w:rsidR="005E64DA" w:rsidRDefault="005E64DA" w:rsidRPr="008640AE">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本基金管理人本报告期内未进行本基金的申购、赎回、红利再投等；本基金管理人本报告期末持有本基金27,024,464.49份，占本基金期末总份额的42.57%。</w:t>
      </w:r>
    </w:p>
    <w:p w:rsidP="005546C0" w:rsidR="00200B62" w:rsidRDefault="00200B62" w:rsidRPr="008640AE">
      <w:pPr>
        <w:autoSpaceDE w:val="0"/>
        <w:autoSpaceDN w:val="0"/>
        <w:adjustRightInd w:val="0"/>
        <w:spacing w:before="29" w:line="288" w:lineRule="auto"/>
        <w:jc w:val="left"/>
        <w:rPr>
          <w:color w:val="000000"/>
          <w:sz w:val="24"/>
        </w:rPr>
      </w:pPr>
    </w:p>
    <w:p w:rsidP="00BB3041" w:rsidR="00ED3DCF" w:rsidRDefault="00ED3DCF">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 影响投资者决策的其他重要信息</w:t>
      </w:r>
    </w:p>
    <w:p w:rsidP="00ED3DCF" w:rsidR="00ED3DCF" w:rsidRDefault="00ED3DCF">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ED3DCF" w:rsidTr="00ED3DCF">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type="dxa" w:w="993"/>
            <w:vMerge/>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2018/7/1-2018/9/30</w:t>
            </w:r>
          </w:p>
        </w:tc>
        <w:tc>
          <w:tcPr>
            <w:vAlign w:val="center"/>
          </w:tcPr>
          <w:p>
            <w:pPr>
              <w:jc w:val="center"/>
            </w:pPr>
            <w:r>
              <w:rPr>
                <w:rFonts w:ascii="宋体" w:hAnsi="宋体" w:hint="eastAsia"/>
                <w:color w:val="000000"/>
                <w:kern w:val="0"/>
                <w:szCs w:val="21"/>
              </w:rPr>
              <w:t>27,024,464.49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27,024,464.49</w:t>
            </w:r>
          </w:p>
        </w:tc>
        <w:tc>
          <w:tcPr>
            <w:vAlign w:val="center"/>
          </w:tcPr>
          <w:p>
            <w:pPr>
              <w:jc w:val="center"/>
            </w:pPr>
            <w:r>
              <w:rPr>
                <w:rFonts w:ascii="宋体" w:hAnsi="宋体" w:hint="eastAsia"/>
                <w:color w:val="000000"/>
                <w:kern w:val="0"/>
                <w:szCs w:val="21"/>
              </w:rPr>
              <w:t>42.57%</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
      </w:r>
      <w:r w:rsidR="00376A15" w:rsidRPr="008640AE">
        <w:rPr>
          <w:color w:val="000000"/>
          <w:kern w:val="0"/>
          <w:sz w:val="24"/>
          <w:szCs w:val="24"/>
        </w:rPr>
        <w:t/>
      </w:r>
      <w:r w:rsidR="00AE7D44" w:rsidRPr="008640AE">
        <w:rPr>
          <w:color w:val="000000"/>
          <w:kern w:val="0"/>
          <w:sz w:val="24"/>
          <w:szCs w:val="24"/>
        </w:rPr>
        <w:t/>
      </w:r>
      <w:r w:rsidR="00B111B9" w:rsidRPr="008640AE">
        <w:rPr>
          <w:color w:val="000000"/>
          <w:kern w:val="0"/>
          <w:sz w:val="24"/>
          <w:szCs w:val="24"/>
        </w:rPr>
        <w:t/>
      </w:r>
      <w:r w:rsidR="002711AA" w:rsidRPr="008640AE">
        <w:rPr>
          <w:color w:val="000000"/>
          <w:kern w:val="0"/>
          <w:sz w:val="24"/>
          <w:szCs w:val="24"/>
        </w:rPr>
        <w:t>9</w:t>
      </w:r>
      <w:r w:rsidRPr="008640AE">
        <w:rPr>
          <w:color w:val="000000"/>
          <w:kern w:val="0"/>
          <w:sz w:val="24"/>
          <w:szCs w:val="24"/>
        </w:rPr>
        <w:t>备查文件目录</w:t>
      </w: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
      </w:r>
      <w:r w:rsidR="008975BC" w:rsidRPr="008640AE">
        <w:rPr>
          <w:b/>
          <w:bCs/>
          <w:color w:val="000000"/>
          <w:kern w:val="0"/>
          <w:sz w:val="24"/>
        </w:rPr>
        <w:t/>
      </w:r>
      <w:r w:rsidR="00376A15" w:rsidRPr="008640AE">
        <w:rPr>
          <w:b/>
          <w:bCs/>
          <w:color w:val="000000"/>
          <w:kern w:val="0"/>
          <w:sz w:val="24"/>
        </w:rPr>
        <w:t>1</w:t>
      </w:r>
      <w:r w:rsidR="008975BC" w:rsidRPr="008640AE">
        <w:rPr>
          <w:b/>
          <w:bCs/>
          <w:color w:val="000000"/>
          <w:kern w:val="0"/>
          <w:sz w:val="24"/>
        </w:rPr>
        <w:t>备查文件目录</w:t>
      </w:r>
    </w:p>
    <w:p>
      <w:pPr>
        <w:spacing w:before="29" w:line="288" w:lineRule="auto"/>
        <w:ind w:firstLine="480" w:firstLineChars="200"/>
        <w:rPr>
          <w:color w:val="000000"/>
          <w:sz w:val="24"/>
        </w:rPr>
      </w:pPr>
      <w:r>
        <w:rPr>
          <w:color w:val="000000"/>
          <w:sz w:val="24"/>
        </w:rPr>
        <w:t>1、中国证监会批准交银施罗德环球精选价值证券投资基金募集的文件；</w:t>
      </w:r>
    </w:p>
    <w:p>
      <w:pPr>
        <w:spacing w:before="29" w:line="288" w:lineRule="auto"/>
        <w:ind w:firstLine="480" w:firstLineChars="200"/>
        <w:rPr>
          <w:color w:val="000000"/>
          <w:sz w:val="24"/>
        </w:rPr>
      </w:pPr>
      <w:r>
        <w:rPr>
          <w:color w:val="000000"/>
          <w:sz w:val="24"/>
        </w:rPr>
        <w:t>2、《交银施罗德环球精选价值证券投资基金基金合同》；</w:t>
      </w:r>
    </w:p>
    <w:p>
      <w:pPr>
        <w:spacing w:before="29" w:line="288" w:lineRule="auto"/>
        <w:ind w:firstLine="480" w:firstLineChars="200"/>
        <w:rPr>
          <w:color w:val="000000"/>
          <w:sz w:val="24"/>
        </w:rPr>
      </w:pPr>
      <w:r>
        <w:rPr>
          <w:color w:val="000000"/>
          <w:sz w:val="24"/>
        </w:rPr>
        <w:t>3、《交银施罗德环球精选价值证券投资基金招募说明书》；</w:t>
      </w:r>
    </w:p>
    <w:p>
      <w:pPr>
        <w:spacing w:before="29" w:line="288" w:lineRule="auto"/>
        <w:ind w:firstLine="480" w:firstLineChars="200"/>
        <w:rPr>
          <w:color w:val="000000"/>
          <w:sz w:val="24"/>
        </w:rPr>
      </w:pPr>
      <w:r>
        <w:rPr>
          <w:color w:val="000000"/>
          <w:sz w:val="24"/>
        </w:rPr>
        <w:t xml:space="preserve">4、《交银施罗德环球精选价值证券投资基金托管协议》； </w:t>
      </w:r>
    </w:p>
    <w:p>
      <w:pPr>
        <w:spacing w:before="29" w:line="288" w:lineRule="auto"/>
        <w:ind w:firstLine="480" w:firstLineChars="200"/>
        <w:rPr>
          <w:color w:val="000000"/>
          <w:sz w:val="24"/>
        </w:rPr>
      </w:pPr>
      <w:r>
        <w:rPr>
          <w:color w:val="000000"/>
          <w:sz w:val="24"/>
        </w:rPr>
        <w:t>5、关于申请募集交银施罗德环球精选价值证券投资基金之法律意见书；</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7、基金托管人业务资格批件、营业执照；</w:t>
      </w:r>
    </w:p>
    <w:p w:rsidP="005546C0" w:rsidR="008975BC" w:rsidRDefault="008975BC" w:rsidRPr="008640AE">
      <w:pPr>
        <w:spacing w:before="29" w:line="288" w:lineRule="auto"/>
        <w:ind w:firstLine="480" w:firstLineChars="200"/>
        <w:rPr>
          <w:color w:val="000000"/>
          <w:sz w:val="24"/>
        </w:rPr>
      </w:pPr>
      <w:r w:rsidRPr="008640AE">
        <w:rPr>
          <w:color w:val="000000"/>
          <w:sz w:val="24"/>
        </w:rPr>
        <w:t>8、报告期内交银施罗德环球精选价值证券投资基金在指定报刊上各项公告的原稿。</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P="005546C0" w:rsidR="008975BC" w:rsidRDefault="008975BC" w:rsidRPr="008640AE">
      <w:pPr>
        <w:spacing w:before="29" w:line="288" w:lineRule="auto"/>
        <w:ind w:firstLine="480" w:firstLineChars="200"/>
        <w:rPr>
          <w:color w:val="000000"/>
          <w:sz w:val="24"/>
        </w:rPr>
      </w:pPr>
      <w:r w:rsidRPr="008640AE">
        <w:rPr>
          <w:color w:val="000000"/>
          <w:sz w:val="24"/>
        </w:rPr>
        <w:t>备查文件存放于基金管理人的办公场所。</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5546C0" w:rsidR="007D4AE2" w:rsidRDefault="008975BC" w:rsidRPr="008640AE">
      <w:pPr>
        <w:spacing w:before="29" w:line="288" w:lineRule="auto"/>
        <w:ind w:firstLine="480" w:firstLineChars="200"/>
        <w:rPr>
          <w:color w:val="000000"/>
          <w:sz w:val="24"/>
        </w:rPr>
      </w:pPr>
      <w:r w:rsidRPr="008640AE">
        <w:rPr>
          <w:color w:val="000000"/>
          <w:sz w:val="24"/>
        </w:rPr>
        <w:t>投资者对本报告书如有疑问，可咨询本基金管理人交银施罗德基金管理有限公司。本公司客户服务中心电话：400-700-5000（免长途话费），021-61055000，电子邮件：services@jysld.com。</w:t>
      </w:r>
    </w:p>
    <w:p w:rsidP="005546C0" w:rsidR="007D4AE2" w:rsidRDefault="007D4AE2" w:rsidRPr="008640AE">
      <w:pPr>
        <w:spacing w:before="29" w:line="288" w:lineRule="auto"/>
        <w:ind w:firstLine="480" w:firstLineChars="200"/>
        <w:rPr>
          <w:color w:val="000000"/>
          <w:sz w:val="24"/>
        </w:rPr>
      </w:pPr>
    </w:p>
    <w:sectPr w:rsidR="007D4AE2" w:rsidRPr="008640AE" w:rsidSect="002537A4">
      <w:headerReference r:id="rId14" w:type="even"/>
      <w:footerReference r:id="rId15" w:type="even"/>
      <w:headerReference r:id="rId16" w:type="first"/>
      <w:footerReference r:id="rId17" w:type="first"/>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F6" w:rsidRDefault="008278F6">
      <w:r>
        <w:separator/>
      </w:r>
    </w:p>
  </w:endnote>
  <w:endnote w:type="continuationSeparator" w:id="0">
    <w:p w:rsidR="008278F6" w:rsidRDefault="00827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B918B8" w:rsidR="007D1292" w:rsidRDefault="007D1292" w:rsidRPr="001D0DB0">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BB3041">
      <w:rPr>
        <w:noProof/>
        <w:kern w:val="0"/>
        <w:szCs w:val="21"/>
      </w:rPr>
      <w:t>13</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BB3041">
      <w:rPr>
        <w:noProof/>
        <w:kern w:val="0"/>
        <w:szCs w:val="21"/>
      </w:rPr>
      <w:t>19</w:t>
    </w:r>
    <w:r w:rsidR="00DB2A0D">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547D9C" w:rsidRDefault="00DB2A0D">
    <w:pPr>
      <w:pStyle w:val="a6"/>
      <w:framePr w:hAnchor="margin" w:vAnchor="text" w:wrap="around"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8278F6" w:rsidRDefault="008278F6">
      <w:r>
        <w:separator/>
      </w:r>
    </w:p>
  </w:footnote>
  <w:footnote w:id="0" w:type="continuationSeparator">
    <w:p w:rsidR="008278F6" w:rsidRDefault="008278F6">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6069A" w:rsidR="001D1356" w:rsidRDefault="00C6069A" w:rsidRPr="00C6069A">
    <w:pPr>
      <w:pStyle w:val="a9"/>
      <w:pBdr>
        <w:bottom w:color="auto" w:space="0" w:sz="6" w:val="single"/>
      </w:pBdr>
      <w:ind w:firstLine="480"/>
      <w:jc w:val="right"/>
      <w:rPr>
        <w:sz w:val="24"/>
        <w:szCs w:val="24"/>
      </w:rPr>
    </w:pPr>
    <w:r w:rsidRPr="003E676C">
      <w:rPr>
        <w:sz w:val="24"/>
        <w:szCs w:val="24"/>
      </w:rPr>
      <w:t>交银施罗德环球精选价值证券投资基金2018年第3季度报告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9"/>
    </w:pPr>
  </w:p>
</w:hdr>
</file>

<file path=word/header4.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9"/>
    </w:pPr>
  </w:p>
</w:hdr>
</file>

<file path=word/header5.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B1EB3"/>
    <w:rsid w:val="00BB2678"/>
    <w:rsid w:val="00BB3041"/>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rsid w:val="00C503D3"/>
    <w:rPr>
      <w:kern w:val="2"/>
      <w:sz w:val="24"/>
    </w:rPr>
  </w:style>
  <w:style w:styleId="af8" w:type="character">
    <w:name w:val="Strong"/>
    <w:basedOn w:val="a1"/>
    <w:uiPriority w:val="22"/>
    <w:qFormat/>
    <w:rsid w:val="00E97B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20"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103</TotalTime>
  <Pages>19</Pages>
  <Words>3075</Words>
  <Characters>17533</Characters>
  <Application>Microsoft Office Word</Application>
  <DocSecurity>0</DocSecurity>
  <Lines>146</Lines>
  <Paragraphs>41</Paragraphs>
  <ScaleCrop>false</ScaleCrop>
  <Company>TRT. Ltd. Co.</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2013-08-01T05:26:00Z</dcterms:created>
  <dc:creator>bonnieliu</dc:creator>
  <cp:lastModifiedBy>Administrator</cp:lastModifiedBy>
  <cp:lastPrinted>2007-07-19T00:46:00Z</cp:lastPrinted>
  <dcterms:modified xsi:type="dcterms:W3CDTF">2018-09-13T02:59:00Z</dcterms:modified>
  <cp:revision>240</cp:revision>
</cp:coreProperties>
</file>