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DFB" w:rsidRPr="0061644B" w:rsidRDefault="00223DFB" w:rsidP="00792A69">
      <w:pPr>
        <w:autoSpaceDE w:val="0"/>
        <w:autoSpaceDN w:val="0"/>
        <w:adjustRightInd w:val="0"/>
        <w:spacing w:before="29" w:line="288" w:lineRule="auto"/>
        <w:jc w:val="left"/>
        <w:rPr>
          <w:kern w:val="0"/>
          <w:sz w:val="24"/>
        </w:rPr>
      </w:pPr>
    </w:p>
    <w:p w:rsidR="00905E19" w:rsidRPr="0061644B" w:rsidRDefault="00905E19" w:rsidP="00792A69">
      <w:pPr>
        <w:autoSpaceDE w:val="0"/>
        <w:autoSpaceDN w:val="0"/>
        <w:adjustRightInd w:val="0"/>
        <w:spacing w:before="29" w:line="288" w:lineRule="auto"/>
        <w:jc w:val="left"/>
        <w:rPr>
          <w:kern w:val="0"/>
          <w:sz w:val="24"/>
        </w:rPr>
      </w:pPr>
    </w:p>
    <w:p w:rsidR="0013767B" w:rsidRPr="0061644B" w:rsidRDefault="0013767B" w:rsidP="00792A69">
      <w:pPr>
        <w:autoSpaceDE w:val="0"/>
        <w:autoSpaceDN w:val="0"/>
        <w:adjustRightInd w:val="0"/>
        <w:spacing w:before="29" w:line="288" w:lineRule="auto"/>
        <w:jc w:val="left"/>
        <w:rPr>
          <w:kern w:val="0"/>
          <w:sz w:val="24"/>
        </w:rPr>
      </w:pPr>
    </w:p>
    <w:p w:rsidR="00DE1337" w:rsidRPr="0061644B" w:rsidRDefault="00DE1337" w:rsidP="00792A69">
      <w:pPr>
        <w:spacing w:before="29" w:line="288" w:lineRule="auto"/>
        <w:jc w:val="center"/>
        <w:rPr>
          <w:b/>
          <w:sz w:val="36"/>
          <w:szCs w:val="36"/>
        </w:rPr>
      </w:pPr>
    </w:p>
    <w:p w:rsidR="00223DFB" w:rsidRPr="0061644B" w:rsidRDefault="00223DFB" w:rsidP="00792A69">
      <w:pPr>
        <w:spacing w:before="29" w:line="288" w:lineRule="auto"/>
        <w:jc w:val="center"/>
        <w:rPr>
          <w:b/>
          <w:sz w:val="36"/>
          <w:szCs w:val="36"/>
        </w:rPr>
      </w:pPr>
      <w:r w:rsidRPr="0061644B">
        <w:rPr>
          <w:b/>
          <w:sz w:val="36"/>
          <w:szCs w:val="36"/>
        </w:rPr>
        <w:t>交银施罗德天运宝货币市场基金</w:t>
      </w:r>
    </w:p>
    <w:p w:rsidR="00223DFB" w:rsidRPr="0061644B" w:rsidRDefault="00223DFB" w:rsidP="00792A69">
      <w:pPr>
        <w:spacing w:before="29" w:line="288" w:lineRule="auto"/>
        <w:jc w:val="center"/>
        <w:rPr>
          <w:b/>
          <w:sz w:val="36"/>
          <w:szCs w:val="36"/>
        </w:rPr>
      </w:pPr>
      <w:r w:rsidRPr="0061644B">
        <w:rPr>
          <w:b/>
          <w:sz w:val="36"/>
          <w:szCs w:val="36"/>
        </w:rPr>
        <w:t>2018</w:t>
      </w:r>
      <w:r w:rsidRPr="0061644B">
        <w:rPr>
          <w:b/>
          <w:sz w:val="36"/>
          <w:szCs w:val="36"/>
        </w:rPr>
        <w:t>年半年度报告</w:t>
      </w:r>
      <w:r w:rsidR="009E6053" w:rsidRPr="0061644B">
        <w:rPr>
          <w:b/>
          <w:sz w:val="36"/>
          <w:szCs w:val="36"/>
        </w:rPr>
        <w:t>摘要</w:t>
      </w:r>
    </w:p>
    <w:p w:rsidR="00223DFB" w:rsidRPr="0061644B" w:rsidRDefault="00223DFB" w:rsidP="00792A69">
      <w:pPr>
        <w:spacing w:before="29" w:line="288" w:lineRule="auto"/>
        <w:jc w:val="center"/>
        <w:rPr>
          <w:b/>
          <w:sz w:val="36"/>
          <w:szCs w:val="36"/>
        </w:rPr>
      </w:pPr>
      <w:r w:rsidRPr="0061644B">
        <w:rPr>
          <w:b/>
          <w:sz w:val="36"/>
          <w:szCs w:val="36"/>
        </w:rPr>
        <w:t>2018</w:t>
      </w:r>
      <w:r w:rsidRPr="0061644B">
        <w:rPr>
          <w:b/>
          <w:sz w:val="36"/>
          <w:szCs w:val="36"/>
        </w:rPr>
        <w:t>年</w:t>
      </w:r>
      <w:r w:rsidRPr="0061644B">
        <w:rPr>
          <w:b/>
          <w:sz w:val="36"/>
          <w:szCs w:val="36"/>
        </w:rPr>
        <w:t>6</w:t>
      </w:r>
      <w:r w:rsidRPr="0061644B">
        <w:rPr>
          <w:b/>
          <w:sz w:val="36"/>
          <w:szCs w:val="36"/>
        </w:rPr>
        <w:t>月</w:t>
      </w:r>
      <w:r w:rsidRPr="0061644B">
        <w:rPr>
          <w:b/>
          <w:sz w:val="36"/>
          <w:szCs w:val="36"/>
        </w:rPr>
        <w:t>30</w:t>
      </w:r>
      <w:r w:rsidRPr="0061644B">
        <w:rPr>
          <w:b/>
          <w:sz w:val="36"/>
          <w:szCs w:val="36"/>
        </w:rPr>
        <w:t>日</w:t>
      </w:r>
    </w:p>
    <w:p w:rsidR="00223DFB" w:rsidRPr="0061644B" w:rsidRDefault="00223DF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223DFB" w:rsidRPr="0061644B" w:rsidRDefault="00223DFB" w:rsidP="00792A69">
      <w:pPr>
        <w:spacing w:before="29" w:line="288" w:lineRule="auto"/>
        <w:rPr>
          <w:b/>
          <w:sz w:val="24"/>
        </w:rPr>
      </w:pPr>
    </w:p>
    <w:p w:rsidR="00223DFB" w:rsidRPr="0061644B" w:rsidRDefault="00223DFB" w:rsidP="00792A69">
      <w:pPr>
        <w:spacing w:before="29" w:line="288" w:lineRule="auto"/>
        <w:ind w:firstLineChars="900" w:firstLine="2168"/>
        <w:rPr>
          <w:b/>
          <w:color w:val="000000"/>
          <w:sz w:val="24"/>
        </w:rPr>
      </w:pPr>
      <w:r w:rsidRPr="0061644B">
        <w:rPr>
          <w:b/>
          <w:color w:val="000000"/>
          <w:sz w:val="24"/>
        </w:rPr>
        <w:t>基金管理人：交银施罗德基金管理有限公司</w:t>
      </w:r>
    </w:p>
    <w:p w:rsidR="00223DFB" w:rsidRPr="0061644B" w:rsidRDefault="00223DFB" w:rsidP="00792A69">
      <w:pPr>
        <w:spacing w:before="29" w:line="288" w:lineRule="auto"/>
        <w:ind w:firstLineChars="900" w:firstLine="2168"/>
        <w:rPr>
          <w:b/>
          <w:color w:val="000000"/>
          <w:sz w:val="24"/>
        </w:rPr>
      </w:pPr>
      <w:r w:rsidRPr="0061644B">
        <w:rPr>
          <w:b/>
          <w:color w:val="000000"/>
          <w:sz w:val="24"/>
        </w:rPr>
        <w:t>基金托管人：兴业银行股份有限公司</w:t>
      </w:r>
    </w:p>
    <w:p w:rsidR="00223DFB" w:rsidRPr="0061644B" w:rsidRDefault="00223DFB" w:rsidP="00792A69">
      <w:pPr>
        <w:spacing w:before="29" w:line="288" w:lineRule="auto"/>
        <w:ind w:firstLineChars="900" w:firstLine="2168"/>
        <w:rPr>
          <w:b/>
          <w:color w:val="000000"/>
          <w:sz w:val="24"/>
        </w:rPr>
      </w:pPr>
      <w:r w:rsidRPr="0061644B">
        <w:rPr>
          <w:b/>
          <w:color w:val="000000"/>
          <w:sz w:val="24"/>
        </w:rPr>
        <w:t>报告送出日期：</w:t>
      </w:r>
      <w:r w:rsidR="00BD4816" w:rsidRPr="0061644B">
        <w:rPr>
          <w:b/>
          <w:color w:val="000000"/>
          <w:sz w:val="24"/>
        </w:rPr>
        <w:t>二〇一八年八月二十五日</w:t>
      </w:r>
    </w:p>
    <w:p w:rsidR="00223DFB" w:rsidRPr="0061644B" w:rsidRDefault="00223DFB" w:rsidP="00792A69">
      <w:pPr>
        <w:widowControl/>
        <w:spacing w:before="29" w:line="288" w:lineRule="auto"/>
        <w:jc w:val="left"/>
        <w:rPr>
          <w:sz w:val="24"/>
        </w:rPr>
        <w:sectPr w:rsidR="00223DFB" w:rsidRPr="0061644B" w:rsidSect="000B2F8F">
          <w:headerReference w:type="even" r:id="rId8"/>
          <w:headerReference w:type="default" r:id="rId9"/>
          <w:footerReference w:type="even" r:id="rId10"/>
          <w:footerReference w:type="default" r:id="rId11"/>
          <w:headerReference w:type="first" r:id="rId12"/>
          <w:footerReference w:type="first" r:id="rId13"/>
          <w:pgSz w:w="11926" w:h="15840"/>
          <w:pgMar w:top="1418" w:right="1418" w:bottom="851" w:left="1418" w:header="851" w:footer="992" w:gutter="0"/>
          <w:cols w:space="720"/>
          <w:titlePg/>
          <w:docGrid w:linePitch="286"/>
        </w:sectPr>
      </w:pPr>
    </w:p>
    <w:p w:rsidR="00223DFB" w:rsidRPr="0061644B" w:rsidRDefault="00223DFB" w:rsidP="00B54CAD">
      <w:pPr>
        <w:pStyle w:val="1"/>
        <w:keepNext/>
        <w:keepLines/>
        <w:widowControl w:val="0"/>
        <w:spacing w:beforeLines="100" w:before="312" w:afterLines="100" w:after="312" w:line="288" w:lineRule="auto"/>
        <w:jc w:val="center"/>
        <w:rPr>
          <w:b/>
          <w:bCs/>
          <w:szCs w:val="24"/>
          <w:lang w:val="en-US"/>
        </w:rPr>
      </w:pPr>
      <w:r w:rsidRPr="0061644B">
        <w:rPr>
          <w:b/>
          <w:bCs/>
          <w:szCs w:val="24"/>
          <w:lang w:val="en-US"/>
        </w:rPr>
        <w:lastRenderedPageBreak/>
        <w:t xml:space="preserve">1  </w:t>
      </w:r>
      <w:r w:rsidRPr="0061644B">
        <w:rPr>
          <w:b/>
          <w:bCs/>
          <w:szCs w:val="24"/>
          <w:lang w:val="en-US"/>
        </w:rPr>
        <w:t>重要提示</w:t>
      </w:r>
    </w:p>
    <w:p w:rsidR="00223DFB" w:rsidRPr="0061644B" w:rsidRDefault="00223DFB" w:rsidP="00792A69">
      <w:pPr>
        <w:pStyle w:val="30"/>
        <w:numPr>
          <w:ilvl w:val="0"/>
          <w:numId w:val="21"/>
        </w:numPr>
        <w:spacing w:before="29" w:after="0" w:line="288" w:lineRule="auto"/>
        <w:rPr>
          <w:kern w:val="0"/>
          <w:sz w:val="24"/>
          <w:szCs w:val="24"/>
        </w:rPr>
      </w:pPr>
      <w:r w:rsidRPr="0061644B">
        <w:rPr>
          <w:kern w:val="0"/>
          <w:sz w:val="24"/>
          <w:szCs w:val="24"/>
        </w:rPr>
        <w:t>重要提示</w:t>
      </w:r>
    </w:p>
    <w:p w:rsidR="00CA137F" w:rsidRPr="0061644B" w:rsidRDefault="00CA137F" w:rsidP="00792A69">
      <w:pPr>
        <w:spacing w:before="29" w:line="288" w:lineRule="auto"/>
        <w:ind w:firstLineChars="200" w:firstLine="480"/>
        <w:rPr>
          <w:color w:val="000000"/>
          <w:sz w:val="24"/>
        </w:rPr>
      </w:pPr>
      <w:r w:rsidRPr="0061644B">
        <w:rPr>
          <w:color w:val="000000"/>
          <w:sz w:val="24"/>
        </w:rPr>
        <w:t>基金管理人的董事会、董事保证本报告所载资料不存在虚假记载、误导性陈述或重大遗漏，并对其内容的真实性、准确性和完整性承担个别及连带的法律责任。本半年度报告已经三分之二以上独立董事签字同意，并由董事长签发。</w:t>
      </w:r>
    </w:p>
    <w:p w:rsidR="00CA137F" w:rsidRPr="0061644B" w:rsidRDefault="00CA137F" w:rsidP="00792A69">
      <w:pPr>
        <w:spacing w:before="29" w:line="288" w:lineRule="auto"/>
        <w:ind w:firstLineChars="200" w:firstLine="480"/>
        <w:rPr>
          <w:color w:val="000000"/>
          <w:sz w:val="24"/>
        </w:rPr>
      </w:pPr>
      <w:r w:rsidRPr="0061644B">
        <w:rPr>
          <w:color w:val="000000"/>
          <w:sz w:val="24"/>
        </w:rPr>
        <w:t>基金托管人兴业银行股份有限公司根据本基金合同规定，于</w:t>
      </w:r>
      <w:r w:rsidRPr="0061644B">
        <w:rPr>
          <w:color w:val="000000"/>
          <w:sz w:val="24"/>
        </w:rPr>
        <w:t>2018</w:t>
      </w:r>
      <w:r w:rsidRPr="0061644B">
        <w:rPr>
          <w:color w:val="000000"/>
          <w:sz w:val="24"/>
        </w:rPr>
        <w:t>年</w:t>
      </w:r>
      <w:r w:rsidRPr="0061644B">
        <w:rPr>
          <w:color w:val="000000"/>
          <w:sz w:val="24"/>
        </w:rPr>
        <w:t>8</w:t>
      </w:r>
      <w:r w:rsidRPr="0061644B">
        <w:rPr>
          <w:color w:val="000000"/>
          <w:sz w:val="24"/>
        </w:rPr>
        <w:t>月</w:t>
      </w:r>
      <w:r w:rsidRPr="0061644B">
        <w:rPr>
          <w:color w:val="000000"/>
          <w:sz w:val="24"/>
        </w:rPr>
        <w:t>24</w:t>
      </w:r>
      <w:r w:rsidRPr="0061644B">
        <w:rPr>
          <w:color w:val="000000"/>
          <w:sz w:val="24"/>
        </w:rPr>
        <w:t>日复核了本报告中的财务指标、净值表现、利润分配情况、财务会计报告、投资组合报告等内容，保证复核内容不存在虚假记载、误导性陈述或者重大遗漏。</w:t>
      </w:r>
    </w:p>
    <w:p w:rsidR="00CA137F" w:rsidRPr="0061644B" w:rsidRDefault="00CA137F" w:rsidP="00792A69">
      <w:pPr>
        <w:spacing w:before="29" w:line="288" w:lineRule="auto"/>
        <w:ind w:firstLineChars="200" w:firstLine="480"/>
        <w:rPr>
          <w:color w:val="000000"/>
          <w:sz w:val="24"/>
        </w:rPr>
      </w:pPr>
      <w:r w:rsidRPr="0061644B">
        <w:rPr>
          <w:color w:val="000000"/>
          <w:sz w:val="24"/>
        </w:rPr>
        <w:t>基金管理人承诺以诚实信用、勤勉尽责的原则管理和运用基金资产，但不保证基金一定盈利。</w:t>
      </w:r>
    </w:p>
    <w:p w:rsidR="00CA137F" w:rsidRPr="0061644B" w:rsidRDefault="00CA137F" w:rsidP="00792A69">
      <w:pPr>
        <w:spacing w:before="29" w:line="288" w:lineRule="auto"/>
        <w:ind w:firstLineChars="200" w:firstLine="480"/>
        <w:rPr>
          <w:color w:val="000000"/>
          <w:sz w:val="24"/>
        </w:rPr>
      </w:pPr>
      <w:r w:rsidRPr="0061644B">
        <w:rPr>
          <w:color w:val="000000"/>
          <w:sz w:val="24"/>
        </w:rPr>
        <w:t>基金的过往业绩并不代表其未来表现。投资有风险，投资者在作出投资决策前应仔细阅读本基金的招募说明书及其更新。</w:t>
      </w:r>
    </w:p>
    <w:p w:rsidR="00F548AD" w:rsidRPr="0061644B" w:rsidRDefault="00F548AD" w:rsidP="00792A69">
      <w:pPr>
        <w:spacing w:before="29" w:line="288" w:lineRule="auto"/>
        <w:ind w:firstLineChars="200" w:firstLine="480"/>
        <w:rPr>
          <w:color w:val="000000"/>
          <w:sz w:val="24"/>
        </w:rPr>
      </w:pPr>
      <w:r w:rsidRPr="0061644B">
        <w:rPr>
          <w:color w:val="000000"/>
          <w:sz w:val="24"/>
        </w:rPr>
        <w:t>本半年度报告摘要摘自半年度报告正文，投资者欲了解详细内容，应阅读半年度报告正文。</w:t>
      </w:r>
    </w:p>
    <w:p w:rsidR="00CA137F" w:rsidRPr="0061644B" w:rsidRDefault="00CA137F" w:rsidP="00792A69">
      <w:pPr>
        <w:spacing w:before="29" w:line="288" w:lineRule="auto"/>
        <w:ind w:firstLineChars="200" w:firstLine="480"/>
        <w:rPr>
          <w:color w:val="000000"/>
          <w:sz w:val="24"/>
        </w:rPr>
      </w:pPr>
      <w:r w:rsidRPr="0061644B">
        <w:rPr>
          <w:color w:val="000000"/>
          <w:sz w:val="24"/>
        </w:rPr>
        <w:t>本报告中财务资料未经审计。</w:t>
      </w:r>
    </w:p>
    <w:p w:rsidR="002032D2" w:rsidRPr="0061644B" w:rsidRDefault="002032D2" w:rsidP="00792A69">
      <w:pPr>
        <w:spacing w:before="29" w:line="288" w:lineRule="auto"/>
        <w:ind w:firstLineChars="200" w:firstLine="480"/>
        <w:rPr>
          <w:kern w:val="0"/>
          <w:sz w:val="24"/>
        </w:rPr>
      </w:pPr>
      <w:r w:rsidRPr="0061644B">
        <w:rPr>
          <w:kern w:val="0"/>
          <w:sz w:val="24"/>
        </w:rPr>
        <w:t>本报告期自</w:t>
      </w:r>
      <w:r w:rsidRPr="0061644B">
        <w:rPr>
          <w:kern w:val="0"/>
          <w:sz w:val="24"/>
        </w:rPr>
        <w:t>2018</w:t>
      </w:r>
      <w:r w:rsidRPr="0061644B">
        <w:rPr>
          <w:kern w:val="0"/>
          <w:sz w:val="24"/>
        </w:rPr>
        <w:t>年</w:t>
      </w:r>
      <w:r w:rsidRPr="0061644B">
        <w:rPr>
          <w:kern w:val="0"/>
          <w:sz w:val="24"/>
        </w:rPr>
        <w:t>1</w:t>
      </w:r>
      <w:r w:rsidRPr="0061644B">
        <w:rPr>
          <w:kern w:val="0"/>
          <w:sz w:val="24"/>
        </w:rPr>
        <w:t>月</w:t>
      </w:r>
      <w:r w:rsidRPr="0061644B">
        <w:rPr>
          <w:kern w:val="0"/>
          <w:sz w:val="24"/>
        </w:rPr>
        <w:t>1</w:t>
      </w:r>
      <w:r w:rsidRPr="0061644B">
        <w:rPr>
          <w:kern w:val="0"/>
          <w:sz w:val="24"/>
        </w:rPr>
        <w:t>日起至</w:t>
      </w:r>
      <w:r w:rsidRPr="0061644B">
        <w:rPr>
          <w:kern w:val="0"/>
          <w:sz w:val="24"/>
        </w:rPr>
        <w:t>6</w:t>
      </w:r>
      <w:r w:rsidRPr="0061644B">
        <w:rPr>
          <w:kern w:val="0"/>
          <w:sz w:val="24"/>
        </w:rPr>
        <w:t>月</w:t>
      </w:r>
      <w:r w:rsidRPr="0061644B">
        <w:rPr>
          <w:kern w:val="0"/>
          <w:sz w:val="24"/>
        </w:rPr>
        <w:t>30</w:t>
      </w:r>
      <w:r w:rsidRPr="0061644B">
        <w:rPr>
          <w:kern w:val="0"/>
          <w:sz w:val="24"/>
        </w:rPr>
        <w:t>日止。</w:t>
      </w:r>
    </w:p>
    <w:p w:rsidR="00921875" w:rsidRPr="0061644B" w:rsidRDefault="00223DFB" w:rsidP="00792A69">
      <w:pPr>
        <w:spacing w:before="29" w:line="288" w:lineRule="auto"/>
        <w:ind w:firstLineChars="200" w:firstLine="480"/>
        <w:rPr>
          <w:b/>
          <w:kern w:val="0"/>
          <w:sz w:val="24"/>
        </w:rPr>
      </w:pPr>
      <w:r w:rsidRPr="0061644B">
        <w:rPr>
          <w:sz w:val="24"/>
        </w:rPr>
        <w:br w:type="page"/>
      </w:r>
    </w:p>
    <w:p w:rsidR="00637807" w:rsidRPr="0061644B" w:rsidRDefault="00637807" w:rsidP="00792A69">
      <w:pPr>
        <w:autoSpaceDE w:val="0"/>
        <w:autoSpaceDN w:val="0"/>
        <w:adjustRightInd w:val="0"/>
        <w:spacing w:before="29" w:line="288" w:lineRule="auto"/>
        <w:ind w:left="15"/>
        <w:jc w:val="center"/>
        <w:rPr>
          <w:b/>
          <w:kern w:val="0"/>
          <w:sz w:val="24"/>
        </w:rPr>
        <w:sectPr w:rsidR="00637807" w:rsidRPr="0061644B" w:rsidSect="00937AC9">
          <w:footerReference w:type="even" r:id="rId14"/>
          <w:footerReference w:type="default" r:id="rId15"/>
          <w:pgSz w:w="11906" w:h="16838" w:code="9"/>
          <w:pgMar w:top="1418" w:right="1418" w:bottom="851" w:left="1418" w:header="851" w:footer="992" w:gutter="0"/>
          <w:cols w:space="425"/>
          <w:docGrid w:type="lines" w:linePitch="312"/>
        </w:sectPr>
      </w:pPr>
    </w:p>
    <w:p w:rsidR="00223DFB" w:rsidRPr="0061644B" w:rsidRDefault="00223DFB" w:rsidP="00B54CAD">
      <w:pPr>
        <w:pStyle w:val="1"/>
        <w:keepNext/>
        <w:keepLines/>
        <w:widowControl w:val="0"/>
        <w:spacing w:beforeLines="100" w:before="312" w:afterLines="100" w:after="312" w:line="288" w:lineRule="auto"/>
        <w:jc w:val="center"/>
        <w:rPr>
          <w:szCs w:val="24"/>
          <w:lang w:val="en-US"/>
        </w:rPr>
      </w:pPr>
      <w:r w:rsidRPr="0061644B">
        <w:rPr>
          <w:b/>
          <w:bCs/>
          <w:szCs w:val="24"/>
          <w:lang w:val="en-US"/>
        </w:rPr>
        <w:lastRenderedPageBreak/>
        <w:t xml:space="preserve">2  </w:t>
      </w:r>
      <w:r w:rsidRPr="0061644B">
        <w:rPr>
          <w:b/>
          <w:bCs/>
          <w:szCs w:val="24"/>
          <w:lang w:val="en-US"/>
        </w:rPr>
        <w:t>基金简介</w:t>
      </w:r>
    </w:p>
    <w:p w:rsidR="00223DFB" w:rsidRPr="0061644B" w:rsidRDefault="002D090E" w:rsidP="00792A69">
      <w:pPr>
        <w:pStyle w:val="20"/>
        <w:spacing w:before="29" w:after="0" w:line="288" w:lineRule="auto"/>
        <w:rPr>
          <w:rFonts w:ascii="Times New Roman" w:hAnsi="Times New Roman" w:cs="Times New Roman"/>
          <w:szCs w:val="24"/>
        </w:rPr>
      </w:pPr>
      <w:r w:rsidRPr="0061644B">
        <w:rPr>
          <w:rFonts w:ascii="Times New Roman" w:hAnsi="Times New Roman" w:cs="Times New Roman"/>
          <w:kern w:val="0"/>
          <w:szCs w:val="24"/>
        </w:rPr>
        <w:t>2.1</w:t>
      </w:r>
      <w:r w:rsidR="00223DFB" w:rsidRPr="0061644B">
        <w:rPr>
          <w:rFonts w:ascii="Times New Roman" w:hAnsi="Times New Roman" w:cs="Times New Roman"/>
          <w:szCs w:val="24"/>
        </w:rPr>
        <w:t>基金基本情况</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9"/>
        <w:gridCol w:w="2828"/>
        <w:gridCol w:w="2711"/>
      </w:tblGrid>
      <w:tr w:rsidR="006B4A69" w:rsidRPr="0061644B" w:rsidTr="00085AF9">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kern w:val="0"/>
                <w:sz w:val="24"/>
              </w:rPr>
            </w:pPr>
            <w:r w:rsidRPr="0061644B">
              <w:rPr>
                <w:sz w:val="24"/>
              </w:rPr>
              <w:t>基金简称</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sz w:val="24"/>
              </w:rPr>
            </w:pPr>
            <w:r w:rsidRPr="0061644B">
              <w:rPr>
                <w:sz w:val="24"/>
              </w:rPr>
              <w:t>交银天运宝货币</w:t>
            </w:r>
          </w:p>
        </w:tc>
      </w:tr>
      <w:tr w:rsidR="007F3860" w:rsidRPr="0061644B" w:rsidTr="00085AF9">
        <w:tc>
          <w:tcPr>
            <w:tcW w:w="3459"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rPr>
                <w:kern w:val="0"/>
                <w:sz w:val="24"/>
              </w:rPr>
            </w:pPr>
            <w:r w:rsidRPr="0061644B">
              <w:rPr>
                <w:sz w:val="24"/>
              </w:rPr>
              <w:t>基金主代码</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005002</w:t>
            </w:r>
          </w:p>
        </w:tc>
      </w:tr>
      <w:tr w:rsidR="007F3860" w:rsidRPr="0061644B" w:rsidTr="00085AF9">
        <w:tc>
          <w:tcPr>
            <w:tcW w:w="3459"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rPr>
                <w:kern w:val="0"/>
                <w:sz w:val="24"/>
              </w:rPr>
            </w:pPr>
            <w:r w:rsidRPr="0061644B">
              <w:rPr>
                <w:sz w:val="24"/>
              </w:rPr>
              <w:t>基金运作方式</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契约型开放式</w:t>
            </w:r>
          </w:p>
        </w:tc>
      </w:tr>
      <w:tr w:rsidR="007F3860" w:rsidRPr="0061644B" w:rsidTr="00085AF9">
        <w:tc>
          <w:tcPr>
            <w:tcW w:w="3459"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rPr>
                <w:kern w:val="0"/>
                <w:sz w:val="24"/>
              </w:rPr>
            </w:pPr>
            <w:r w:rsidRPr="0061644B">
              <w:rPr>
                <w:sz w:val="24"/>
              </w:rPr>
              <w:t>基金合同生效日</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2017</w:t>
            </w:r>
            <w:r w:rsidRPr="0061644B">
              <w:rPr>
                <w:sz w:val="24"/>
              </w:rPr>
              <w:t>年</w:t>
            </w:r>
            <w:r w:rsidRPr="0061644B">
              <w:rPr>
                <w:sz w:val="24"/>
              </w:rPr>
              <w:t>12</w:t>
            </w:r>
            <w:r w:rsidRPr="0061644B">
              <w:rPr>
                <w:sz w:val="24"/>
              </w:rPr>
              <w:t>月</w:t>
            </w:r>
            <w:r w:rsidRPr="0061644B">
              <w:rPr>
                <w:sz w:val="24"/>
              </w:rPr>
              <w:t>29</w:t>
            </w:r>
            <w:r w:rsidRPr="0061644B">
              <w:rPr>
                <w:sz w:val="24"/>
              </w:rPr>
              <w:t>日</w:t>
            </w:r>
          </w:p>
        </w:tc>
      </w:tr>
      <w:tr w:rsidR="007F3860" w:rsidRPr="0061644B" w:rsidTr="00085AF9">
        <w:tc>
          <w:tcPr>
            <w:tcW w:w="3459"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rPr>
                <w:kern w:val="0"/>
                <w:sz w:val="24"/>
              </w:rPr>
            </w:pPr>
            <w:r w:rsidRPr="0061644B">
              <w:rPr>
                <w:sz w:val="24"/>
              </w:rPr>
              <w:t>基金管理人</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交银施罗德基金管理有限公司</w:t>
            </w:r>
          </w:p>
        </w:tc>
      </w:tr>
      <w:tr w:rsidR="007F3860" w:rsidRPr="0061644B" w:rsidTr="00085AF9">
        <w:tc>
          <w:tcPr>
            <w:tcW w:w="3459"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rPr>
                <w:kern w:val="0"/>
                <w:sz w:val="24"/>
              </w:rPr>
            </w:pPr>
            <w:r w:rsidRPr="0061644B">
              <w:rPr>
                <w:sz w:val="24"/>
              </w:rPr>
              <w:t>基金托管人</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兴业银行股份有限公司</w:t>
            </w:r>
          </w:p>
        </w:tc>
      </w:tr>
      <w:tr w:rsidR="007F3860" w:rsidRPr="0061644B" w:rsidTr="00085AF9">
        <w:tc>
          <w:tcPr>
            <w:tcW w:w="3459"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rPr>
                <w:kern w:val="0"/>
                <w:sz w:val="24"/>
              </w:rPr>
            </w:pPr>
            <w:r w:rsidRPr="0061644B">
              <w:rPr>
                <w:sz w:val="24"/>
              </w:rPr>
              <w:t>报告期末基金份额总额</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224,651,278.00</w:t>
            </w:r>
            <w:r w:rsidRPr="0061644B">
              <w:rPr>
                <w:sz w:val="24"/>
              </w:rPr>
              <w:t>份</w:t>
            </w:r>
          </w:p>
        </w:tc>
      </w:tr>
      <w:tr w:rsidR="007F3860" w:rsidRPr="0061644B" w:rsidTr="00085AF9">
        <w:tc>
          <w:tcPr>
            <w:tcW w:w="3459"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rPr>
                <w:kern w:val="0"/>
                <w:sz w:val="24"/>
              </w:rPr>
            </w:pPr>
            <w:r w:rsidRPr="0061644B">
              <w:rPr>
                <w:sz w:val="24"/>
              </w:rPr>
              <w:t>基金合同存续期</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不定期</w:t>
            </w:r>
          </w:p>
        </w:tc>
      </w:tr>
      <w:tr w:rsidR="007F3860" w:rsidRPr="0061644B" w:rsidTr="00085AF9">
        <w:trPr>
          <w:trHeight w:val="369"/>
        </w:trPr>
        <w:tc>
          <w:tcPr>
            <w:tcW w:w="3459"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rPr>
                <w:sz w:val="24"/>
              </w:rPr>
            </w:pPr>
            <w:r w:rsidRPr="0061644B">
              <w:rPr>
                <w:sz w:val="24"/>
              </w:rPr>
              <w:t>下属分级基金的基金简称</w:t>
            </w:r>
          </w:p>
        </w:tc>
        <w:tc>
          <w:tcPr>
            <w:tcW w:w="2828"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交银天运宝货币</w:t>
            </w:r>
            <w:r w:rsidRPr="0061644B">
              <w:rPr>
                <w:sz w:val="24"/>
              </w:rPr>
              <w:t>A</w:t>
            </w:r>
          </w:p>
        </w:tc>
        <w:tc>
          <w:tcPr>
            <w:tcW w:w="2711"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交银天运宝货币</w:t>
            </w:r>
            <w:r w:rsidRPr="0061644B">
              <w:rPr>
                <w:sz w:val="24"/>
              </w:rPr>
              <w:t>E</w:t>
            </w:r>
          </w:p>
        </w:tc>
      </w:tr>
      <w:tr w:rsidR="007F3860" w:rsidRPr="0061644B" w:rsidTr="00085AF9">
        <w:trPr>
          <w:trHeight w:val="369"/>
        </w:trPr>
        <w:tc>
          <w:tcPr>
            <w:tcW w:w="3459"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rPr>
                <w:sz w:val="24"/>
              </w:rPr>
            </w:pPr>
            <w:r w:rsidRPr="0061644B">
              <w:rPr>
                <w:sz w:val="24"/>
              </w:rPr>
              <w:t>下属分级基金的交易代码</w:t>
            </w:r>
          </w:p>
        </w:tc>
        <w:tc>
          <w:tcPr>
            <w:tcW w:w="2828"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005002</w:t>
            </w:r>
          </w:p>
        </w:tc>
        <w:tc>
          <w:tcPr>
            <w:tcW w:w="2711"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005003</w:t>
            </w:r>
          </w:p>
        </w:tc>
      </w:tr>
      <w:tr w:rsidR="007F3860" w:rsidRPr="0061644B" w:rsidTr="00085AF9">
        <w:trPr>
          <w:trHeight w:val="369"/>
        </w:trPr>
        <w:tc>
          <w:tcPr>
            <w:tcW w:w="3459"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rPr>
                <w:sz w:val="24"/>
              </w:rPr>
            </w:pPr>
            <w:r w:rsidRPr="0061644B">
              <w:rPr>
                <w:sz w:val="24"/>
              </w:rPr>
              <w:t>报告期末下属分级基金的份额总额</w:t>
            </w:r>
          </w:p>
        </w:tc>
        <w:tc>
          <w:tcPr>
            <w:tcW w:w="2828"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12,545,180.67</w:t>
            </w:r>
            <w:r w:rsidRPr="0061644B">
              <w:rPr>
                <w:sz w:val="24"/>
              </w:rPr>
              <w:t>份</w:t>
            </w:r>
          </w:p>
        </w:tc>
        <w:tc>
          <w:tcPr>
            <w:tcW w:w="2711"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212,106,097.33</w:t>
            </w:r>
            <w:r w:rsidRPr="0061644B">
              <w:rPr>
                <w:sz w:val="24"/>
              </w:rPr>
              <w:t>份</w:t>
            </w:r>
          </w:p>
        </w:tc>
      </w:tr>
    </w:tbl>
    <w:p w:rsidR="00223DFB" w:rsidRPr="0061644B" w:rsidRDefault="00223DFB" w:rsidP="00792A69">
      <w:pPr>
        <w:autoSpaceDE w:val="0"/>
        <w:autoSpaceDN w:val="0"/>
        <w:adjustRightInd w:val="0"/>
        <w:spacing w:before="29" w:line="288" w:lineRule="auto"/>
        <w:jc w:val="left"/>
        <w:rPr>
          <w:kern w:val="0"/>
          <w:sz w:val="24"/>
        </w:rPr>
      </w:pPr>
    </w:p>
    <w:p w:rsidR="00223DFB" w:rsidRPr="0061644B" w:rsidRDefault="00223DF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 xml:space="preserve">2.2 </w:t>
      </w:r>
      <w:r w:rsidRPr="0061644B">
        <w:rPr>
          <w:rFonts w:ascii="Times New Roman" w:hAnsi="Times New Roman" w:cs="Times New Roman"/>
          <w:kern w:val="0"/>
          <w:szCs w:val="24"/>
        </w:rPr>
        <w:t>基金产品说明</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6804"/>
      </w:tblGrid>
      <w:tr w:rsidR="006B4A69" w:rsidRPr="0061644B" w:rsidTr="00F20D15">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投资目标</w:t>
            </w:r>
          </w:p>
        </w:tc>
        <w:tc>
          <w:tcPr>
            <w:tcW w:w="6804" w:type="dxa"/>
            <w:tcBorders>
              <w:top w:val="single" w:sz="4" w:space="0" w:color="000000"/>
              <w:left w:val="single" w:sz="4" w:space="0" w:color="000000"/>
              <w:bottom w:val="single" w:sz="4" w:space="0" w:color="000000"/>
              <w:right w:val="single" w:sz="4" w:space="0" w:color="000000"/>
            </w:tcBorders>
            <w:vAlign w:val="bottom"/>
            <w:hideMark/>
          </w:tcPr>
          <w:p w:rsidR="00223DFB" w:rsidRPr="0061644B" w:rsidRDefault="00223DFB" w:rsidP="00792A69">
            <w:pPr>
              <w:spacing w:before="29" w:line="288" w:lineRule="auto"/>
              <w:rPr>
                <w:sz w:val="24"/>
              </w:rPr>
            </w:pPr>
            <w:r w:rsidRPr="0061644B">
              <w:rPr>
                <w:sz w:val="24"/>
              </w:rPr>
              <w:t>在力求本金安全性和资产充分流动性的前提下，追求超过业绩比较基准的投资收益。</w:t>
            </w:r>
          </w:p>
        </w:tc>
      </w:tr>
      <w:tr w:rsidR="006B4A69" w:rsidRPr="0061644B" w:rsidTr="00F20D15">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投资策略</w:t>
            </w:r>
          </w:p>
        </w:tc>
        <w:tc>
          <w:tcPr>
            <w:tcW w:w="6804" w:type="dxa"/>
            <w:tcBorders>
              <w:top w:val="single" w:sz="4" w:space="0" w:color="000000"/>
              <w:left w:val="single" w:sz="4" w:space="0" w:color="000000"/>
              <w:bottom w:val="single" w:sz="4" w:space="0" w:color="000000"/>
              <w:right w:val="single" w:sz="4" w:space="0" w:color="000000"/>
            </w:tcBorders>
            <w:vAlign w:val="bottom"/>
            <w:hideMark/>
          </w:tcPr>
          <w:p w:rsidR="00223DFB" w:rsidRPr="0061644B" w:rsidRDefault="00223DFB" w:rsidP="00792A69">
            <w:pPr>
              <w:spacing w:before="29" w:line="288" w:lineRule="auto"/>
              <w:rPr>
                <w:sz w:val="24"/>
              </w:rPr>
            </w:pPr>
            <w:r w:rsidRPr="0061644B">
              <w:rPr>
                <w:sz w:val="24"/>
              </w:rPr>
              <w:t>本基金在保持组合高度流动性的前提下，结合对国内外宏观经济运行、金融市场运行、资金流动格局、货币市场收益率曲线形态等各方面的分析，合理安排组合期限结构，积极选择投资工具，采取主动性的投资策略和精细化的操作手法。</w:t>
            </w:r>
          </w:p>
        </w:tc>
      </w:tr>
      <w:tr w:rsidR="006B4A69" w:rsidRPr="0061644B" w:rsidTr="00F20D15">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业绩比较基准</w:t>
            </w:r>
          </w:p>
        </w:tc>
        <w:tc>
          <w:tcPr>
            <w:tcW w:w="6804" w:type="dxa"/>
            <w:tcBorders>
              <w:top w:val="single" w:sz="4" w:space="0" w:color="000000"/>
              <w:left w:val="single" w:sz="4" w:space="0" w:color="000000"/>
              <w:bottom w:val="single" w:sz="4" w:space="0" w:color="000000"/>
              <w:right w:val="single" w:sz="4" w:space="0" w:color="000000"/>
            </w:tcBorders>
            <w:vAlign w:val="bottom"/>
            <w:hideMark/>
          </w:tcPr>
          <w:p w:rsidR="00223DFB" w:rsidRPr="0061644B" w:rsidRDefault="00223DFB" w:rsidP="00792A69">
            <w:pPr>
              <w:spacing w:before="29" w:line="288" w:lineRule="auto"/>
              <w:rPr>
                <w:sz w:val="24"/>
              </w:rPr>
            </w:pPr>
            <w:r w:rsidRPr="0061644B">
              <w:rPr>
                <w:sz w:val="24"/>
              </w:rPr>
              <w:t>活期存款利率（税后）</w:t>
            </w:r>
          </w:p>
        </w:tc>
      </w:tr>
      <w:tr w:rsidR="006B4A69" w:rsidRPr="0061644B" w:rsidTr="00F20D15">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风险收益特征</w:t>
            </w:r>
          </w:p>
        </w:tc>
        <w:tc>
          <w:tcPr>
            <w:tcW w:w="6804" w:type="dxa"/>
            <w:tcBorders>
              <w:top w:val="single" w:sz="4" w:space="0" w:color="000000"/>
              <w:left w:val="single" w:sz="4" w:space="0" w:color="000000"/>
              <w:bottom w:val="single" w:sz="4" w:space="0" w:color="000000"/>
              <w:right w:val="single" w:sz="4" w:space="0" w:color="000000"/>
            </w:tcBorders>
            <w:vAlign w:val="bottom"/>
            <w:hideMark/>
          </w:tcPr>
          <w:p w:rsidR="00223DFB" w:rsidRPr="0061644B" w:rsidRDefault="00223DFB" w:rsidP="00792A69">
            <w:pPr>
              <w:spacing w:before="29" w:line="288" w:lineRule="auto"/>
              <w:rPr>
                <w:sz w:val="24"/>
              </w:rPr>
            </w:pPr>
            <w:r w:rsidRPr="0061644B">
              <w:rPr>
                <w:sz w:val="24"/>
              </w:rPr>
              <w:t>本基金属于货币市场基金，是证券投资基金中的低风险品种，长期风险收益水平低于股票型基金、混合型基金和债券型基金。</w:t>
            </w:r>
          </w:p>
        </w:tc>
      </w:tr>
    </w:tbl>
    <w:p w:rsidR="00223DFB" w:rsidRPr="0061644B" w:rsidRDefault="00223DFB" w:rsidP="00792A69">
      <w:pPr>
        <w:autoSpaceDE w:val="0"/>
        <w:autoSpaceDN w:val="0"/>
        <w:adjustRightInd w:val="0"/>
        <w:spacing w:before="29" w:line="288" w:lineRule="auto"/>
        <w:jc w:val="left"/>
        <w:rPr>
          <w:kern w:val="0"/>
          <w:sz w:val="24"/>
        </w:rPr>
      </w:pPr>
    </w:p>
    <w:p w:rsidR="00223DFB" w:rsidRPr="0061644B" w:rsidRDefault="00223DF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 xml:space="preserve">2.3 </w:t>
      </w:r>
      <w:r w:rsidRPr="0061644B">
        <w:rPr>
          <w:rFonts w:ascii="Times New Roman" w:hAnsi="Times New Roman" w:cs="Times New Roman"/>
          <w:kern w:val="0"/>
          <w:szCs w:val="24"/>
        </w:rPr>
        <w:t>基金管理人和基金托管人</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96"/>
        <w:gridCol w:w="1410"/>
        <w:gridCol w:w="3146"/>
        <w:gridCol w:w="3146"/>
      </w:tblGrid>
      <w:tr w:rsidR="006B4A69" w:rsidRPr="0061644B" w:rsidTr="00F20D15">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t>项目</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sz w:val="24"/>
              </w:rPr>
            </w:pPr>
            <w:r w:rsidRPr="0061644B">
              <w:rPr>
                <w:sz w:val="24"/>
              </w:rPr>
              <w:t>基金管理人</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sz w:val="24"/>
              </w:rPr>
            </w:pPr>
            <w:r w:rsidRPr="0061644B">
              <w:rPr>
                <w:sz w:val="24"/>
              </w:rPr>
              <w:t>基金托管人</w:t>
            </w:r>
          </w:p>
        </w:tc>
      </w:tr>
      <w:tr w:rsidR="006B4A69" w:rsidRPr="0061644B" w:rsidTr="00F20D15">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rPr>
                <w:kern w:val="0"/>
                <w:sz w:val="24"/>
              </w:rPr>
            </w:pPr>
            <w:r w:rsidRPr="0061644B">
              <w:rPr>
                <w:kern w:val="0"/>
                <w:sz w:val="24"/>
              </w:rPr>
              <w:t>名称</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t>交银施罗德基金管理有限公司</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t>兴业银行股份有限公司</w:t>
            </w:r>
          </w:p>
        </w:tc>
      </w:tr>
      <w:tr w:rsidR="006B4A69" w:rsidRPr="0061644B" w:rsidTr="00F20D15">
        <w:tc>
          <w:tcPr>
            <w:tcW w:w="1260" w:type="dxa"/>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rPr>
                <w:kern w:val="0"/>
                <w:sz w:val="24"/>
              </w:rPr>
            </w:pPr>
            <w:r w:rsidRPr="0061644B">
              <w:rPr>
                <w:sz w:val="24"/>
              </w:rPr>
              <w:t>信息披露负责人</w:t>
            </w:r>
          </w:p>
        </w:tc>
        <w:tc>
          <w:tcPr>
            <w:tcW w:w="1371"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sz w:val="24"/>
              </w:rPr>
            </w:pPr>
            <w:r w:rsidRPr="0061644B">
              <w:rPr>
                <w:sz w:val="24"/>
              </w:rPr>
              <w:t>姓名</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t>王晚婷</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t>吴玉婷</w:t>
            </w:r>
          </w:p>
        </w:tc>
      </w:tr>
      <w:tr w:rsidR="006B4A69" w:rsidRPr="0061644B" w:rsidTr="00F20D15">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widowControl/>
              <w:spacing w:before="29" w:line="288" w:lineRule="auto"/>
              <w:jc w:val="left"/>
              <w:rPr>
                <w:kern w:val="0"/>
                <w:sz w:val="24"/>
              </w:rPr>
            </w:pPr>
          </w:p>
        </w:tc>
        <w:tc>
          <w:tcPr>
            <w:tcW w:w="1371"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sz w:val="24"/>
              </w:rPr>
              <w:t>联系电话</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t>（</w:t>
            </w:r>
            <w:r w:rsidRPr="0061644B">
              <w:rPr>
                <w:kern w:val="0"/>
                <w:sz w:val="24"/>
              </w:rPr>
              <w:t>021</w:t>
            </w:r>
            <w:r w:rsidRPr="0061644B">
              <w:rPr>
                <w:kern w:val="0"/>
                <w:sz w:val="24"/>
              </w:rPr>
              <w:t>）</w:t>
            </w:r>
            <w:r w:rsidRPr="0061644B">
              <w:rPr>
                <w:kern w:val="0"/>
                <w:sz w:val="24"/>
              </w:rPr>
              <w:t>61055050</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t>021-52629999-212052</w:t>
            </w:r>
          </w:p>
        </w:tc>
      </w:tr>
      <w:tr w:rsidR="006B4A69" w:rsidRPr="0061644B" w:rsidTr="00F20D15">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widowControl/>
              <w:spacing w:before="29" w:line="288" w:lineRule="auto"/>
              <w:jc w:val="left"/>
              <w:rPr>
                <w:kern w:val="0"/>
                <w:sz w:val="24"/>
              </w:rPr>
            </w:pPr>
          </w:p>
        </w:tc>
        <w:tc>
          <w:tcPr>
            <w:tcW w:w="1371"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sz w:val="24"/>
              </w:rPr>
              <w:t>电子邮箱</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t>xxpl@jysld.com,disclosure@j</w:t>
            </w:r>
            <w:r w:rsidRPr="0061644B">
              <w:rPr>
                <w:kern w:val="0"/>
                <w:sz w:val="24"/>
              </w:rPr>
              <w:lastRenderedPageBreak/>
              <w:t>ysld.com</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lastRenderedPageBreak/>
              <w:t>015289@cib.com.cn</w:t>
            </w:r>
          </w:p>
        </w:tc>
      </w:tr>
      <w:tr w:rsidR="006B4A69" w:rsidRPr="0061644B" w:rsidTr="00F20D15">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客户服务电话</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t>400-700-5000</w:t>
            </w:r>
            <w:r w:rsidRPr="0061644B">
              <w:rPr>
                <w:kern w:val="0"/>
                <w:sz w:val="24"/>
              </w:rPr>
              <w:t>，</w:t>
            </w:r>
            <w:r w:rsidRPr="0061644B">
              <w:rPr>
                <w:kern w:val="0"/>
                <w:sz w:val="24"/>
              </w:rPr>
              <w:t>021-61055000</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t>95561</w:t>
            </w:r>
          </w:p>
        </w:tc>
      </w:tr>
      <w:tr w:rsidR="006B4A69" w:rsidRPr="0061644B" w:rsidTr="00F20D15">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传真</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t>（</w:t>
            </w:r>
            <w:r w:rsidRPr="0061644B">
              <w:rPr>
                <w:kern w:val="0"/>
                <w:sz w:val="24"/>
              </w:rPr>
              <w:t>021</w:t>
            </w:r>
            <w:r w:rsidRPr="0061644B">
              <w:rPr>
                <w:kern w:val="0"/>
                <w:sz w:val="24"/>
              </w:rPr>
              <w:t>）</w:t>
            </w:r>
            <w:r w:rsidRPr="0061644B">
              <w:rPr>
                <w:kern w:val="0"/>
                <w:sz w:val="24"/>
              </w:rPr>
              <w:t>61055054</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t>021-62535823</w:t>
            </w:r>
          </w:p>
        </w:tc>
      </w:tr>
    </w:tbl>
    <w:p w:rsidR="00223DFB" w:rsidRPr="0061644B" w:rsidRDefault="00223DFB" w:rsidP="00792A69">
      <w:pPr>
        <w:tabs>
          <w:tab w:val="left" w:pos="1740"/>
        </w:tabs>
        <w:spacing w:before="29" w:line="288" w:lineRule="auto"/>
        <w:rPr>
          <w:sz w:val="24"/>
        </w:rPr>
      </w:pPr>
    </w:p>
    <w:p w:rsidR="00223DFB" w:rsidRPr="0061644B" w:rsidRDefault="00223DF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 xml:space="preserve">2.4 </w:t>
      </w:r>
      <w:r w:rsidRPr="0061644B">
        <w:rPr>
          <w:rFonts w:ascii="Times New Roman" w:hAnsi="Times New Roman" w:cs="Times New Roman"/>
          <w:kern w:val="0"/>
          <w:szCs w:val="24"/>
        </w:rPr>
        <w:t>信息披露方式</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4179"/>
      </w:tblGrid>
      <w:tr w:rsidR="006B4A69" w:rsidRPr="0061644B" w:rsidTr="00F20D15">
        <w:tc>
          <w:tcPr>
            <w:tcW w:w="482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tabs>
                <w:tab w:val="left" w:pos="1740"/>
              </w:tabs>
              <w:spacing w:before="29" w:line="288" w:lineRule="auto"/>
              <w:rPr>
                <w:sz w:val="24"/>
              </w:rPr>
            </w:pPr>
            <w:r w:rsidRPr="0061644B">
              <w:rPr>
                <w:sz w:val="24"/>
              </w:rPr>
              <w:t>登载基金</w:t>
            </w:r>
            <w:r w:rsidR="00700C4C" w:rsidRPr="0061644B">
              <w:rPr>
                <w:sz w:val="24"/>
              </w:rPr>
              <w:t>半</w:t>
            </w:r>
            <w:r w:rsidR="00B34FA4" w:rsidRPr="0061644B">
              <w:rPr>
                <w:sz w:val="24"/>
              </w:rPr>
              <w:t>年度报告</w:t>
            </w:r>
            <w:r w:rsidR="00496655" w:rsidRPr="0061644B">
              <w:rPr>
                <w:sz w:val="24"/>
              </w:rPr>
              <w:t>正文</w:t>
            </w:r>
            <w:r w:rsidRPr="0061644B">
              <w:rPr>
                <w:sz w:val="24"/>
              </w:rPr>
              <w:t>的管理人互联网网址</w:t>
            </w:r>
          </w:p>
        </w:tc>
        <w:tc>
          <w:tcPr>
            <w:tcW w:w="418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tabs>
                <w:tab w:val="left" w:pos="1740"/>
              </w:tabs>
              <w:spacing w:before="29" w:line="288" w:lineRule="auto"/>
              <w:rPr>
                <w:sz w:val="24"/>
              </w:rPr>
            </w:pPr>
            <w:r w:rsidRPr="0061644B">
              <w:rPr>
                <w:sz w:val="24"/>
              </w:rPr>
              <w:t>www.fund001.com</w:t>
            </w:r>
          </w:p>
        </w:tc>
      </w:tr>
      <w:tr w:rsidR="006B4A69" w:rsidRPr="0061644B" w:rsidTr="00F20D15">
        <w:tc>
          <w:tcPr>
            <w:tcW w:w="482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tabs>
                <w:tab w:val="left" w:pos="1740"/>
              </w:tabs>
              <w:spacing w:before="29" w:line="288" w:lineRule="auto"/>
              <w:rPr>
                <w:sz w:val="24"/>
              </w:rPr>
            </w:pPr>
            <w:r w:rsidRPr="0061644B">
              <w:rPr>
                <w:sz w:val="24"/>
              </w:rPr>
              <w:t>基金</w:t>
            </w:r>
            <w:r w:rsidR="00700C4C" w:rsidRPr="0061644B">
              <w:rPr>
                <w:sz w:val="24"/>
              </w:rPr>
              <w:t>半</w:t>
            </w:r>
            <w:r w:rsidRPr="0061644B">
              <w:rPr>
                <w:sz w:val="24"/>
              </w:rPr>
              <w:t>年度报告备置地点</w:t>
            </w:r>
          </w:p>
        </w:tc>
        <w:tc>
          <w:tcPr>
            <w:tcW w:w="418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tabs>
                <w:tab w:val="left" w:pos="1740"/>
              </w:tabs>
              <w:spacing w:before="29" w:line="288" w:lineRule="auto"/>
              <w:rPr>
                <w:sz w:val="24"/>
              </w:rPr>
            </w:pPr>
            <w:r w:rsidRPr="0061644B">
              <w:rPr>
                <w:sz w:val="24"/>
              </w:rPr>
              <w:t>基金管理人的办公场所</w:t>
            </w:r>
          </w:p>
        </w:tc>
      </w:tr>
    </w:tbl>
    <w:p w:rsidR="00DF4E20" w:rsidRPr="0061644B" w:rsidRDefault="00DF4E20" w:rsidP="00792A69">
      <w:pPr>
        <w:tabs>
          <w:tab w:val="left" w:pos="426"/>
        </w:tabs>
        <w:spacing w:before="29" w:line="288" w:lineRule="auto"/>
        <w:jc w:val="left"/>
        <w:rPr>
          <w:kern w:val="0"/>
          <w:sz w:val="24"/>
        </w:rPr>
      </w:pPr>
    </w:p>
    <w:p w:rsidR="00223DFB" w:rsidRPr="0061644B" w:rsidRDefault="00223DFB" w:rsidP="00B54CAD">
      <w:pPr>
        <w:pStyle w:val="1"/>
        <w:keepNext/>
        <w:keepLines/>
        <w:widowControl w:val="0"/>
        <w:spacing w:beforeLines="100" w:before="312" w:afterLines="100" w:after="312" w:line="288" w:lineRule="auto"/>
        <w:jc w:val="center"/>
        <w:rPr>
          <w:b/>
          <w:bCs/>
          <w:szCs w:val="24"/>
          <w:lang w:val="en-US"/>
        </w:rPr>
      </w:pPr>
      <w:r w:rsidRPr="0061644B">
        <w:rPr>
          <w:b/>
          <w:bCs/>
          <w:szCs w:val="24"/>
          <w:lang w:val="en-US"/>
        </w:rPr>
        <w:t xml:space="preserve">3 </w:t>
      </w:r>
      <w:r w:rsidRPr="0061644B">
        <w:rPr>
          <w:b/>
          <w:bCs/>
          <w:szCs w:val="24"/>
          <w:lang w:val="en-US"/>
        </w:rPr>
        <w:t>主要财务指标</w:t>
      </w:r>
      <w:r w:rsidR="009841EB" w:rsidRPr="0061644B">
        <w:rPr>
          <w:b/>
          <w:bCs/>
          <w:szCs w:val="24"/>
          <w:lang w:val="en-US"/>
        </w:rPr>
        <w:t>和</w:t>
      </w:r>
      <w:r w:rsidRPr="0061644B">
        <w:rPr>
          <w:b/>
          <w:bCs/>
          <w:szCs w:val="24"/>
          <w:lang w:val="en-US"/>
        </w:rPr>
        <w:t>基金净值表现</w:t>
      </w:r>
    </w:p>
    <w:p w:rsidR="008D0C47" w:rsidRPr="0061644B" w:rsidRDefault="008D0C47" w:rsidP="00792A69">
      <w:pPr>
        <w:pStyle w:val="20"/>
        <w:spacing w:before="29" w:after="0" w:line="288" w:lineRule="auto"/>
        <w:rPr>
          <w:rFonts w:ascii="Times New Roman" w:hAnsi="Times New Roman" w:cs="Times New Roman"/>
          <w:kern w:val="0"/>
          <w:szCs w:val="24"/>
        </w:rPr>
      </w:pPr>
      <w:bookmarkStart w:id="0" w:name="_Toc286996129"/>
      <w:r w:rsidRPr="0061644B">
        <w:rPr>
          <w:rFonts w:ascii="Times New Roman" w:hAnsi="Times New Roman" w:cs="Times New Roman"/>
          <w:kern w:val="0"/>
          <w:szCs w:val="24"/>
        </w:rPr>
        <w:t xml:space="preserve">3.1 </w:t>
      </w:r>
      <w:r w:rsidRPr="0061644B">
        <w:rPr>
          <w:rFonts w:ascii="Times New Roman" w:hAnsi="Times New Roman" w:cs="Times New Roman"/>
          <w:kern w:val="0"/>
          <w:szCs w:val="24"/>
        </w:rPr>
        <w:t>主要会计数据和财务指标</w:t>
      </w:r>
      <w:bookmarkEnd w:id="0"/>
    </w:p>
    <w:p w:rsidR="00102C76" w:rsidRPr="0061644B" w:rsidRDefault="00726087" w:rsidP="00792A69">
      <w:pPr>
        <w:autoSpaceDE w:val="0"/>
        <w:autoSpaceDN w:val="0"/>
        <w:adjustRightInd w:val="0"/>
        <w:spacing w:before="29" w:line="288" w:lineRule="auto"/>
        <w:ind w:left="15"/>
        <w:jc w:val="right"/>
        <w:rPr>
          <w:kern w:val="0"/>
          <w:sz w:val="24"/>
        </w:rPr>
      </w:pPr>
      <w:r w:rsidRPr="0061644B">
        <w:rPr>
          <w:kern w:val="0"/>
          <w:sz w:val="24"/>
        </w:rPr>
        <w:t>金额单位：人民币元</w:t>
      </w:r>
    </w:p>
    <w:tbl>
      <w:tblPr>
        <w:tblW w:w="89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29"/>
        <w:gridCol w:w="2834"/>
        <w:gridCol w:w="2835"/>
      </w:tblGrid>
      <w:tr w:rsidR="006B4A69" w:rsidRPr="0061644B" w:rsidTr="00F20D15">
        <w:trPr>
          <w:trHeight w:val="487"/>
          <w:jc w:val="center"/>
        </w:trPr>
        <w:tc>
          <w:tcPr>
            <w:tcW w:w="3221" w:type="dxa"/>
            <w:vMerge w:val="restart"/>
            <w:tcBorders>
              <w:top w:val="single" w:sz="4" w:space="0" w:color="000000"/>
              <w:left w:val="single" w:sz="4" w:space="0" w:color="000000"/>
              <w:bottom w:val="single" w:sz="4" w:space="0" w:color="000000"/>
              <w:right w:val="single" w:sz="4" w:space="0" w:color="000000"/>
            </w:tcBorders>
            <w:vAlign w:val="center"/>
            <w:hideMark/>
          </w:tcPr>
          <w:p w:rsidR="006765F7" w:rsidRPr="0061644B" w:rsidRDefault="006765F7" w:rsidP="00792A69">
            <w:pPr>
              <w:spacing w:before="29" w:line="288" w:lineRule="auto"/>
              <w:ind w:leftChars="-51" w:left="-107" w:rightChars="-51" w:right="-107"/>
              <w:jc w:val="center"/>
              <w:rPr>
                <w:b/>
                <w:sz w:val="24"/>
              </w:rPr>
            </w:pPr>
            <w:r w:rsidRPr="0061644B">
              <w:rPr>
                <w:b/>
                <w:sz w:val="24"/>
              </w:rPr>
              <w:t>3.1.1</w:t>
            </w:r>
            <w:r w:rsidRPr="0061644B">
              <w:rPr>
                <w:b/>
                <w:sz w:val="24"/>
              </w:rPr>
              <w:t>期间</w:t>
            </w:r>
          </w:p>
          <w:p w:rsidR="006765F7" w:rsidRPr="0061644B" w:rsidRDefault="006765F7" w:rsidP="00792A69">
            <w:pPr>
              <w:spacing w:before="29" w:line="288" w:lineRule="auto"/>
              <w:ind w:leftChars="-51" w:left="-107" w:rightChars="-51" w:right="-107"/>
              <w:jc w:val="center"/>
              <w:rPr>
                <w:b/>
                <w:sz w:val="24"/>
              </w:rPr>
            </w:pPr>
            <w:r w:rsidRPr="0061644B">
              <w:rPr>
                <w:b/>
                <w:sz w:val="24"/>
              </w:rPr>
              <w:t>数据和指标</w:t>
            </w:r>
          </w:p>
        </w:tc>
        <w:tc>
          <w:tcPr>
            <w:tcW w:w="5487" w:type="dxa"/>
            <w:gridSpan w:val="2"/>
            <w:tcBorders>
              <w:top w:val="single" w:sz="4" w:space="0" w:color="000000"/>
              <w:left w:val="single" w:sz="4" w:space="0" w:color="000000"/>
              <w:bottom w:val="single" w:sz="4" w:space="0" w:color="000000"/>
              <w:right w:val="single" w:sz="4" w:space="0" w:color="000000"/>
            </w:tcBorders>
            <w:vAlign w:val="center"/>
            <w:hideMark/>
          </w:tcPr>
          <w:p w:rsidR="006765F7" w:rsidRPr="0061644B" w:rsidRDefault="006765F7" w:rsidP="00792A69">
            <w:pPr>
              <w:spacing w:before="29" w:line="288" w:lineRule="auto"/>
              <w:jc w:val="center"/>
              <w:rPr>
                <w:b/>
                <w:sz w:val="24"/>
              </w:rPr>
            </w:pPr>
            <w:r w:rsidRPr="0061644B">
              <w:rPr>
                <w:b/>
                <w:sz w:val="24"/>
              </w:rPr>
              <w:t>报告期（</w:t>
            </w:r>
            <w:r w:rsidR="00BD1D5C" w:rsidRPr="0061644B">
              <w:rPr>
                <w:b/>
                <w:sz w:val="24"/>
              </w:rPr>
              <w:t>2018</w:t>
            </w:r>
            <w:r w:rsidR="00BD1D5C" w:rsidRPr="0061644B">
              <w:rPr>
                <w:b/>
                <w:sz w:val="24"/>
              </w:rPr>
              <w:t>年</w:t>
            </w:r>
            <w:r w:rsidR="00BD1D5C" w:rsidRPr="0061644B">
              <w:rPr>
                <w:b/>
                <w:sz w:val="24"/>
              </w:rPr>
              <w:t>1</w:t>
            </w:r>
            <w:r w:rsidR="00BD1D5C" w:rsidRPr="0061644B">
              <w:rPr>
                <w:b/>
                <w:sz w:val="24"/>
              </w:rPr>
              <w:t>月</w:t>
            </w:r>
            <w:r w:rsidR="00BD1D5C" w:rsidRPr="0061644B">
              <w:rPr>
                <w:b/>
                <w:sz w:val="24"/>
              </w:rPr>
              <w:t>1</w:t>
            </w:r>
            <w:r w:rsidR="00BD1D5C" w:rsidRPr="0061644B">
              <w:rPr>
                <w:b/>
                <w:sz w:val="24"/>
              </w:rPr>
              <w:t>日至</w:t>
            </w:r>
            <w:r w:rsidRPr="0061644B">
              <w:rPr>
                <w:b/>
                <w:sz w:val="24"/>
              </w:rPr>
              <w:t>2018</w:t>
            </w:r>
            <w:r w:rsidRPr="0061644B">
              <w:rPr>
                <w:b/>
                <w:sz w:val="24"/>
              </w:rPr>
              <w:t>年</w:t>
            </w:r>
            <w:r w:rsidRPr="0061644B">
              <w:rPr>
                <w:b/>
                <w:sz w:val="24"/>
              </w:rPr>
              <w:t>6</w:t>
            </w:r>
            <w:r w:rsidRPr="0061644B">
              <w:rPr>
                <w:b/>
                <w:sz w:val="24"/>
              </w:rPr>
              <w:t>月</w:t>
            </w:r>
            <w:r w:rsidRPr="0061644B">
              <w:rPr>
                <w:b/>
                <w:sz w:val="24"/>
              </w:rPr>
              <w:t>30</w:t>
            </w:r>
            <w:r w:rsidRPr="0061644B">
              <w:rPr>
                <w:b/>
                <w:sz w:val="24"/>
              </w:rPr>
              <w:t>日）</w:t>
            </w:r>
          </w:p>
        </w:tc>
      </w:tr>
      <w:tr w:rsidR="006B4A69" w:rsidRPr="0061644B" w:rsidTr="00F20D15">
        <w:trPr>
          <w:trHeight w:val="487"/>
          <w:jc w:val="center"/>
        </w:trPr>
        <w:tc>
          <w:tcPr>
            <w:tcW w:w="3221" w:type="dxa"/>
            <w:vMerge/>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widowControl/>
              <w:spacing w:before="29" w:line="288" w:lineRule="auto"/>
              <w:jc w:val="left"/>
              <w:rPr>
                <w:b/>
                <w:sz w:val="24"/>
              </w:rPr>
            </w:pP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rPr>
                <w:sz w:val="24"/>
              </w:rPr>
            </w:pPr>
            <w:r w:rsidRPr="0061644B">
              <w:rPr>
                <w:sz w:val="24"/>
              </w:rPr>
              <w:t>交银天运宝货币</w:t>
            </w:r>
            <w:r w:rsidRPr="0061644B">
              <w:rPr>
                <w:sz w:val="24"/>
              </w:rPr>
              <w:t>A</w:t>
            </w:r>
          </w:p>
        </w:tc>
        <w:tc>
          <w:tcPr>
            <w:tcW w:w="2744"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rPr>
                <w:sz w:val="24"/>
              </w:rPr>
            </w:pPr>
            <w:r w:rsidRPr="0061644B">
              <w:rPr>
                <w:sz w:val="24"/>
              </w:rPr>
              <w:t>交银天运宝货币</w:t>
            </w:r>
            <w:r w:rsidRPr="0061644B">
              <w:rPr>
                <w:sz w:val="24"/>
              </w:rPr>
              <w:t>E</w:t>
            </w:r>
          </w:p>
        </w:tc>
      </w:tr>
      <w:tr w:rsidR="006B4A69" w:rsidRPr="0061644B" w:rsidTr="00F20D15">
        <w:trPr>
          <w:jc w:val="center"/>
        </w:trPr>
        <w:tc>
          <w:tcPr>
            <w:tcW w:w="3221"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rPr>
                <w:sz w:val="24"/>
              </w:rPr>
            </w:pPr>
            <w:r w:rsidRPr="0061644B">
              <w:rPr>
                <w:sz w:val="24"/>
              </w:rPr>
              <w:t>本期已实现收益</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jc w:val="right"/>
              <w:rPr>
                <w:sz w:val="24"/>
              </w:rPr>
            </w:pPr>
            <w:r w:rsidRPr="0061644B">
              <w:rPr>
                <w:sz w:val="24"/>
              </w:rPr>
              <w:t>43,206.25</w:t>
            </w:r>
          </w:p>
        </w:tc>
        <w:tc>
          <w:tcPr>
            <w:tcW w:w="2744"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jc w:val="right"/>
              <w:rPr>
                <w:sz w:val="24"/>
              </w:rPr>
            </w:pPr>
            <w:r w:rsidRPr="0061644B">
              <w:rPr>
                <w:sz w:val="24"/>
              </w:rPr>
              <w:t>2,530,076.61</w:t>
            </w:r>
          </w:p>
        </w:tc>
      </w:tr>
      <w:tr w:rsidR="006B4A69" w:rsidRPr="0061644B" w:rsidTr="00F20D15">
        <w:trPr>
          <w:trHeight w:val="754"/>
          <w:jc w:val="center"/>
        </w:trPr>
        <w:tc>
          <w:tcPr>
            <w:tcW w:w="3221"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rPr>
                <w:sz w:val="24"/>
              </w:rPr>
            </w:pPr>
            <w:r w:rsidRPr="0061644B">
              <w:rPr>
                <w:sz w:val="24"/>
              </w:rPr>
              <w:t>本期利润</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jc w:val="right"/>
              <w:rPr>
                <w:sz w:val="24"/>
              </w:rPr>
            </w:pPr>
            <w:r w:rsidRPr="0061644B">
              <w:rPr>
                <w:sz w:val="24"/>
              </w:rPr>
              <w:t>43,206.25</w:t>
            </w:r>
          </w:p>
        </w:tc>
        <w:tc>
          <w:tcPr>
            <w:tcW w:w="2744"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jc w:val="right"/>
              <w:rPr>
                <w:sz w:val="24"/>
              </w:rPr>
            </w:pPr>
            <w:r w:rsidRPr="0061644B">
              <w:rPr>
                <w:sz w:val="24"/>
              </w:rPr>
              <w:t>2,530,076.61</w:t>
            </w:r>
          </w:p>
        </w:tc>
      </w:tr>
      <w:tr w:rsidR="006B4A69" w:rsidRPr="0061644B" w:rsidTr="00F20D15">
        <w:trPr>
          <w:jc w:val="center"/>
        </w:trPr>
        <w:tc>
          <w:tcPr>
            <w:tcW w:w="3221"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rPr>
                <w:sz w:val="24"/>
              </w:rPr>
            </w:pPr>
            <w:r w:rsidRPr="0061644B">
              <w:rPr>
                <w:sz w:val="24"/>
              </w:rPr>
              <w:t>本期净值收益率</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jc w:val="right"/>
              <w:rPr>
                <w:sz w:val="24"/>
              </w:rPr>
            </w:pPr>
            <w:r w:rsidRPr="0061644B">
              <w:rPr>
                <w:sz w:val="24"/>
              </w:rPr>
              <w:t>1.75%</w:t>
            </w:r>
          </w:p>
        </w:tc>
        <w:tc>
          <w:tcPr>
            <w:tcW w:w="2744"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jc w:val="right"/>
              <w:rPr>
                <w:sz w:val="24"/>
              </w:rPr>
            </w:pPr>
            <w:r w:rsidRPr="0061644B">
              <w:rPr>
                <w:sz w:val="24"/>
              </w:rPr>
              <w:t>1.86%</w:t>
            </w:r>
          </w:p>
        </w:tc>
      </w:tr>
      <w:tr w:rsidR="006B4A69" w:rsidRPr="0061644B" w:rsidTr="00F20D15">
        <w:trPr>
          <w:jc w:val="center"/>
        </w:trPr>
        <w:tc>
          <w:tcPr>
            <w:tcW w:w="3221" w:type="dxa"/>
            <w:vMerge w:val="restart"/>
            <w:tcBorders>
              <w:top w:val="single" w:sz="4" w:space="0" w:color="000000"/>
              <w:left w:val="single" w:sz="4" w:space="0" w:color="000000"/>
              <w:bottom w:val="single" w:sz="4" w:space="0" w:color="000000"/>
              <w:right w:val="single" w:sz="4" w:space="0" w:color="000000"/>
            </w:tcBorders>
            <w:vAlign w:val="center"/>
            <w:hideMark/>
          </w:tcPr>
          <w:p w:rsidR="006765F7" w:rsidRPr="0061644B" w:rsidRDefault="006765F7" w:rsidP="00792A69">
            <w:pPr>
              <w:spacing w:before="29" w:line="288" w:lineRule="auto"/>
              <w:ind w:leftChars="-51" w:left="-107" w:rightChars="-51" w:right="-107"/>
              <w:rPr>
                <w:b/>
                <w:sz w:val="24"/>
              </w:rPr>
            </w:pPr>
            <w:r w:rsidRPr="0061644B">
              <w:rPr>
                <w:b/>
                <w:sz w:val="24"/>
              </w:rPr>
              <w:t>3.1.2</w:t>
            </w:r>
            <w:r w:rsidRPr="0061644B">
              <w:rPr>
                <w:b/>
                <w:sz w:val="24"/>
              </w:rPr>
              <w:t>期末</w:t>
            </w:r>
          </w:p>
          <w:p w:rsidR="006765F7" w:rsidRPr="0061644B" w:rsidRDefault="006765F7" w:rsidP="00792A69">
            <w:pPr>
              <w:spacing w:before="29" w:line="288" w:lineRule="auto"/>
              <w:ind w:leftChars="-51" w:left="-107" w:rightChars="-51" w:right="-107"/>
              <w:rPr>
                <w:b/>
                <w:sz w:val="24"/>
              </w:rPr>
            </w:pPr>
            <w:r w:rsidRPr="0061644B">
              <w:rPr>
                <w:b/>
                <w:sz w:val="24"/>
              </w:rPr>
              <w:t>数据和指标</w:t>
            </w:r>
          </w:p>
        </w:tc>
        <w:tc>
          <w:tcPr>
            <w:tcW w:w="5487" w:type="dxa"/>
            <w:gridSpan w:val="2"/>
            <w:tcBorders>
              <w:top w:val="single" w:sz="4" w:space="0" w:color="000000"/>
              <w:left w:val="single" w:sz="4" w:space="0" w:color="000000"/>
              <w:bottom w:val="single" w:sz="4" w:space="0" w:color="000000"/>
              <w:right w:val="single" w:sz="4" w:space="0" w:color="000000"/>
            </w:tcBorders>
            <w:vAlign w:val="center"/>
            <w:hideMark/>
          </w:tcPr>
          <w:p w:rsidR="006765F7" w:rsidRPr="0061644B" w:rsidRDefault="006765F7" w:rsidP="00792A69">
            <w:pPr>
              <w:spacing w:before="29" w:line="288" w:lineRule="auto"/>
              <w:jc w:val="center"/>
              <w:rPr>
                <w:b/>
                <w:sz w:val="24"/>
              </w:rPr>
            </w:pPr>
            <w:r w:rsidRPr="0061644B">
              <w:rPr>
                <w:b/>
                <w:sz w:val="24"/>
              </w:rPr>
              <w:t>报告期末</w:t>
            </w:r>
            <w:r w:rsidRPr="0061644B">
              <w:rPr>
                <w:b/>
                <w:sz w:val="24"/>
              </w:rPr>
              <w:t>(2018</w:t>
            </w:r>
            <w:r w:rsidRPr="0061644B">
              <w:rPr>
                <w:b/>
                <w:sz w:val="24"/>
              </w:rPr>
              <w:t>年</w:t>
            </w:r>
            <w:r w:rsidRPr="0061644B">
              <w:rPr>
                <w:b/>
                <w:sz w:val="24"/>
              </w:rPr>
              <w:t>6</w:t>
            </w:r>
            <w:r w:rsidRPr="0061644B">
              <w:rPr>
                <w:b/>
                <w:sz w:val="24"/>
              </w:rPr>
              <w:t>月</w:t>
            </w:r>
            <w:r w:rsidRPr="0061644B">
              <w:rPr>
                <w:b/>
                <w:sz w:val="24"/>
              </w:rPr>
              <w:t>30</w:t>
            </w:r>
            <w:r w:rsidRPr="0061644B">
              <w:rPr>
                <w:b/>
                <w:sz w:val="24"/>
              </w:rPr>
              <w:t>日</w:t>
            </w:r>
            <w:r w:rsidRPr="0061644B">
              <w:rPr>
                <w:b/>
                <w:sz w:val="24"/>
              </w:rPr>
              <w:t>)</w:t>
            </w:r>
          </w:p>
        </w:tc>
      </w:tr>
      <w:tr w:rsidR="006B4A69" w:rsidRPr="0061644B" w:rsidTr="00F20D15">
        <w:trPr>
          <w:trHeight w:val="373"/>
          <w:jc w:val="center"/>
        </w:trPr>
        <w:tc>
          <w:tcPr>
            <w:tcW w:w="3221" w:type="dxa"/>
            <w:vMerge/>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widowControl/>
              <w:spacing w:before="29" w:line="288" w:lineRule="auto"/>
              <w:jc w:val="left"/>
              <w:rPr>
                <w:b/>
                <w:sz w:val="24"/>
              </w:rPr>
            </w:pP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ind w:leftChars="-51" w:left="-107" w:rightChars="-51" w:right="-107"/>
              <w:jc w:val="center"/>
              <w:rPr>
                <w:sz w:val="24"/>
              </w:rPr>
            </w:pPr>
            <w:r w:rsidRPr="0061644B">
              <w:rPr>
                <w:sz w:val="24"/>
              </w:rPr>
              <w:t>交银天运宝货币</w:t>
            </w:r>
            <w:r w:rsidRPr="0061644B">
              <w:rPr>
                <w:sz w:val="24"/>
              </w:rPr>
              <w:t>A</w:t>
            </w:r>
          </w:p>
        </w:tc>
        <w:tc>
          <w:tcPr>
            <w:tcW w:w="2744"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ind w:leftChars="-51" w:left="-107" w:rightChars="-51" w:right="-107"/>
              <w:jc w:val="center"/>
              <w:rPr>
                <w:sz w:val="24"/>
              </w:rPr>
            </w:pPr>
            <w:r w:rsidRPr="0061644B">
              <w:rPr>
                <w:sz w:val="24"/>
              </w:rPr>
              <w:t>交银天运宝货币</w:t>
            </w:r>
            <w:r w:rsidRPr="0061644B">
              <w:rPr>
                <w:sz w:val="24"/>
              </w:rPr>
              <w:t>E</w:t>
            </w:r>
          </w:p>
        </w:tc>
      </w:tr>
      <w:tr w:rsidR="006B4A69" w:rsidRPr="0061644B" w:rsidTr="00F20D15">
        <w:trPr>
          <w:jc w:val="center"/>
        </w:trPr>
        <w:tc>
          <w:tcPr>
            <w:tcW w:w="3221"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rPr>
                <w:sz w:val="24"/>
              </w:rPr>
            </w:pPr>
            <w:r w:rsidRPr="0061644B">
              <w:rPr>
                <w:sz w:val="24"/>
              </w:rPr>
              <w:t>期末基金资产净值</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jc w:val="right"/>
              <w:rPr>
                <w:sz w:val="24"/>
              </w:rPr>
            </w:pPr>
            <w:r w:rsidRPr="0061644B">
              <w:rPr>
                <w:sz w:val="24"/>
              </w:rPr>
              <w:t>12,545,180.67</w:t>
            </w:r>
          </w:p>
        </w:tc>
        <w:tc>
          <w:tcPr>
            <w:tcW w:w="2744"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jc w:val="right"/>
              <w:rPr>
                <w:sz w:val="24"/>
              </w:rPr>
            </w:pPr>
            <w:r w:rsidRPr="0061644B">
              <w:rPr>
                <w:sz w:val="24"/>
              </w:rPr>
              <w:t>212,106,097.33</w:t>
            </w:r>
          </w:p>
        </w:tc>
      </w:tr>
      <w:tr w:rsidR="006B4A69" w:rsidRPr="0061644B" w:rsidTr="00F20D15">
        <w:trPr>
          <w:jc w:val="center"/>
        </w:trPr>
        <w:tc>
          <w:tcPr>
            <w:tcW w:w="3221"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rPr>
                <w:sz w:val="24"/>
              </w:rPr>
            </w:pPr>
            <w:r w:rsidRPr="0061644B">
              <w:rPr>
                <w:sz w:val="24"/>
              </w:rPr>
              <w:t>期末基金份额净值</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jc w:val="right"/>
              <w:rPr>
                <w:sz w:val="24"/>
              </w:rPr>
            </w:pPr>
            <w:r w:rsidRPr="0061644B">
              <w:rPr>
                <w:sz w:val="24"/>
              </w:rPr>
              <w:t>1.000</w:t>
            </w:r>
          </w:p>
        </w:tc>
        <w:tc>
          <w:tcPr>
            <w:tcW w:w="2744"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jc w:val="right"/>
              <w:rPr>
                <w:sz w:val="24"/>
              </w:rPr>
            </w:pPr>
            <w:r w:rsidRPr="0061644B">
              <w:rPr>
                <w:sz w:val="24"/>
              </w:rPr>
              <w:t>1.000</w:t>
            </w:r>
          </w:p>
        </w:tc>
      </w:tr>
    </w:tbl>
    <w:p w:rsidR="001124D8" w:rsidRDefault="00C50050">
      <w:pPr>
        <w:tabs>
          <w:tab w:val="left" w:pos="426"/>
        </w:tabs>
        <w:spacing w:before="29" w:line="288" w:lineRule="auto"/>
        <w:jc w:val="left"/>
        <w:rPr>
          <w:kern w:val="0"/>
          <w:sz w:val="24"/>
        </w:rPr>
      </w:pPr>
      <w:r>
        <w:rPr>
          <w:kern w:val="0"/>
          <w:sz w:val="24"/>
        </w:rPr>
        <w:t>注：</w:t>
      </w:r>
      <w:r>
        <w:rPr>
          <w:kern w:val="0"/>
          <w:sz w:val="24"/>
        </w:rPr>
        <w:t>1</w:t>
      </w:r>
      <w:r>
        <w:rPr>
          <w:kern w:val="0"/>
          <w:sz w:val="24"/>
        </w:rPr>
        <w:t>、本基金申购赎回费为零。</w:t>
      </w:r>
    </w:p>
    <w:p w:rsidR="001124D8" w:rsidRDefault="00C50050">
      <w:pPr>
        <w:tabs>
          <w:tab w:val="left" w:pos="426"/>
        </w:tabs>
        <w:spacing w:before="29" w:line="288" w:lineRule="auto"/>
        <w:jc w:val="left"/>
        <w:rPr>
          <w:kern w:val="0"/>
          <w:sz w:val="24"/>
        </w:rPr>
      </w:pPr>
      <w:r>
        <w:rPr>
          <w:kern w:val="0"/>
          <w:sz w:val="24"/>
        </w:rPr>
        <w:t>2</w:t>
      </w:r>
      <w:r>
        <w:rPr>
          <w:kern w:val="0"/>
          <w:sz w:val="24"/>
        </w:rPr>
        <w:t>、本基金收益分配按日结转份额。</w:t>
      </w:r>
    </w:p>
    <w:p w:rsidR="001124D8" w:rsidRDefault="00C50050">
      <w:pPr>
        <w:tabs>
          <w:tab w:val="left" w:pos="426"/>
        </w:tabs>
        <w:spacing w:before="29" w:line="288" w:lineRule="auto"/>
        <w:jc w:val="left"/>
        <w:rPr>
          <w:kern w:val="0"/>
          <w:sz w:val="24"/>
        </w:rPr>
      </w:pPr>
      <w:r>
        <w:rPr>
          <w:kern w:val="0"/>
          <w:sz w:val="24"/>
        </w:rPr>
        <w:t>3</w:t>
      </w:r>
      <w:r>
        <w:rPr>
          <w:kern w:val="0"/>
          <w:sz w:val="24"/>
        </w:rPr>
        <w:t>、本基金实行销售服务费分类收费方式，分设两类基金份额：</w:t>
      </w:r>
      <w:r>
        <w:rPr>
          <w:kern w:val="0"/>
          <w:sz w:val="24"/>
        </w:rPr>
        <w:t>A</w:t>
      </w:r>
      <w:r>
        <w:rPr>
          <w:kern w:val="0"/>
          <w:sz w:val="24"/>
        </w:rPr>
        <w:t>类基金份额和</w:t>
      </w:r>
      <w:r>
        <w:rPr>
          <w:kern w:val="0"/>
          <w:sz w:val="24"/>
        </w:rPr>
        <w:t>E</w:t>
      </w:r>
      <w:r>
        <w:rPr>
          <w:kern w:val="0"/>
          <w:sz w:val="24"/>
        </w:rPr>
        <w:t>类基金份额。</w:t>
      </w:r>
      <w:r>
        <w:rPr>
          <w:kern w:val="0"/>
          <w:sz w:val="24"/>
        </w:rPr>
        <w:t>A</w:t>
      </w:r>
      <w:r>
        <w:rPr>
          <w:kern w:val="0"/>
          <w:sz w:val="24"/>
        </w:rPr>
        <w:t>类基金份额与</w:t>
      </w:r>
      <w:r>
        <w:rPr>
          <w:kern w:val="0"/>
          <w:sz w:val="24"/>
        </w:rPr>
        <w:t>E</w:t>
      </w:r>
      <w:r>
        <w:rPr>
          <w:kern w:val="0"/>
          <w:sz w:val="24"/>
        </w:rPr>
        <w:t>类基金份额的管理费、托管费相同，</w:t>
      </w:r>
      <w:r>
        <w:rPr>
          <w:kern w:val="0"/>
          <w:sz w:val="24"/>
        </w:rPr>
        <w:t>A</w:t>
      </w:r>
      <w:r>
        <w:rPr>
          <w:kern w:val="0"/>
          <w:sz w:val="24"/>
        </w:rPr>
        <w:t>类基金份额按照</w:t>
      </w:r>
      <w:r>
        <w:rPr>
          <w:kern w:val="0"/>
          <w:sz w:val="24"/>
        </w:rPr>
        <w:t>0.25%</w:t>
      </w:r>
      <w:r>
        <w:rPr>
          <w:kern w:val="0"/>
          <w:sz w:val="24"/>
        </w:rPr>
        <w:t>的年费率计提销售服务费，</w:t>
      </w:r>
      <w:r>
        <w:rPr>
          <w:kern w:val="0"/>
          <w:sz w:val="24"/>
        </w:rPr>
        <w:t>E</w:t>
      </w:r>
      <w:r>
        <w:rPr>
          <w:kern w:val="0"/>
          <w:sz w:val="24"/>
        </w:rPr>
        <w:t>类基金份额按照</w:t>
      </w:r>
      <w:r>
        <w:rPr>
          <w:kern w:val="0"/>
          <w:sz w:val="24"/>
        </w:rPr>
        <w:t>0.01%</w:t>
      </w:r>
      <w:r>
        <w:rPr>
          <w:kern w:val="0"/>
          <w:sz w:val="24"/>
        </w:rPr>
        <w:t>的年费率计提销售服务费。</w:t>
      </w:r>
    </w:p>
    <w:p w:rsidR="00726087" w:rsidRPr="0061644B" w:rsidRDefault="00726087" w:rsidP="00792A69">
      <w:pPr>
        <w:tabs>
          <w:tab w:val="left" w:pos="426"/>
        </w:tabs>
        <w:spacing w:before="29" w:line="288" w:lineRule="auto"/>
        <w:jc w:val="left"/>
        <w:rPr>
          <w:kern w:val="0"/>
          <w:sz w:val="24"/>
        </w:rPr>
      </w:pPr>
      <w:r w:rsidRPr="0061644B">
        <w:rPr>
          <w:kern w:val="0"/>
          <w:sz w:val="24"/>
        </w:rPr>
        <w:t>4</w:t>
      </w:r>
      <w:r w:rsidRPr="0061644B">
        <w:rPr>
          <w:kern w:val="0"/>
          <w:sz w:val="24"/>
        </w:rPr>
        <w:t>、本期已实现收益指基金本期利息收入、投资收益、其他收入（不含公允价值变动收益）扣除相关费用后的余额，本期利润为本期已实现收益加上本期公允价值变动收益，由于货币市场基金采用摊余成本法核算，因此，公允价值变动收益为零，本期已实现收益和本期利润的金额相等。</w:t>
      </w:r>
    </w:p>
    <w:p w:rsidR="00223DFB" w:rsidRPr="0061644B" w:rsidRDefault="00223DFB" w:rsidP="00792A69">
      <w:pPr>
        <w:spacing w:before="29" w:line="288" w:lineRule="auto"/>
        <w:rPr>
          <w:sz w:val="24"/>
        </w:rPr>
      </w:pPr>
    </w:p>
    <w:p w:rsidR="00223DFB" w:rsidRPr="0061644B" w:rsidRDefault="00223DF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lastRenderedPageBreak/>
        <w:t xml:space="preserve">3.2 </w:t>
      </w:r>
      <w:r w:rsidRPr="0061644B">
        <w:rPr>
          <w:rFonts w:ascii="Times New Roman" w:hAnsi="Times New Roman" w:cs="Times New Roman"/>
          <w:kern w:val="0"/>
          <w:szCs w:val="24"/>
        </w:rPr>
        <w:t>基金净值表现</w:t>
      </w:r>
    </w:p>
    <w:p w:rsidR="00223DFB" w:rsidRPr="0061644B" w:rsidRDefault="00223DFB" w:rsidP="00792A69">
      <w:pPr>
        <w:autoSpaceDE w:val="0"/>
        <w:autoSpaceDN w:val="0"/>
        <w:adjustRightInd w:val="0"/>
        <w:spacing w:before="29" w:line="288" w:lineRule="auto"/>
        <w:jc w:val="left"/>
        <w:rPr>
          <w:b/>
          <w:kern w:val="0"/>
          <w:sz w:val="24"/>
        </w:rPr>
      </w:pPr>
      <w:r w:rsidRPr="0061644B">
        <w:rPr>
          <w:b/>
          <w:kern w:val="0"/>
          <w:sz w:val="24"/>
        </w:rPr>
        <w:t>3.2</w:t>
      </w:r>
      <w:r w:rsidR="006C18AF" w:rsidRPr="0061644B">
        <w:rPr>
          <w:b/>
          <w:kern w:val="0"/>
          <w:sz w:val="24"/>
        </w:rPr>
        <w:t>.</w:t>
      </w:r>
      <w:r w:rsidRPr="0061644B">
        <w:rPr>
          <w:b/>
          <w:kern w:val="0"/>
          <w:sz w:val="24"/>
        </w:rPr>
        <w:t xml:space="preserve">1 </w:t>
      </w:r>
      <w:r w:rsidR="00783BF5" w:rsidRPr="0061644B">
        <w:rPr>
          <w:b/>
          <w:kern w:val="0"/>
          <w:sz w:val="24"/>
        </w:rPr>
        <w:t>基金份额净值收益率及其与同期业绩比较基准收益率的比较</w:t>
      </w:r>
    </w:p>
    <w:p w:rsidR="00223DFB" w:rsidRPr="0061644B" w:rsidRDefault="00223DFB" w:rsidP="00792A69">
      <w:pPr>
        <w:pStyle w:val="21"/>
        <w:spacing w:before="29" w:line="288" w:lineRule="auto"/>
        <w:ind w:firstLineChars="0" w:firstLine="0"/>
        <w:rPr>
          <w:rFonts w:ascii="Times New Roman" w:hAnsi="Times New Roman"/>
          <w:b/>
          <w:color w:val="auto"/>
        </w:rPr>
      </w:pPr>
      <w:r w:rsidRPr="0061644B">
        <w:rPr>
          <w:rFonts w:ascii="Times New Roman" w:hAnsi="Times New Roman"/>
          <w:b/>
          <w:color w:val="auto"/>
        </w:rPr>
        <w:t>1</w:t>
      </w:r>
      <w:r w:rsidRPr="0061644B">
        <w:rPr>
          <w:rFonts w:ascii="Times New Roman" w:hAnsi="Times New Roman"/>
          <w:b/>
          <w:color w:val="auto"/>
        </w:rPr>
        <w:t>．交银天运宝货币</w:t>
      </w:r>
      <w:r w:rsidRPr="0061644B">
        <w:rPr>
          <w:rFonts w:ascii="Times New Roman" w:hAnsi="Times New Roman"/>
          <w:b/>
          <w:color w:val="auto"/>
        </w:rPr>
        <w:t>A</w:t>
      </w:r>
      <w:r w:rsidRPr="0061644B">
        <w:rPr>
          <w:rFonts w:ascii="Times New Roman" w:hAnsi="Times New Roman"/>
          <w:b/>
          <w:color w:val="auto"/>
        </w:rPr>
        <w:t>：</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1600"/>
        <w:gridCol w:w="1233"/>
        <w:gridCol w:w="1233"/>
        <w:gridCol w:w="1233"/>
        <w:gridCol w:w="1233"/>
        <w:gridCol w:w="1233"/>
        <w:gridCol w:w="1233"/>
      </w:tblGrid>
      <w:tr w:rsidR="006B4A69" w:rsidRPr="0061644B" w:rsidTr="00F168B1">
        <w:tc>
          <w:tcPr>
            <w:tcW w:w="1727" w:type="dxa"/>
            <w:shd w:val="clear" w:color="auto" w:fill="auto"/>
            <w:vAlign w:val="center"/>
          </w:tcPr>
          <w:p w:rsidR="00783BF5" w:rsidRPr="0061644B" w:rsidRDefault="00783BF5"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ascii="Times New Roman" w:hAnsi="Times New Roman"/>
                <w:kern w:val="2"/>
              </w:rPr>
              <w:t>阶段</w:t>
            </w:r>
          </w:p>
        </w:tc>
        <w:tc>
          <w:tcPr>
            <w:tcW w:w="1326" w:type="dxa"/>
            <w:shd w:val="clear" w:color="auto" w:fill="auto"/>
            <w:vAlign w:val="center"/>
          </w:tcPr>
          <w:p w:rsidR="00783BF5" w:rsidRPr="0061644B" w:rsidRDefault="00153C23"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ascii="Times New Roman" w:hAnsi="Times New Roman"/>
              </w:rPr>
              <w:t>份额</w:t>
            </w:r>
            <w:r w:rsidR="00783BF5" w:rsidRPr="0061644B">
              <w:rPr>
                <w:rFonts w:ascii="Times New Roman" w:hAnsi="Times New Roman"/>
                <w:kern w:val="2"/>
              </w:rPr>
              <w:t>净值收益率</w:t>
            </w:r>
            <w:r w:rsidR="00783BF5" w:rsidRPr="0061644B">
              <w:rPr>
                <w:rFonts w:cs="宋体" w:hint="eastAsia"/>
                <w:kern w:val="2"/>
              </w:rPr>
              <w:t>①</w:t>
            </w:r>
          </w:p>
        </w:tc>
        <w:tc>
          <w:tcPr>
            <w:tcW w:w="1327" w:type="dxa"/>
            <w:shd w:val="clear" w:color="auto" w:fill="auto"/>
            <w:vAlign w:val="center"/>
          </w:tcPr>
          <w:p w:rsidR="00783BF5" w:rsidRPr="0061644B" w:rsidRDefault="00023EC2"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ascii="Times New Roman" w:hAnsi="Times New Roman"/>
              </w:rPr>
              <w:t>份额</w:t>
            </w:r>
            <w:r w:rsidR="00783BF5" w:rsidRPr="0061644B">
              <w:rPr>
                <w:rFonts w:ascii="Times New Roman" w:hAnsi="Times New Roman"/>
                <w:kern w:val="2"/>
              </w:rPr>
              <w:t>净值收益率标准差</w:t>
            </w:r>
            <w:r w:rsidR="00783BF5" w:rsidRPr="0061644B">
              <w:rPr>
                <w:rFonts w:cs="宋体" w:hint="eastAsia"/>
                <w:kern w:val="2"/>
              </w:rPr>
              <w:t>②</w:t>
            </w:r>
          </w:p>
        </w:tc>
        <w:tc>
          <w:tcPr>
            <w:tcW w:w="1327" w:type="dxa"/>
            <w:shd w:val="clear" w:color="auto" w:fill="auto"/>
            <w:vAlign w:val="center"/>
          </w:tcPr>
          <w:p w:rsidR="00783BF5" w:rsidRPr="0061644B" w:rsidRDefault="00783BF5"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ascii="Times New Roman" w:hAnsi="Times New Roman"/>
                <w:kern w:val="2"/>
              </w:rPr>
              <w:t>业绩比较基准收益率</w:t>
            </w:r>
            <w:r w:rsidRPr="0061644B">
              <w:rPr>
                <w:rFonts w:cs="宋体" w:hint="eastAsia"/>
                <w:kern w:val="2"/>
              </w:rPr>
              <w:t>③</w:t>
            </w:r>
          </w:p>
        </w:tc>
        <w:tc>
          <w:tcPr>
            <w:tcW w:w="1327" w:type="dxa"/>
            <w:shd w:val="clear" w:color="auto" w:fill="auto"/>
            <w:vAlign w:val="center"/>
          </w:tcPr>
          <w:p w:rsidR="00783BF5" w:rsidRPr="0061644B" w:rsidRDefault="00783BF5"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ascii="Times New Roman" w:hAnsi="Times New Roman"/>
                <w:kern w:val="2"/>
              </w:rPr>
              <w:t>业绩比较基准收益率标准差</w:t>
            </w:r>
            <w:r w:rsidRPr="0061644B">
              <w:rPr>
                <w:rFonts w:cs="宋体" w:hint="eastAsia"/>
                <w:kern w:val="2"/>
              </w:rPr>
              <w:t>④</w:t>
            </w:r>
          </w:p>
        </w:tc>
        <w:tc>
          <w:tcPr>
            <w:tcW w:w="1327" w:type="dxa"/>
            <w:shd w:val="clear" w:color="auto" w:fill="auto"/>
            <w:vAlign w:val="center"/>
          </w:tcPr>
          <w:p w:rsidR="00783BF5" w:rsidRPr="0061644B" w:rsidRDefault="0073666D" w:rsidP="00792A69">
            <w:pPr>
              <w:pStyle w:val="af6"/>
              <w:numPr>
                <w:ilvl w:val="0"/>
                <w:numId w:val="17"/>
              </w:numPr>
              <w:adjustRightInd w:val="0"/>
              <w:snapToGrid w:val="0"/>
              <w:spacing w:before="29" w:beforeAutospacing="0" w:after="0" w:afterAutospacing="0" w:line="288" w:lineRule="auto"/>
              <w:jc w:val="center"/>
              <w:rPr>
                <w:rFonts w:ascii="Times New Roman" w:hAnsi="Times New Roman"/>
                <w:kern w:val="2"/>
              </w:rPr>
            </w:pPr>
            <w:r w:rsidRPr="0061644B">
              <w:rPr>
                <w:color w:val="000000"/>
              </w:rPr>
              <w:t>－</w:t>
            </w:r>
            <w:r w:rsidRPr="0061644B">
              <w:rPr>
                <w:rFonts w:cs="宋体" w:hint="eastAsia"/>
                <w:color w:val="000000"/>
              </w:rPr>
              <w:t>③</w:t>
            </w:r>
          </w:p>
        </w:tc>
        <w:tc>
          <w:tcPr>
            <w:tcW w:w="1327" w:type="dxa"/>
            <w:shd w:val="clear" w:color="auto" w:fill="auto"/>
            <w:vAlign w:val="center"/>
          </w:tcPr>
          <w:p w:rsidR="00783BF5" w:rsidRPr="0061644B" w:rsidRDefault="0073666D"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cs="宋体" w:hint="eastAsia"/>
                <w:color w:val="000000"/>
              </w:rPr>
              <w:t>②</w:t>
            </w:r>
            <w:r w:rsidRPr="0061644B">
              <w:rPr>
                <w:color w:val="000000"/>
              </w:rPr>
              <w:t>－</w:t>
            </w:r>
            <w:r w:rsidRPr="0061644B">
              <w:rPr>
                <w:rFonts w:cs="宋体" w:hint="eastAsia"/>
                <w:color w:val="000000"/>
              </w:rPr>
              <w:t>④</w:t>
            </w:r>
          </w:p>
        </w:tc>
      </w:tr>
      <w:tr w:rsidR="001124D8">
        <w:tc>
          <w:tcPr>
            <w:tcW w:w="1600" w:type="dxa"/>
            <w:vAlign w:val="center"/>
          </w:tcPr>
          <w:p w:rsidR="001124D8" w:rsidRDefault="00C50050">
            <w:pPr>
              <w:jc w:val="left"/>
            </w:pPr>
            <w:r>
              <w:rPr>
                <w:sz w:val="24"/>
              </w:rPr>
              <w:t>过去一个月</w:t>
            </w:r>
          </w:p>
        </w:tc>
        <w:tc>
          <w:tcPr>
            <w:tcW w:w="1233" w:type="dxa"/>
            <w:vAlign w:val="center"/>
          </w:tcPr>
          <w:p w:rsidR="001124D8" w:rsidRDefault="00C50050">
            <w:pPr>
              <w:jc w:val="center"/>
            </w:pPr>
            <w:r>
              <w:rPr>
                <w:sz w:val="24"/>
              </w:rPr>
              <w:t>0.3719%</w:t>
            </w:r>
          </w:p>
        </w:tc>
        <w:tc>
          <w:tcPr>
            <w:tcW w:w="1233" w:type="dxa"/>
            <w:vAlign w:val="center"/>
          </w:tcPr>
          <w:p w:rsidR="001124D8" w:rsidRDefault="00C50050">
            <w:pPr>
              <w:jc w:val="center"/>
            </w:pPr>
            <w:r>
              <w:rPr>
                <w:sz w:val="24"/>
              </w:rPr>
              <w:t>0.0168%</w:t>
            </w:r>
          </w:p>
        </w:tc>
        <w:tc>
          <w:tcPr>
            <w:tcW w:w="1233" w:type="dxa"/>
            <w:vAlign w:val="center"/>
          </w:tcPr>
          <w:p w:rsidR="001124D8" w:rsidRDefault="00C50050">
            <w:pPr>
              <w:jc w:val="center"/>
            </w:pPr>
            <w:r>
              <w:rPr>
                <w:sz w:val="24"/>
              </w:rPr>
              <w:t>0.0288%</w:t>
            </w:r>
          </w:p>
        </w:tc>
        <w:tc>
          <w:tcPr>
            <w:tcW w:w="1233" w:type="dxa"/>
            <w:vAlign w:val="center"/>
          </w:tcPr>
          <w:p w:rsidR="001124D8" w:rsidRDefault="00C50050">
            <w:pPr>
              <w:jc w:val="center"/>
            </w:pPr>
            <w:r>
              <w:rPr>
                <w:sz w:val="24"/>
              </w:rPr>
              <w:t>0.0000%</w:t>
            </w:r>
          </w:p>
        </w:tc>
        <w:tc>
          <w:tcPr>
            <w:tcW w:w="1233" w:type="dxa"/>
            <w:vAlign w:val="center"/>
          </w:tcPr>
          <w:p w:rsidR="001124D8" w:rsidRDefault="00C50050">
            <w:pPr>
              <w:jc w:val="center"/>
            </w:pPr>
            <w:r>
              <w:rPr>
                <w:sz w:val="24"/>
              </w:rPr>
              <w:t>0.3431%</w:t>
            </w:r>
          </w:p>
        </w:tc>
        <w:tc>
          <w:tcPr>
            <w:tcW w:w="1233" w:type="dxa"/>
            <w:vAlign w:val="center"/>
          </w:tcPr>
          <w:p w:rsidR="001124D8" w:rsidRDefault="00C50050">
            <w:pPr>
              <w:jc w:val="center"/>
            </w:pPr>
            <w:r>
              <w:rPr>
                <w:sz w:val="24"/>
              </w:rPr>
              <w:t>0.0168%</w:t>
            </w:r>
          </w:p>
        </w:tc>
      </w:tr>
      <w:tr w:rsidR="001124D8">
        <w:tc>
          <w:tcPr>
            <w:tcW w:w="1600" w:type="dxa"/>
            <w:vAlign w:val="center"/>
          </w:tcPr>
          <w:p w:rsidR="001124D8" w:rsidRDefault="00C50050">
            <w:pPr>
              <w:jc w:val="left"/>
            </w:pPr>
            <w:r>
              <w:rPr>
                <w:sz w:val="24"/>
              </w:rPr>
              <w:t>过去三个月</w:t>
            </w:r>
          </w:p>
        </w:tc>
        <w:tc>
          <w:tcPr>
            <w:tcW w:w="1233" w:type="dxa"/>
            <w:vAlign w:val="center"/>
          </w:tcPr>
          <w:p w:rsidR="001124D8" w:rsidRDefault="00C50050">
            <w:pPr>
              <w:jc w:val="center"/>
            </w:pPr>
            <w:r>
              <w:rPr>
                <w:sz w:val="24"/>
              </w:rPr>
              <w:t>0.9284%</w:t>
            </w:r>
          </w:p>
        </w:tc>
        <w:tc>
          <w:tcPr>
            <w:tcW w:w="1233" w:type="dxa"/>
            <w:vAlign w:val="center"/>
          </w:tcPr>
          <w:p w:rsidR="001124D8" w:rsidRDefault="00C50050">
            <w:pPr>
              <w:jc w:val="center"/>
            </w:pPr>
            <w:r>
              <w:rPr>
                <w:sz w:val="24"/>
              </w:rPr>
              <w:t>0.0141%</w:t>
            </w:r>
          </w:p>
        </w:tc>
        <w:tc>
          <w:tcPr>
            <w:tcW w:w="1233" w:type="dxa"/>
            <w:vAlign w:val="center"/>
          </w:tcPr>
          <w:p w:rsidR="001124D8" w:rsidRDefault="00C50050">
            <w:pPr>
              <w:jc w:val="center"/>
            </w:pPr>
            <w:r>
              <w:rPr>
                <w:sz w:val="24"/>
              </w:rPr>
              <w:t>0.0873%</w:t>
            </w:r>
          </w:p>
        </w:tc>
        <w:tc>
          <w:tcPr>
            <w:tcW w:w="1233" w:type="dxa"/>
            <w:vAlign w:val="center"/>
          </w:tcPr>
          <w:p w:rsidR="001124D8" w:rsidRDefault="00C50050">
            <w:pPr>
              <w:jc w:val="center"/>
            </w:pPr>
            <w:r>
              <w:rPr>
                <w:sz w:val="24"/>
              </w:rPr>
              <w:t>0.0000%</w:t>
            </w:r>
          </w:p>
        </w:tc>
        <w:tc>
          <w:tcPr>
            <w:tcW w:w="1233" w:type="dxa"/>
            <w:vAlign w:val="center"/>
          </w:tcPr>
          <w:p w:rsidR="001124D8" w:rsidRDefault="00C50050">
            <w:pPr>
              <w:jc w:val="center"/>
            </w:pPr>
            <w:r>
              <w:rPr>
                <w:sz w:val="24"/>
              </w:rPr>
              <w:t>0.8411%</w:t>
            </w:r>
          </w:p>
        </w:tc>
        <w:tc>
          <w:tcPr>
            <w:tcW w:w="1233" w:type="dxa"/>
            <w:vAlign w:val="center"/>
          </w:tcPr>
          <w:p w:rsidR="001124D8" w:rsidRDefault="00C50050">
            <w:pPr>
              <w:jc w:val="center"/>
            </w:pPr>
            <w:r>
              <w:rPr>
                <w:sz w:val="24"/>
              </w:rPr>
              <w:t>0.0141%</w:t>
            </w:r>
          </w:p>
        </w:tc>
      </w:tr>
      <w:tr w:rsidR="001124D8">
        <w:tc>
          <w:tcPr>
            <w:tcW w:w="1600" w:type="dxa"/>
            <w:vAlign w:val="center"/>
          </w:tcPr>
          <w:p w:rsidR="001124D8" w:rsidRDefault="00C50050">
            <w:pPr>
              <w:jc w:val="left"/>
            </w:pPr>
            <w:r>
              <w:rPr>
                <w:sz w:val="24"/>
              </w:rPr>
              <w:t>过去六个月</w:t>
            </w:r>
          </w:p>
        </w:tc>
        <w:tc>
          <w:tcPr>
            <w:tcW w:w="1233" w:type="dxa"/>
            <w:vAlign w:val="center"/>
          </w:tcPr>
          <w:p w:rsidR="001124D8" w:rsidRDefault="00C50050">
            <w:pPr>
              <w:jc w:val="center"/>
            </w:pPr>
            <w:r>
              <w:rPr>
                <w:sz w:val="24"/>
              </w:rPr>
              <w:t>1.7453%</w:t>
            </w:r>
          </w:p>
        </w:tc>
        <w:tc>
          <w:tcPr>
            <w:tcW w:w="1233" w:type="dxa"/>
            <w:vAlign w:val="center"/>
          </w:tcPr>
          <w:p w:rsidR="001124D8" w:rsidRDefault="00C50050">
            <w:pPr>
              <w:jc w:val="center"/>
            </w:pPr>
            <w:r>
              <w:rPr>
                <w:sz w:val="24"/>
              </w:rPr>
              <w:t>0.0105%</w:t>
            </w:r>
          </w:p>
        </w:tc>
        <w:tc>
          <w:tcPr>
            <w:tcW w:w="1233" w:type="dxa"/>
            <w:vAlign w:val="center"/>
          </w:tcPr>
          <w:p w:rsidR="001124D8" w:rsidRDefault="00C50050">
            <w:pPr>
              <w:jc w:val="center"/>
            </w:pPr>
            <w:r>
              <w:rPr>
                <w:sz w:val="24"/>
              </w:rPr>
              <w:t>0.1736%</w:t>
            </w:r>
          </w:p>
        </w:tc>
        <w:tc>
          <w:tcPr>
            <w:tcW w:w="1233" w:type="dxa"/>
            <w:vAlign w:val="center"/>
          </w:tcPr>
          <w:p w:rsidR="001124D8" w:rsidRDefault="00C50050">
            <w:pPr>
              <w:jc w:val="center"/>
            </w:pPr>
            <w:r>
              <w:rPr>
                <w:sz w:val="24"/>
              </w:rPr>
              <w:t>0.0000%</w:t>
            </w:r>
          </w:p>
        </w:tc>
        <w:tc>
          <w:tcPr>
            <w:tcW w:w="1233" w:type="dxa"/>
            <w:vAlign w:val="center"/>
          </w:tcPr>
          <w:p w:rsidR="001124D8" w:rsidRDefault="00C50050">
            <w:pPr>
              <w:jc w:val="center"/>
            </w:pPr>
            <w:r>
              <w:rPr>
                <w:sz w:val="24"/>
              </w:rPr>
              <w:t>1.5717%</w:t>
            </w:r>
          </w:p>
        </w:tc>
        <w:tc>
          <w:tcPr>
            <w:tcW w:w="1233" w:type="dxa"/>
            <w:vAlign w:val="center"/>
          </w:tcPr>
          <w:p w:rsidR="001124D8" w:rsidRDefault="00C50050">
            <w:pPr>
              <w:jc w:val="center"/>
            </w:pPr>
            <w:r>
              <w:rPr>
                <w:sz w:val="24"/>
              </w:rPr>
              <w:t>0.0105%</w:t>
            </w:r>
          </w:p>
        </w:tc>
      </w:tr>
      <w:tr w:rsidR="001124D8">
        <w:tc>
          <w:tcPr>
            <w:tcW w:w="1600" w:type="dxa"/>
            <w:vAlign w:val="center"/>
          </w:tcPr>
          <w:p w:rsidR="001124D8" w:rsidRDefault="00C50050">
            <w:pPr>
              <w:jc w:val="left"/>
            </w:pPr>
            <w:r>
              <w:rPr>
                <w:sz w:val="24"/>
              </w:rPr>
              <w:t>自基金合同生效起至今</w:t>
            </w:r>
          </w:p>
        </w:tc>
        <w:tc>
          <w:tcPr>
            <w:tcW w:w="1233" w:type="dxa"/>
            <w:vAlign w:val="center"/>
          </w:tcPr>
          <w:p w:rsidR="001124D8" w:rsidRDefault="00C50050">
            <w:pPr>
              <w:jc w:val="center"/>
            </w:pPr>
            <w:r>
              <w:rPr>
                <w:sz w:val="24"/>
              </w:rPr>
              <w:t>1.8525%</w:t>
            </w:r>
          </w:p>
        </w:tc>
        <w:tc>
          <w:tcPr>
            <w:tcW w:w="1233" w:type="dxa"/>
            <w:vAlign w:val="center"/>
          </w:tcPr>
          <w:p w:rsidR="001124D8" w:rsidRDefault="00C50050">
            <w:pPr>
              <w:jc w:val="center"/>
            </w:pPr>
            <w:r>
              <w:rPr>
                <w:sz w:val="24"/>
              </w:rPr>
              <w:t>0.0124%</w:t>
            </w:r>
          </w:p>
        </w:tc>
        <w:tc>
          <w:tcPr>
            <w:tcW w:w="1233" w:type="dxa"/>
            <w:vAlign w:val="center"/>
          </w:tcPr>
          <w:p w:rsidR="001124D8" w:rsidRDefault="00C50050">
            <w:pPr>
              <w:jc w:val="center"/>
            </w:pPr>
            <w:r>
              <w:rPr>
                <w:sz w:val="24"/>
              </w:rPr>
              <w:t>0.1764%</w:t>
            </w:r>
          </w:p>
        </w:tc>
        <w:tc>
          <w:tcPr>
            <w:tcW w:w="1233" w:type="dxa"/>
            <w:vAlign w:val="center"/>
          </w:tcPr>
          <w:p w:rsidR="001124D8" w:rsidRDefault="00C50050">
            <w:pPr>
              <w:jc w:val="center"/>
            </w:pPr>
            <w:r>
              <w:rPr>
                <w:sz w:val="24"/>
              </w:rPr>
              <w:t>0.0000%</w:t>
            </w:r>
          </w:p>
        </w:tc>
        <w:tc>
          <w:tcPr>
            <w:tcW w:w="1233" w:type="dxa"/>
            <w:vAlign w:val="center"/>
          </w:tcPr>
          <w:p w:rsidR="001124D8" w:rsidRDefault="00C50050">
            <w:pPr>
              <w:jc w:val="center"/>
            </w:pPr>
            <w:r>
              <w:rPr>
                <w:sz w:val="24"/>
              </w:rPr>
              <w:t>1.6761%</w:t>
            </w:r>
          </w:p>
        </w:tc>
        <w:tc>
          <w:tcPr>
            <w:tcW w:w="1233" w:type="dxa"/>
            <w:vAlign w:val="center"/>
          </w:tcPr>
          <w:p w:rsidR="001124D8" w:rsidRDefault="00C50050">
            <w:pPr>
              <w:jc w:val="center"/>
            </w:pPr>
            <w:r>
              <w:rPr>
                <w:sz w:val="24"/>
              </w:rPr>
              <w:t>0.0124%</w:t>
            </w:r>
          </w:p>
        </w:tc>
      </w:tr>
    </w:tbl>
    <w:p w:rsidR="00223DFB" w:rsidRPr="0061644B" w:rsidRDefault="00223DFB" w:rsidP="00792A69">
      <w:pPr>
        <w:tabs>
          <w:tab w:val="left" w:pos="426"/>
        </w:tabs>
        <w:spacing w:before="29" w:line="288" w:lineRule="auto"/>
        <w:jc w:val="left"/>
        <w:rPr>
          <w:kern w:val="0"/>
          <w:sz w:val="24"/>
        </w:rPr>
      </w:pPr>
      <w:r w:rsidRPr="0061644B">
        <w:rPr>
          <w:kern w:val="0"/>
          <w:sz w:val="24"/>
        </w:rPr>
        <w:t>注：本基金的业绩比较基准为：活期存款利率（税后）。</w:t>
      </w:r>
    </w:p>
    <w:p w:rsidR="00223DFB" w:rsidRPr="0061644B" w:rsidRDefault="00223DFB" w:rsidP="00792A69">
      <w:pPr>
        <w:pStyle w:val="21"/>
        <w:spacing w:before="29" w:line="288" w:lineRule="auto"/>
        <w:ind w:firstLineChars="0" w:firstLine="0"/>
        <w:rPr>
          <w:rFonts w:ascii="Times New Roman" w:hAnsi="Times New Roman"/>
          <w:b/>
          <w:color w:val="auto"/>
        </w:rPr>
      </w:pPr>
      <w:r w:rsidRPr="0061644B">
        <w:rPr>
          <w:rFonts w:ascii="Times New Roman" w:hAnsi="Times New Roman"/>
          <w:b/>
          <w:color w:val="auto"/>
        </w:rPr>
        <w:t>2</w:t>
      </w:r>
      <w:r w:rsidRPr="0061644B">
        <w:rPr>
          <w:rFonts w:ascii="Times New Roman" w:hAnsi="Times New Roman"/>
          <w:b/>
          <w:color w:val="auto"/>
        </w:rPr>
        <w:t>．交银天运宝货币</w:t>
      </w:r>
      <w:r w:rsidRPr="0061644B">
        <w:rPr>
          <w:rFonts w:ascii="Times New Roman" w:hAnsi="Times New Roman"/>
          <w:b/>
          <w:color w:val="auto"/>
        </w:rPr>
        <w:t>E</w:t>
      </w:r>
      <w:r w:rsidRPr="0061644B">
        <w:rPr>
          <w:rFonts w:ascii="Times New Roman" w:hAnsi="Times New Roman"/>
          <w:b/>
          <w:color w:val="auto"/>
        </w:rPr>
        <w:t>：</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1233"/>
        <w:gridCol w:w="1233"/>
        <w:gridCol w:w="1233"/>
        <w:gridCol w:w="1233"/>
        <w:gridCol w:w="1233"/>
        <w:gridCol w:w="1233"/>
      </w:tblGrid>
      <w:tr w:rsidR="006B4A69" w:rsidRPr="0061644B" w:rsidTr="009F43AF">
        <w:tc>
          <w:tcPr>
            <w:tcW w:w="1727" w:type="dxa"/>
            <w:shd w:val="clear" w:color="auto" w:fill="auto"/>
            <w:vAlign w:val="center"/>
          </w:tcPr>
          <w:p w:rsidR="00783BF5" w:rsidRPr="0061644B" w:rsidRDefault="00783BF5"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ascii="Times New Roman" w:hAnsi="Times New Roman"/>
                <w:kern w:val="2"/>
              </w:rPr>
              <w:t>阶段</w:t>
            </w:r>
          </w:p>
        </w:tc>
        <w:tc>
          <w:tcPr>
            <w:tcW w:w="1326" w:type="dxa"/>
            <w:shd w:val="clear" w:color="auto" w:fill="auto"/>
            <w:vAlign w:val="center"/>
          </w:tcPr>
          <w:p w:rsidR="00783BF5" w:rsidRPr="0061644B" w:rsidRDefault="00153C23"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ascii="Times New Roman" w:hAnsi="Times New Roman"/>
              </w:rPr>
              <w:t>份额</w:t>
            </w:r>
            <w:r w:rsidR="00783BF5" w:rsidRPr="0061644B">
              <w:rPr>
                <w:rFonts w:ascii="Times New Roman" w:hAnsi="Times New Roman"/>
                <w:kern w:val="2"/>
              </w:rPr>
              <w:t>净值收益率</w:t>
            </w:r>
            <w:r w:rsidR="00783BF5" w:rsidRPr="0061644B">
              <w:rPr>
                <w:rFonts w:cs="宋体" w:hint="eastAsia"/>
                <w:kern w:val="2"/>
              </w:rPr>
              <w:t>①</w:t>
            </w:r>
          </w:p>
        </w:tc>
        <w:tc>
          <w:tcPr>
            <w:tcW w:w="1327" w:type="dxa"/>
            <w:shd w:val="clear" w:color="auto" w:fill="auto"/>
            <w:vAlign w:val="center"/>
          </w:tcPr>
          <w:p w:rsidR="00783BF5" w:rsidRPr="0061644B" w:rsidRDefault="00023EC2"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ascii="Times New Roman" w:hAnsi="Times New Roman"/>
              </w:rPr>
              <w:t>份额</w:t>
            </w:r>
            <w:r w:rsidR="00783BF5" w:rsidRPr="0061644B">
              <w:rPr>
                <w:rFonts w:ascii="Times New Roman" w:hAnsi="Times New Roman"/>
                <w:kern w:val="2"/>
              </w:rPr>
              <w:t>净值收益率标准差</w:t>
            </w:r>
            <w:r w:rsidR="00783BF5" w:rsidRPr="0061644B">
              <w:rPr>
                <w:rFonts w:cs="宋体" w:hint="eastAsia"/>
                <w:kern w:val="2"/>
              </w:rPr>
              <w:t>②</w:t>
            </w:r>
          </w:p>
        </w:tc>
        <w:tc>
          <w:tcPr>
            <w:tcW w:w="1327" w:type="dxa"/>
            <w:shd w:val="clear" w:color="auto" w:fill="auto"/>
            <w:vAlign w:val="center"/>
          </w:tcPr>
          <w:p w:rsidR="00783BF5" w:rsidRPr="0061644B" w:rsidRDefault="00783BF5"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ascii="Times New Roman" w:hAnsi="Times New Roman"/>
                <w:kern w:val="2"/>
              </w:rPr>
              <w:t>业绩比较基准收益率</w:t>
            </w:r>
            <w:r w:rsidRPr="0061644B">
              <w:rPr>
                <w:rFonts w:cs="宋体" w:hint="eastAsia"/>
                <w:kern w:val="2"/>
              </w:rPr>
              <w:t>③</w:t>
            </w:r>
          </w:p>
        </w:tc>
        <w:tc>
          <w:tcPr>
            <w:tcW w:w="1327" w:type="dxa"/>
            <w:shd w:val="clear" w:color="auto" w:fill="auto"/>
            <w:vAlign w:val="center"/>
          </w:tcPr>
          <w:p w:rsidR="00783BF5" w:rsidRPr="0061644B" w:rsidRDefault="00783BF5"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ascii="Times New Roman" w:hAnsi="Times New Roman"/>
                <w:kern w:val="2"/>
              </w:rPr>
              <w:t>业绩比较基准收益率标准差</w:t>
            </w:r>
            <w:r w:rsidRPr="0061644B">
              <w:rPr>
                <w:rFonts w:cs="宋体" w:hint="eastAsia"/>
                <w:kern w:val="2"/>
              </w:rPr>
              <w:t>④</w:t>
            </w:r>
          </w:p>
        </w:tc>
        <w:tc>
          <w:tcPr>
            <w:tcW w:w="1327" w:type="dxa"/>
            <w:shd w:val="clear" w:color="auto" w:fill="auto"/>
            <w:vAlign w:val="center"/>
          </w:tcPr>
          <w:p w:rsidR="00783BF5" w:rsidRPr="0061644B" w:rsidRDefault="00B84829"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cs="宋体" w:hint="eastAsia"/>
                <w:color w:val="000000"/>
              </w:rPr>
              <w:t>①</w:t>
            </w:r>
            <w:r w:rsidRPr="0061644B">
              <w:rPr>
                <w:color w:val="000000"/>
              </w:rPr>
              <w:t>－</w:t>
            </w:r>
            <w:r w:rsidRPr="0061644B">
              <w:rPr>
                <w:rFonts w:cs="宋体" w:hint="eastAsia"/>
                <w:color w:val="000000"/>
              </w:rPr>
              <w:t>③</w:t>
            </w:r>
          </w:p>
        </w:tc>
        <w:tc>
          <w:tcPr>
            <w:tcW w:w="1327" w:type="dxa"/>
            <w:shd w:val="clear" w:color="auto" w:fill="auto"/>
            <w:vAlign w:val="center"/>
          </w:tcPr>
          <w:p w:rsidR="00783BF5" w:rsidRPr="0061644B" w:rsidRDefault="00B84829"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cs="宋体" w:hint="eastAsia"/>
                <w:color w:val="000000"/>
              </w:rPr>
              <w:t>②</w:t>
            </w:r>
            <w:r w:rsidRPr="0061644B">
              <w:rPr>
                <w:color w:val="000000"/>
              </w:rPr>
              <w:t>－</w:t>
            </w:r>
            <w:r w:rsidRPr="0061644B">
              <w:rPr>
                <w:rFonts w:cs="宋体" w:hint="eastAsia"/>
                <w:color w:val="000000"/>
              </w:rPr>
              <w:t>④</w:t>
            </w:r>
          </w:p>
        </w:tc>
      </w:tr>
      <w:tr w:rsidR="001124D8">
        <w:tc>
          <w:tcPr>
            <w:tcW w:w="1600" w:type="dxa"/>
            <w:vAlign w:val="center"/>
          </w:tcPr>
          <w:p w:rsidR="001124D8" w:rsidRDefault="00C50050">
            <w:pPr>
              <w:jc w:val="left"/>
            </w:pPr>
            <w:r>
              <w:rPr>
                <w:sz w:val="24"/>
              </w:rPr>
              <w:t>过去一个月</w:t>
            </w:r>
          </w:p>
        </w:tc>
        <w:tc>
          <w:tcPr>
            <w:tcW w:w="1233" w:type="dxa"/>
            <w:vAlign w:val="center"/>
          </w:tcPr>
          <w:p w:rsidR="001124D8" w:rsidRDefault="00C50050">
            <w:pPr>
              <w:jc w:val="center"/>
            </w:pPr>
            <w:r>
              <w:rPr>
                <w:sz w:val="24"/>
              </w:rPr>
              <w:t>0.3901%</w:t>
            </w:r>
          </w:p>
        </w:tc>
        <w:tc>
          <w:tcPr>
            <w:tcW w:w="1233" w:type="dxa"/>
            <w:vAlign w:val="center"/>
          </w:tcPr>
          <w:p w:rsidR="001124D8" w:rsidRDefault="00C50050">
            <w:pPr>
              <w:jc w:val="center"/>
            </w:pPr>
            <w:r>
              <w:rPr>
                <w:sz w:val="24"/>
              </w:rPr>
              <w:t>0.0168%</w:t>
            </w:r>
          </w:p>
        </w:tc>
        <w:tc>
          <w:tcPr>
            <w:tcW w:w="1233" w:type="dxa"/>
            <w:vAlign w:val="center"/>
          </w:tcPr>
          <w:p w:rsidR="001124D8" w:rsidRDefault="00C50050">
            <w:pPr>
              <w:jc w:val="center"/>
            </w:pPr>
            <w:r>
              <w:rPr>
                <w:sz w:val="24"/>
              </w:rPr>
              <w:t>0.0288%</w:t>
            </w:r>
          </w:p>
        </w:tc>
        <w:tc>
          <w:tcPr>
            <w:tcW w:w="1233" w:type="dxa"/>
            <w:vAlign w:val="center"/>
          </w:tcPr>
          <w:p w:rsidR="001124D8" w:rsidRDefault="00C50050">
            <w:pPr>
              <w:jc w:val="center"/>
            </w:pPr>
            <w:r>
              <w:rPr>
                <w:sz w:val="24"/>
              </w:rPr>
              <w:t>0.0000%</w:t>
            </w:r>
          </w:p>
        </w:tc>
        <w:tc>
          <w:tcPr>
            <w:tcW w:w="1233" w:type="dxa"/>
            <w:vAlign w:val="center"/>
          </w:tcPr>
          <w:p w:rsidR="001124D8" w:rsidRDefault="00C50050">
            <w:pPr>
              <w:jc w:val="center"/>
            </w:pPr>
            <w:r>
              <w:rPr>
                <w:sz w:val="24"/>
              </w:rPr>
              <w:t>0.3613%</w:t>
            </w:r>
          </w:p>
        </w:tc>
        <w:tc>
          <w:tcPr>
            <w:tcW w:w="1233" w:type="dxa"/>
            <w:vAlign w:val="center"/>
          </w:tcPr>
          <w:p w:rsidR="001124D8" w:rsidRDefault="00C50050">
            <w:pPr>
              <w:jc w:val="center"/>
            </w:pPr>
            <w:r>
              <w:rPr>
                <w:sz w:val="24"/>
              </w:rPr>
              <w:t>0.0168%</w:t>
            </w:r>
          </w:p>
        </w:tc>
      </w:tr>
      <w:tr w:rsidR="001124D8">
        <w:tc>
          <w:tcPr>
            <w:tcW w:w="1600" w:type="dxa"/>
            <w:vAlign w:val="center"/>
          </w:tcPr>
          <w:p w:rsidR="001124D8" w:rsidRDefault="00C50050">
            <w:pPr>
              <w:jc w:val="left"/>
            </w:pPr>
            <w:r>
              <w:rPr>
                <w:sz w:val="24"/>
              </w:rPr>
              <w:t>过去三个月</w:t>
            </w:r>
          </w:p>
        </w:tc>
        <w:tc>
          <w:tcPr>
            <w:tcW w:w="1233" w:type="dxa"/>
            <w:vAlign w:val="center"/>
          </w:tcPr>
          <w:p w:rsidR="001124D8" w:rsidRDefault="00C50050">
            <w:pPr>
              <w:jc w:val="center"/>
            </w:pPr>
            <w:r>
              <w:rPr>
                <w:sz w:val="24"/>
              </w:rPr>
              <w:t>0.9851%</w:t>
            </w:r>
          </w:p>
        </w:tc>
        <w:tc>
          <w:tcPr>
            <w:tcW w:w="1233" w:type="dxa"/>
            <w:vAlign w:val="center"/>
          </w:tcPr>
          <w:p w:rsidR="001124D8" w:rsidRDefault="00C50050">
            <w:pPr>
              <w:jc w:val="center"/>
            </w:pPr>
            <w:r>
              <w:rPr>
                <w:sz w:val="24"/>
              </w:rPr>
              <w:t>0.0141%</w:t>
            </w:r>
          </w:p>
        </w:tc>
        <w:tc>
          <w:tcPr>
            <w:tcW w:w="1233" w:type="dxa"/>
            <w:vAlign w:val="center"/>
          </w:tcPr>
          <w:p w:rsidR="001124D8" w:rsidRDefault="00C50050">
            <w:pPr>
              <w:jc w:val="center"/>
            </w:pPr>
            <w:r>
              <w:rPr>
                <w:sz w:val="24"/>
              </w:rPr>
              <w:t>0.0873%</w:t>
            </w:r>
          </w:p>
        </w:tc>
        <w:tc>
          <w:tcPr>
            <w:tcW w:w="1233" w:type="dxa"/>
            <w:vAlign w:val="center"/>
          </w:tcPr>
          <w:p w:rsidR="001124D8" w:rsidRDefault="00C50050">
            <w:pPr>
              <w:jc w:val="center"/>
            </w:pPr>
            <w:r>
              <w:rPr>
                <w:sz w:val="24"/>
              </w:rPr>
              <w:t>0.0000%</w:t>
            </w:r>
          </w:p>
        </w:tc>
        <w:tc>
          <w:tcPr>
            <w:tcW w:w="1233" w:type="dxa"/>
            <w:vAlign w:val="center"/>
          </w:tcPr>
          <w:p w:rsidR="001124D8" w:rsidRDefault="00C50050">
            <w:pPr>
              <w:jc w:val="center"/>
            </w:pPr>
            <w:r>
              <w:rPr>
                <w:sz w:val="24"/>
              </w:rPr>
              <w:t>0.8978%</w:t>
            </w:r>
          </w:p>
        </w:tc>
        <w:tc>
          <w:tcPr>
            <w:tcW w:w="1233" w:type="dxa"/>
            <w:vAlign w:val="center"/>
          </w:tcPr>
          <w:p w:rsidR="001124D8" w:rsidRDefault="00C50050">
            <w:pPr>
              <w:jc w:val="center"/>
            </w:pPr>
            <w:r>
              <w:rPr>
                <w:sz w:val="24"/>
              </w:rPr>
              <w:t>0.0141%</w:t>
            </w:r>
          </w:p>
        </w:tc>
      </w:tr>
      <w:tr w:rsidR="001124D8">
        <w:tc>
          <w:tcPr>
            <w:tcW w:w="1600" w:type="dxa"/>
            <w:vAlign w:val="center"/>
          </w:tcPr>
          <w:p w:rsidR="001124D8" w:rsidRDefault="00C50050">
            <w:pPr>
              <w:jc w:val="left"/>
            </w:pPr>
            <w:r>
              <w:rPr>
                <w:sz w:val="24"/>
              </w:rPr>
              <w:t>过去六个月</w:t>
            </w:r>
          </w:p>
        </w:tc>
        <w:tc>
          <w:tcPr>
            <w:tcW w:w="1233" w:type="dxa"/>
            <w:vAlign w:val="center"/>
          </w:tcPr>
          <w:p w:rsidR="001124D8" w:rsidRDefault="00C50050">
            <w:pPr>
              <w:jc w:val="center"/>
            </w:pPr>
            <w:r>
              <w:rPr>
                <w:sz w:val="24"/>
              </w:rPr>
              <w:t>1.8638%</w:t>
            </w:r>
          </w:p>
        </w:tc>
        <w:tc>
          <w:tcPr>
            <w:tcW w:w="1233" w:type="dxa"/>
            <w:vAlign w:val="center"/>
          </w:tcPr>
          <w:p w:rsidR="001124D8" w:rsidRDefault="00C50050">
            <w:pPr>
              <w:jc w:val="center"/>
            </w:pPr>
            <w:r>
              <w:rPr>
                <w:sz w:val="24"/>
              </w:rPr>
              <w:t>0.0105%</w:t>
            </w:r>
          </w:p>
        </w:tc>
        <w:tc>
          <w:tcPr>
            <w:tcW w:w="1233" w:type="dxa"/>
            <w:vAlign w:val="center"/>
          </w:tcPr>
          <w:p w:rsidR="001124D8" w:rsidRDefault="00C50050">
            <w:pPr>
              <w:jc w:val="center"/>
            </w:pPr>
            <w:r>
              <w:rPr>
                <w:sz w:val="24"/>
              </w:rPr>
              <w:t>0.1736%</w:t>
            </w:r>
          </w:p>
        </w:tc>
        <w:tc>
          <w:tcPr>
            <w:tcW w:w="1233" w:type="dxa"/>
            <w:vAlign w:val="center"/>
          </w:tcPr>
          <w:p w:rsidR="001124D8" w:rsidRDefault="00C50050">
            <w:pPr>
              <w:jc w:val="center"/>
            </w:pPr>
            <w:r>
              <w:rPr>
                <w:sz w:val="24"/>
              </w:rPr>
              <w:t>0.0000%</w:t>
            </w:r>
          </w:p>
        </w:tc>
        <w:tc>
          <w:tcPr>
            <w:tcW w:w="1233" w:type="dxa"/>
            <w:vAlign w:val="center"/>
          </w:tcPr>
          <w:p w:rsidR="001124D8" w:rsidRDefault="00C50050">
            <w:pPr>
              <w:jc w:val="center"/>
            </w:pPr>
            <w:r>
              <w:rPr>
                <w:sz w:val="24"/>
              </w:rPr>
              <w:t>1.6902%</w:t>
            </w:r>
          </w:p>
        </w:tc>
        <w:tc>
          <w:tcPr>
            <w:tcW w:w="1233" w:type="dxa"/>
            <w:vAlign w:val="center"/>
          </w:tcPr>
          <w:p w:rsidR="001124D8" w:rsidRDefault="00C50050">
            <w:pPr>
              <w:jc w:val="center"/>
            </w:pPr>
            <w:r>
              <w:rPr>
                <w:sz w:val="24"/>
              </w:rPr>
              <w:t>0.0105%</w:t>
            </w:r>
          </w:p>
        </w:tc>
      </w:tr>
      <w:tr w:rsidR="001124D8">
        <w:tc>
          <w:tcPr>
            <w:tcW w:w="1600" w:type="dxa"/>
            <w:vAlign w:val="center"/>
          </w:tcPr>
          <w:p w:rsidR="001124D8" w:rsidRDefault="00C50050">
            <w:pPr>
              <w:jc w:val="left"/>
            </w:pPr>
            <w:r>
              <w:rPr>
                <w:sz w:val="24"/>
              </w:rPr>
              <w:t>自基金合同生效起至今</w:t>
            </w:r>
          </w:p>
        </w:tc>
        <w:tc>
          <w:tcPr>
            <w:tcW w:w="1233" w:type="dxa"/>
            <w:vAlign w:val="center"/>
          </w:tcPr>
          <w:p w:rsidR="001124D8" w:rsidRDefault="00C50050">
            <w:pPr>
              <w:jc w:val="center"/>
            </w:pPr>
            <w:r>
              <w:rPr>
                <w:sz w:val="24"/>
              </w:rPr>
              <w:t>1.9724%</w:t>
            </w:r>
          </w:p>
        </w:tc>
        <w:tc>
          <w:tcPr>
            <w:tcW w:w="1233" w:type="dxa"/>
            <w:vAlign w:val="center"/>
          </w:tcPr>
          <w:p w:rsidR="001124D8" w:rsidRDefault="00C50050">
            <w:pPr>
              <w:jc w:val="center"/>
            </w:pPr>
            <w:r>
              <w:rPr>
                <w:sz w:val="24"/>
              </w:rPr>
              <w:t>0.0123%</w:t>
            </w:r>
          </w:p>
        </w:tc>
        <w:tc>
          <w:tcPr>
            <w:tcW w:w="1233" w:type="dxa"/>
            <w:vAlign w:val="center"/>
          </w:tcPr>
          <w:p w:rsidR="001124D8" w:rsidRDefault="00C50050">
            <w:pPr>
              <w:jc w:val="center"/>
            </w:pPr>
            <w:r>
              <w:rPr>
                <w:sz w:val="24"/>
              </w:rPr>
              <w:t>0.1764%</w:t>
            </w:r>
          </w:p>
        </w:tc>
        <w:tc>
          <w:tcPr>
            <w:tcW w:w="1233" w:type="dxa"/>
            <w:vAlign w:val="center"/>
          </w:tcPr>
          <w:p w:rsidR="001124D8" w:rsidRDefault="00C50050">
            <w:pPr>
              <w:jc w:val="center"/>
            </w:pPr>
            <w:r>
              <w:rPr>
                <w:sz w:val="24"/>
              </w:rPr>
              <w:t>0.0000%</w:t>
            </w:r>
          </w:p>
        </w:tc>
        <w:tc>
          <w:tcPr>
            <w:tcW w:w="1233" w:type="dxa"/>
            <w:vAlign w:val="center"/>
          </w:tcPr>
          <w:p w:rsidR="001124D8" w:rsidRDefault="00C50050">
            <w:pPr>
              <w:jc w:val="center"/>
            </w:pPr>
            <w:r>
              <w:rPr>
                <w:sz w:val="24"/>
              </w:rPr>
              <w:t>1.7960%</w:t>
            </w:r>
          </w:p>
        </w:tc>
        <w:tc>
          <w:tcPr>
            <w:tcW w:w="1233" w:type="dxa"/>
            <w:vAlign w:val="center"/>
          </w:tcPr>
          <w:p w:rsidR="001124D8" w:rsidRDefault="00C50050">
            <w:pPr>
              <w:jc w:val="center"/>
            </w:pPr>
            <w:r>
              <w:rPr>
                <w:sz w:val="24"/>
              </w:rPr>
              <w:t>0.0123%</w:t>
            </w:r>
          </w:p>
        </w:tc>
      </w:tr>
    </w:tbl>
    <w:p w:rsidR="00223DFB" w:rsidRPr="0061644B" w:rsidRDefault="00223DFB" w:rsidP="00792A69">
      <w:pPr>
        <w:tabs>
          <w:tab w:val="left" w:pos="426"/>
        </w:tabs>
        <w:spacing w:before="29" w:line="288" w:lineRule="auto"/>
        <w:jc w:val="left"/>
        <w:rPr>
          <w:kern w:val="0"/>
          <w:sz w:val="24"/>
        </w:rPr>
      </w:pPr>
      <w:r w:rsidRPr="0061644B">
        <w:rPr>
          <w:kern w:val="0"/>
          <w:sz w:val="24"/>
        </w:rPr>
        <w:t>注：本基金的业绩比较基准为：活期存款利率（税后）。</w:t>
      </w:r>
    </w:p>
    <w:p w:rsidR="00223DFB" w:rsidRPr="0061644B" w:rsidRDefault="00223DFB" w:rsidP="00792A69">
      <w:pPr>
        <w:pStyle w:val="21"/>
        <w:adjustRightInd w:val="0"/>
        <w:snapToGrid w:val="0"/>
        <w:spacing w:before="29" w:line="288" w:lineRule="auto"/>
        <w:ind w:firstLineChars="0" w:firstLine="0"/>
        <w:rPr>
          <w:rFonts w:ascii="Times New Roman" w:hAnsi="Times New Roman"/>
          <w:color w:val="auto"/>
        </w:rPr>
      </w:pPr>
    </w:p>
    <w:p w:rsidR="00B47A17" w:rsidRPr="0061644B" w:rsidRDefault="00B47A17" w:rsidP="00792A69">
      <w:pPr>
        <w:spacing w:before="29" w:line="288" w:lineRule="auto"/>
        <w:rPr>
          <w:b/>
          <w:kern w:val="0"/>
          <w:sz w:val="24"/>
        </w:rPr>
      </w:pPr>
      <w:r w:rsidRPr="0061644B">
        <w:rPr>
          <w:b/>
          <w:kern w:val="0"/>
          <w:sz w:val="24"/>
        </w:rPr>
        <w:t>3.2.2</w:t>
      </w:r>
      <w:r w:rsidR="00E0126D">
        <w:rPr>
          <w:rFonts w:hint="eastAsia"/>
          <w:b/>
          <w:kern w:val="0"/>
          <w:sz w:val="24"/>
        </w:rPr>
        <w:t xml:space="preserve"> </w:t>
      </w:r>
      <w:r w:rsidR="00E0126D" w:rsidRPr="00E0126D">
        <w:rPr>
          <w:b/>
          <w:kern w:val="0"/>
          <w:sz w:val="24"/>
        </w:rPr>
        <w:t>自基金合同生效以来</w:t>
      </w:r>
      <w:r w:rsidRPr="0061644B">
        <w:rPr>
          <w:b/>
          <w:kern w:val="0"/>
          <w:sz w:val="24"/>
        </w:rPr>
        <w:t>基金</w:t>
      </w:r>
      <w:r w:rsidR="00153C23" w:rsidRPr="0061644B">
        <w:rPr>
          <w:b/>
          <w:kern w:val="0"/>
          <w:sz w:val="24"/>
        </w:rPr>
        <w:t>份额</w:t>
      </w:r>
      <w:r w:rsidRPr="0061644B">
        <w:rPr>
          <w:b/>
          <w:kern w:val="0"/>
          <w:sz w:val="24"/>
        </w:rPr>
        <w:t>累计净值收益率变动及其与同期业绩比较基准收益率变动的比较</w:t>
      </w:r>
    </w:p>
    <w:p w:rsidR="00CF7572" w:rsidRPr="0061644B" w:rsidRDefault="00CF7572" w:rsidP="00792A69">
      <w:pPr>
        <w:spacing w:before="29" w:line="288" w:lineRule="auto"/>
        <w:ind w:firstLine="420"/>
        <w:jc w:val="center"/>
        <w:rPr>
          <w:b/>
          <w:kern w:val="0"/>
          <w:sz w:val="24"/>
        </w:rPr>
      </w:pPr>
      <w:r w:rsidRPr="0061644B">
        <w:rPr>
          <w:sz w:val="24"/>
        </w:rPr>
        <w:t>交银施罗德天运宝货币市场基金</w:t>
      </w:r>
    </w:p>
    <w:p w:rsidR="00223DFB" w:rsidRPr="0061644B" w:rsidRDefault="008E0E65" w:rsidP="00792A69">
      <w:pPr>
        <w:spacing w:before="29" w:line="288" w:lineRule="auto"/>
        <w:jc w:val="center"/>
        <w:rPr>
          <w:b/>
          <w:bCs/>
          <w:sz w:val="24"/>
          <w:vertAlign w:val="superscript"/>
        </w:rPr>
      </w:pPr>
      <w:r w:rsidRPr="0061644B">
        <w:rPr>
          <w:sz w:val="24"/>
        </w:rPr>
        <w:t>累计净值收益率与业绩比较基准收益率历史走势对比图</w:t>
      </w:r>
    </w:p>
    <w:p w:rsidR="00223DFB" w:rsidRPr="0061644B" w:rsidRDefault="000869D3" w:rsidP="00792A69">
      <w:pPr>
        <w:snapToGrid w:val="0"/>
        <w:spacing w:before="29" w:line="288" w:lineRule="auto"/>
        <w:jc w:val="center"/>
        <w:rPr>
          <w:sz w:val="24"/>
        </w:rPr>
      </w:pPr>
      <w:r w:rsidRPr="0061644B">
        <w:rPr>
          <w:rFonts w:hint="eastAsia"/>
          <w:color w:val="000000"/>
          <w:sz w:val="24"/>
        </w:rPr>
        <w:t>（</w:t>
      </w:r>
      <w:r w:rsidR="00223DFB" w:rsidRPr="0061644B">
        <w:rPr>
          <w:sz w:val="24"/>
        </w:rPr>
        <w:t>2017</w:t>
      </w:r>
      <w:r w:rsidR="00223DFB" w:rsidRPr="0061644B">
        <w:rPr>
          <w:sz w:val="24"/>
        </w:rPr>
        <w:t>年</w:t>
      </w:r>
      <w:r w:rsidR="00223DFB" w:rsidRPr="0061644B">
        <w:rPr>
          <w:sz w:val="24"/>
        </w:rPr>
        <w:t>12</w:t>
      </w:r>
      <w:r w:rsidR="00223DFB" w:rsidRPr="0061644B">
        <w:rPr>
          <w:sz w:val="24"/>
        </w:rPr>
        <w:t>月</w:t>
      </w:r>
      <w:r w:rsidR="00223DFB" w:rsidRPr="0061644B">
        <w:rPr>
          <w:sz w:val="24"/>
        </w:rPr>
        <w:t>29</w:t>
      </w:r>
      <w:r w:rsidR="00223DFB" w:rsidRPr="0061644B">
        <w:rPr>
          <w:sz w:val="24"/>
        </w:rPr>
        <w:t>日至</w:t>
      </w:r>
      <w:r w:rsidR="00223DFB" w:rsidRPr="0061644B">
        <w:rPr>
          <w:sz w:val="24"/>
        </w:rPr>
        <w:t>2018</w:t>
      </w:r>
      <w:r w:rsidR="00223DFB" w:rsidRPr="0061644B">
        <w:rPr>
          <w:sz w:val="24"/>
        </w:rPr>
        <w:t>年</w:t>
      </w:r>
      <w:r w:rsidR="00223DFB" w:rsidRPr="0061644B">
        <w:rPr>
          <w:sz w:val="24"/>
        </w:rPr>
        <w:t>6</w:t>
      </w:r>
      <w:r w:rsidR="00223DFB" w:rsidRPr="0061644B">
        <w:rPr>
          <w:sz w:val="24"/>
        </w:rPr>
        <w:t>月</w:t>
      </w:r>
      <w:r w:rsidR="00223DFB" w:rsidRPr="0061644B">
        <w:rPr>
          <w:sz w:val="24"/>
        </w:rPr>
        <w:t>30</w:t>
      </w:r>
      <w:r w:rsidR="00223DFB" w:rsidRPr="0061644B">
        <w:rPr>
          <w:sz w:val="24"/>
        </w:rPr>
        <w:t>日</w:t>
      </w:r>
      <w:r w:rsidRPr="0061644B">
        <w:rPr>
          <w:rFonts w:hint="eastAsia"/>
          <w:color w:val="000000"/>
          <w:sz w:val="24"/>
        </w:rPr>
        <w:t>）</w:t>
      </w:r>
    </w:p>
    <w:p w:rsidR="00CF7572" w:rsidRPr="0061644B" w:rsidRDefault="00651C95" w:rsidP="00792A69">
      <w:pPr>
        <w:snapToGrid w:val="0"/>
        <w:spacing w:before="29" w:line="288" w:lineRule="auto"/>
        <w:rPr>
          <w:sz w:val="24"/>
        </w:rPr>
      </w:pPr>
      <w:r w:rsidRPr="0061644B">
        <w:rPr>
          <w:color w:val="000000"/>
          <w:sz w:val="24"/>
        </w:rPr>
        <w:t>1</w:t>
      </w:r>
      <w:r w:rsidRPr="0061644B">
        <w:rPr>
          <w:color w:val="000000"/>
          <w:sz w:val="24"/>
        </w:rPr>
        <w:t>、</w:t>
      </w:r>
      <w:r w:rsidR="00CF7572" w:rsidRPr="0061644B">
        <w:rPr>
          <w:sz w:val="24"/>
        </w:rPr>
        <w:t>交银天运宝货币</w:t>
      </w:r>
      <w:r w:rsidR="00CF7572" w:rsidRPr="0061644B">
        <w:rPr>
          <w:sz w:val="24"/>
        </w:rPr>
        <w:t>A</w:t>
      </w:r>
    </w:p>
    <w:p w:rsidR="00753B26" w:rsidRPr="0061644B" w:rsidRDefault="00527945" w:rsidP="00792A69">
      <w:pPr>
        <w:spacing w:before="29" w:line="288" w:lineRule="auto"/>
        <w:jc w:val="center"/>
        <w:rPr>
          <w:kern w:val="0"/>
          <w:sz w:val="24"/>
        </w:rPr>
      </w:pPr>
      <w:r w:rsidRPr="0061644B">
        <w:rPr>
          <w:noProof/>
          <w:kern w:val="0"/>
          <w:sz w:val="24"/>
        </w:rPr>
        <w:lastRenderedPageBreak/>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23DFB" w:rsidRPr="0061644B" w:rsidRDefault="00223DFB" w:rsidP="00792A69">
      <w:pPr>
        <w:spacing w:before="29" w:line="288" w:lineRule="auto"/>
        <w:jc w:val="left"/>
        <w:rPr>
          <w:kern w:val="0"/>
          <w:sz w:val="24"/>
        </w:rPr>
      </w:pPr>
      <w:r w:rsidRPr="0061644B">
        <w:rPr>
          <w:kern w:val="0"/>
          <w:sz w:val="24"/>
        </w:rPr>
        <w:t>注：本基金基金合同生效日为</w:t>
      </w:r>
      <w:r w:rsidRPr="0061644B">
        <w:rPr>
          <w:kern w:val="0"/>
          <w:sz w:val="24"/>
        </w:rPr>
        <w:t>2017</w:t>
      </w:r>
      <w:r w:rsidRPr="0061644B">
        <w:rPr>
          <w:kern w:val="0"/>
          <w:sz w:val="24"/>
        </w:rPr>
        <w:t>年</w:t>
      </w:r>
      <w:r w:rsidRPr="0061644B">
        <w:rPr>
          <w:kern w:val="0"/>
          <w:sz w:val="24"/>
        </w:rPr>
        <w:t>12</w:t>
      </w:r>
      <w:r w:rsidRPr="0061644B">
        <w:rPr>
          <w:kern w:val="0"/>
          <w:sz w:val="24"/>
        </w:rPr>
        <w:t>月</w:t>
      </w:r>
      <w:r w:rsidRPr="0061644B">
        <w:rPr>
          <w:kern w:val="0"/>
          <w:sz w:val="24"/>
        </w:rPr>
        <w:t>29</w:t>
      </w:r>
      <w:r w:rsidRPr="0061644B">
        <w:rPr>
          <w:kern w:val="0"/>
          <w:sz w:val="24"/>
        </w:rPr>
        <w:t>日，基金合同生效日至报告期期末，本基金运作时间未满一年。本基金建仓期为自基金合同生效日起的</w:t>
      </w:r>
      <w:r w:rsidRPr="0061644B">
        <w:rPr>
          <w:kern w:val="0"/>
          <w:sz w:val="24"/>
        </w:rPr>
        <w:t>6</w:t>
      </w:r>
      <w:r w:rsidRPr="0061644B">
        <w:rPr>
          <w:kern w:val="0"/>
          <w:sz w:val="24"/>
        </w:rPr>
        <w:t>个月。截至建仓期结束，本基金各项资产配置比例符合基金合同及招募说明书有关投资比例的约定。</w:t>
      </w:r>
    </w:p>
    <w:p w:rsidR="00223DFB" w:rsidRPr="0061644B" w:rsidRDefault="00651C95" w:rsidP="00792A69">
      <w:pPr>
        <w:snapToGrid w:val="0"/>
        <w:spacing w:before="29" w:line="288" w:lineRule="auto"/>
        <w:rPr>
          <w:sz w:val="24"/>
        </w:rPr>
      </w:pPr>
      <w:r w:rsidRPr="0061644B">
        <w:rPr>
          <w:color w:val="000000"/>
          <w:sz w:val="24"/>
        </w:rPr>
        <w:t>2</w:t>
      </w:r>
      <w:r w:rsidRPr="0061644B">
        <w:rPr>
          <w:color w:val="000000"/>
          <w:sz w:val="24"/>
        </w:rPr>
        <w:t>、</w:t>
      </w:r>
      <w:r w:rsidR="00223DFB" w:rsidRPr="0061644B">
        <w:rPr>
          <w:sz w:val="24"/>
        </w:rPr>
        <w:t>交银天运宝货币</w:t>
      </w:r>
      <w:r w:rsidR="00223DFB" w:rsidRPr="0061644B">
        <w:rPr>
          <w:sz w:val="24"/>
        </w:rPr>
        <w:t>E</w:t>
      </w:r>
    </w:p>
    <w:p w:rsidR="00223DFB" w:rsidRPr="0061644B" w:rsidRDefault="00527945" w:rsidP="00792A69">
      <w:pPr>
        <w:pStyle w:val="21"/>
        <w:adjustRightInd w:val="0"/>
        <w:snapToGrid w:val="0"/>
        <w:spacing w:before="29" w:line="288" w:lineRule="auto"/>
        <w:ind w:firstLineChars="0" w:firstLine="0"/>
        <w:jc w:val="center"/>
        <w:rPr>
          <w:rFonts w:ascii="Times New Roman" w:hAnsi="Times New Roman"/>
          <w:color w:val="auto"/>
        </w:rPr>
      </w:pPr>
      <w:r w:rsidRPr="0061644B">
        <w:rPr>
          <w:rFonts w:ascii="Times New Roman" w:hAnsi="Times New Roman"/>
          <w:noProof/>
          <w:color w:val="auto"/>
        </w:rPr>
        <w:drawing>
          <wp:inline distT="0" distB="0" distL="0" distR="0">
            <wp:extent cx="5759450" cy="3372734"/>
            <wp:effectExtent l="0" t="0" r="0" b="0"/>
            <wp:docPr id="4" name="图片 4"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走势图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23DFB" w:rsidRPr="0061644B" w:rsidRDefault="00223DFB" w:rsidP="00792A69">
      <w:pPr>
        <w:tabs>
          <w:tab w:val="left" w:pos="426"/>
        </w:tabs>
        <w:spacing w:before="29" w:line="288" w:lineRule="auto"/>
        <w:jc w:val="left"/>
        <w:rPr>
          <w:kern w:val="0"/>
          <w:sz w:val="24"/>
        </w:rPr>
      </w:pPr>
      <w:r w:rsidRPr="0061644B">
        <w:rPr>
          <w:kern w:val="0"/>
          <w:sz w:val="24"/>
        </w:rPr>
        <w:t>注：本基金基金合同生效日为</w:t>
      </w:r>
      <w:r w:rsidRPr="0061644B">
        <w:rPr>
          <w:kern w:val="0"/>
          <w:sz w:val="24"/>
        </w:rPr>
        <w:t>2017</w:t>
      </w:r>
      <w:r w:rsidRPr="0061644B">
        <w:rPr>
          <w:kern w:val="0"/>
          <w:sz w:val="24"/>
        </w:rPr>
        <w:t>年</w:t>
      </w:r>
      <w:r w:rsidRPr="0061644B">
        <w:rPr>
          <w:kern w:val="0"/>
          <w:sz w:val="24"/>
        </w:rPr>
        <w:t>12</w:t>
      </w:r>
      <w:r w:rsidRPr="0061644B">
        <w:rPr>
          <w:kern w:val="0"/>
          <w:sz w:val="24"/>
        </w:rPr>
        <w:t>月</w:t>
      </w:r>
      <w:r w:rsidRPr="0061644B">
        <w:rPr>
          <w:kern w:val="0"/>
          <w:sz w:val="24"/>
        </w:rPr>
        <w:t>29</w:t>
      </w:r>
      <w:r w:rsidRPr="0061644B">
        <w:rPr>
          <w:kern w:val="0"/>
          <w:sz w:val="24"/>
        </w:rPr>
        <w:t>日，基金合同生效日至报告期期末，本基金运作时间未满一年。本基金建仓期为自基金合同生效日起的</w:t>
      </w:r>
      <w:r w:rsidRPr="0061644B">
        <w:rPr>
          <w:kern w:val="0"/>
          <w:sz w:val="24"/>
        </w:rPr>
        <w:t>6</w:t>
      </w:r>
      <w:r w:rsidRPr="0061644B">
        <w:rPr>
          <w:kern w:val="0"/>
          <w:sz w:val="24"/>
        </w:rPr>
        <w:t>个月。截至建仓期结束，本基金各项资产配置比例符合基金合同及招募说明书有关投资比例的约定。</w:t>
      </w:r>
    </w:p>
    <w:p w:rsidR="00A13E97" w:rsidRPr="0061644B" w:rsidRDefault="00A13E97" w:rsidP="00792A69">
      <w:pPr>
        <w:tabs>
          <w:tab w:val="left" w:pos="426"/>
        </w:tabs>
        <w:spacing w:before="29" w:line="288" w:lineRule="auto"/>
        <w:jc w:val="left"/>
        <w:rPr>
          <w:kern w:val="0"/>
          <w:sz w:val="24"/>
        </w:rPr>
      </w:pPr>
    </w:p>
    <w:p w:rsidR="00223DFB" w:rsidRPr="0061644B" w:rsidRDefault="00223DFB" w:rsidP="00792A69">
      <w:pPr>
        <w:spacing w:before="29" w:line="288" w:lineRule="auto"/>
        <w:rPr>
          <w:sz w:val="24"/>
        </w:rPr>
      </w:pPr>
    </w:p>
    <w:p w:rsidR="00223DFB" w:rsidRPr="0061644B" w:rsidRDefault="00223DFB" w:rsidP="00B54CAD">
      <w:pPr>
        <w:pStyle w:val="1"/>
        <w:keepNext/>
        <w:keepLines/>
        <w:widowControl w:val="0"/>
        <w:spacing w:beforeLines="100" w:before="312" w:afterLines="100" w:after="312" w:line="288" w:lineRule="auto"/>
        <w:jc w:val="center"/>
        <w:rPr>
          <w:b/>
          <w:bCs/>
          <w:szCs w:val="24"/>
          <w:lang w:val="en-US"/>
        </w:rPr>
      </w:pPr>
      <w:r w:rsidRPr="0061644B">
        <w:rPr>
          <w:b/>
          <w:bCs/>
          <w:szCs w:val="24"/>
          <w:lang w:val="en-US"/>
        </w:rPr>
        <w:t xml:space="preserve">4  </w:t>
      </w:r>
      <w:r w:rsidRPr="0061644B">
        <w:rPr>
          <w:b/>
          <w:bCs/>
          <w:szCs w:val="24"/>
          <w:lang w:val="en-US"/>
        </w:rPr>
        <w:t>管理人报告</w:t>
      </w:r>
    </w:p>
    <w:p w:rsidR="00223DFB" w:rsidRPr="0061644B" w:rsidRDefault="00223DF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 xml:space="preserve">4.1 </w:t>
      </w:r>
      <w:r w:rsidRPr="0061644B">
        <w:rPr>
          <w:rFonts w:ascii="Times New Roman" w:hAnsi="Times New Roman" w:cs="Times New Roman"/>
          <w:kern w:val="0"/>
          <w:szCs w:val="24"/>
        </w:rPr>
        <w:t>基金管理人及基金经理情况</w:t>
      </w:r>
    </w:p>
    <w:p w:rsidR="00223DFB" w:rsidRPr="0061644B" w:rsidRDefault="00223DFB" w:rsidP="00792A69">
      <w:pPr>
        <w:autoSpaceDE w:val="0"/>
        <w:autoSpaceDN w:val="0"/>
        <w:adjustRightInd w:val="0"/>
        <w:spacing w:before="29" w:line="288" w:lineRule="auto"/>
        <w:jc w:val="left"/>
        <w:rPr>
          <w:b/>
          <w:kern w:val="0"/>
          <w:sz w:val="24"/>
        </w:rPr>
      </w:pPr>
      <w:r w:rsidRPr="0061644B">
        <w:rPr>
          <w:b/>
          <w:kern w:val="0"/>
          <w:sz w:val="24"/>
        </w:rPr>
        <w:t>4.1.1</w:t>
      </w:r>
      <w:r w:rsidRPr="0061644B">
        <w:rPr>
          <w:b/>
          <w:kern w:val="0"/>
          <w:sz w:val="24"/>
        </w:rPr>
        <w:t>基金管理人及其管理基金的经验</w:t>
      </w:r>
    </w:p>
    <w:p w:rsidR="001124D8" w:rsidRDefault="00C50050">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223DFB" w:rsidRPr="0061644B" w:rsidRDefault="00223DFB" w:rsidP="00792A69">
      <w:pPr>
        <w:spacing w:before="29" w:line="288" w:lineRule="auto"/>
        <w:ind w:firstLineChars="200" w:firstLine="480"/>
        <w:rPr>
          <w:color w:val="000000"/>
          <w:sz w:val="24"/>
        </w:rPr>
      </w:pPr>
      <w:r w:rsidRPr="0061644B">
        <w:rPr>
          <w:color w:val="000000"/>
          <w:sz w:val="24"/>
        </w:rPr>
        <w:t>截至报告期末，公司管理了包括货币型、债券型、保本混合型、普通混合型和股票型在内的</w:t>
      </w:r>
      <w:r w:rsidRPr="0061644B">
        <w:rPr>
          <w:color w:val="000000"/>
          <w:sz w:val="24"/>
        </w:rPr>
        <w:t>81</w:t>
      </w:r>
      <w:r w:rsidRPr="0061644B">
        <w:rPr>
          <w:color w:val="000000"/>
          <w:sz w:val="24"/>
        </w:rPr>
        <w:t>只基金，其中股票型涵盖普通指数型、交易型开放式（</w:t>
      </w:r>
      <w:r w:rsidRPr="0061644B">
        <w:rPr>
          <w:color w:val="000000"/>
          <w:sz w:val="24"/>
        </w:rPr>
        <w:t>ETF</w:t>
      </w:r>
      <w:r w:rsidRPr="0061644B">
        <w:rPr>
          <w:color w:val="000000"/>
          <w:sz w:val="24"/>
        </w:rPr>
        <w:t>）、</w:t>
      </w:r>
      <w:r w:rsidRPr="0061644B">
        <w:rPr>
          <w:color w:val="000000"/>
          <w:sz w:val="24"/>
        </w:rPr>
        <w:t>QDII</w:t>
      </w:r>
      <w:r w:rsidRPr="0061644B">
        <w:rPr>
          <w:color w:val="000000"/>
          <w:sz w:val="24"/>
        </w:rPr>
        <w:t>等不同类型基金。</w:t>
      </w:r>
    </w:p>
    <w:p w:rsidR="00223DFB" w:rsidRPr="0061644B" w:rsidRDefault="00223DFB" w:rsidP="00792A69">
      <w:pPr>
        <w:spacing w:before="29" w:line="288" w:lineRule="auto"/>
        <w:ind w:firstLineChars="200" w:firstLine="480"/>
        <w:rPr>
          <w:kern w:val="0"/>
          <w:sz w:val="24"/>
        </w:rPr>
      </w:pPr>
    </w:p>
    <w:p w:rsidR="00223DFB" w:rsidRPr="0061644B" w:rsidRDefault="00223DFB" w:rsidP="00792A69">
      <w:pPr>
        <w:autoSpaceDE w:val="0"/>
        <w:autoSpaceDN w:val="0"/>
        <w:adjustRightInd w:val="0"/>
        <w:spacing w:before="29" w:line="288" w:lineRule="auto"/>
        <w:jc w:val="left"/>
        <w:rPr>
          <w:b/>
          <w:kern w:val="0"/>
          <w:sz w:val="24"/>
        </w:rPr>
      </w:pPr>
      <w:r w:rsidRPr="0061644B">
        <w:rPr>
          <w:b/>
          <w:kern w:val="0"/>
          <w:sz w:val="24"/>
        </w:rPr>
        <w:t>4.1.2</w:t>
      </w:r>
      <w:r w:rsidRPr="0061644B">
        <w:rPr>
          <w:b/>
          <w:kern w:val="0"/>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2"/>
        <w:gridCol w:w="1019"/>
        <w:gridCol w:w="1523"/>
        <w:gridCol w:w="1192"/>
        <w:gridCol w:w="1192"/>
        <w:gridCol w:w="3040"/>
      </w:tblGrid>
      <w:tr w:rsidR="006B4A69" w:rsidRPr="0061644B" w:rsidTr="008F5B93">
        <w:tc>
          <w:tcPr>
            <w:tcW w:w="1090"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61644B" w:rsidRDefault="00223DFB" w:rsidP="00792A69">
            <w:pPr>
              <w:spacing w:before="29" w:line="288" w:lineRule="auto"/>
              <w:jc w:val="center"/>
              <w:rPr>
                <w:sz w:val="24"/>
              </w:rPr>
            </w:pPr>
            <w:r w:rsidRPr="0061644B">
              <w:rPr>
                <w:sz w:val="24"/>
              </w:rPr>
              <w:t>姓名</w:t>
            </w:r>
          </w:p>
        </w:tc>
        <w:tc>
          <w:tcPr>
            <w:tcW w:w="1075"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61644B" w:rsidRDefault="00223DFB" w:rsidP="00792A69">
            <w:pPr>
              <w:spacing w:before="29" w:line="288" w:lineRule="auto"/>
              <w:jc w:val="center"/>
              <w:rPr>
                <w:sz w:val="24"/>
              </w:rPr>
            </w:pPr>
            <w:r w:rsidRPr="0061644B">
              <w:rPr>
                <w:sz w:val="24"/>
              </w:rPr>
              <w:t>职务</w:t>
            </w:r>
          </w:p>
        </w:tc>
        <w:tc>
          <w:tcPr>
            <w:tcW w:w="2875" w:type="dxa"/>
            <w:gridSpan w:val="2"/>
            <w:tcBorders>
              <w:top w:val="single" w:sz="4" w:space="0" w:color="auto"/>
              <w:left w:val="single" w:sz="4" w:space="0" w:color="auto"/>
              <w:bottom w:val="single" w:sz="4" w:space="0" w:color="auto"/>
              <w:right w:val="single" w:sz="4" w:space="0" w:color="auto"/>
            </w:tcBorders>
            <w:vAlign w:val="center"/>
            <w:hideMark/>
          </w:tcPr>
          <w:p w:rsidR="00FC370B" w:rsidRPr="0061644B" w:rsidRDefault="00FC370B" w:rsidP="00792A69">
            <w:pPr>
              <w:spacing w:before="29" w:line="288" w:lineRule="auto"/>
              <w:jc w:val="center"/>
              <w:rPr>
                <w:sz w:val="24"/>
              </w:rPr>
            </w:pPr>
            <w:r w:rsidRPr="0061644B">
              <w:rPr>
                <w:sz w:val="24"/>
              </w:rPr>
              <w:t>任本基金的基金经理</w:t>
            </w:r>
          </w:p>
          <w:p w:rsidR="00223DFB" w:rsidRPr="0061644B" w:rsidRDefault="00FC370B" w:rsidP="00792A69">
            <w:pPr>
              <w:spacing w:before="29" w:line="288" w:lineRule="auto"/>
              <w:jc w:val="center"/>
              <w:rPr>
                <w:sz w:val="24"/>
              </w:rPr>
            </w:pPr>
            <w:r w:rsidRPr="0061644B">
              <w:rPr>
                <w:sz w:val="24"/>
              </w:rPr>
              <w:t>（助理）期限</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61644B" w:rsidRDefault="00223DFB" w:rsidP="00792A69">
            <w:pPr>
              <w:spacing w:before="29" w:line="288" w:lineRule="auto"/>
              <w:jc w:val="center"/>
              <w:rPr>
                <w:sz w:val="24"/>
              </w:rPr>
            </w:pPr>
            <w:r w:rsidRPr="0061644B">
              <w:rPr>
                <w:sz w:val="24"/>
              </w:rPr>
              <w:t>证券从业年限</w:t>
            </w:r>
          </w:p>
        </w:tc>
        <w:tc>
          <w:tcPr>
            <w:tcW w:w="3240"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61644B" w:rsidRDefault="00223DFB" w:rsidP="00792A69">
            <w:pPr>
              <w:spacing w:before="29" w:line="288" w:lineRule="auto"/>
              <w:jc w:val="center"/>
              <w:rPr>
                <w:sz w:val="24"/>
              </w:rPr>
            </w:pPr>
            <w:r w:rsidRPr="0061644B">
              <w:rPr>
                <w:sz w:val="24"/>
              </w:rPr>
              <w:t>说明</w:t>
            </w:r>
          </w:p>
        </w:tc>
      </w:tr>
      <w:tr w:rsidR="006B4A69" w:rsidRPr="0061644B" w:rsidTr="008F5B93">
        <w:tc>
          <w:tcPr>
            <w:tcW w:w="9540" w:type="dxa"/>
            <w:vMerge/>
            <w:tcBorders>
              <w:top w:val="single" w:sz="4" w:space="0" w:color="auto"/>
              <w:left w:val="single" w:sz="4" w:space="0" w:color="auto"/>
              <w:bottom w:val="single" w:sz="4" w:space="0" w:color="auto"/>
              <w:right w:val="single" w:sz="4" w:space="0" w:color="auto"/>
            </w:tcBorders>
            <w:vAlign w:val="center"/>
            <w:hideMark/>
          </w:tcPr>
          <w:p w:rsidR="00223DFB" w:rsidRPr="0061644B" w:rsidRDefault="00223DFB" w:rsidP="00792A69">
            <w:pPr>
              <w:widowControl/>
              <w:spacing w:before="29" w:line="288" w:lineRule="auto"/>
              <w:jc w:val="left"/>
              <w:rPr>
                <w:sz w:val="24"/>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rsidR="00223DFB" w:rsidRPr="0061644B" w:rsidRDefault="00223DFB" w:rsidP="00792A69">
            <w:pPr>
              <w:widowControl/>
              <w:spacing w:before="29" w:line="288" w:lineRule="auto"/>
              <w:jc w:val="left"/>
              <w:rPr>
                <w:sz w:val="24"/>
              </w:rPr>
            </w:pPr>
          </w:p>
        </w:tc>
        <w:tc>
          <w:tcPr>
            <w:tcW w:w="1615" w:type="dxa"/>
            <w:tcBorders>
              <w:top w:val="single" w:sz="4" w:space="0" w:color="auto"/>
              <w:left w:val="single" w:sz="4" w:space="0" w:color="auto"/>
              <w:bottom w:val="single" w:sz="4" w:space="0" w:color="auto"/>
              <w:right w:val="single" w:sz="4" w:space="0" w:color="auto"/>
            </w:tcBorders>
            <w:vAlign w:val="center"/>
            <w:hideMark/>
          </w:tcPr>
          <w:p w:rsidR="00223DFB" w:rsidRPr="0061644B" w:rsidRDefault="00223DFB" w:rsidP="00792A69">
            <w:pPr>
              <w:spacing w:before="29" w:line="288" w:lineRule="auto"/>
              <w:jc w:val="center"/>
              <w:rPr>
                <w:sz w:val="24"/>
              </w:rPr>
            </w:pPr>
            <w:r w:rsidRPr="0061644B">
              <w:rPr>
                <w:sz w:val="24"/>
              </w:rPr>
              <w:t>任职日期</w:t>
            </w:r>
          </w:p>
        </w:tc>
        <w:tc>
          <w:tcPr>
            <w:tcW w:w="1260" w:type="dxa"/>
            <w:tcBorders>
              <w:top w:val="single" w:sz="4" w:space="0" w:color="auto"/>
              <w:left w:val="single" w:sz="4" w:space="0" w:color="auto"/>
              <w:bottom w:val="single" w:sz="4" w:space="0" w:color="auto"/>
              <w:right w:val="single" w:sz="4" w:space="0" w:color="auto"/>
            </w:tcBorders>
            <w:vAlign w:val="center"/>
            <w:hideMark/>
          </w:tcPr>
          <w:p w:rsidR="00223DFB" w:rsidRPr="0061644B" w:rsidRDefault="00223DFB" w:rsidP="00792A69">
            <w:pPr>
              <w:spacing w:before="29" w:line="288" w:lineRule="auto"/>
              <w:jc w:val="center"/>
              <w:rPr>
                <w:sz w:val="24"/>
              </w:rPr>
            </w:pPr>
            <w:r w:rsidRPr="0061644B">
              <w:rPr>
                <w:sz w:val="24"/>
              </w:rPr>
              <w:t>离任日期</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223DFB" w:rsidRPr="0061644B" w:rsidRDefault="00223DFB" w:rsidP="00792A69">
            <w:pPr>
              <w:widowControl/>
              <w:spacing w:before="29" w:line="288" w:lineRule="auto"/>
              <w:jc w:val="left"/>
              <w:rPr>
                <w:sz w:val="24"/>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223DFB" w:rsidRPr="0061644B" w:rsidRDefault="00223DFB" w:rsidP="00792A69">
            <w:pPr>
              <w:widowControl/>
              <w:spacing w:before="29" w:line="288" w:lineRule="auto"/>
              <w:jc w:val="left"/>
              <w:rPr>
                <w:sz w:val="24"/>
              </w:rPr>
            </w:pPr>
          </w:p>
        </w:tc>
      </w:tr>
      <w:tr w:rsidR="001124D8">
        <w:tc>
          <w:tcPr>
            <w:tcW w:w="1032" w:type="dxa"/>
            <w:vAlign w:val="center"/>
          </w:tcPr>
          <w:p w:rsidR="001124D8" w:rsidRDefault="00C50050">
            <w:pPr>
              <w:jc w:val="center"/>
            </w:pPr>
            <w:r>
              <w:rPr>
                <w:sz w:val="24"/>
              </w:rPr>
              <w:t>连端清</w:t>
            </w:r>
          </w:p>
        </w:tc>
        <w:tc>
          <w:tcPr>
            <w:tcW w:w="1019" w:type="dxa"/>
            <w:vAlign w:val="center"/>
          </w:tcPr>
          <w:p w:rsidR="001124D8" w:rsidRDefault="00C50050">
            <w:pPr>
              <w:jc w:val="center"/>
            </w:pPr>
            <w:r>
              <w:rPr>
                <w:sz w:val="24"/>
              </w:rPr>
              <w:t>交银货币、交银理财</w:t>
            </w:r>
            <w:r>
              <w:rPr>
                <w:sz w:val="24"/>
              </w:rPr>
              <w:t>60</w:t>
            </w:r>
            <w:r>
              <w:rPr>
                <w:sz w:val="24"/>
              </w:rPr>
              <w:t>天债券、交银丰盈收益债券、交银现金宝货币、交银丰润收益债券、交银活期通货币、交银天利宝货币、交银裕兴</w:t>
            </w:r>
            <w:r>
              <w:rPr>
                <w:sz w:val="24"/>
              </w:rPr>
              <w:lastRenderedPageBreak/>
              <w:t>纯债债券、交银裕盈纯债债券、交银裕利纯债债券、交银裕隆纯债债券、交银天鑫宝货币、交银天益宝货币、交银境尚收益债券、交银天运宝货币的基金经理</w:t>
            </w:r>
          </w:p>
        </w:tc>
        <w:tc>
          <w:tcPr>
            <w:tcW w:w="1523" w:type="dxa"/>
            <w:vAlign w:val="center"/>
          </w:tcPr>
          <w:p w:rsidR="001124D8" w:rsidRDefault="00C50050">
            <w:pPr>
              <w:jc w:val="center"/>
            </w:pPr>
            <w:r>
              <w:rPr>
                <w:sz w:val="24"/>
              </w:rPr>
              <w:lastRenderedPageBreak/>
              <w:t>2017-12-29</w:t>
            </w:r>
          </w:p>
        </w:tc>
        <w:tc>
          <w:tcPr>
            <w:tcW w:w="1192" w:type="dxa"/>
            <w:vAlign w:val="center"/>
          </w:tcPr>
          <w:p w:rsidR="001124D8" w:rsidRDefault="00C50050">
            <w:pPr>
              <w:jc w:val="center"/>
            </w:pPr>
            <w:r>
              <w:rPr>
                <w:sz w:val="24"/>
              </w:rPr>
              <w:t>-</w:t>
            </w:r>
          </w:p>
        </w:tc>
        <w:tc>
          <w:tcPr>
            <w:tcW w:w="1192" w:type="dxa"/>
            <w:vAlign w:val="center"/>
          </w:tcPr>
          <w:p w:rsidR="001124D8" w:rsidRDefault="00C50050">
            <w:pPr>
              <w:jc w:val="center"/>
            </w:pPr>
            <w:r>
              <w:rPr>
                <w:sz w:val="24"/>
              </w:rPr>
              <w:t>5</w:t>
            </w:r>
            <w:r>
              <w:rPr>
                <w:sz w:val="24"/>
              </w:rPr>
              <w:t>年</w:t>
            </w:r>
          </w:p>
        </w:tc>
        <w:tc>
          <w:tcPr>
            <w:tcW w:w="3040" w:type="dxa"/>
            <w:vAlign w:val="center"/>
          </w:tcPr>
          <w:p w:rsidR="001124D8" w:rsidRDefault="00C50050">
            <w:r>
              <w:rPr>
                <w:sz w:val="24"/>
              </w:rPr>
              <w:t>连端清先生，复旦大学经济学博士。历任交通银行总行金融市场部、湘财证券研究所研究员、中航信托资产管理部投资经理。</w:t>
            </w:r>
            <w:r>
              <w:rPr>
                <w:sz w:val="24"/>
              </w:rPr>
              <w:t>2015</w:t>
            </w:r>
            <w:r>
              <w:rPr>
                <w:sz w:val="24"/>
              </w:rPr>
              <w:t>年加入交银施罗德基金管理有限公司。</w:t>
            </w:r>
          </w:p>
        </w:tc>
      </w:tr>
      <w:tr w:rsidR="001124D8">
        <w:tc>
          <w:tcPr>
            <w:tcW w:w="1032" w:type="dxa"/>
            <w:vAlign w:val="center"/>
          </w:tcPr>
          <w:p w:rsidR="001124D8" w:rsidRDefault="00C50050">
            <w:pPr>
              <w:jc w:val="center"/>
            </w:pPr>
            <w:r>
              <w:rPr>
                <w:sz w:val="24"/>
              </w:rPr>
              <w:t>季参平</w:t>
            </w:r>
          </w:p>
        </w:tc>
        <w:tc>
          <w:tcPr>
            <w:tcW w:w="1019" w:type="dxa"/>
            <w:vAlign w:val="center"/>
          </w:tcPr>
          <w:p w:rsidR="001124D8" w:rsidRDefault="00C50050">
            <w:pPr>
              <w:jc w:val="center"/>
            </w:pPr>
            <w:r>
              <w:rPr>
                <w:sz w:val="24"/>
              </w:rPr>
              <w:t>交银货币、交银理财</w:t>
            </w:r>
            <w:r>
              <w:rPr>
                <w:sz w:val="24"/>
              </w:rPr>
              <w:t>21</w:t>
            </w:r>
            <w:r>
              <w:rPr>
                <w:sz w:val="24"/>
              </w:rPr>
              <w:t>天债券、交银理财</w:t>
            </w:r>
            <w:r>
              <w:rPr>
                <w:sz w:val="24"/>
              </w:rPr>
              <w:t>60</w:t>
            </w:r>
            <w:r>
              <w:rPr>
                <w:sz w:val="24"/>
              </w:rPr>
              <w:t>天债券、交银现金宝货币、交银卓越回报灵活配置混合、交银活期通货币、交银天利宝货币、交</w:t>
            </w:r>
            <w:r>
              <w:rPr>
                <w:sz w:val="24"/>
              </w:rPr>
              <w:lastRenderedPageBreak/>
              <w:t>银裕隆纯债债券、交银天鑫宝货币、交银瑞鑫定期开放灵活配置混合、交银天益宝货币、交银瑞景定期开放灵活配置混合、交银瑞利定期开放灵活配置、交银天运宝货币的基金经理助理</w:t>
            </w:r>
          </w:p>
        </w:tc>
        <w:tc>
          <w:tcPr>
            <w:tcW w:w="1523" w:type="dxa"/>
            <w:vAlign w:val="center"/>
          </w:tcPr>
          <w:p w:rsidR="001124D8" w:rsidRDefault="00C50050">
            <w:pPr>
              <w:jc w:val="center"/>
            </w:pPr>
            <w:r>
              <w:rPr>
                <w:sz w:val="24"/>
              </w:rPr>
              <w:lastRenderedPageBreak/>
              <w:t>2018-01-10</w:t>
            </w:r>
          </w:p>
        </w:tc>
        <w:tc>
          <w:tcPr>
            <w:tcW w:w="1192" w:type="dxa"/>
            <w:vAlign w:val="center"/>
          </w:tcPr>
          <w:p w:rsidR="001124D8" w:rsidRDefault="00C50050">
            <w:pPr>
              <w:jc w:val="center"/>
            </w:pPr>
            <w:r>
              <w:rPr>
                <w:sz w:val="24"/>
              </w:rPr>
              <w:t>-</w:t>
            </w:r>
          </w:p>
        </w:tc>
        <w:tc>
          <w:tcPr>
            <w:tcW w:w="1192" w:type="dxa"/>
            <w:vAlign w:val="center"/>
          </w:tcPr>
          <w:p w:rsidR="001124D8" w:rsidRDefault="00C50050">
            <w:pPr>
              <w:jc w:val="center"/>
            </w:pPr>
            <w:r>
              <w:rPr>
                <w:sz w:val="24"/>
              </w:rPr>
              <w:t>6</w:t>
            </w:r>
            <w:r>
              <w:rPr>
                <w:sz w:val="24"/>
              </w:rPr>
              <w:t>年</w:t>
            </w:r>
          </w:p>
        </w:tc>
        <w:tc>
          <w:tcPr>
            <w:tcW w:w="3040" w:type="dxa"/>
            <w:vAlign w:val="center"/>
          </w:tcPr>
          <w:p w:rsidR="001124D8" w:rsidRDefault="00C50050">
            <w:r>
              <w:rPr>
                <w:sz w:val="24"/>
              </w:rPr>
              <w:t>季参平先生，美国密歇根大学金融工程硕士、对外经济贸易大学经济学学士。</w:t>
            </w:r>
            <w:r>
              <w:rPr>
                <w:sz w:val="24"/>
              </w:rPr>
              <w:t>2012</w:t>
            </w:r>
            <w:r>
              <w:rPr>
                <w:sz w:val="24"/>
              </w:rPr>
              <w:t>年</w:t>
            </w:r>
            <w:r>
              <w:rPr>
                <w:sz w:val="24"/>
              </w:rPr>
              <w:t>3</w:t>
            </w:r>
            <w:r>
              <w:rPr>
                <w:sz w:val="24"/>
              </w:rPr>
              <w:t>月至</w:t>
            </w:r>
            <w:r>
              <w:rPr>
                <w:sz w:val="24"/>
              </w:rPr>
              <w:t>2017</w:t>
            </w:r>
            <w:r>
              <w:rPr>
                <w:sz w:val="24"/>
              </w:rPr>
              <w:t>年</w:t>
            </w:r>
            <w:r>
              <w:rPr>
                <w:sz w:val="24"/>
              </w:rPr>
              <w:t>7</w:t>
            </w:r>
            <w:r>
              <w:rPr>
                <w:sz w:val="24"/>
              </w:rPr>
              <w:t>月任瑞士银行外汇和利率交易员、联席董事。</w:t>
            </w:r>
            <w:r>
              <w:rPr>
                <w:sz w:val="24"/>
              </w:rPr>
              <w:t>2017</w:t>
            </w:r>
            <w:r>
              <w:rPr>
                <w:sz w:val="24"/>
              </w:rPr>
              <w:t>年加入交银施罗德基金管理有限公司。</w:t>
            </w:r>
          </w:p>
        </w:tc>
      </w:tr>
    </w:tbl>
    <w:p w:rsidR="001124D8" w:rsidRDefault="00C50050">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、本表所列基金经理（助理）任职日期和离职日期均以基金合同生效日或公司作出决定并公告（如适用）之日为准。</w:t>
      </w:r>
    </w:p>
    <w:p w:rsidR="001124D8" w:rsidRDefault="00C50050">
      <w:pPr>
        <w:tabs>
          <w:tab w:val="left" w:pos="426"/>
        </w:tabs>
        <w:spacing w:before="29" w:line="288" w:lineRule="auto"/>
        <w:jc w:val="left"/>
        <w:rPr>
          <w:kern w:val="0"/>
          <w:sz w:val="24"/>
        </w:rPr>
      </w:pPr>
      <w:r>
        <w:rPr>
          <w:kern w:val="0"/>
          <w:sz w:val="24"/>
        </w:rPr>
        <w:t xml:space="preserve">    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223DFB" w:rsidRPr="0061644B" w:rsidRDefault="00223DFB" w:rsidP="00792A69">
      <w:pPr>
        <w:tabs>
          <w:tab w:val="left" w:pos="426"/>
        </w:tabs>
        <w:spacing w:before="29" w:line="288" w:lineRule="auto"/>
        <w:jc w:val="left"/>
        <w:rPr>
          <w:kern w:val="0"/>
          <w:sz w:val="24"/>
        </w:rPr>
      </w:pPr>
      <w:r w:rsidRPr="0061644B">
        <w:rPr>
          <w:kern w:val="0"/>
          <w:sz w:val="24"/>
        </w:rPr>
        <w:t xml:space="preserve">    3</w:t>
      </w:r>
      <w:r w:rsidRPr="0061644B">
        <w:rPr>
          <w:kern w:val="0"/>
          <w:sz w:val="24"/>
        </w:rPr>
        <w:t>、基金经理（或基金经理小组）期后变动（如有）敬请关注基金管理人发布的相关公告。</w:t>
      </w:r>
    </w:p>
    <w:p w:rsidR="009C5B58" w:rsidRPr="0061644B" w:rsidRDefault="009C5B58" w:rsidP="00792A69">
      <w:pPr>
        <w:tabs>
          <w:tab w:val="left" w:pos="426"/>
        </w:tabs>
        <w:spacing w:before="29" w:line="288" w:lineRule="auto"/>
        <w:jc w:val="left"/>
        <w:rPr>
          <w:kern w:val="0"/>
          <w:sz w:val="24"/>
        </w:rPr>
      </w:pPr>
    </w:p>
    <w:p w:rsidR="00223DFB" w:rsidRPr="0061644B" w:rsidRDefault="00223DF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 xml:space="preserve">4.2 </w:t>
      </w:r>
      <w:r w:rsidRPr="0061644B">
        <w:rPr>
          <w:rFonts w:ascii="Times New Roman" w:hAnsi="Times New Roman" w:cs="Times New Roman"/>
          <w:kern w:val="0"/>
          <w:szCs w:val="24"/>
        </w:rPr>
        <w:t>管理人对报告期内本基金运作遵规守信情况的说明</w:t>
      </w:r>
    </w:p>
    <w:p w:rsidR="001124D8" w:rsidRDefault="00C50050">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223DFB" w:rsidRPr="0061644B" w:rsidRDefault="00223DFB" w:rsidP="00792A69">
      <w:pPr>
        <w:spacing w:before="29" w:line="288" w:lineRule="auto"/>
        <w:ind w:firstLineChars="200" w:firstLine="480"/>
        <w:rPr>
          <w:color w:val="000000"/>
          <w:sz w:val="24"/>
        </w:rPr>
      </w:pPr>
      <w:r w:rsidRPr="0061644B">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9C5B58" w:rsidRPr="0061644B" w:rsidRDefault="009C5B58" w:rsidP="00792A69">
      <w:pPr>
        <w:spacing w:before="29" w:line="288" w:lineRule="auto"/>
        <w:ind w:firstLineChars="200" w:firstLine="480"/>
        <w:rPr>
          <w:color w:val="000000"/>
          <w:sz w:val="24"/>
        </w:rPr>
      </w:pPr>
    </w:p>
    <w:p w:rsidR="00223DFB" w:rsidRPr="0061644B" w:rsidRDefault="00223DF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 xml:space="preserve">4.3 </w:t>
      </w:r>
      <w:r w:rsidRPr="0061644B">
        <w:rPr>
          <w:rFonts w:ascii="Times New Roman" w:hAnsi="Times New Roman" w:cs="Times New Roman"/>
          <w:kern w:val="0"/>
          <w:szCs w:val="24"/>
        </w:rPr>
        <w:t>管理人对报告期内公平交易情况的专项说明</w:t>
      </w:r>
    </w:p>
    <w:p w:rsidR="005A209C" w:rsidRPr="0061644B" w:rsidRDefault="005A209C" w:rsidP="00792A69">
      <w:pPr>
        <w:autoSpaceDE w:val="0"/>
        <w:autoSpaceDN w:val="0"/>
        <w:adjustRightInd w:val="0"/>
        <w:spacing w:before="29" w:line="288" w:lineRule="auto"/>
        <w:jc w:val="left"/>
        <w:rPr>
          <w:b/>
          <w:kern w:val="0"/>
          <w:sz w:val="24"/>
        </w:rPr>
      </w:pPr>
      <w:r w:rsidRPr="0061644B">
        <w:rPr>
          <w:b/>
          <w:kern w:val="0"/>
          <w:sz w:val="24"/>
        </w:rPr>
        <w:t>4.3.1</w:t>
      </w:r>
      <w:r w:rsidRPr="0061644B">
        <w:rPr>
          <w:b/>
          <w:kern w:val="0"/>
          <w:sz w:val="24"/>
        </w:rPr>
        <w:t>公平交易制度的执行情况</w:t>
      </w:r>
    </w:p>
    <w:p w:rsidR="001124D8" w:rsidRDefault="00C50050">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1124D8" w:rsidRDefault="00C50050">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1124D8" w:rsidRDefault="00C50050">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5A209C" w:rsidRPr="0061644B" w:rsidRDefault="005A209C" w:rsidP="00792A69">
      <w:pPr>
        <w:spacing w:before="29" w:line="288" w:lineRule="auto"/>
        <w:ind w:firstLineChars="200" w:firstLine="480"/>
        <w:rPr>
          <w:color w:val="000000"/>
          <w:sz w:val="24"/>
        </w:rPr>
      </w:pPr>
      <w:r w:rsidRPr="0061644B">
        <w:rPr>
          <w:color w:val="000000"/>
          <w:sz w:val="24"/>
        </w:rPr>
        <w:t>报告期内本公司严格执行公平交易制度，公平对待旗下各投资组合，未发现任何违反公平交易的行为。</w:t>
      </w:r>
    </w:p>
    <w:p w:rsidR="005A209C" w:rsidRPr="0061644B" w:rsidRDefault="005A209C" w:rsidP="00792A69">
      <w:pPr>
        <w:spacing w:before="29" w:line="288" w:lineRule="auto"/>
        <w:jc w:val="left"/>
        <w:rPr>
          <w:sz w:val="24"/>
        </w:rPr>
      </w:pPr>
    </w:p>
    <w:p w:rsidR="005A209C" w:rsidRPr="0061644B" w:rsidRDefault="005A209C" w:rsidP="00792A69">
      <w:pPr>
        <w:autoSpaceDE w:val="0"/>
        <w:autoSpaceDN w:val="0"/>
        <w:adjustRightInd w:val="0"/>
        <w:spacing w:before="29" w:line="288" w:lineRule="auto"/>
        <w:jc w:val="left"/>
        <w:rPr>
          <w:b/>
          <w:kern w:val="0"/>
          <w:sz w:val="24"/>
        </w:rPr>
      </w:pPr>
      <w:r w:rsidRPr="0061644B">
        <w:rPr>
          <w:b/>
          <w:kern w:val="0"/>
          <w:sz w:val="24"/>
        </w:rPr>
        <w:t>4.3.2</w:t>
      </w:r>
      <w:r w:rsidRPr="0061644B">
        <w:rPr>
          <w:b/>
          <w:kern w:val="0"/>
          <w:sz w:val="24"/>
        </w:rPr>
        <w:t>异常交易行为的专项说明</w:t>
      </w:r>
    </w:p>
    <w:p w:rsidR="005A209C" w:rsidRPr="0061644B" w:rsidRDefault="005A209C" w:rsidP="00792A69">
      <w:pPr>
        <w:spacing w:before="29" w:line="288" w:lineRule="auto"/>
        <w:ind w:firstLineChars="200" w:firstLine="480"/>
        <w:rPr>
          <w:color w:val="000000"/>
          <w:sz w:val="24"/>
        </w:rPr>
      </w:pPr>
      <w:r w:rsidRPr="0061644B">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61644B">
        <w:rPr>
          <w:color w:val="000000"/>
          <w:sz w:val="24"/>
        </w:rPr>
        <w:t>5%</w:t>
      </w:r>
      <w:r w:rsidRPr="0061644B">
        <w:rPr>
          <w:color w:val="000000"/>
          <w:sz w:val="24"/>
        </w:rPr>
        <w:t>的情形，本基金与本公司管理的其他投资组合在不同时间窗下（如日内、</w:t>
      </w:r>
      <w:r w:rsidRPr="0061644B">
        <w:rPr>
          <w:color w:val="000000"/>
          <w:sz w:val="24"/>
        </w:rPr>
        <w:t>3</w:t>
      </w:r>
      <w:r w:rsidRPr="0061644B">
        <w:rPr>
          <w:color w:val="000000"/>
          <w:sz w:val="24"/>
        </w:rPr>
        <w:t>日内、</w:t>
      </w:r>
      <w:r w:rsidRPr="0061644B">
        <w:rPr>
          <w:color w:val="000000"/>
          <w:sz w:val="24"/>
        </w:rPr>
        <w:t>5</w:t>
      </w:r>
      <w:r w:rsidRPr="0061644B">
        <w:rPr>
          <w:color w:val="000000"/>
          <w:sz w:val="24"/>
        </w:rPr>
        <w:t>日内）同向交易的交易价差未出现异常。</w:t>
      </w:r>
    </w:p>
    <w:p w:rsidR="005A209C" w:rsidRPr="0061644B" w:rsidRDefault="005A209C" w:rsidP="00792A69">
      <w:pPr>
        <w:spacing w:before="29" w:line="288" w:lineRule="auto"/>
        <w:ind w:firstLineChars="200" w:firstLine="480"/>
        <w:rPr>
          <w:color w:val="000000"/>
          <w:sz w:val="24"/>
        </w:rPr>
      </w:pPr>
    </w:p>
    <w:p w:rsidR="00223DFB" w:rsidRPr="0061644B" w:rsidRDefault="00223DF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 xml:space="preserve">4.4 </w:t>
      </w:r>
      <w:r w:rsidR="00847F48" w:rsidRPr="0061644B">
        <w:rPr>
          <w:rFonts w:ascii="Times New Roman" w:hAnsi="Times New Roman" w:cs="Times New Roman"/>
          <w:kern w:val="0"/>
          <w:szCs w:val="24"/>
        </w:rPr>
        <w:t>管理人对报告期内基金的投资策略和业绩表现</w:t>
      </w:r>
      <w:r w:rsidRPr="0061644B">
        <w:rPr>
          <w:rFonts w:ascii="Times New Roman" w:hAnsi="Times New Roman" w:cs="Times New Roman"/>
          <w:kern w:val="0"/>
          <w:szCs w:val="24"/>
        </w:rPr>
        <w:t>说明</w:t>
      </w:r>
    </w:p>
    <w:p w:rsidR="00223DFB" w:rsidRPr="0061644B" w:rsidRDefault="00223DFB" w:rsidP="00792A69">
      <w:pPr>
        <w:autoSpaceDE w:val="0"/>
        <w:autoSpaceDN w:val="0"/>
        <w:adjustRightInd w:val="0"/>
        <w:spacing w:before="29" w:line="288" w:lineRule="auto"/>
        <w:jc w:val="left"/>
        <w:rPr>
          <w:b/>
          <w:kern w:val="0"/>
          <w:sz w:val="24"/>
        </w:rPr>
      </w:pPr>
      <w:r w:rsidRPr="0061644B">
        <w:rPr>
          <w:b/>
          <w:kern w:val="0"/>
          <w:sz w:val="24"/>
        </w:rPr>
        <w:t>4.4.1</w:t>
      </w:r>
      <w:r w:rsidRPr="0061644B">
        <w:rPr>
          <w:b/>
          <w:kern w:val="0"/>
          <w:sz w:val="24"/>
        </w:rPr>
        <w:t>报告期内基金投资策略和运作分析</w:t>
      </w:r>
    </w:p>
    <w:p w:rsidR="001124D8" w:rsidRDefault="00C50050">
      <w:pPr>
        <w:spacing w:before="29" w:line="288" w:lineRule="auto"/>
        <w:ind w:firstLineChars="200" w:firstLine="480"/>
        <w:rPr>
          <w:color w:val="000000"/>
          <w:sz w:val="24"/>
        </w:rPr>
      </w:pPr>
      <w:r>
        <w:rPr>
          <w:color w:val="000000"/>
          <w:sz w:val="24"/>
        </w:rPr>
        <w:t>本报告期内，经济增长在内部监管政策从严执行和外部中美贸易战深化的双重影响下趋缓。</w:t>
      </w:r>
      <w:r>
        <w:rPr>
          <w:color w:val="000000"/>
          <w:sz w:val="24"/>
        </w:rPr>
        <w:t>PPP</w:t>
      </w:r>
      <w:r>
        <w:rPr>
          <w:color w:val="000000"/>
          <w:sz w:val="24"/>
        </w:rPr>
        <w:t>模式和房地产为主导的固定资产投资活动放缓，增速从二月份的</w:t>
      </w:r>
      <w:r>
        <w:rPr>
          <w:color w:val="000000"/>
          <w:sz w:val="24"/>
        </w:rPr>
        <w:t>7.9%</w:t>
      </w:r>
      <w:r>
        <w:rPr>
          <w:color w:val="000000"/>
          <w:sz w:val="24"/>
        </w:rPr>
        <w:t>回落至六月的</w:t>
      </w:r>
      <w:r>
        <w:rPr>
          <w:color w:val="000000"/>
          <w:sz w:val="24"/>
        </w:rPr>
        <w:t>6.0%</w:t>
      </w:r>
      <w:r>
        <w:rPr>
          <w:color w:val="000000"/>
          <w:sz w:val="24"/>
        </w:rPr>
        <w:t>。社会融资总量同比增速更是在六月份创出新低，表外融资在资管新规出台后基本停滞，金融信贷数据的走弱包含了市场对未来经济增长乏力的预期。然而中国经济的韧性仍有些许表征，一方面是工业品价格企稳回升带动</w:t>
      </w:r>
      <w:r>
        <w:rPr>
          <w:color w:val="000000"/>
          <w:sz w:val="24"/>
        </w:rPr>
        <w:t>PPI</w:t>
      </w:r>
      <w:r>
        <w:rPr>
          <w:color w:val="000000"/>
          <w:sz w:val="24"/>
        </w:rPr>
        <w:t>增速上行至</w:t>
      </w:r>
      <w:r>
        <w:rPr>
          <w:color w:val="000000"/>
          <w:sz w:val="24"/>
        </w:rPr>
        <w:t>4.7%</w:t>
      </w:r>
      <w:r>
        <w:rPr>
          <w:color w:val="000000"/>
          <w:sz w:val="24"/>
        </w:rPr>
        <w:t>的水平，另一方面出口增速和贸易顺差在中美贸易纷争中继续保持良好增长。上半年央行执行了中性偏宽松的货币政策操作，在四月、六月相继调低存款准备金率，释放充裕的流动性。受此影响，银行间市场资金面非常宽松，资金价格大幅下行。</w:t>
      </w:r>
    </w:p>
    <w:p w:rsidR="00223DFB" w:rsidRPr="0061644B" w:rsidRDefault="00223DFB" w:rsidP="00792A69">
      <w:pPr>
        <w:spacing w:before="29" w:line="288" w:lineRule="auto"/>
        <w:ind w:firstLineChars="200" w:firstLine="480"/>
        <w:rPr>
          <w:color w:val="000000"/>
          <w:sz w:val="24"/>
        </w:rPr>
      </w:pPr>
      <w:r w:rsidRPr="0061644B">
        <w:rPr>
          <w:color w:val="000000"/>
          <w:sz w:val="24"/>
        </w:rPr>
        <w:t>基金操作方面，我们仍旧维持低杠杆、短久期的操作思路，多投资于估值波动较小</w:t>
      </w:r>
      <w:r w:rsidRPr="0061644B">
        <w:rPr>
          <w:color w:val="000000"/>
          <w:sz w:val="24"/>
        </w:rPr>
        <w:lastRenderedPageBreak/>
        <w:t>的银行存款、同业存单与回购等，组合整体流动性良好。六月末我们视组合流动性情况适当拉长久期和杠杆，增配了部分高评级的同业存单、短期融资券等资产，提高了组合收益。</w:t>
      </w:r>
    </w:p>
    <w:p w:rsidR="00223DFB" w:rsidRPr="0061644B" w:rsidRDefault="00223DFB" w:rsidP="00792A69">
      <w:pPr>
        <w:spacing w:before="29" w:line="288" w:lineRule="auto"/>
        <w:ind w:firstLineChars="200" w:firstLine="480"/>
        <w:rPr>
          <w:kern w:val="0"/>
          <w:sz w:val="24"/>
        </w:rPr>
      </w:pPr>
    </w:p>
    <w:p w:rsidR="00223DFB" w:rsidRPr="0061644B" w:rsidRDefault="00223DFB" w:rsidP="00792A69">
      <w:pPr>
        <w:autoSpaceDE w:val="0"/>
        <w:autoSpaceDN w:val="0"/>
        <w:adjustRightInd w:val="0"/>
        <w:spacing w:before="29" w:line="288" w:lineRule="auto"/>
        <w:jc w:val="left"/>
        <w:rPr>
          <w:b/>
          <w:kern w:val="0"/>
          <w:sz w:val="24"/>
        </w:rPr>
      </w:pPr>
      <w:r w:rsidRPr="0061644B">
        <w:rPr>
          <w:b/>
          <w:kern w:val="0"/>
          <w:sz w:val="24"/>
        </w:rPr>
        <w:t>4.4.2</w:t>
      </w:r>
      <w:r w:rsidRPr="0061644B">
        <w:rPr>
          <w:b/>
          <w:kern w:val="0"/>
          <w:sz w:val="24"/>
        </w:rPr>
        <w:t>报告期内基金的业绩表现</w:t>
      </w:r>
    </w:p>
    <w:p w:rsidR="00223DFB" w:rsidRPr="0061644B" w:rsidRDefault="00223DFB" w:rsidP="00792A69">
      <w:pPr>
        <w:spacing w:before="29" w:line="288" w:lineRule="auto"/>
        <w:ind w:firstLineChars="200" w:firstLine="480"/>
        <w:rPr>
          <w:color w:val="000000"/>
          <w:sz w:val="24"/>
        </w:rPr>
      </w:pPr>
      <w:r w:rsidRPr="0061644B">
        <w:rPr>
          <w:color w:val="000000"/>
          <w:sz w:val="24"/>
        </w:rPr>
        <w:t>本基金（各类）份额净值及业绩表现请见</w:t>
      </w:r>
      <w:r w:rsidRPr="0061644B">
        <w:rPr>
          <w:color w:val="000000"/>
          <w:sz w:val="24"/>
        </w:rPr>
        <w:t xml:space="preserve">“3.1 </w:t>
      </w:r>
      <w:r w:rsidRPr="0061644B">
        <w:rPr>
          <w:color w:val="000000"/>
          <w:sz w:val="24"/>
        </w:rPr>
        <w:t>主要财务指标</w:t>
      </w:r>
      <w:r w:rsidRPr="0061644B">
        <w:rPr>
          <w:color w:val="000000"/>
          <w:sz w:val="24"/>
        </w:rPr>
        <w:t xml:space="preserve">” </w:t>
      </w:r>
      <w:r w:rsidRPr="0061644B">
        <w:rPr>
          <w:color w:val="000000"/>
          <w:sz w:val="24"/>
        </w:rPr>
        <w:t>及</w:t>
      </w:r>
      <w:r w:rsidRPr="0061644B">
        <w:rPr>
          <w:color w:val="000000"/>
          <w:sz w:val="24"/>
        </w:rPr>
        <w:t>“3.2.1</w:t>
      </w:r>
      <w:r w:rsidRPr="0061644B">
        <w:rPr>
          <w:color w:val="000000"/>
          <w:sz w:val="24"/>
        </w:rPr>
        <w:t>本报告期基金份额净值增长率及其与同期业绩比较基准收益率的比较</w:t>
      </w:r>
      <w:r w:rsidRPr="0061644B">
        <w:rPr>
          <w:color w:val="000000"/>
          <w:sz w:val="24"/>
        </w:rPr>
        <w:t>”</w:t>
      </w:r>
      <w:r w:rsidRPr="0061644B">
        <w:rPr>
          <w:color w:val="000000"/>
          <w:sz w:val="24"/>
        </w:rPr>
        <w:t>部分披露。</w:t>
      </w:r>
    </w:p>
    <w:p w:rsidR="00223DFB" w:rsidRPr="0061644B" w:rsidRDefault="00223DFB" w:rsidP="00792A69">
      <w:pPr>
        <w:spacing w:before="29" w:line="288" w:lineRule="auto"/>
        <w:ind w:firstLineChars="200" w:firstLine="480"/>
        <w:rPr>
          <w:kern w:val="0"/>
          <w:sz w:val="24"/>
        </w:rPr>
      </w:pPr>
    </w:p>
    <w:p w:rsidR="00223DFB" w:rsidRPr="0061644B" w:rsidRDefault="00223DF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 xml:space="preserve">4.5 </w:t>
      </w:r>
      <w:r w:rsidRPr="0061644B">
        <w:rPr>
          <w:rFonts w:ascii="Times New Roman" w:hAnsi="Times New Roman" w:cs="Times New Roman"/>
          <w:kern w:val="0"/>
          <w:szCs w:val="24"/>
        </w:rPr>
        <w:t>管理人对宏观经济、证券市场及行业走势的简要展望</w:t>
      </w:r>
    </w:p>
    <w:p w:rsidR="00223DFB" w:rsidRPr="0061644B" w:rsidRDefault="00223DFB" w:rsidP="00792A69">
      <w:pPr>
        <w:spacing w:before="29" w:line="288" w:lineRule="auto"/>
        <w:ind w:firstLineChars="200" w:firstLine="480"/>
        <w:rPr>
          <w:color w:val="000000"/>
          <w:sz w:val="24"/>
        </w:rPr>
      </w:pPr>
      <w:r w:rsidRPr="0061644B">
        <w:rPr>
          <w:color w:val="000000"/>
          <w:sz w:val="24"/>
        </w:rPr>
        <w:t>展望</w:t>
      </w:r>
      <w:r w:rsidRPr="0061644B">
        <w:rPr>
          <w:color w:val="000000"/>
          <w:sz w:val="24"/>
        </w:rPr>
        <w:t>2018</w:t>
      </w:r>
      <w:r w:rsidRPr="0061644B">
        <w:rPr>
          <w:color w:val="000000"/>
          <w:sz w:val="24"/>
        </w:rPr>
        <w:t>年下半年，我们将继续观察资管新规对货币市场供需格局的影响，密切关注银行理财监管政策的演变，以及下半年同业存单的发行情况。我们预计去杠杆的政策思路仍将延续，货币政策可能会延续中性偏宽松的状态。本基金将根据不同资产收益率的动态变化，适时调整组合结构与杠杆率，通过对市场利率的前瞻性判断进行合理有效的久期管理，严格控制信用风险、流动性风险和利率风险，努力为持有人创造稳健的收益。</w:t>
      </w:r>
      <w:r w:rsidRPr="0061644B">
        <w:rPr>
          <w:color w:val="000000"/>
          <w:sz w:val="24"/>
        </w:rPr>
        <w:t xml:space="preserve"> </w:t>
      </w:r>
    </w:p>
    <w:p w:rsidR="00223DFB" w:rsidRPr="0061644B" w:rsidRDefault="00223DFB" w:rsidP="00792A69">
      <w:pPr>
        <w:spacing w:before="29" w:line="288" w:lineRule="auto"/>
        <w:ind w:firstLineChars="200" w:firstLine="480"/>
        <w:rPr>
          <w:kern w:val="0"/>
          <w:sz w:val="24"/>
        </w:rPr>
      </w:pPr>
    </w:p>
    <w:p w:rsidR="008E2CAE" w:rsidRPr="0061644B" w:rsidRDefault="008E2CAE" w:rsidP="00792A69">
      <w:pPr>
        <w:pStyle w:val="20"/>
        <w:spacing w:before="29" w:after="0" w:line="288" w:lineRule="auto"/>
        <w:rPr>
          <w:rFonts w:ascii="Times New Roman" w:hAnsi="Times New Roman" w:cs="Times New Roman"/>
          <w:kern w:val="0"/>
          <w:szCs w:val="24"/>
        </w:rPr>
      </w:pPr>
      <w:bookmarkStart w:id="1" w:name="_Toc331410085"/>
      <w:bookmarkStart w:id="2" w:name="_Toc247959457"/>
      <w:bookmarkStart w:id="3" w:name="_Toc225570083"/>
      <w:r w:rsidRPr="0061644B">
        <w:rPr>
          <w:rFonts w:ascii="Times New Roman" w:hAnsi="Times New Roman" w:cs="Times New Roman"/>
          <w:kern w:val="0"/>
          <w:szCs w:val="24"/>
        </w:rPr>
        <w:t xml:space="preserve">4.6 </w:t>
      </w:r>
      <w:r w:rsidRPr="0061644B">
        <w:rPr>
          <w:rFonts w:ascii="Times New Roman" w:hAnsi="Times New Roman" w:cs="Times New Roman"/>
          <w:kern w:val="0"/>
          <w:szCs w:val="24"/>
        </w:rPr>
        <w:t>管理人对报告期内基金估值程序等事项的说明</w:t>
      </w:r>
      <w:bookmarkEnd w:id="1"/>
      <w:bookmarkEnd w:id="2"/>
      <w:bookmarkEnd w:id="3"/>
    </w:p>
    <w:p w:rsidR="001124D8" w:rsidRDefault="00C50050">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1124D8" w:rsidRDefault="00C50050">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8E2CAE" w:rsidRPr="0061644B" w:rsidRDefault="008E2CAE" w:rsidP="00792A69">
      <w:pPr>
        <w:spacing w:before="29" w:line="288" w:lineRule="auto"/>
        <w:ind w:firstLineChars="200" w:firstLine="480"/>
        <w:rPr>
          <w:color w:val="000000"/>
          <w:sz w:val="24"/>
        </w:rPr>
      </w:pPr>
      <w:r w:rsidRPr="0061644B">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8E2CAE" w:rsidRPr="0061644B" w:rsidRDefault="008E2CAE" w:rsidP="00792A69">
      <w:pPr>
        <w:autoSpaceDE w:val="0"/>
        <w:autoSpaceDN w:val="0"/>
        <w:adjustRightInd w:val="0"/>
        <w:spacing w:before="29" w:line="288" w:lineRule="auto"/>
        <w:ind w:firstLine="482"/>
        <w:rPr>
          <w:kern w:val="0"/>
          <w:sz w:val="24"/>
        </w:rPr>
      </w:pPr>
    </w:p>
    <w:p w:rsidR="008E2CAE" w:rsidRPr="0061644B" w:rsidRDefault="008E2CAE" w:rsidP="00792A69">
      <w:pPr>
        <w:pStyle w:val="20"/>
        <w:spacing w:before="29" w:after="0" w:line="288" w:lineRule="auto"/>
        <w:rPr>
          <w:rFonts w:ascii="Times New Roman" w:hAnsi="Times New Roman" w:cs="Times New Roman"/>
          <w:kern w:val="0"/>
          <w:szCs w:val="24"/>
        </w:rPr>
      </w:pPr>
      <w:bookmarkStart w:id="4" w:name="_Toc331410086"/>
      <w:bookmarkStart w:id="5" w:name="_Toc247959458"/>
      <w:bookmarkStart w:id="6" w:name="_Toc225570084"/>
      <w:r w:rsidRPr="0061644B">
        <w:rPr>
          <w:rFonts w:ascii="Times New Roman" w:hAnsi="Times New Roman" w:cs="Times New Roman"/>
          <w:kern w:val="0"/>
          <w:szCs w:val="24"/>
        </w:rPr>
        <w:t xml:space="preserve">4.7 </w:t>
      </w:r>
      <w:r w:rsidRPr="0061644B">
        <w:rPr>
          <w:rFonts w:ascii="Times New Roman" w:hAnsi="Times New Roman" w:cs="Times New Roman"/>
          <w:kern w:val="0"/>
          <w:szCs w:val="24"/>
        </w:rPr>
        <w:t>管理人对报告期内基金利润分配情况的说明</w:t>
      </w:r>
      <w:bookmarkEnd w:id="4"/>
      <w:bookmarkEnd w:id="5"/>
      <w:bookmarkEnd w:id="6"/>
    </w:p>
    <w:p w:rsidR="008E2CAE" w:rsidRPr="0061644B" w:rsidRDefault="008E2CAE" w:rsidP="00792A69">
      <w:pPr>
        <w:spacing w:before="29" w:line="288" w:lineRule="auto"/>
        <w:ind w:firstLineChars="200" w:firstLine="480"/>
        <w:rPr>
          <w:color w:val="000000"/>
          <w:sz w:val="24"/>
        </w:rPr>
      </w:pPr>
      <w:r w:rsidRPr="0061644B">
        <w:rPr>
          <w:color w:val="000000"/>
          <w:sz w:val="24"/>
        </w:rPr>
        <w:t>遵照法律法规及基金合同的约定，本基金每日分配收益，按日结转份额。本基金本报告期内利润分配情况参见</w:t>
      </w:r>
      <w:r w:rsidR="005F402A">
        <w:rPr>
          <w:rFonts w:hint="eastAsia"/>
          <w:color w:val="000000"/>
          <w:sz w:val="24"/>
        </w:rPr>
        <w:t>半年度报告</w:t>
      </w:r>
      <w:r w:rsidR="005F402A">
        <w:rPr>
          <w:color w:val="000000"/>
          <w:sz w:val="24"/>
        </w:rPr>
        <w:t>正文</w:t>
      </w:r>
      <w:r w:rsidRPr="0061644B">
        <w:rPr>
          <w:color w:val="000000"/>
          <w:sz w:val="24"/>
        </w:rPr>
        <w:t>6.4.7.10</w:t>
      </w:r>
      <w:r w:rsidRPr="0061644B">
        <w:rPr>
          <w:color w:val="000000"/>
          <w:sz w:val="24"/>
        </w:rPr>
        <w:t>。</w:t>
      </w:r>
    </w:p>
    <w:p w:rsidR="003D72E7" w:rsidRDefault="003D72E7" w:rsidP="00792A69">
      <w:pPr>
        <w:spacing w:before="29" w:line="288" w:lineRule="auto"/>
        <w:ind w:firstLineChars="200" w:firstLine="480"/>
        <w:rPr>
          <w:color w:val="000000"/>
          <w:sz w:val="24"/>
        </w:rPr>
      </w:pPr>
    </w:p>
    <w:p w:rsidR="00F474BD" w:rsidRPr="004D7B20" w:rsidRDefault="00F474BD" w:rsidP="00F474BD">
      <w:pPr>
        <w:pStyle w:val="20"/>
        <w:spacing w:before="29" w:after="0" w:line="288" w:lineRule="auto"/>
        <w:rPr>
          <w:rFonts w:ascii="Times New Roman" w:hAnsi="Times New Roman"/>
          <w:kern w:val="0"/>
          <w:szCs w:val="24"/>
        </w:rPr>
      </w:pPr>
      <w:r w:rsidRPr="004D7B20">
        <w:rPr>
          <w:rFonts w:ascii="Times New Roman" w:hAnsi="Times New Roman" w:hint="eastAsia"/>
          <w:kern w:val="0"/>
          <w:szCs w:val="24"/>
        </w:rPr>
        <w:lastRenderedPageBreak/>
        <w:t xml:space="preserve">4.8 </w:t>
      </w:r>
      <w:r w:rsidRPr="004D7B20">
        <w:rPr>
          <w:rFonts w:ascii="Times New Roman" w:hAnsi="Times New Roman" w:hint="eastAsia"/>
          <w:kern w:val="0"/>
          <w:szCs w:val="24"/>
        </w:rPr>
        <w:t>报告期内管理人对本基金持有人数或基金资产净值预警情形的说明</w:t>
      </w:r>
    </w:p>
    <w:p w:rsidR="00F474BD" w:rsidRPr="005E1AD8" w:rsidRDefault="00F474BD" w:rsidP="00F474BD">
      <w:pPr>
        <w:spacing w:before="29" w:line="288" w:lineRule="auto"/>
        <w:ind w:firstLineChars="200" w:firstLine="480"/>
        <w:rPr>
          <w:kern w:val="0"/>
          <w:sz w:val="24"/>
        </w:rPr>
      </w:pPr>
      <w:r w:rsidRPr="004D7B20">
        <w:rPr>
          <w:kern w:val="0"/>
          <w:sz w:val="24"/>
        </w:rPr>
        <w:t>本基金本报告期内曾连续二十个工作日以上出现基金份额持有人数量不满</w:t>
      </w:r>
      <w:r w:rsidRPr="004D7B20">
        <w:rPr>
          <w:kern w:val="0"/>
          <w:sz w:val="24"/>
        </w:rPr>
        <w:t>200</w:t>
      </w:r>
      <w:r w:rsidRPr="004D7B20">
        <w:rPr>
          <w:kern w:val="0"/>
          <w:sz w:val="24"/>
        </w:rPr>
        <w:t>人的情形，截至本报告期末，本基金基金份额持有人数量已高于</w:t>
      </w:r>
      <w:r w:rsidRPr="004D7B20">
        <w:rPr>
          <w:kern w:val="0"/>
          <w:sz w:val="24"/>
        </w:rPr>
        <w:t>200</w:t>
      </w:r>
      <w:r w:rsidRPr="004D7B20">
        <w:rPr>
          <w:kern w:val="0"/>
          <w:sz w:val="24"/>
        </w:rPr>
        <w:t>人。</w:t>
      </w:r>
    </w:p>
    <w:p w:rsidR="00F474BD" w:rsidRPr="0061644B" w:rsidRDefault="00F474BD" w:rsidP="00792A69">
      <w:pPr>
        <w:spacing w:before="29" w:line="288" w:lineRule="auto"/>
        <w:ind w:firstLineChars="200" w:firstLine="480"/>
        <w:rPr>
          <w:color w:val="000000"/>
          <w:sz w:val="24"/>
        </w:rPr>
      </w:pPr>
    </w:p>
    <w:p w:rsidR="00223DFB" w:rsidRPr="0061644B" w:rsidRDefault="00223DFB" w:rsidP="00B54CAD">
      <w:pPr>
        <w:pStyle w:val="1"/>
        <w:keepNext/>
        <w:keepLines/>
        <w:widowControl w:val="0"/>
        <w:spacing w:beforeLines="100" w:before="312" w:afterLines="100" w:after="312" w:line="288" w:lineRule="auto"/>
        <w:jc w:val="center"/>
        <w:rPr>
          <w:b/>
          <w:bCs/>
          <w:szCs w:val="24"/>
          <w:lang w:val="en-US"/>
        </w:rPr>
      </w:pPr>
      <w:r w:rsidRPr="0061644B">
        <w:rPr>
          <w:b/>
          <w:bCs/>
          <w:szCs w:val="24"/>
          <w:lang w:val="en-US"/>
        </w:rPr>
        <w:t xml:space="preserve">5  </w:t>
      </w:r>
      <w:r w:rsidRPr="0061644B">
        <w:rPr>
          <w:b/>
          <w:bCs/>
          <w:szCs w:val="24"/>
          <w:lang w:val="en-US"/>
        </w:rPr>
        <w:t>托管人报告</w:t>
      </w:r>
    </w:p>
    <w:p w:rsidR="00223DFB" w:rsidRPr="0061644B" w:rsidRDefault="00223DF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 xml:space="preserve">5.1 </w:t>
      </w:r>
      <w:r w:rsidRPr="0061644B">
        <w:rPr>
          <w:rFonts w:ascii="Times New Roman" w:hAnsi="Times New Roman" w:cs="Times New Roman"/>
          <w:kern w:val="0"/>
          <w:szCs w:val="24"/>
        </w:rPr>
        <w:t>报告期内本基金托管人遵规守信情况声明</w:t>
      </w:r>
    </w:p>
    <w:p w:rsidR="00223DFB" w:rsidRPr="0061644B" w:rsidRDefault="00223DFB" w:rsidP="00792A69">
      <w:pPr>
        <w:spacing w:before="29" w:line="288" w:lineRule="auto"/>
        <w:ind w:firstLineChars="200" w:firstLine="480"/>
        <w:rPr>
          <w:color w:val="000000"/>
          <w:sz w:val="24"/>
        </w:rPr>
      </w:pPr>
      <w:r w:rsidRPr="0061644B">
        <w:rPr>
          <w:color w:val="000000"/>
          <w:sz w:val="24"/>
        </w:rPr>
        <w:t>本报告期，本托管人在本基金的托管过程中，严格遵守了《证券投资基金法》、基金合同、托管协议和其他相关规定，不存在损害基金份额持有人利益的行为，完全尽职尽责地履行了基金托管人应尽的义务。</w:t>
      </w:r>
    </w:p>
    <w:p w:rsidR="00223DFB" w:rsidRPr="0061644B" w:rsidRDefault="00223DFB" w:rsidP="00792A69">
      <w:pPr>
        <w:spacing w:before="29" w:line="288" w:lineRule="auto"/>
        <w:ind w:firstLineChars="200" w:firstLine="480"/>
        <w:rPr>
          <w:kern w:val="0"/>
          <w:sz w:val="24"/>
        </w:rPr>
      </w:pPr>
    </w:p>
    <w:p w:rsidR="00223DFB" w:rsidRPr="0061644B" w:rsidRDefault="00223DF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 xml:space="preserve">5.2 </w:t>
      </w:r>
      <w:r w:rsidRPr="0061644B">
        <w:rPr>
          <w:rFonts w:ascii="Times New Roman" w:hAnsi="Times New Roman" w:cs="Times New Roman"/>
          <w:kern w:val="0"/>
          <w:szCs w:val="24"/>
        </w:rPr>
        <w:t>托管人对报告期内本基金投资运作遵规守信、净值计算、利润分配等情况的说明</w:t>
      </w:r>
    </w:p>
    <w:p w:rsidR="00223DFB" w:rsidRPr="0061644B" w:rsidRDefault="00223DFB" w:rsidP="00792A69">
      <w:pPr>
        <w:spacing w:before="29" w:line="288" w:lineRule="auto"/>
        <w:ind w:firstLineChars="200" w:firstLine="480"/>
        <w:rPr>
          <w:color w:val="000000"/>
          <w:sz w:val="24"/>
        </w:rPr>
      </w:pPr>
      <w:r w:rsidRPr="0061644B">
        <w:rPr>
          <w:color w:val="000000"/>
          <w:sz w:val="24"/>
        </w:rPr>
        <w:t>报告期内，本托管人根据国家有关法律法规、基金合同和托管协议的规定，对基金管理人在本基金的投资运作、基金资产净值的计算、基金收益的计算、基金费用开支等方面进行了必要的监督、复核和审查，未发现其存在任何损害本基金份额持有人利益的行为。</w:t>
      </w:r>
    </w:p>
    <w:p w:rsidR="00223DFB" w:rsidRPr="0061644B" w:rsidRDefault="00223DFB" w:rsidP="00792A69">
      <w:pPr>
        <w:spacing w:before="29" w:line="288" w:lineRule="auto"/>
        <w:ind w:firstLineChars="200" w:firstLine="480"/>
        <w:rPr>
          <w:kern w:val="0"/>
          <w:sz w:val="24"/>
        </w:rPr>
      </w:pPr>
    </w:p>
    <w:p w:rsidR="00223DFB" w:rsidRPr="0061644B" w:rsidRDefault="00223DF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 xml:space="preserve">5.3 </w:t>
      </w:r>
      <w:r w:rsidRPr="0061644B">
        <w:rPr>
          <w:rFonts w:ascii="Times New Roman" w:hAnsi="Times New Roman" w:cs="Times New Roman"/>
          <w:kern w:val="0"/>
          <w:szCs w:val="24"/>
        </w:rPr>
        <w:t>托管人对本</w:t>
      </w:r>
      <w:r w:rsidR="00912A71" w:rsidRPr="0061644B">
        <w:rPr>
          <w:rFonts w:ascii="Times New Roman" w:hAnsi="Times New Roman" w:cs="Times New Roman"/>
          <w:kern w:val="0"/>
          <w:szCs w:val="24"/>
        </w:rPr>
        <w:t>半</w:t>
      </w:r>
      <w:r w:rsidRPr="0061644B">
        <w:rPr>
          <w:rFonts w:ascii="Times New Roman" w:hAnsi="Times New Roman" w:cs="Times New Roman"/>
          <w:kern w:val="0"/>
          <w:szCs w:val="24"/>
        </w:rPr>
        <w:t>年度报告中财务信息等内容的真实、准确和完整发表意见</w:t>
      </w:r>
    </w:p>
    <w:p w:rsidR="00223DFB" w:rsidRDefault="00223DFB" w:rsidP="00792A69">
      <w:pPr>
        <w:spacing w:before="29" w:line="288" w:lineRule="auto"/>
        <w:ind w:firstLineChars="200" w:firstLine="480"/>
        <w:rPr>
          <w:color w:val="000000"/>
          <w:sz w:val="24"/>
        </w:rPr>
      </w:pPr>
      <w:r w:rsidRPr="0061644B">
        <w:rPr>
          <w:color w:val="000000"/>
          <w:sz w:val="24"/>
        </w:rPr>
        <w:t>本托管人认真复核了本半年度报告中的财务指标、净值表现、收益分配情况、财务会计报告、投资组合报告等内容，认为其真实、准确和完整，不存在虚假记载、误导性陈述或者重大遗漏。</w:t>
      </w:r>
    </w:p>
    <w:p w:rsidR="009064D7" w:rsidRPr="0061644B" w:rsidRDefault="009064D7" w:rsidP="00792A69">
      <w:pPr>
        <w:spacing w:before="29" w:line="288" w:lineRule="auto"/>
        <w:ind w:firstLineChars="200" w:firstLine="480"/>
        <w:rPr>
          <w:color w:val="000000"/>
          <w:sz w:val="24"/>
        </w:rPr>
      </w:pPr>
    </w:p>
    <w:p w:rsidR="00223DFB" w:rsidRPr="0061644B" w:rsidRDefault="005A4B4C" w:rsidP="00B54CAD">
      <w:pPr>
        <w:pStyle w:val="1"/>
        <w:keepNext/>
        <w:keepLines/>
        <w:widowControl w:val="0"/>
        <w:spacing w:beforeLines="100" w:before="312" w:afterLines="100" w:after="312" w:line="288" w:lineRule="auto"/>
        <w:jc w:val="center"/>
        <w:rPr>
          <w:b/>
          <w:bCs/>
          <w:szCs w:val="24"/>
          <w:lang w:val="en-US"/>
        </w:rPr>
      </w:pPr>
      <w:r w:rsidRPr="0061644B">
        <w:rPr>
          <w:b/>
          <w:bCs/>
          <w:szCs w:val="24"/>
          <w:lang w:val="en-US"/>
        </w:rPr>
        <w:t>6</w:t>
      </w:r>
      <w:r w:rsidR="00753F05" w:rsidRPr="0061644B">
        <w:rPr>
          <w:b/>
          <w:bCs/>
          <w:szCs w:val="24"/>
          <w:lang w:val="en-US"/>
        </w:rPr>
        <w:t>半年度财务会计报告（未经审计）</w:t>
      </w:r>
    </w:p>
    <w:p w:rsidR="00633CCE" w:rsidRPr="0061644B" w:rsidRDefault="00633CCE" w:rsidP="00792A69">
      <w:pPr>
        <w:pStyle w:val="20"/>
        <w:spacing w:before="29" w:after="0" w:line="288" w:lineRule="auto"/>
        <w:rPr>
          <w:rFonts w:ascii="Times New Roman" w:hAnsi="Times New Roman" w:cs="Times New Roman"/>
          <w:kern w:val="0"/>
          <w:szCs w:val="24"/>
        </w:rPr>
      </w:pPr>
      <w:bookmarkStart w:id="7" w:name="_Toc225498268"/>
      <w:bookmarkStart w:id="8" w:name="_Toc374540561"/>
      <w:r w:rsidRPr="0061644B">
        <w:rPr>
          <w:rFonts w:ascii="Times New Roman" w:hAnsi="Times New Roman" w:cs="Times New Roman"/>
          <w:kern w:val="0"/>
          <w:szCs w:val="24"/>
        </w:rPr>
        <w:t xml:space="preserve">6.1 </w:t>
      </w:r>
      <w:r w:rsidRPr="0061644B">
        <w:rPr>
          <w:rFonts w:ascii="Times New Roman" w:hAnsi="Times New Roman" w:cs="Times New Roman"/>
          <w:kern w:val="0"/>
          <w:szCs w:val="24"/>
        </w:rPr>
        <w:t>资产负债表</w:t>
      </w:r>
      <w:bookmarkEnd w:id="7"/>
      <w:bookmarkEnd w:id="8"/>
    </w:p>
    <w:p w:rsidR="00633CCE" w:rsidRPr="0061644B" w:rsidRDefault="00633CCE" w:rsidP="00792A69">
      <w:pPr>
        <w:spacing w:before="29" w:line="288" w:lineRule="auto"/>
        <w:rPr>
          <w:color w:val="000000"/>
          <w:sz w:val="24"/>
        </w:rPr>
      </w:pPr>
      <w:r w:rsidRPr="0061644B">
        <w:rPr>
          <w:color w:val="000000"/>
          <w:sz w:val="24"/>
        </w:rPr>
        <w:t>会计主体：交银施罗德天运宝货币市场基金</w:t>
      </w:r>
    </w:p>
    <w:p w:rsidR="00633CCE" w:rsidRPr="0061644B" w:rsidRDefault="00633CCE" w:rsidP="00792A69">
      <w:pPr>
        <w:spacing w:before="29" w:line="288" w:lineRule="auto"/>
        <w:rPr>
          <w:color w:val="000000"/>
          <w:sz w:val="24"/>
        </w:rPr>
      </w:pPr>
      <w:r w:rsidRPr="0061644B">
        <w:rPr>
          <w:color w:val="000000"/>
          <w:sz w:val="24"/>
        </w:rPr>
        <w:t>报告截止日：</w:t>
      </w:r>
      <w:r w:rsidRPr="0061644B">
        <w:rPr>
          <w:color w:val="000000"/>
          <w:sz w:val="24"/>
        </w:rPr>
        <w:t>2018</w:t>
      </w:r>
      <w:r w:rsidRPr="0061644B">
        <w:rPr>
          <w:color w:val="000000"/>
          <w:sz w:val="24"/>
        </w:rPr>
        <w:t>年</w:t>
      </w:r>
      <w:r w:rsidRPr="0061644B">
        <w:rPr>
          <w:color w:val="000000"/>
          <w:sz w:val="24"/>
        </w:rPr>
        <w:t>6</w:t>
      </w:r>
      <w:r w:rsidRPr="0061644B">
        <w:rPr>
          <w:color w:val="000000"/>
          <w:sz w:val="24"/>
        </w:rPr>
        <w:t>月</w:t>
      </w:r>
      <w:r w:rsidRPr="0061644B">
        <w:rPr>
          <w:color w:val="000000"/>
          <w:sz w:val="24"/>
        </w:rPr>
        <w:t>30</w:t>
      </w:r>
      <w:r w:rsidRPr="0061644B">
        <w:rPr>
          <w:color w:val="000000"/>
          <w:sz w:val="24"/>
        </w:rPr>
        <w:t>日</w:t>
      </w:r>
    </w:p>
    <w:p w:rsidR="00633CCE" w:rsidRPr="0061644B" w:rsidRDefault="00633CCE" w:rsidP="00792A69">
      <w:pPr>
        <w:autoSpaceDE w:val="0"/>
        <w:autoSpaceDN w:val="0"/>
        <w:adjustRightInd w:val="0"/>
        <w:spacing w:before="29" w:line="288" w:lineRule="auto"/>
        <w:ind w:left="15"/>
        <w:jc w:val="right"/>
        <w:rPr>
          <w:color w:val="000000"/>
          <w:kern w:val="0"/>
          <w:sz w:val="24"/>
        </w:rPr>
      </w:pPr>
      <w:r w:rsidRPr="0061644B">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151"/>
        <w:gridCol w:w="2369"/>
        <w:gridCol w:w="41"/>
        <w:gridCol w:w="2479"/>
      </w:tblGrid>
      <w:tr w:rsidR="00633CCE" w:rsidRPr="0061644B" w:rsidTr="008F5B93">
        <w:tc>
          <w:tcPr>
            <w:tcW w:w="2880" w:type="dxa"/>
            <w:vAlign w:val="center"/>
          </w:tcPr>
          <w:p w:rsidR="00633CCE" w:rsidRPr="0061644B" w:rsidRDefault="00633CCE" w:rsidP="00792A69">
            <w:pPr>
              <w:pStyle w:val="af6"/>
              <w:spacing w:before="29" w:beforeAutospacing="0" w:line="288" w:lineRule="auto"/>
              <w:jc w:val="center"/>
              <w:rPr>
                <w:rFonts w:ascii="Times New Roman" w:hAnsi="Times New Roman"/>
                <w:b/>
                <w:color w:val="000000"/>
              </w:rPr>
            </w:pPr>
            <w:r w:rsidRPr="0061644B">
              <w:rPr>
                <w:rFonts w:ascii="Times New Roman" w:hAnsi="Times New Roman"/>
                <w:b/>
                <w:color w:val="000000"/>
              </w:rPr>
              <w:t>资产</w:t>
            </w:r>
          </w:p>
        </w:tc>
        <w:tc>
          <w:tcPr>
            <w:tcW w:w="1080" w:type="dxa"/>
            <w:vAlign w:val="center"/>
          </w:tcPr>
          <w:p w:rsidR="00633CCE" w:rsidRPr="0061644B" w:rsidRDefault="00633CCE" w:rsidP="00792A69">
            <w:pPr>
              <w:pStyle w:val="af6"/>
              <w:spacing w:before="29" w:beforeAutospacing="0" w:line="288" w:lineRule="auto"/>
              <w:jc w:val="center"/>
              <w:rPr>
                <w:rFonts w:ascii="Times New Roman" w:hAnsi="Times New Roman"/>
                <w:b/>
                <w:color w:val="000000"/>
              </w:rPr>
            </w:pPr>
            <w:r w:rsidRPr="0061644B">
              <w:rPr>
                <w:rFonts w:ascii="Times New Roman" w:hAnsi="Times New Roman"/>
                <w:b/>
                <w:color w:val="000000"/>
              </w:rPr>
              <w:t>附注号</w:t>
            </w:r>
          </w:p>
        </w:tc>
        <w:tc>
          <w:tcPr>
            <w:tcW w:w="2520" w:type="dxa"/>
            <w:gridSpan w:val="2"/>
            <w:vAlign w:val="center"/>
          </w:tcPr>
          <w:p w:rsidR="00633CCE" w:rsidRPr="0061644B" w:rsidRDefault="00633CCE" w:rsidP="00792A69">
            <w:pPr>
              <w:pStyle w:val="af6"/>
              <w:spacing w:before="29" w:beforeAutospacing="0" w:after="0" w:afterAutospacing="0" w:line="288" w:lineRule="auto"/>
              <w:jc w:val="center"/>
              <w:rPr>
                <w:rFonts w:ascii="Times New Roman" w:hAnsi="Times New Roman"/>
                <w:b/>
                <w:color w:val="000000"/>
              </w:rPr>
            </w:pPr>
            <w:r w:rsidRPr="0061644B">
              <w:rPr>
                <w:rFonts w:ascii="Times New Roman" w:hAnsi="Times New Roman"/>
                <w:b/>
                <w:color w:val="000000"/>
              </w:rPr>
              <w:t>本期末</w:t>
            </w:r>
          </w:p>
          <w:p w:rsidR="00633CCE" w:rsidRPr="0061644B" w:rsidRDefault="00633CCE" w:rsidP="00792A69">
            <w:pPr>
              <w:pStyle w:val="af6"/>
              <w:spacing w:before="29" w:beforeAutospacing="0" w:after="0" w:afterAutospacing="0" w:line="288" w:lineRule="auto"/>
              <w:jc w:val="center"/>
              <w:rPr>
                <w:rFonts w:ascii="Times New Roman" w:hAnsi="Times New Roman"/>
                <w:b/>
                <w:color w:val="000000"/>
              </w:rPr>
            </w:pPr>
            <w:r w:rsidRPr="0061644B">
              <w:rPr>
                <w:rFonts w:ascii="Times New Roman" w:hAnsi="Times New Roman"/>
                <w:b/>
                <w:color w:val="000000"/>
                <w:kern w:val="2"/>
              </w:rPr>
              <w:t>2018</w:t>
            </w:r>
            <w:r w:rsidRPr="0061644B">
              <w:rPr>
                <w:rFonts w:ascii="Times New Roman" w:hAnsi="Times New Roman"/>
                <w:b/>
                <w:color w:val="000000"/>
                <w:kern w:val="2"/>
              </w:rPr>
              <w:t>年</w:t>
            </w:r>
            <w:r w:rsidRPr="0061644B">
              <w:rPr>
                <w:rFonts w:ascii="Times New Roman" w:hAnsi="Times New Roman"/>
                <w:b/>
                <w:color w:val="000000"/>
                <w:kern w:val="2"/>
              </w:rPr>
              <w:t>6</w:t>
            </w:r>
            <w:r w:rsidRPr="0061644B">
              <w:rPr>
                <w:rFonts w:ascii="Times New Roman" w:hAnsi="Times New Roman"/>
                <w:b/>
                <w:color w:val="000000"/>
                <w:kern w:val="2"/>
              </w:rPr>
              <w:t>月</w:t>
            </w:r>
            <w:r w:rsidRPr="0061644B">
              <w:rPr>
                <w:rFonts w:ascii="Times New Roman" w:hAnsi="Times New Roman"/>
                <w:b/>
                <w:color w:val="000000"/>
                <w:kern w:val="2"/>
              </w:rPr>
              <w:t>30</w:t>
            </w:r>
            <w:r w:rsidRPr="0061644B">
              <w:rPr>
                <w:rFonts w:ascii="Times New Roman" w:hAnsi="Times New Roman"/>
                <w:b/>
                <w:color w:val="000000"/>
                <w:kern w:val="2"/>
              </w:rPr>
              <w:t>日</w:t>
            </w:r>
          </w:p>
        </w:tc>
        <w:tc>
          <w:tcPr>
            <w:tcW w:w="2520" w:type="dxa"/>
            <w:gridSpan w:val="2"/>
            <w:vAlign w:val="center"/>
          </w:tcPr>
          <w:p w:rsidR="00633CCE" w:rsidRPr="0061644B" w:rsidRDefault="00633CCE" w:rsidP="00792A69">
            <w:pPr>
              <w:pStyle w:val="af6"/>
              <w:spacing w:before="29" w:beforeAutospacing="0" w:after="0" w:afterAutospacing="0" w:line="288" w:lineRule="auto"/>
              <w:jc w:val="center"/>
              <w:rPr>
                <w:rFonts w:ascii="Times New Roman" w:hAnsi="Times New Roman"/>
                <w:b/>
                <w:color w:val="000000"/>
              </w:rPr>
            </w:pPr>
            <w:r w:rsidRPr="0061644B">
              <w:rPr>
                <w:rFonts w:ascii="Times New Roman" w:hAnsi="Times New Roman"/>
                <w:b/>
                <w:color w:val="000000"/>
              </w:rPr>
              <w:t>上年度末</w:t>
            </w:r>
          </w:p>
          <w:p w:rsidR="00633CCE" w:rsidRPr="0061644B" w:rsidRDefault="00633CCE" w:rsidP="00792A69">
            <w:pPr>
              <w:pStyle w:val="af6"/>
              <w:spacing w:before="29" w:beforeAutospacing="0" w:after="0" w:afterAutospacing="0" w:line="288" w:lineRule="auto"/>
              <w:jc w:val="center"/>
              <w:rPr>
                <w:rFonts w:ascii="Times New Roman" w:hAnsi="Times New Roman"/>
                <w:b/>
                <w:color w:val="000000"/>
              </w:rPr>
            </w:pPr>
            <w:r w:rsidRPr="0061644B">
              <w:rPr>
                <w:rFonts w:ascii="Times New Roman" w:hAnsi="Times New Roman"/>
                <w:b/>
                <w:color w:val="000000"/>
              </w:rPr>
              <w:t>2017</w:t>
            </w:r>
            <w:r w:rsidRPr="0061644B">
              <w:rPr>
                <w:rFonts w:ascii="Times New Roman" w:hAnsi="Times New Roman"/>
                <w:b/>
                <w:color w:val="000000"/>
              </w:rPr>
              <w:t>年</w:t>
            </w:r>
            <w:r w:rsidRPr="0061644B">
              <w:rPr>
                <w:rFonts w:ascii="Times New Roman" w:hAnsi="Times New Roman"/>
                <w:b/>
                <w:color w:val="000000"/>
              </w:rPr>
              <w:t>12</w:t>
            </w:r>
            <w:r w:rsidRPr="0061644B">
              <w:rPr>
                <w:rFonts w:ascii="Times New Roman" w:hAnsi="Times New Roman"/>
                <w:b/>
                <w:color w:val="000000"/>
              </w:rPr>
              <w:t>月</w:t>
            </w:r>
            <w:r w:rsidRPr="0061644B">
              <w:rPr>
                <w:rFonts w:ascii="Times New Roman" w:hAnsi="Times New Roman"/>
                <w:b/>
                <w:color w:val="000000"/>
              </w:rPr>
              <w:t>31</w:t>
            </w:r>
            <w:r w:rsidRPr="0061644B">
              <w:rPr>
                <w:rFonts w:ascii="Times New Roman" w:hAnsi="Times New Roman"/>
                <w:b/>
                <w:color w:val="000000"/>
              </w:rPr>
              <w:t>日</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资产：</w:t>
            </w:r>
          </w:p>
        </w:tc>
        <w:tc>
          <w:tcPr>
            <w:tcW w:w="1080" w:type="dxa"/>
            <w:vAlign w:val="center"/>
          </w:tcPr>
          <w:p w:rsidR="00633CCE" w:rsidRPr="00CD10F1" w:rsidRDefault="00633CCE" w:rsidP="00792A69">
            <w:pPr>
              <w:widowControl/>
              <w:autoSpaceDE w:val="0"/>
              <w:autoSpaceDN w:val="0"/>
              <w:spacing w:before="29" w:line="288" w:lineRule="auto"/>
              <w:ind w:right="-15"/>
              <w:jc w:val="center"/>
              <w:textAlignment w:val="bottom"/>
              <w:rPr>
                <w:color w:val="000000"/>
                <w:sz w:val="24"/>
              </w:rPr>
            </w:pP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银行存款</w:t>
            </w:r>
          </w:p>
        </w:tc>
        <w:tc>
          <w:tcPr>
            <w:tcW w:w="1080" w:type="dxa"/>
            <w:vAlign w:val="center"/>
          </w:tcPr>
          <w:p w:rsidR="00633CCE" w:rsidRPr="00CD10F1" w:rsidRDefault="00E45503" w:rsidP="00792A69">
            <w:pPr>
              <w:widowControl/>
              <w:autoSpaceDE w:val="0"/>
              <w:autoSpaceDN w:val="0"/>
              <w:spacing w:before="29" w:line="288" w:lineRule="auto"/>
              <w:ind w:right="-15"/>
              <w:jc w:val="center"/>
              <w:textAlignment w:val="bottom"/>
              <w:rPr>
                <w:color w:val="000000"/>
                <w:sz w:val="24"/>
              </w:rPr>
            </w:pPr>
            <w:r w:rsidRPr="00CD10F1">
              <w:rPr>
                <w:rFonts w:hint="eastAsia"/>
                <w:color w:val="000000"/>
                <w:szCs w:val="21"/>
              </w:rPr>
              <w:t>6.4.7.1</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69,764,146.78</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220,157,184.05</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结算备付金</w:t>
            </w:r>
          </w:p>
        </w:tc>
        <w:tc>
          <w:tcPr>
            <w:tcW w:w="1080"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810,454.55</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存出保证金</w:t>
            </w:r>
          </w:p>
        </w:tc>
        <w:tc>
          <w:tcPr>
            <w:tcW w:w="1080"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326.69</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lastRenderedPageBreak/>
              <w:t>交易性金融资产</w:t>
            </w:r>
          </w:p>
        </w:tc>
        <w:tc>
          <w:tcPr>
            <w:tcW w:w="1080" w:type="dxa"/>
            <w:vAlign w:val="center"/>
          </w:tcPr>
          <w:p w:rsidR="00633CCE" w:rsidRPr="00CD10F1" w:rsidRDefault="00E45503" w:rsidP="00792A69">
            <w:pPr>
              <w:pStyle w:val="af6"/>
              <w:spacing w:before="29" w:beforeAutospacing="0" w:line="288" w:lineRule="auto"/>
              <w:jc w:val="center"/>
              <w:rPr>
                <w:rFonts w:ascii="Times New Roman" w:hAnsi="Times New Roman"/>
                <w:color w:val="000000"/>
              </w:rPr>
            </w:pPr>
            <w:r w:rsidRPr="00CD10F1">
              <w:rPr>
                <w:rFonts w:ascii="Times New Roman" w:hAnsi="Times New Roman" w:hint="eastAsia"/>
                <w:color w:val="000000"/>
                <w:sz w:val="21"/>
                <w:szCs w:val="21"/>
              </w:rPr>
              <w:t>6.4.7.2</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137,967,538.90</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其中：股票投资</w:t>
            </w:r>
          </w:p>
        </w:tc>
        <w:tc>
          <w:tcPr>
            <w:tcW w:w="1080"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pStyle w:val="af6"/>
              <w:spacing w:before="29" w:beforeAutospacing="0" w:line="288" w:lineRule="auto"/>
              <w:ind w:firstLineChars="300" w:firstLine="720"/>
              <w:jc w:val="both"/>
              <w:rPr>
                <w:rFonts w:ascii="Times New Roman" w:hAnsi="Times New Roman"/>
                <w:color w:val="000000"/>
              </w:rPr>
            </w:pPr>
            <w:r w:rsidRPr="0061644B">
              <w:rPr>
                <w:rFonts w:ascii="Times New Roman" w:hAnsi="Times New Roman"/>
                <w:color w:val="000000"/>
              </w:rPr>
              <w:t>基金投资</w:t>
            </w:r>
          </w:p>
        </w:tc>
        <w:tc>
          <w:tcPr>
            <w:tcW w:w="1080"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ind w:firstLineChars="300" w:firstLine="720"/>
              <w:rPr>
                <w:color w:val="000000"/>
                <w:sz w:val="24"/>
              </w:rPr>
            </w:pPr>
            <w:r w:rsidRPr="0061644B">
              <w:rPr>
                <w:color w:val="000000"/>
                <w:sz w:val="24"/>
              </w:rPr>
              <w:t>债券投资</w:t>
            </w:r>
          </w:p>
        </w:tc>
        <w:tc>
          <w:tcPr>
            <w:tcW w:w="1080"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137,967,538.90</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ind w:firstLineChars="300" w:firstLine="720"/>
              <w:rPr>
                <w:color w:val="000000"/>
                <w:sz w:val="24"/>
              </w:rPr>
            </w:pPr>
            <w:r w:rsidRPr="0061644B">
              <w:rPr>
                <w:color w:val="000000"/>
                <w:sz w:val="24"/>
              </w:rPr>
              <w:t>资产支持证券投资</w:t>
            </w:r>
          </w:p>
        </w:tc>
        <w:tc>
          <w:tcPr>
            <w:tcW w:w="1080"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E45503" w:rsidRPr="005E1AD8" w:rsidTr="00B258B8">
        <w:tblPrEx>
          <w:tblLook w:val="04A0" w:firstRow="1" w:lastRow="0" w:firstColumn="1" w:lastColumn="0" w:noHBand="0" w:noVBand="1"/>
        </w:tblPrEx>
        <w:tc>
          <w:tcPr>
            <w:tcW w:w="2880" w:type="dxa"/>
            <w:tcBorders>
              <w:top w:val="single" w:sz="4" w:space="0" w:color="000000"/>
              <w:left w:val="single" w:sz="4" w:space="0" w:color="000000"/>
              <w:bottom w:val="single" w:sz="4" w:space="0" w:color="000000"/>
              <w:right w:val="single" w:sz="4" w:space="0" w:color="000000"/>
            </w:tcBorders>
            <w:vAlign w:val="center"/>
            <w:hideMark/>
          </w:tcPr>
          <w:p w:rsidR="00E45503" w:rsidRPr="005E1AD8" w:rsidRDefault="00E45503" w:rsidP="00B258B8">
            <w:pPr>
              <w:spacing w:before="29" w:line="288" w:lineRule="auto"/>
              <w:jc w:val="left"/>
              <w:rPr>
                <w:sz w:val="24"/>
              </w:rPr>
            </w:pPr>
            <w:r>
              <w:rPr>
                <w:rFonts w:hint="eastAsia"/>
                <w:color w:val="000000"/>
                <w:sz w:val="24"/>
              </w:rPr>
              <w:t xml:space="preserve">      </w:t>
            </w:r>
            <w:r w:rsidRPr="00035D71">
              <w:rPr>
                <w:color w:val="000000"/>
                <w:sz w:val="24"/>
              </w:rPr>
              <w:t>贵金属投资</w:t>
            </w:r>
          </w:p>
        </w:tc>
        <w:tc>
          <w:tcPr>
            <w:tcW w:w="1080" w:type="dxa"/>
            <w:tcBorders>
              <w:top w:val="single" w:sz="4" w:space="0" w:color="000000"/>
              <w:left w:val="single" w:sz="4" w:space="0" w:color="000000"/>
              <w:bottom w:val="single" w:sz="4" w:space="0" w:color="000000"/>
              <w:right w:val="single" w:sz="4" w:space="0" w:color="000000"/>
            </w:tcBorders>
            <w:vAlign w:val="center"/>
          </w:tcPr>
          <w:p w:rsidR="00E45503" w:rsidRPr="00CD10F1" w:rsidRDefault="00E45503" w:rsidP="00B258B8">
            <w:pPr>
              <w:pStyle w:val="af6"/>
              <w:jc w:val="center"/>
              <w:rPr>
                <w:rFonts w:ascii="Times New Roman" w:hAnsi="Times New Roman"/>
                <w:color w:val="000000"/>
                <w:sz w:val="21"/>
                <w:szCs w:val="21"/>
              </w:rPr>
            </w:pPr>
          </w:p>
        </w:tc>
        <w:tc>
          <w:tcPr>
            <w:tcW w:w="2520" w:type="dxa"/>
            <w:gridSpan w:val="2"/>
            <w:tcBorders>
              <w:top w:val="single" w:sz="4" w:space="0" w:color="000000"/>
              <w:left w:val="single" w:sz="4" w:space="0" w:color="000000"/>
              <w:bottom w:val="single" w:sz="4" w:space="0" w:color="000000"/>
              <w:right w:val="single" w:sz="4" w:space="0" w:color="000000"/>
            </w:tcBorders>
            <w:vAlign w:val="center"/>
            <w:hideMark/>
          </w:tcPr>
          <w:p w:rsidR="00E45503" w:rsidRPr="005E1AD8" w:rsidRDefault="00E45503" w:rsidP="00B258B8">
            <w:pPr>
              <w:spacing w:before="29" w:line="288" w:lineRule="auto"/>
              <w:jc w:val="right"/>
              <w:rPr>
                <w:sz w:val="24"/>
              </w:rPr>
            </w:pPr>
            <w:r w:rsidRPr="00035D71">
              <w:rPr>
                <w:rFonts w:eastAsiaTheme="minorEastAsia"/>
                <w:color w:val="000000"/>
                <w:sz w:val="24"/>
              </w:rPr>
              <w:t>-</w:t>
            </w:r>
          </w:p>
        </w:tc>
        <w:tc>
          <w:tcPr>
            <w:tcW w:w="2520" w:type="dxa"/>
            <w:gridSpan w:val="2"/>
            <w:tcBorders>
              <w:top w:val="single" w:sz="4" w:space="0" w:color="000000"/>
              <w:left w:val="single" w:sz="4" w:space="0" w:color="000000"/>
              <w:bottom w:val="single" w:sz="4" w:space="0" w:color="000000"/>
              <w:right w:val="single" w:sz="4" w:space="0" w:color="000000"/>
            </w:tcBorders>
            <w:vAlign w:val="center"/>
            <w:hideMark/>
          </w:tcPr>
          <w:p w:rsidR="00E45503" w:rsidRPr="005E1AD8" w:rsidRDefault="00E45503" w:rsidP="00B258B8">
            <w:pPr>
              <w:spacing w:before="29" w:line="288" w:lineRule="auto"/>
              <w:jc w:val="right"/>
              <w:rPr>
                <w:sz w:val="24"/>
              </w:rPr>
            </w:pPr>
            <w:r w:rsidRPr="00035D71">
              <w:rPr>
                <w:rFonts w:eastAsiaTheme="minorEastAsia"/>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衍生金融资产</w:t>
            </w:r>
          </w:p>
        </w:tc>
        <w:tc>
          <w:tcPr>
            <w:tcW w:w="1080" w:type="dxa"/>
            <w:vAlign w:val="center"/>
          </w:tcPr>
          <w:p w:rsidR="00633CCE" w:rsidRPr="00CD10F1" w:rsidRDefault="00E45503" w:rsidP="00792A69">
            <w:pPr>
              <w:pStyle w:val="af6"/>
              <w:spacing w:before="29" w:beforeAutospacing="0" w:line="288" w:lineRule="auto"/>
              <w:jc w:val="center"/>
              <w:rPr>
                <w:rFonts w:ascii="Times New Roman" w:hAnsi="Times New Roman"/>
                <w:color w:val="000000"/>
              </w:rPr>
            </w:pPr>
            <w:r w:rsidRPr="00CD10F1">
              <w:rPr>
                <w:rFonts w:ascii="Times New Roman" w:hAnsi="Times New Roman" w:hint="eastAsia"/>
                <w:color w:val="000000"/>
                <w:sz w:val="21"/>
                <w:szCs w:val="21"/>
              </w:rPr>
              <w:t>6.4.7.3</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买入返售金融资产</w:t>
            </w:r>
          </w:p>
        </w:tc>
        <w:tc>
          <w:tcPr>
            <w:tcW w:w="1080" w:type="dxa"/>
            <w:vAlign w:val="center"/>
          </w:tcPr>
          <w:p w:rsidR="00633CCE" w:rsidRPr="00CD10F1" w:rsidRDefault="00E45503" w:rsidP="00792A69">
            <w:pPr>
              <w:pStyle w:val="af6"/>
              <w:spacing w:before="29" w:beforeAutospacing="0" w:line="288" w:lineRule="auto"/>
              <w:jc w:val="center"/>
              <w:rPr>
                <w:rFonts w:ascii="Times New Roman" w:hAnsi="Times New Roman"/>
                <w:color w:val="000000"/>
              </w:rPr>
            </w:pPr>
            <w:r w:rsidRPr="00CD10F1">
              <w:rPr>
                <w:rFonts w:ascii="Times New Roman" w:hAnsi="Times New Roman" w:hint="eastAsia"/>
                <w:color w:val="000000"/>
                <w:sz w:val="21"/>
                <w:szCs w:val="21"/>
              </w:rPr>
              <w:t>6.4.7.4</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54,686,322.03</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应收证券清算款</w:t>
            </w:r>
          </w:p>
        </w:tc>
        <w:tc>
          <w:tcPr>
            <w:tcW w:w="1080"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应收利息</w:t>
            </w:r>
          </w:p>
        </w:tc>
        <w:tc>
          <w:tcPr>
            <w:tcW w:w="1080" w:type="dxa"/>
            <w:vAlign w:val="center"/>
          </w:tcPr>
          <w:p w:rsidR="00633CCE" w:rsidRPr="00CD10F1" w:rsidRDefault="00E45503" w:rsidP="00792A69">
            <w:pPr>
              <w:pStyle w:val="af6"/>
              <w:spacing w:before="29" w:beforeAutospacing="0" w:line="288" w:lineRule="auto"/>
              <w:jc w:val="center"/>
              <w:rPr>
                <w:rFonts w:ascii="Times New Roman" w:hAnsi="Times New Roman"/>
                <w:color w:val="000000"/>
              </w:rPr>
            </w:pPr>
            <w:r w:rsidRPr="00CD10F1">
              <w:rPr>
                <w:rFonts w:ascii="Times New Roman" w:hAnsi="Times New Roman" w:hint="eastAsia"/>
                <w:color w:val="000000"/>
                <w:sz w:val="21"/>
                <w:szCs w:val="21"/>
              </w:rPr>
              <w:t>6.4.7.5</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692,829.40</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108,977.80</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应收股利</w:t>
            </w:r>
          </w:p>
        </w:tc>
        <w:tc>
          <w:tcPr>
            <w:tcW w:w="1080"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应收申购款</w:t>
            </w:r>
          </w:p>
        </w:tc>
        <w:tc>
          <w:tcPr>
            <w:tcW w:w="1080"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100.00</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递延所得税资产</w:t>
            </w:r>
          </w:p>
        </w:tc>
        <w:tc>
          <w:tcPr>
            <w:tcW w:w="1080"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其他资产</w:t>
            </w:r>
          </w:p>
        </w:tc>
        <w:tc>
          <w:tcPr>
            <w:tcW w:w="1080" w:type="dxa"/>
            <w:vAlign w:val="center"/>
          </w:tcPr>
          <w:p w:rsidR="00633CCE" w:rsidRPr="00CD10F1" w:rsidRDefault="00E45503" w:rsidP="00792A69">
            <w:pPr>
              <w:pStyle w:val="af6"/>
              <w:spacing w:before="29" w:beforeAutospacing="0" w:line="288" w:lineRule="auto"/>
              <w:jc w:val="center"/>
              <w:rPr>
                <w:rFonts w:ascii="Times New Roman" w:hAnsi="Times New Roman"/>
                <w:color w:val="000000"/>
              </w:rPr>
            </w:pPr>
            <w:r w:rsidRPr="00CD10F1">
              <w:rPr>
                <w:rFonts w:ascii="Times New Roman" w:hAnsi="Times New Roman" w:hint="eastAsia"/>
                <w:color w:val="000000"/>
                <w:sz w:val="21"/>
                <w:szCs w:val="21"/>
              </w:rPr>
              <w:t>6.4.7.6</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rPr>
                <w:b/>
                <w:color w:val="000000"/>
                <w:sz w:val="24"/>
              </w:rPr>
            </w:pPr>
            <w:r w:rsidRPr="0061644B">
              <w:rPr>
                <w:b/>
                <w:color w:val="000000"/>
                <w:sz w:val="24"/>
              </w:rPr>
              <w:t>资产总计</w:t>
            </w:r>
          </w:p>
        </w:tc>
        <w:tc>
          <w:tcPr>
            <w:tcW w:w="1080"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263,921,718.35</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220,266,161.85</w:t>
            </w:r>
          </w:p>
        </w:tc>
      </w:tr>
      <w:tr w:rsidR="00633CCE" w:rsidRPr="0061644B" w:rsidTr="000D6D89">
        <w:tc>
          <w:tcPr>
            <w:tcW w:w="2880" w:type="dxa"/>
            <w:vAlign w:val="center"/>
          </w:tcPr>
          <w:p w:rsidR="00633CCE" w:rsidRPr="0061644B" w:rsidRDefault="00633CCE" w:rsidP="00792A69">
            <w:pPr>
              <w:pStyle w:val="af6"/>
              <w:spacing w:before="29" w:beforeAutospacing="0" w:line="288" w:lineRule="auto"/>
              <w:jc w:val="center"/>
              <w:rPr>
                <w:rFonts w:ascii="Times New Roman" w:hAnsi="Times New Roman"/>
                <w:b/>
                <w:color w:val="000000"/>
              </w:rPr>
            </w:pPr>
            <w:r w:rsidRPr="0061644B">
              <w:rPr>
                <w:rFonts w:ascii="Times New Roman" w:hAnsi="Times New Roman"/>
                <w:b/>
                <w:color w:val="000000"/>
              </w:rPr>
              <w:t>负债和所有者权益</w:t>
            </w:r>
          </w:p>
        </w:tc>
        <w:tc>
          <w:tcPr>
            <w:tcW w:w="1231" w:type="dxa"/>
            <w:gridSpan w:val="2"/>
            <w:vAlign w:val="center"/>
          </w:tcPr>
          <w:p w:rsidR="00633CCE" w:rsidRPr="0061644B" w:rsidRDefault="00633CCE" w:rsidP="00792A69">
            <w:pPr>
              <w:pStyle w:val="af6"/>
              <w:spacing w:before="29" w:beforeAutospacing="0" w:line="288" w:lineRule="auto"/>
              <w:jc w:val="center"/>
              <w:rPr>
                <w:rFonts w:ascii="Times New Roman" w:hAnsi="Times New Roman"/>
                <w:b/>
                <w:color w:val="000000"/>
              </w:rPr>
            </w:pPr>
            <w:r w:rsidRPr="0061644B">
              <w:rPr>
                <w:rFonts w:ascii="Times New Roman" w:hAnsi="Times New Roman"/>
                <w:b/>
                <w:color w:val="000000"/>
              </w:rPr>
              <w:t>附注号</w:t>
            </w:r>
          </w:p>
        </w:tc>
        <w:tc>
          <w:tcPr>
            <w:tcW w:w="2410" w:type="dxa"/>
            <w:gridSpan w:val="2"/>
            <w:vAlign w:val="center"/>
          </w:tcPr>
          <w:p w:rsidR="00633CCE" w:rsidRPr="0061644B" w:rsidRDefault="00633CCE" w:rsidP="00792A69">
            <w:pPr>
              <w:pStyle w:val="af6"/>
              <w:spacing w:before="29" w:beforeAutospacing="0" w:after="0" w:afterAutospacing="0" w:line="288" w:lineRule="auto"/>
              <w:jc w:val="center"/>
              <w:rPr>
                <w:rFonts w:ascii="Times New Roman" w:hAnsi="Times New Roman"/>
                <w:b/>
                <w:color w:val="000000"/>
              </w:rPr>
            </w:pPr>
            <w:r w:rsidRPr="0061644B">
              <w:rPr>
                <w:rFonts w:ascii="Times New Roman" w:hAnsi="Times New Roman"/>
                <w:b/>
                <w:color w:val="000000"/>
              </w:rPr>
              <w:t>本期末</w:t>
            </w:r>
          </w:p>
          <w:p w:rsidR="00633CCE" w:rsidRPr="0061644B" w:rsidRDefault="00633CCE" w:rsidP="00792A69">
            <w:pPr>
              <w:pStyle w:val="af6"/>
              <w:spacing w:before="29" w:beforeAutospacing="0" w:after="0" w:afterAutospacing="0" w:line="288" w:lineRule="auto"/>
              <w:jc w:val="center"/>
              <w:rPr>
                <w:rFonts w:ascii="Times New Roman" w:hAnsi="Times New Roman"/>
                <w:b/>
                <w:color w:val="000000"/>
              </w:rPr>
            </w:pPr>
            <w:r w:rsidRPr="0061644B">
              <w:rPr>
                <w:rFonts w:ascii="Times New Roman" w:hAnsi="Times New Roman"/>
                <w:b/>
                <w:color w:val="000000"/>
                <w:kern w:val="2"/>
              </w:rPr>
              <w:t>2018</w:t>
            </w:r>
            <w:r w:rsidRPr="0061644B">
              <w:rPr>
                <w:rFonts w:ascii="Times New Roman" w:hAnsi="Times New Roman"/>
                <w:b/>
                <w:color w:val="000000"/>
                <w:kern w:val="2"/>
              </w:rPr>
              <w:t>年</w:t>
            </w:r>
            <w:r w:rsidRPr="0061644B">
              <w:rPr>
                <w:rFonts w:ascii="Times New Roman" w:hAnsi="Times New Roman"/>
                <w:b/>
                <w:color w:val="000000"/>
                <w:kern w:val="2"/>
              </w:rPr>
              <w:t>6</w:t>
            </w:r>
            <w:r w:rsidRPr="0061644B">
              <w:rPr>
                <w:rFonts w:ascii="Times New Roman" w:hAnsi="Times New Roman"/>
                <w:b/>
                <w:color w:val="000000"/>
                <w:kern w:val="2"/>
              </w:rPr>
              <w:t>月</w:t>
            </w:r>
            <w:r w:rsidRPr="0061644B">
              <w:rPr>
                <w:rFonts w:ascii="Times New Roman" w:hAnsi="Times New Roman"/>
                <w:b/>
                <w:color w:val="000000"/>
                <w:kern w:val="2"/>
              </w:rPr>
              <w:t>30</w:t>
            </w:r>
            <w:r w:rsidRPr="0061644B">
              <w:rPr>
                <w:rFonts w:ascii="Times New Roman" w:hAnsi="Times New Roman"/>
                <w:b/>
                <w:color w:val="000000"/>
                <w:kern w:val="2"/>
              </w:rPr>
              <w:t>日</w:t>
            </w:r>
          </w:p>
        </w:tc>
        <w:tc>
          <w:tcPr>
            <w:tcW w:w="2479" w:type="dxa"/>
            <w:vAlign w:val="center"/>
          </w:tcPr>
          <w:p w:rsidR="00633CCE" w:rsidRPr="0061644B" w:rsidRDefault="00633CCE" w:rsidP="00792A69">
            <w:pPr>
              <w:pStyle w:val="af6"/>
              <w:spacing w:before="29" w:beforeAutospacing="0" w:after="0" w:afterAutospacing="0" w:line="288" w:lineRule="auto"/>
              <w:jc w:val="center"/>
              <w:rPr>
                <w:rFonts w:ascii="Times New Roman" w:hAnsi="Times New Roman"/>
                <w:b/>
                <w:color w:val="000000"/>
              </w:rPr>
            </w:pPr>
            <w:r w:rsidRPr="0061644B">
              <w:rPr>
                <w:rFonts w:ascii="Times New Roman" w:hAnsi="Times New Roman"/>
                <w:b/>
                <w:color w:val="000000"/>
              </w:rPr>
              <w:t>上年度末</w:t>
            </w:r>
          </w:p>
          <w:p w:rsidR="00633CCE" w:rsidRPr="0061644B" w:rsidRDefault="00633CCE" w:rsidP="00792A69">
            <w:pPr>
              <w:pStyle w:val="af6"/>
              <w:spacing w:before="29" w:beforeAutospacing="0" w:after="0" w:afterAutospacing="0" w:line="288" w:lineRule="auto"/>
              <w:jc w:val="center"/>
              <w:rPr>
                <w:rFonts w:ascii="Times New Roman" w:hAnsi="Times New Roman"/>
                <w:b/>
                <w:color w:val="000000"/>
              </w:rPr>
            </w:pPr>
            <w:r w:rsidRPr="0061644B">
              <w:rPr>
                <w:rFonts w:ascii="Times New Roman" w:hAnsi="Times New Roman"/>
                <w:b/>
                <w:color w:val="000000"/>
              </w:rPr>
              <w:t>2017</w:t>
            </w:r>
            <w:r w:rsidRPr="0061644B">
              <w:rPr>
                <w:rFonts w:ascii="Times New Roman" w:hAnsi="Times New Roman"/>
                <w:b/>
                <w:color w:val="000000"/>
              </w:rPr>
              <w:t>年</w:t>
            </w:r>
            <w:r w:rsidRPr="0061644B">
              <w:rPr>
                <w:rFonts w:ascii="Times New Roman" w:hAnsi="Times New Roman"/>
                <w:b/>
                <w:color w:val="000000"/>
              </w:rPr>
              <w:t>12</w:t>
            </w:r>
            <w:r w:rsidRPr="0061644B">
              <w:rPr>
                <w:rFonts w:ascii="Times New Roman" w:hAnsi="Times New Roman"/>
                <w:b/>
                <w:color w:val="000000"/>
              </w:rPr>
              <w:t>月</w:t>
            </w:r>
            <w:r w:rsidRPr="0061644B">
              <w:rPr>
                <w:rFonts w:ascii="Times New Roman" w:hAnsi="Times New Roman"/>
                <w:b/>
                <w:color w:val="000000"/>
              </w:rPr>
              <w:t>31</w:t>
            </w:r>
            <w:r w:rsidRPr="0061644B">
              <w:rPr>
                <w:rFonts w:ascii="Times New Roman" w:hAnsi="Times New Roman"/>
                <w:b/>
                <w:color w:val="000000"/>
              </w:rPr>
              <w:t>日</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负债：</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短期借款</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交易性金融负债</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衍生金融负债</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卖出回购金融资产款</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39,044,741.43</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应付证券清算款</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应付赎回款</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应付管理人报酬</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22,351.84</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1,809.35</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应付托管费</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7,450.63</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603.12</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应付销售服务费</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3,677.20</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120.88</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应付交易费用</w:t>
            </w:r>
          </w:p>
        </w:tc>
        <w:tc>
          <w:tcPr>
            <w:tcW w:w="1231" w:type="dxa"/>
            <w:gridSpan w:val="2"/>
            <w:vAlign w:val="center"/>
          </w:tcPr>
          <w:p w:rsidR="00633CCE" w:rsidRPr="00CD10F1" w:rsidRDefault="00E45503" w:rsidP="00792A69">
            <w:pPr>
              <w:pStyle w:val="af6"/>
              <w:spacing w:before="29" w:beforeAutospacing="0" w:line="288" w:lineRule="auto"/>
              <w:jc w:val="center"/>
              <w:rPr>
                <w:rFonts w:ascii="Times New Roman" w:hAnsi="Times New Roman"/>
                <w:color w:val="000000"/>
              </w:rPr>
            </w:pPr>
            <w:r w:rsidRPr="00CD10F1">
              <w:rPr>
                <w:rFonts w:ascii="Times New Roman" w:hAnsi="Times New Roman" w:hint="eastAsia"/>
                <w:color w:val="000000"/>
                <w:sz w:val="21"/>
                <w:szCs w:val="21"/>
              </w:rPr>
              <w:t>6.4.7.7</w:t>
            </w: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7,168.56</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应交税费</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7,164.55</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应付利息</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13,840.24</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应付利润</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30,244.00</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8,460.42</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递延所得税负债</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其他负债</w:t>
            </w:r>
          </w:p>
        </w:tc>
        <w:tc>
          <w:tcPr>
            <w:tcW w:w="1231" w:type="dxa"/>
            <w:gridSpan w:val="2"/>
            <w:vAlign w:val="center"/>
          </w:tcPr>
          <w:p w:rsidR="00633CCE" w:rsidRPr="00CD10F1" w:rsidRDefault="00E45503" w:rsidP="00792A69">
            <w:pPr>
              <w:pStyle w:val="af6"/>
              <w:spacing w:before="29" w:beforeAutospacing="0" w:line="288" w:lineRule="auto"/>
              <w:jc w:val="center"/>
              <w:rPr>
                <w:rFonts w:ascii="Times New Roman" w:hAnsi="Times New Roman"/>
                <w:color w:val="000000"/>
              </w:rPr>
            </w:pPr>
            <w:r w:rsidRPr="00CD10F1">
              <w:rPr>
                <w:rFonts w:ascii="Times New Roman" w:hAnsi="Times New Roman" w:hint="eastAsia"/>
                <w:color w:val="000000"/>
                <w:sz w:val="21"/>
                <w:szCs w:val="21"/>
              </w:rPr>
              <w:t>6.4.7.8</w:t>
            </w: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133,801.90</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538.05</w:t>
            </w:r>
          </w:p>
        </w:tc>
      </w:tr>
      <w:tr w:rsidR="00633CCE" w:rsidRPr="0061644B" w:rsidTr="000D6D89">
        <w:tc>
          <w:tcPr>
            <w:tcW w:w="2880" w:type="dxa"/>
            <w:vAlign w:val="center"/>
          </w:tcPr>
          <w:p w:rsidR="00633CCE" w:rsidRPr="0061644B" w:rsidRDefault="00633CCE" w:rsidP="00792A69">
            <w:pPr>
              <w:pStyle w:val="af6"/>
              <w:spacing w:before="29" w:beforeAutospacing="0" w:line="288" w:lineRule="auto"/>
              <w:jc w:val="both"/>
              <w:rPr>
                <w:rFonts w:ascii="Times New Roman" w:hAnsi="Times New Roman"/>
                <w:color w:val="000000"/>
              </w:rPr>
            </w:pPr>
            <w:r w:rsidRPr="0061644B">
              <w:rPr>
                <w:rFonts w:ascii="Times New Roman" w:hAnsi="Times New Roman"/>
                <w:color w:val="000000"/>
              </w:rPr>
              <w:t>负债合计</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39,270,440.35</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11,531.82</w:t>
            </w:r>
          </w:p>
        </w:tc>
      </w:tr>
      <w:tr w:rsidR="00633CCE" w:rsidRPr="0061644B" w:rsidTr="000D6D89">
        <w:tc>
          <w:tcPr>
            <w:tcW w:w="2880" w:type="dxa"/>
            <w:vAlign w:val="center"/>
          </w:tcPr>
          <w:p w:rsidR="00633CCE" w:rsidRPr="0061644B" w:rsidRDefault="00633CCE" w:rsidP="00792A69">
            <w:pPr>
              <w:spacing w:before="29" w:line="288" w:lineRule="auto"/>
              <w:rPr>
                <w:b/>
                <w:color w:val="000000"/>
                <w:sz w:val="24"/>
              </w:rPr>
            </w:pPr>
            <w:r w:rsidRPr="0061644B">
              <w:rPr>
                <w:b/>
                <w:color w:val="000000"/>
                <w:sz w:val="24"/>
              </w:rPr>
              <w:lastRenderedPageBreak/>
              <w:t>所有者权益：</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b/>
                <w:color w:val="000000"/>
                <w:sz w:val="24"/>
              </w:rPr>
            </w:pPr>
            <w:r w:rsidRPr="0061644B">
              <w:rPr>
                <w:b/>
                <w:color w:val="000000"/>
                <w:sz w:val="24"/>
              </w:rPr>
              <w:t>-</w:t>
            </w:r>
          </w:p>
        </w:tc>
        <w:tc>
          <w:tcPr>
            <w:tcW w:w="2479" w:type="dxa"/>
            <w:vAlign w:val="center"/>
          </w:tcPr>
          <w:p w:rsidR="00633CCE" w:rsidRPr="0061644B" w:rsidRDefault="00633CCE" w:rsidP="00792A69">
            <w:pPr>
              <w:spacing w:before="29" w:line="288" w:lineRule="auto"/>
              <w:jc w:val="right"/>
              <w:rPr>
                <w:b/>
                <w:color w:val="000000"/>
                <w:sz w:val="24"/>
              </w:rPr>
            </w:pPr>
            <w:r w:rsidRPr="0061644B">
              <w:rPr>
                <w:b/>
                <w:color w:val="000000"/>
                <w:sz w:val="24"/>
              </w:rPr>
              <w:t>-</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实收基金</w:t>
            </w:r>
          </w:p>
        </w:tc>
        <w:tc>
          <w:tcPr>
            <w:tcW w:w="1231" w:type="dxa"/>
            <w:gridSpan w:val="2"/>
            <w:vAlign w:val="center"/>
          </w:tcPr>
          <w:p w:rsidR="00633CCE" w:rsidRPr="00CD10F1" w:rsidRDefault="00E45503" w:rsidP="00792A69">
            <w:pPr>
              <w:pStyle w:val="af6"/>
              <w:spacing w:before="29" w:beforeAutospacing="0" w:line="288" w:lineRule="auto"/>
              <w:jc w:val="center"/>
              <w:rPr>
                <w:rFonts w:ascii="Times New Roman" w:hAnsi="Times New Roman"/>
                <w:color w:val="000000"/>
              </w:rPr>
            </w:pPr>
            <w:r w:rsidRPr="00CD10F1">
              <w:rPr>
                <w:rFonts w:ascii="Times New Roman" w:hAnsi="Times New Roman" w:hint="eastAsia"/>
                <w:color w:val="000000"/>
                <w:sz w:val="21"/>
                <w:szCs w:val="21"/>
              </w:rPr>
              <w:t>6.4.7.9</w:t>
            </w: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224,651,278.00</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220,254,630.03</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未分配利润</w:t>
            </w:r>
          </w:p>
        </w:tc>
        <w:tc>
          <w:tcPr>
            <w:tcW w:w="1231" w:type="dxa"/>
            <w:gridSpan w:val="2"/>
            <w:vAlign w:val="center"/>
          </w:tcPr>
          <w:p w:rsidR="00633CCE" w:rsidRPr="00CD10F1" w:rsidRDefault="00E45503" w:rsidP="00792A69">
            <w:pPr>
              <w:pStyle w:val="af6"/>
              <w:spacing w:before="29" w:beforeAutospacing="0" w:line="288" w:lineRule="auto"/>
              <w:jc w:val="center"/>
              <w:rPr>
                <w:rFonts w:ascii="Times New Roman" w:hAnsi="Times New Roman"/>
                <w:color w:val="000000"/>
              </w:rPr>
            </w:pPr>
            <w:r w:rsidRPr="00CD10F1">
              <w:rPr>
                <w:rFonts w:ascii="Times New Roman" w:hAnsi="Times New Roman" w:hint="eastAsia"/>
                <w:color w:val="000000"/>
                <w:sz w:val="21"/>
                <w:szCs w:val="21"/>
              </w:rPr>
              <w:t>6.4.7.10</w:t>
            </w: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所有者权益合计</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224,651,278.00</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220,254,630.03</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负债和所有者权益总计</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263,921,718.35</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220,266,161.85</w:t>
            </w:r>
          </w:p>
        </w:tc>
      </w:tr>
    </w:tbl>
    <w:p w:rsidR="00EB609D" w:rsidRPr="0061644B" w:rsidRDefault="00EB609D" w:rsidP="00792A69">
      <w:pPr>
        <w:tabs>
          <w:tab w:val="left" w:pos="426"/>
        </w:tabs>
        <w:spacing w:before="29" w:line="288" w:lineRule="auto"/>
        <w:jc w:val="left"/>
        <w:rPr>
          <w:kern w:val="0"/>
          <w:sz w:val="24"/>
        </w:rPr>
      </w:pPr>
      <w:r w:rsidRPr="0061644B">
        <w:rPr>
          <w:rFonts w:hint="eastAsia"/>
          <w:kern w:val="0"/>
          <w:sz w:val="24"/>
        </w:rPr>
        <w:t>注：</w:t>
      </w:r>
      <w:r w:rsidRPr="0061644B">
        <w:rPr>
          <w:kern w:val="0"/>
          <w:sz w:val="24"/>
        </w:rPr>
        <w:t>1</w:t>
      </w:r>
      <w:r w:rsidRPr="0061644B">
        <w:rPr>
          <w:rFonts w:hint="eastAsia"/>
          <w:kern w:val="0"/>
          <w:sz w:val="24"/>
        </w:rPr>
        <w:t>、</w:t>
      </w:r>
      <w:r w:rsidRPr="0061644B">
        <w:rPr>
          <w:kern w:val="0"/>
          <w:sz w:val="24"/>
        </w:rPr>
        <w:t>报告截止日</w:t>
      </w:r>
      <w:r w:rsidRPr="0061644B">
        <w:rPr>
          <w:kern w:val="0"/>
          <w:sz w:val="24"/>
        </w:rPr>
        <w:t>2018</w:t>
      </w:r>
      <w:r w:rsidRPr="0061644B">
        <w:rPr>
          <w:kern w:val="0"/>
          <w:sz w:val="24"/>
        </w:rPr>
        <w:t>年</w:t>
      </w:r>
      <w:r w:rsidRPr="0061644B">
        <w:rPr>
          <w:kern w:val="0"/>
          <w:sz w:val="24"/>
        </w:rPr>
        <w:t>6</w:t>
      </w:r>
      <w:r w:rsidRPr="0061644B">
        <w:rPr>
          <w:kern w:val="0"/>
          <w:sz w:val="24"/>
        </w:rPr>
        <w:t>月</w:t>
      </w:r>
      <w:r w:rsidRPr="0061644B">
        <w:rPr>
          <w:kern w:val="0"/>
          <w:sz w:val="24"/>
        </w:rPr>
        <w:t>30</w:t>
      </w:r>
      <w:r w:rsidRPr="0061644B">
        <w:rPr>
          <w:kern w:val="0"/>
          <w:sz w:val="24"/>
        </w:rPr>
        <w:t>日，基金份额净值</w:t>
      </w:r>
      <w:r w:rsidRPr="0061644B">
        <w:rPr>
          <w:kern w:val="0"/>
          <w:sz w:val="24"/>
        </w:rPr>
        <w:t>1.000</w:t>
      </w:r>
      <w:r w:rsidRPr="0061644B">
        <w:rPr>
          <w:kern w:val="0"/>
          <w:sz w:val="24"/>
        </w:rPr>
        <w:t>元，基金份额总额</w:t>
      </w:r>
      <w:r w:rsidRPr="0061644B">
        <w:rPr>
          <w:kern w:val="0"/>
          <w:sz w:val="24"/>
        </w:rPr>
        <w:t>224,651,278.00</w:t>
      </w:r>
      <w:r w:rsidRPr="0061644B">
        <w:rPr>
          <w:kern w:val="0"/>
          <w:sz w:val="24"/>
        </w:rPr>
        <w:t>份。其中</w:t>
      </w:r>
      <w:r w:rsidRPr="0061644B">
        <w:rPr>
          <w:kern w:val="0"/>
          <w:sz w:val="24"/>
        </w:rPr>
        <w:t>A</w:t>
      </w:r>
      <w:r w:rsidRPr="0061644B">
        <w:rPr>
          <w:kern w:val="0"/>
          <w:sz w:val="24"/>
        </w:rPr>
        <w:t>类基金份额总额</w:t>
      </w:r>
      <w:r w:rsidRPr="0061644B">
        <w:rPr>
          <w:kern w:val="0"/>
          <w:sz w:val="24"/>
        </w:rPr>
        <w:t>12,545,180.67</w:t>
      </w:r>
      <w:r w:rsidRPr="0061644B">
        <w:rPr>
          <w:kern w:val="0"/>
          <w:sz w:val="24"/>
        </w:rPr>
        <w:t>份，</w:t>
      </w:r>
      <w:r w:rsidRPr="0061644B">
        <w:rPr>
          <w:kern w:val="0"/>
          <w:sz w:val="24"/>
        </w:rPr>
        <w:t>E</w:t>
      </w:r>
      <w:r w:rsidRPr="0061644B">
        <w:rPr>
          <w:kern w:val="0"/>
          <w:sz w:val="24"/>
        </w:rPr>
        <w:t>类基金份额总额</w:t>
      </w:r>
      <w:r w:rsidRPr="0061644B">
        <w:rPr>
          <w:kern w:val="0"/>
          <w:sz w:val="24"/>
        </w:rPr>
        <w:t>212,106,097.33</w:t>
      </w:r>
      <w:r w:rsidRPr="0061644B">
        <w:rPr>
          <w:kern w:val="0"/>
          <w:sz w:val="24"/>
        </w:rPr>
        <w:t>份。</w:t>
      </w:r>
    </w:p>
    <w:p w:rsidR="00633CCE" w:rsidRPr="0061644B" w:rsidRDefault="00EB609D" w:rsidP="00792A69">
      <w:pPr>
        <w:tabs>
          <w:tab w:val="left" w:pos="426"/>
        </w:tabs>
        <w:spacing w:before="29" w:line="288" w:lineRule="auto"/>
        <w:jc w:val="left"/>
        <w:rPr>
          <w:kern w:val="0"/>
          <w:sz w:val="24"/>
        </w:rPr>
      </w:pPr>
      <w:r w:rsidRPr="0061644B">
        <w:rPr>
          <w:kern w:val="0"/>
          <w:sz w:val="24"/>
        </w:rPr>
        <w:t xml:space="preserve">    2</w:t>
      </w:r>
      <w:r w:rsidRPr="0061644B">
        <w:rPr>
          <w:rFonts w:hint="eastAsia"/>
          <w:kern w:val="0"/>
          <w:sz w:val="24"/>
        </w:rPr>
        <w:t>、本摘要中资产负债表和利润表所列附注号为半年度报告正文中对应的附注号，投资者欲了解相应附注的内容，应阅读登载于基金管理人网站的半年度报告正文。</w:t>
      </w:r>
    </w:p>
    <w:p w:rsidR="00633CCE" w:rsidRPr="0061644B" w:rsidRDefault="00633CCE" w:rsidP="00792A69">
      <w:pPr>
        <w:spacing w:before="29" w:line="288" w:lineRule="auto"/>
        <w:rPr>
          <w:color w:val="000000"/>
          <w:kern w:val="0"/>
          <w:sz w:val="24"/>
        </w:rPr>
      </w:pPr>
    </w:p>
    <w:p w:rsidR="00633CCE" w:rsidRPr="0061644B" w:rsidRDefault="00633CCE" w:rsidP="00792A69">
      <w:pPr>
        <w:pStyle w:val="20"/>
        <w:spacing w:before="29" w:after="0" w:line="288" w:lineRule="auto"/>
        <w:rPr>
          <w:rFonts w:ascii="Times New Roman" w:hAnsi="Times New Roman" w:cs="Times New Roman"/>
          <w:kern w:val="0"/>
          <w:szCs w:val="24"/>
        </w:rPr>
      </w:pPr>
      <w:bookmarkStart w:id="9" w:name="_Toc225498269"/>
      <w:bookmarkStart w:id="10" w:name="_Toc374540562"/>
      <w:r w:rsidRPr="0061644B">
        <w:rPr>
          <w:rFonts w:ascii="Times New Roman" w:hAnsi="Times New Roman" w:cs="Times New Roman"/>
          <w:kern w:val="0"/>
          <w:szCs w:val="24"/>
        </w:rPr>
        <w:t xml:space="preserve">6.2 </w:t>
      </w:r>
      <w:r w:rsidRPr="0061644B">
        <w:rPr>
          <w:rFonts w:ascii="Times New Roman" w:hAnsi="Times New Roman" w:cs="Times New Roman"/>
          <w:kern w:val="0"/>
          <w:szCs w:val="24"/>
        </w:rPr>
        <w:t>利润表</w:t>
      </w:r>
      <w:bookmarkEnd w:id="9"/>
      <w:bookmarkEnd w:id="10"/>
    </w:p>
    <w:p w:rsidR="00633CCE" w:rsidRPr="0061644B" w:rsidRDefault="00633CCE" w:rsidP="00792A69">
      <w:pPr>
        <w:spacing w:before="29" w:line="288" w:lineRule="auto"/>
        <w:rPr>
          <w:kern w:val="0"/>
          <w:sz w:val="24"/>
        </w:rPr>
      </w:pPr>
      <w:r w:rsidRPr="0061644B">
        <w:rPr>
          <w:color w:val="000000"/>
          <w:sz w:val="24"/>
        </w:rPr>
        <w:t>会计主体：</w:t>
      </w:r>
      <w:r w:rsidRPr="0061644B">
        <w:rPr>
          <w:kern w:val="0"/>
          <w:sz w:val="24"/>
        </w:rPr>
        <w:t>交银施罗德天运宝货币市场基金</w:t>
      </w:r>
    </w:p>
    <w:p w:rsidR="00633CCE" w:rsidRPr="0061644B" w:rsidRDefault="00633CCE" w:rsidP="00792A69">
      <w:pPr>
        <w:spacing w:before="29" w:line="288" w:lineRule="auto"/>
        <w:rPr>
          <w:color w:val="000000"/>
          <w:kern w:val="0"/>
          <w:sz w:val="24"/>
        </w:rPr>
      </w:pPr>
      <w:r w:rsidRPr="0061644B">
        <w:rPr>
          <w:color w:val="000000"/>
          <w:sz w:val="24"/>
        </w:rPr>
        <w:t>本报告期：</w:t>
      </w:r>
      <w:r w:rsidRPr="0061644B">
        <w:rPr>
          <w:kern w:val="0"/>
          <w:sz w:val="24"/>
        </w:rPr>
        <w:t>2018</w:t>
      </w:r>
      <w:r w:rsidRPr="0061644B">
        <w:rPr>
          <w:kern w:val="0"/>
          <w:sz w:val="24"/>
        </w:rPr>
        <w:t>年</w:t>
      </w:r>
      <w:r w:rsidRPr="0061644B">
        <w:rPr>
          <w:kern w:val="0"/>
          <w:sz w:val="24"/>
        </w:rPr>
        <w:t>1</w:t>
      </w:r>
      <w:r w:rsidRPr="0061644B">
        <w:rPr>
          <w:kern w:val="0"/>
          <w:sz w:val="24"/>
        </w:rPr>
        <w:t>月</w:t>
      </w:r>
      <w:r w:rsidRPr="0061644B">
        <w:rPr>
          <w:kern w:val="0"/>
          <w:sz w:val="24"/>
        </w:rPr>
        <w:t>1</w:t>
      </w:r>
      <w:r w:rsidRPr="0061644B">
        <w:rPr>
          <w:kern w:val="0"/>
          <w:sz w:val="24"/>
        </w:rPr>
        <w:t>日至</w:t>
      </w:r>
      <w:r w:rsidRPr="0061644B">
        <w:rPr>
          <w:kern w:val="0"/>
          <w:sz w:val="24"/>
        </w:rPr>
        <w:t>2018</w:t>
      </w:r>
      <w:r w:rsidRPr="0061644B">
        <w:rPr>
          <w:kern w:val="0"/>
          <w:sz w:val="24"/>
        </w:rPr>
        <w:t>年</w:t>
      </w:r>
      <w:r w:rsidRPr="0061644B">
        <w:rPr>
          <w:kern w:val="0"/>
          <w:sz w:val="24"/>
        </w:rPr>
        <w:t>6</w:t>
      </w:r>
      <w:r w:rsidRPr="0061644B">
        <w:rPr>
          <w:kern w:val="0"/>
          <w:sz w:val="24"/>
        </w:rPr>
        <w:t>月</w:t>
      </w:r>
      <w:r w:rsidRPr="0061644B">
        <w:rPr>
          <w:kern w:val="0"/>
          <w:sz w:val="24"/>
        </w:rPr>
        <w:t>30</w:t>
      </w:r>
      <w:r w:rsidRPr="0061644B">
        <w:rPr>
          <w:kern w:val="0"/>
          <w:sz w:val="24"/>
        </w:rPr>
        <w:t>日</w:t>
      </w:r>
    </w:p>
    <w:p w:rsidR="00633CCE" w:rsidRPr="0061644B" w:rsidRDefault="00633CCE" w:rsidP="00792A69">
      <w:pPr>
        <w:autoSpaceDE w:val="0"/>
        <w:autoSpaceDN w:val="0"/>
        <w:adjustRightInd w:val="0"/>
        <w:spacing w:before="29" w:line="288" w:lineRule="auto"/>
        <w:ind w:left="15"/>
        <w:jc w:val="right"/>
        <w:rPr>
          <w:color w:val="000000"/>
          <w:kern w:val="0"/>
          <w:sz w:val="24"/>
        </w:rPr>
      </w:pPr>
      <w:r w:rsidRPr="0061644B">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1276"/>
        <w:gridCol w:w="4322"/>
      </w:tblGrid>
      <w:tr w:rsidR="00754223" w:rsidRPr="0061644B" w:rsidTr="00754223">
        <w:tc>
          <w:tcPr>
            <w:tcW w:w="3402" w:type="dxa"/>
            <w:vAlign w:val="center"/>
          </w:tcPr>
          <w:p w:rsidR="00633CCE" w:rsidRPr="0061644B" w:rsidRDefault="00633CCE" w:rsidP="00792A69">
            <w:pPr>
              <w:pStyle w:val="af6"/>
              <w:spacing w:before="29" w:beforeAutospacing="0" w:line="288" w:lineRule="auto"/>
              <w:jc w:val="center"/>
              <w:rPr>
                <w:rFonts w:ascii="Times New Roman" w:hAnsi="Times New Roman"/>
                <w:b/>
                <w:color w:val="000000"/>
              </w:rPr>
            </w:pPr>
            <w:r w:rsidRPr="0061644B">
              <w:rPr>
                <w:rFonts w:ascii="Times New Roman" w:hAnsi="Times New Roman"/>
                <w:b/>
                <w:color w:val="000000"/>
              </w:rPr>
              <w:t>项目</w:t>
            </w:r>
          </w:p>
        </w:tc>
        <w:tc>
          <w:tcPr>
            <w:tcW w:w="1276" w:type="dxa"/>
            <w:vAlign w:val="center"/>
          </w:tcPr>
          <w:p w:rsidR="00633CCE" w:rsidRPr="0061644B" w:rsidRDefault="00633CCE" w:rsidP="00792A69">
            <w:pPr>
              <w:pStyle w:val="af6"/>
              <w:spacing w:before="29" w:beforeAutospacing="0" w:after="0" w:afterAutospacing="0" w:line="288" w:lineRule="auto"/>
              <w:jc w:val="center"/>
              <w:rPr>
                <w:rFonts w:ascii="Times New Roman" w:hAnsi="Times New Roman"/>
                <w:b/>
                <w:color w:val="000000"/>
              </w:rPr>
            </w:pPr>
            <w:r w:rsidRPr="0061644B">
              <w:rPr>
                <w:rFonts w:ascii="Times New Roman" w:hAnsi="Times New Roman"/>
                <w:b/>
                <w:color w:val="000000"/>
              </w:rPr>
              <w:t>附注号</w:t>
            </w:r>
          </w:p>
        </w:tc>
        <w:tc>
          <w:tcPr>
            <w:tcW w:w="4322" w:type="dxa"/>
            <w:vAlign w:val="center"/>
          </w:tcPr>
          <w:p w:rsidR="00633CCE" w:rsidRPr="0061644B" w:rsidRDefault="00633CCE" w:rsidP="00792A69">
            <w:pPr>
              <w:pStyle w:val="af6"/>
              <w:spacing w:before="29" w:beforeAutospacing="0" w:after="0" w:afterAutospacing="0" w:line="288" w:lineRule="auto"/>
              <w:jc w:val="center"/>
              <w:rPr>
                <w:rFonts w:ascii="Times New Roman" w:hAnsi="Times New Roman"/>
                <w:b/>
                <w:color w:val="000000"/>
              </w:rPr>
            </w:pPr>
            <w:r w:rsidRPr="0061644B">
              <w:rPr>
                <w:rFonts w:ascii="Times New Roman" w:hAnsi="Times New Roman"/>
                <w:b/>
                <w:color w:val="000000"/>
              </w:rPr>
              <w:t>本期</w:t>
            </w:r>
          </w:p>
          <w:p w:rsidR="00633CCE" w:rsidRPr="0061644B" w:rsidRDefault="00633CCE" w:rsidP="00792A69">
            <w:pPr>
              <w:pStyle w:val="af6"/>
              <w:spacing w:before="29" w:beforeAutospacing="0" w:after="0" w:afterAutospacing="0" w:line="288" w:lineRule="auto"/>
              <w:jc w:val="center"/>
              <w:rPr>
                <w:rFonts w:ascii="Times New Roman" w:hAnsi="Times New Roman"/>
                <w:b/>
                <w:color w:val="000000"/>
              </w:rPr>
            </w:pPr>
            <w:r w:rsidRPr="0061644B">
              <w:rPr>
                <w:rFonts w:ascii="Times New Roman" w:hAnsi="Times New Roman"/>
                <w:b/>
              </w:rPr>
              <w:t>2018</w:t>
            </w:r>
            <w:r w:rsidRPr="0061644B">
              <w:rPr>
                <w:rFonts w:ascii="Times New Roman" w:hAnsi="Times New Roman"/>
                <w:b/>
              </w:rPr>
              <w:t>年</w:t>
            </w:r>
            <w:r w:rsidRPr="0061644B">
              <w:rPr>
                <w:rFonts w:ascii="Times New Roman" w:hAnsi="Times New Roman"/>
                <w:b/>
              </w:rPr>
              <w:t>1</w:t>
            </w:r>
            <w:r w:rsidRPr="0061644B">
              <w:rPr>
                <w:rFonts w:ascii="Times New Roman" w:hAnsi="Times New Roman"/>
                <w:b/>
              </w:rPr>
              <w:t>月</w:t>
            </w:r>
            <w:r w:rsidRPr="0061644B">
              <w:rPr>
                <w:rFonts w:ascii="Times New Roman" w:hAnsi="Times New Roman"/>
                <w:b/>
              </w:rPr>
              <w:t>1</w:t>
            </w:r>
            <w:r w:rsidRPr="0061644B">
              <w:rPr>
                <w:rFonts w:ascii="Times New Roman" w:hAnsi="Times New Roman"/>
                <w:b/>
              </w:rPr>
              <w:t>日至</w:t>
            </w:r>
            <w:r w:rsidRPr="0061644B">
              <w:rPr>
                <w:rFonts w:ascii="Times New Roman" w:hAnsi="Times New Roman"/>
                <w:b/>
              </w:rPr>
              <w:t>2018</w:t>
            </w:r>
            <w:r w:rsidRPr="0061644B">
              <w:rPr>
                <w:rFonts w:ascii="Times New Roman" w:hAnsi="Times New Roman"/>
                <w:b/>
              </w:rPr>
              <w:t>年</w:t>
            </w:r>
            <w:r w:rsidRPr="0061644B">
              <w:rPr>
                <w:rFonts w:ascii="Times New Roman" w:hAnsi="Times New Roman"/>
                <w:b/>
              </w:rPr>
              <w:t>6</w:t>
            </w:r>
            <w:r w:rsidRPr="0061644B">
              <w:rPr>
                <w:rFonts w:ascii="Times New Roman" w:hAnsi="Times New Roman"/>
                <w:b/>
              </w:rPr>
              <w:t>月</w:t>
            </w:r>
            <w:r w:rsidRPr="0061644B">
              <w:rPr>
                <w:rFonts w:ascii="Times New Roman" w:hAnsi="Times New Roman"/>
                <w:b/>
              </w:rPr>
              <w:t>30</w:t>
            </w:r>
            <w:r w:rsidRPr="0061644B">
              <w:rPr>
                <w:rFonts w:ascii="Times New Roman" w:hAnsi="Times New Roman"/>
                <w:b/>
              </w:rPr>
              <w:t>日</w:t>
            </w:r>
          </w:p>
        </w:tc>
      </w:tr>
      <w:tr w:rsidR="00754223" w:rsidRPr="0061644B" w:rsidTr="00754223">
        <w:tc>
          <w:tcPr>
            <w:tcW w:w="3402" w:type="dxa"/>
            <w:vAlign w:val="center"/>
          </w:tcPr>
          <w:p w:rsidR="00633CCE" w:rsidRPr="0061644B" w:rsidRDefault="00633CCE" w:rsidP="00792A69">
            <w:pPr>
              <w:spacing w:before="29" w:line="288" w:lineRule="auto"/>
              <w:rPr>
                <w:b/>
                <w:color w:val="000000"/>
                <w:sz w:val="24"/>
              </w:rPr>
            </w:pPr>
            <w:r w:rsidRPr="0061644B">
              <w:rPr>
                <w:b/>
                <w:color w:val="000000"/>
                <w:sz w:val="24"/>
              </w:rPr>
              <w:t>一、收入</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4322" w:type="dxa"/>
            <w:vAlign w:val="center"/>
          </w:tcPr>
          <w:p w:rsidR="00633CCE" w:rsidRPr="0061644B" w:rsidRDefault="00633CCE" w:rsidP="00792A69">
            <w:pPr>
              <w:spacing w:before="29" w:line="288" w:lineRule="auto"/>
              <w:jc w:val="right"/>
              <w:rPr>
                <w:b/>
                <w:color w:val="000000"/>
                <w:sz w:val="24"/>
              </w:rPr>
            </w:pPr>
            <w:r w:rsidRPr="0061644B">
              <w:rPr>
                <w:b/>
                <w:color w:val="000000"/>
                <w:sz w:val="24"/>
              </w:rPr>
              <w:t>3,035,113.63</w:t>
            </w:r>
          </w:p>
        </w:tc>
      </w:tr>
      <w:tr w:rsidR="00754223" w:rsidRPr="0061644B" w:rsidTr="00754223">
        <w:tc>
          <w:tcPr>
            <w:tcW w:w="3402" w:type="dxa"/>
            <w:vAlign w:val="center"/>
          </w:tcPr>
          <w:p w:rsidR="00633CCE" w:rsidRPr="0061644B" w:rsidRDefault="00633CCE" w:rsidP="00792A69">
            <w:pPr>
              <w:spacing w:before="29" w:line="288" w:lineRule="auto"/>
              <w:rPr>
                <w:color w:val="000000"/>
                <w:sz w:val="24"/>
              </w:rPr>
            </w:pPr>
            <w:r w:rsidRPr="0061644B">
              <w:rPr>
                <w:color w:val="000000"/>
                <w:sz w:val="24"/>
              </w:rPr>
              <w:t>1.</w:t>
            </w:r>
            <w:r w:rsidRPr="0061644B">
              <w:rPr>
                <w:color w:val="000000"/>
                <w:sz w:val="24"/>
              </w:rPr>
              <w:t>利息收入</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4322" w:type="dxa"/>
            <w:vAlign w:val="center"/>
          </w:tcPr>
          <w:p w:rsidR="00633CCE" w:rsidRPr="0061644B" w:rsidRDefault="00633CCE" w:rsidP="00792A69">
            <w:pPr>
              <w:spacing w:before="29" w:line="288" w:lineRule="auto"/>
              <w:jc w:val="right"/>
              <w:rPr>
                <w:color w:val="000000"/>
                <w:sz w:val="24"/>
              </w:rPr>
            </w:pPr>
            <w:r w:rsidRPr="0061644B">
              <w:rPr>
                <w:color w:val="000000"/>
                <w:sz w:val="24"/>
              </w:rPr>
              <w:t>3,035,113.63</w:t>
            </w:r>
          </w:p>
        </w:tc>
      </w:tr>
      <w:tr w:rsidR="00754223" w:rsidRPr="0061644B" w:rsidTr="00754223">
        <w:tc>
          <w:tcPr>
            <w:tcW w:w="3402" w:type="dxa"/>
            <w:vAlign w:val="center"/>
          </w:tcPr>
          <w:p w:rsidR="00633CCE" w:rsidRPr="0061644B" w:rsidRDefault="00633CCE" w:rsidP="00792A69">
            <w:pPr>
              <w:spacing w:before="29" w:line="288" w:lineRule="auto"/>
              <w:rPr>
                <w:color w:val="000000"/>
                <w:sz w:val="24"/>
              </w:rPr>
            </w:pPr>
            <w:r w:rsidRPr="0061644B">
              <w:rPr>
                <w:color w:val="000000"/>
                <w:sz w:val="24"/>
              </w:rPr>
              <w:t>其中：存款利息收入</w:t>
            </w:r>
          </w:p>
        </w:tc>
        <w:tc>
          <w:tcPr>
            <w:tcW w:w="1276" w:type="dxa"/>
            <w:vAlign w:val="center"/>
          </w:tcPr>
          <w:p w:rsidR="00633CCE" w:rsidRPr="00CD10F1" w:rsidRDefault="00FD648B" w:rsidP="00792A69">
            <w:pPr>
              <w:pStyle w:val="af6"/>
              <w:spacing w:before="29" w:beforeAutospacing="0" w:line="288" w:lineRule="auto"/>
              <w:jc w:val="center"/>
              <w:rPr>
                <w:rFonts w:ascii="Times New Roman" w:hAnsi="Times New Roman"/>
                <w:color w:val="000000"/>
              </w:rPr>
            </w:pPr>
            <w:r w:rsidRPr="00CD10F1">
              <w:rPr>
                <w:rFonts w:ascii="Times New Roman" w:hAnsi="Times New Roman" w:hint="eastAsia"/>
                <w:color w:val="000000"/>
                <w:sz w:val="21"/>
                <w:szCs w:val="21"/>
              </w:rPr>
              <w:t>6.4.7.11</w:t>
            </w:r>
          </w:p>
        </w:tc>
        <w:tc>
          <w:tcPr>
            <w:tcW w:w="4322" w:type="dxa"/>
            <w:vAlign w:val="center"/>
          </w:tcPr>
          <w:p w:rsidR="00633CCE" w:rsidRPr="0061644B" w:rsidRDefault="00633CCE" w:rsidP="00792A69">
            <w:pPr>
              <w:spacing w:before="29" w:line="288" w:lineRule="auto"/>
              <w:jc w:val="right"/>
              <w:rPr>
                <w:color w:val="000000"/>
                <w:sz w:val="24"/>
              </w:rPr>
            </w:pPr>
            <w:r w:rsidRPr="0061644B">
              <w:rPr>
                <w:color w:val="000000"/>
                <w:sz w:val="24"/>
              </w:rPr>
              <w:t>1,427,046.60</w:t>
            </w:r>
          </w:p>
        </w:tc>
      </w:tr>
      <w:tr w:rsidR="00754223" w:rsidRPr="0061644B" w:rsidTr="00754223">
        <w:tc>
          <w:tcPr>
            <w:tcW w:w="3402" w:type="dxa"/>
            <w:vAlign w:val="center"/>
          </w:tcPr>
          <w:p w:rsidR="00633CCE" w:rsidRPr="0061644B" w:rsidRDefault="00633CCE" w:rsidP="00792A69">
            <w:pPr>
              <w:spacing w:before="29" w:line="288" w:lineRule="auto"/>
              <w:ind w:firstLineChars="250" w:firstLine="600"/>
              <w:rPr>
                <w:color w:val="000000"/>
                <w:sz w:val="24"/>
              </w:rPr>
            </w:pPr>
            <w:r w:rsidRPr="0061644B">
              <w:rPr>
                <w:color w:val="000000"/>
                <w:sz w:val="24"/>
              </w:rPr>
              <w:t>债券利息收入</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4322" w:type="dxa"/>
            <w:vAlign w:val="center"/>
          </w:tcPr>
          <w:p w:rsidR="00633CCE" w:rsidRPr="0061644B" w:rsidRDefault="00633CCE" w:rsidP="00792A69">
            <w:pPr>
              <w:spacing w:before="29" w:line="288" w:lineRule="auto"/>
              <w:jc w:val="right"/>
              <w:rPr>
                <w:color w:val="000000"/>
                <w:sz w:val="24"/>
              </w:rPr>
            </w:pPr>
            <w:r w:rsidRPr="0061644B">
              <w:rPr>
                <w:color w:val="000000"/>
                <w:sz w:val="24"/>
              </w:rPr>
              <w:t>975,594.23</w:t>
            </w:r>
          </w:p>
        </w:tc>
      </w:tr>
      <w:tr w:rsidR="00754223" w:rsidRPr="0061644B" w:rsidTr="00754223">
        <w:tc>
          <w:tcPr>
            <w:tcW w:w="3402" w:type="dxa"/>
            <w:vAlign w:val="center"/>
          </w:tcPr>
          <w:p w:rsidR="00633CCE" w:rsidRPr="0061644B" w:rsidRDefault="00633CCE" w:rsidP="00792A69">
            <w:pPr>
              <w:spacing w:before="29" w:line="288" w:lineRule="auto"/>
              <w:ind w:firstLineChars="250" w:firstLine="600"/>
              <w:rPr>
                <w:color w:val="000000"/>
                <w:sz w:val="24"/>
              </w:rPr>
            </w:pPr>
            <w:r w:rsidRPr="0061644B">
              <w:rPr>
                <w:color w:val="000000"/>
                <w:sz w:val="24"/>
              </w:rPr>
              <w:t>资产支持证券利息收入</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4322"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754223" w:rsidRPr="0061644B" w:rsidTr="00754223">
        <w:tc>
          <w:tcPr>
            <w:tcW w:w="3402" w:type="dxa"/>
            <w:vAlign w:val="center"/>
          </w:tcPr>
          <w:p w:rsidR="00633CCE" w:rsidRPr="0061644B" w:rsidRDefault="00633CCE" w:rsidP="00792A69">
            <w:pPr>
              <w:spacing w:before="29" w:line="288" w:lineRule="auto"/>
              <w:ind w:firstLineChars="250" w:firstLine="600"/>
              <w:rPr>
                <w:color w:val="000000"/>
                <w:sz w:val="24"/>
              </w:rPr>
            </w:pPr>
            <w:r w:rsidRPr="0061644B">
              <w:rPr>
                <w:color w:val="000000"/>
                <w:sz w:val="24"/>
              </w:rPr>
              <w:t>买入返售金融资产收入</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4322" w:type="dxa"/>
            <w:vAlign w:val="center"/>
          </w:tcPr>
          <w:p w:rsidR="00633CCE" w:rsidRPr="0061644B" w:rsidRDefault="00633CCE" w:rsidP="00792A69">
            <w:pPr>
              <w:spacing w:before="29" w:line="288" w:lineRule="auto"/>
              <w:jc w:val="right"/>
              <w:rPr>
                <w:color w:val="000000"/>
                <w:sz w:val="24"/>
              </w:rPr>
            </w:pPr>
            <w:r w:rsidRPr="0061644B">
              <w:rPr>
                <w:color w:val="000000"/>
                <w:sz w:val="24"/>
              </w:rPr>
              <w:t>632,472.80</w:t>
            </w:r>
          </w:p>
        </w:tc>
      </w:tr>
      <w:tr w:rsidR="00754223" w:rsidRPr="0061644B" w:rsidTr="00754223">
        <w:tc>
          <w:tcPr>
            <w:tcW w:w="3402" w:type="dxa"/>
            <w:vAlign w:val="center"/>
          </w:tcPr>
          <w:p w:rsidR="00633CCE" w:rsidRPr="0061644B" w:rsidRDefault="00633CCE" w:rsidP="00792A69">
            <w:pPr>
              <w:spacing w:before="29" w:line="288" w:lineRule="auto"/>
              <w:ind w:firstLineChars="250" w:firstLine="600"/>
              <w:rPr>
                <w:color w:val="000000"/>
                <w:sz w:val="24"/>
              </w:rPr>
            </w:pPr>
            <w:r w:rsidRPr="0061644B">
              <w:rPr>
                <w:color w:val="000000"/>
                <w:sz w:val="24"/>
              </w:rPr>
              <w:t>其他利息收入</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4322"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754223" w:rsidRPr="0061644B" w:rsidTr="00754223">
        <w:tc>
          <w:tcPr>
            <w:tcW w:w="3402" w:type="dxa"/>
            <w:vAlign w:val="center"/>
          </w:tcPr>
          <w:p w:rsidR="00633CCE" w:rsidRPr="0061644B" w:rsidRDefault="00633CCE" w:rsidP="00792A69">
            <w:pPr>
              <w:spacing w:before="29" w:line="288" w:lineRule="auto"/>
              <w:rPr>
                <w:color w:val="000000"/>
                <w:sz w:val="24"/>
              </w:rPr>
            </w:pPr>
            <w:r w:rsidRPr="0061644B">
              <w:rPr>
                <w:color w:val="000000"/>
                <w:sz w:val="24"/>
              </w:rPr>
              <w:t>2.</w:t>
            </w:r>
            <w:r w:rsidRPr="0061644B">
              <w:rPr>
                <w:color w:val="000000"/>
                <w:sz w:val="24"/>
              </w:rPr>
              <w:t>投资收益（损失以</w:t>
            </w:r>
            <w:r w:rsidRPr="0061644B">
              <w:rPr>
                <w:color w:val="000000"/>
                <w:sz w:val="24"/>
              </w:rPr>
              <w:t>“-”</w:t>
            </w:r>
            <w:r w:rsidRPr="0061644B">
              <w:rPr>
                <w:color w:val="000000"/>
                <w:sz w:val="24"/>
              </w:rPr>
              <w:t>填列）</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4322"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754223" w:rsidRPr="0061644B" w:rsidTr="00754223">
        <w:tc>
          <w:tcPr>
            <w:tcW w:w="3402" w:type="dxa"/>
            <w:vAlign w:val="center"/>
          </w:tcPr>
          <w:p w:rsidR="00633CCE" w:rsidRPr="0061644B" w:rsidRDefault="00633CCE" w:rsidP="00792A69">
            <w:pPr>
              <w:spacing w:before="29" w:line="288" w:lineRule="auto"/>
              <w:rPr>
                <w:color w:val="000000"/>
                <w:sz w:val="24"/>
              </w:rPr>
            </w:pPr>
            <w:r w:rsidRPr="0061644B">
              <w:rPr>
                <w:color w:val="000000"/>
                <w:sz w:val="24"/>
              </w:rPr>
              <w:t>其中：股票投资收益</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4322"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754223" w:rsidRPr="0061644B" w:rsidTr="00754223">
        <w:tc>
          <w:tcPr>
            <w:tcW w:w="3402" w:type="dxa"/>
            <w:vAlign w:val="center"/>
          </w:tcPr>
          <w:p w:rsidR="00633CCE" w:rsidRPr="0061644B" w:rsidRDefault="00633CCE" w:rsidP="00792A69">
            <w:pPr>
              <w:spacing w:before="29" w:line="288" w:lineRule="auto"/>
              <w:ind w:firstLineChars="300" w:firstLine="720"/>
              <w:rPr>
                <w:color w:val="000000"/>
                <w:sz w:val="24"/>
              </w:rPr>
            </w:pPr>
            <w:r w:rsidRPr="0061644B">
              <w:rPr>
                <w:color w:val="000000"/>
                <w:sz w:val="24"/>
              </w:rPr>
              <w:t>基金投资收益</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4322"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754223" w:rsidRPr="0061644B" w:rsidTr="00754223">
        <w:tc>
          <w:tcPr>
            <w:tcW w:w="3402" w:type="dxa"/>
            <w:vAlign w:val="center"/>
          </w:tcPr>
          <w:p w:rsidR="00633CCE" w:rsidRPr="0061644B" w:rsidRDefault="00633CCE" w:rsidP="00792A69">
            <w:pPr>
              <w:spacing w:before="29" w:line="288" w:lineRule="auto"/>
              <w:ind w:firstLineChars="300" w:firstLine="720"/>
              <w:rPr>
                <w:color w:val="000000"/>
                <w:sz w:val="24"/>
              </w:rPr>
            </w:pPr>
            <w:r w:rsidRPr="0061644B">
              <w:rPr>
                <w:color w:val="000000"/>
                <w:sz w:val="24"/>
              </w:rPr>
              <w:t>债券投资收益</w:t>
            </w:r>
          </w:p>
        </w:tc>
        <w:tc>
          <w:tcPr>
            <w:tcW w:w="1276" w:type="dxa"/>
            <w:vAlign w:val="center"/>
          </w:tcPr>
          <w:p w:rsidR="00633CCE" w:rsidRPr="00CD10F1" w:rsidRDefault="00FD648B" w:rsidP="00792A69">
            <w:pPr>
              <w:pStyle w:val="af6"/>
              <w:spacing w:before="29" w:beforeAutospacing="0" w:line="288" w:lineRule="auto"/>
              <w:jc w:val="center"/>
              <w:rPr>
                <w:rFonts w:ascii="Times New Roman" w:hAnsi="Times New Roman"/>
                <w:color w:val="000000"/>
              </w:rPr>
            </w:pPr>
            <w:r w:rsidRPr="00CD10F1">
              <w:rPr>
                <w:rFonts w:ascii="Times New Roman" w:hAnsi="Times New Roman" w:hint="eastAsia"/>
                <w:color w:val="000000"/>
                <w:sz w:val="21"/>
                <w:szCs w:val="21"/>
              </w:rPr>
              <w:t>6.4.7.12</w:t>
            </w:r>
          </w:p>
        </w:tc>
        <w:tc>
          <w:tcPr>
            <w:tcW w:w="4322"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754223" w:rsidRPr="0061644B" w:rsidTr="00754223">
        <w:tc>
          <w:tcPr>
            <w:tcW w:w="3402" w:type="dxa"/>
            <w:vAlign w:val="center"/>
          </w:tcPr>
          <w:p w:rsidR="00633CCE" w:rsidRPr="0061644B" w:rsidRDefault="00633CCE" w:rsidP="00792A69">
            <w:pPr>
              <w:spacing w:before="29" w:line="288" w:lineRule="auto"/>
              <w:ind w:firstLineChars="300" w:firstLine="720"/>
              <w:rPr>
                <w:color w:val="000000"/>
                <w:sz w:val="24"/>
              </w:rPr>
            </w:pPr>
            <w:r w:rsidRPr="0061644B">
              <w:rPr>
                <w:color w:val="000000"/>
                <w:sz w:val="24"/>
              </w:rPr>
              <w:t>资产支持证券投资收益</w:t>
            </w:r>
          </w:p>
        </w:tc>
        <w:tc>
          <w:tcPr>
            <w:tcW w:w="1276" w:type="dxa"/>
            <w:vAlign w:val="center"/>
          </w:tcPr>
          <w:p w:rsidR="00633CCE" w:rsidRPr="00CD10F1" w:rsidRDefault="00FD648B" w:rsidP="00792A69">
            <w:pPr>
              <w:pStyle w:val="af6"/>
              <w:spacing w:before="29" w:beforeAutospacing="0" w:line="288" w:lineRule="auto"/>
              <w:jc w:val="center"/>
              <w:rPr>
                <w:rFonts w:ascii="Times New Roman" w:hAnsi="Times New Roman"/>
                <w:color w:val="000000"/>
              </w:rPr>
            </w:pPr>
            <w:r w:rsidRPr="00CD10F1">
              <w:rPr>
                <w:rFonts w:ascii="Times New Roman" w:hAnsi="Times New Roman" w:hint="eastAsia"/>
                <w:color w:val="000000"/>
                <w:sz w:val="21"/>
                <w:szCs w:val="21"/>
              </w:rPr>
              <w:t>6.4.7.13</w:t>
            </w:r>
          </w:p>
        </w:tc>
        <w:tc>
          <w:tcPr>
            <w:tcW w:w="4322"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754223" w:rsidRPr="005E1AD8" w:rsidTr="00754223">
        <w:tblPrEx>
          <w:tblLook w:val="04A0" w:firstRow="1" w:lastRow="0" w:firstColumn="1" w:lastColumn="0" w:noHBand="0" w:noVBand="1"/>
        </w:tblPrEx>
        <w:tc>
          <w:tcPr>
            <w:tcW w:w="3402" w:type="dxa"/>
            <w:tcBorders>
              <w:top w:val="single" w:sz="4" w:space="0" w:color="000000"/>
              <w:left w:val="single" w:sz="4" w:space="0" w:color="000000"/>
              <w:bottom w:val="single" w:sz="4" w:space="0" w:color="000000"/>
              <w:right w:val="single" w:sz="4" w:space="0" w:color="000000"/>
            </w:tcBorders>
            <w:vAlign w:val="center"/>
            <w:hideMark/>
          </w:tcPr>
          <w:p w:rsidR="000D6D89" w:rsidRPr="00035D71" w:rsidRDefault="000D6D89" w:rsidP="00B258B8">
            <w:pPr>
              <w:spacing w:before="29" w:line="288" w:lineRule="auto"/>
              <w:ind w:firstLineChars="300" w:firstLine="720"/>
              <w:rPr>
                <w:color w:val="000000"/>
                <w:sz w:val="24"/>
              </w:rPr>
            </w:pPr>
            <w:r w:rsidRPr="00035D71">
              <w:rPr>
                <w:sz w:val="24"/>
              </w:rPr>
              <w:t>贵金属投资收益</w:t>
            </w:r>
          </w:p>
        </w:tc>
        <w:tc>
          <w:tcPr>
            <w:tcW w:w="1276" w:type="dxa"/>
            <w:tcBorders>
              <w:top w:val="single" w:sz="4" w:space="0" w:color="000000"/>
              <w:left w:val="single" w:sz="4" w:space="0" w:color="000000"/>
              <w:bottom w:val="single" w:sz="4" w:space="0" w:color="000000"/>
              <w:right w:val="single" w:sz="4" w:space="0" w:color="000000"/>
            </w:tcBorders>
            <w:vAlign w:val="center"/>
          </w:tcPr>
          <w:p w:rsidR="000D6D89" w:rsidRPr="00CD10F1" w:rsidRDefault="000D6D89" w:rsidP="00B258B8">
            <w:pPr>
              <w:pStyle w:val="af6"/>
              <w:spacing w:line="360" w:lineRule="auto"/>
              <w:jc w:val="center"/>
              <w:rPr>
                <w:rFonts w:ascii="Times New Roman" w:eastAsiaTheme="minorEastAsia" w:hAnsi="Times New Roman"/>
                <w:color w:val="000000"/>
                <w:sz w:val="21"/>
                <w:szCs w:val="21"/>
              </w:rPr>
            </w:pPr>
          </w:p>
        </w:tc>
        <w:tc>
          <w:tcPr>
            <w:tcW w:w="4322" w:type="dxa"/>
            <w:tcBorders>
              <w:top w:val="single" w:sz="4" w:space="0" w:color="000000"/>
              <w:left w:val="single" w:sz="4" w:space="0" w:color="000000"/>
              <w:bottom w:val="single" w:sz="4" w:space="0" w:color="000000"/>
              <w:right w:val="single" w:sz="4" w:space="0" w:color="000000"/>
            </w:tcBorders>
            <w:vAlign w:val="center"/>
            <w:hideMark/>
          </w:tcPr>
          <w:p w:rsidR="000D6D89" w:rsidRPr="00035D71" w:rsidRDefault="000D6D89" w:rsidP="00B258B8">
            <w:pPr>
              <w:spacing w:before="29" w:line="288" w:lineRule="auto"/>
              <w:jc w:val="right"/>
              <w:rPr>
                <w:rFonts w:eastAsiaTheme="minorEastAsia"/>
                <w:color w:val="000000"/>
                <w:sz w:val="24"/>
              </w:rPr>
            </w:pPr>
            <w:r w:rsidRPr="00035D71">
              <w:rPr>
                <w:rFonts w:eastAsiaTheme="minorEastAsia"/>
                <w:color w:val="000000"/>
                <w:sz w:val="24"/>
              </w:rPr>
              <w:t>-</w:t>
            </w:r>
          </w:p>
        </w:tc>
      </w:tr>
      <w:tr w:rsidR="00754223" w:rsidRPr="0061644B" w:rsidTr="00754223">
        <w:tc>
          <w:tcPr>
            <w:tcW w:w="3402" w:type="dxa"/>
            <w:vAlign w:val="center"/>
          </w:tcPr>
          <w:p w:rsidR="00633CCE" w:rsidRPr="0061644B" w:rsidRDefault="00633CCE" w:rsidP="00792A69">
            <w:pPr>
              <w:spacing w:before="29" w:line="288" w:lineRule="auto"/>
              <w:ind w:firstLineChars="300" w:firstLine="720"/>
              <w:rPr>
                <w:color w:val="000000"/>
                <w:sz w:val="24"/>
              </w:rPr>
            </w:pPr>
            <w:r w:rsidRPr="0061644B">
              <w:rPr>
                <w:color w:val="000000"/>
                <w:sz w:val="24"/>
              </w:rPr>
              <w:t>衍生工具收益</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4322"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754223" w:rsidRPr="0061644B" w:rsidTr="00754223">
        <w:tc>
          <w:tcPr>
            <w:tcW w:w="3402" w:type="dxa"/>
            <w:vAlign w:val="center"/>
          </w:tcPr>
          <w:p w:rsidR="00633CCE" w:rsidRPr="0061644B" w:rsidRDefault="00633CCE" w:rsidP="00792A69">
            <w:pPr>
              <w:spacing w:before="29" w:line="288" w:lineRule="auto"/>
              <w:ind w:firstLineChars="300" w:firstLine="720"/>
              <w:rPr>
                <w:color w:val="000000"/>
                <w:sz w:val="24"/>
              </w:rPr>
            </w:pPr>
            <w:r w:rsidRPr="0061644B">
              <w:rPr>
                <w:color w:val="000000"/>
                <w:sz w:val="24"/>
              </w:rPr>
              <w:t>股利收益</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4322"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754223" w:rsidRPr="0061644B" w:rsidTr="00754223">
        <w:tc>
          <w:tcPr>
            <w:tcW w:w="3402" w:type="dxa"/>
            <w:vAlign w:val="center"/>
          </w:tcPr>
          <w:p w:rsidR="00633CCE" w:rsidRPr="0061644B" w:rsidRDefault="00633CCE" w:rsidP="00792A69">
            <w:pPr>
              <w:spacing w:before="29" w:line="288" w:lineRule="auto"/>
              <w:rPr>
                <w:color w:val="000000"/>
                <w:sz w:val="24"/>
              </w:rPr>
            </w:pPr>
            <w:r w:rsidRPr="0061644B">
              <w:rPr>
                <w:color w:val="000000"/>
                <w:sz w:val="24"/>
              </w:rPr>
              <w:t>3.</w:t>
            </w:r>
            <w:r w:rsidRPr="0061644B">
              <w:rPr>
                <w:color w:val="000000"/>
                <w:sz w:val="24"/>
              </w:rPr>
              <w:t>公允价值变动收益（损失以</w:t>
            </w:r>
            <w:r w:rsidRPr="0061644B">
              <w:rPr>
                <w:color w:val="000000"/>
                <w:sz w:val="24"/>
              </w:rPr>
              <w:t>“-”</w:t>
            </w:r>
            <w:r w:rsidRPr="0061644B">
              <w:rPr>
                <w:color w:val="000000"/>
                <w:sz w:val="24"/>
              </w:rPr>
              <w:t>号填列）</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4322"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754223" w:rsidRPr="0061644B" w:rsidTr="00754223">
        <w:tc>
          <w:tcPr>
            <w:tcW w:w="3402" w:type="dxa"/>
            <w:vAlign w:val="center"/>
          </w:tcPr>
          <w:p w:rsidR="00633CCE" w:rsidRPr="0061644B" w:rsidRDefault="00633CCE" w:rsidP="00792A69">
            <w:pPr>
              <w:pStyle w:val="af6"/>
              <w:spacing w:before="29" w:beforeAutospacing="0" w:line="288" w:lineRule="auto"/>
              <w:rPr>
                <w:rFonts w:ascii="Times New Roman" w:hAnsi="Times New Roman"/>
                <w:color w:val="000000"/>
              </w:rPr>
            </w:pPr>
            <w:r w:rsidRPr="0061644B">
              <w:rPr>
                <w:rFonts w:ascii="Times New Roman" w:hAnsi="Times New Roman"/>
                <w:color w:val="000000"/>
              </w:rPr>
              <w:t>4.</w:t>
            </w:r>
            <w:r w:rsidRPr="0061644B">
              <w:rPr>
                <w:rFonts w:ascii="Times New Roman" w:hAnsi="Times New Roman"/>
                <w:color w:val="000000"/>
              </w:rPr>
              <w:t>汇兑收益（损失以</w:t>
            </w:r>
            <w:r w:rsidR="00837715" w:rsidRPr="00DB6972">
              <w:rPr>
                <w:rFonts w:ascii="Times New Roman" w:hAnsi="Times New Roman"/>
                <w:color w:val="000000"/>
                <w:kern w:val="2"/>
              </w:rPr>
              <w:t>“-”</w:t>
            </w:r>
            <w:r w:rsidRPr="0061644B">
              <w:rPr>
                <w:rFonts w:ascii="Times New Roman" w:hAnsi="Times New Roman"/>
                <w:color w:val="000000"/>
              </w:rPr>
              <w:t>号填列）</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4322"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754223" w:rsidRPr="0061644B" w:rsidTr="00754223">
        <w:tc>
          <w:tcPr>
            <w:tcW w:w="3402" w:type="dxa"/>
            <w:vAlign w:val="center"/>
          </w:tcPr>
          <w:p w:rsidR="00633CCE" w:rsidRPr="0061644B" w:rsidRDefault="00633CCE" w:rsidP="00792A69">
            <w:pPr>
              <w:spacing w:before="29" w:line="288" w:lineRule="auto"/>
              <w:rPr>
                <w:color w:val="000000"/>
                <w:sz w:val="24"/>
              </w:rPr>
            </w:pPr>
            <w:r w:rsidRPr="0061644B">
              <w:rPr>
                <w:color w:val="000000"/>
                <w:sz w:val="24"/>
              </w:rPr>
              <w:lastRenderedPageBreak/>
              <w:t>5.</w:t>
            </w:r>
            <w:r w:rsidRPr="0061644B">
              <w:rPr>
                <w:color w:val="000000"/>
                <w:sz w:val="24"/>
              </w:rPr>
              <w:t>其他收入（损失以</w:t>
            </w:r>
            <w:r w:rsidRPr="0061644B">
              <w:rPr>
                <w:color w:val="000000"/>
                <w:sz w:val="24"/>
              </w:rPr>
              <w:t>“-”</w:t>
            </w:r>
            <w:r w:rsidRPr="0061644B">
              <w:rPr>
                <w:color w:val="000000"/>
                <w:sz w:val="24"/>
              </w:rPr>
              <w:t>号填列）</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r>
              <w:t>6.4.7.14</w:t>
            </w:r>
          </w:p>
        </w:tc>
        <w:tc>
          <w:tcPr>
            <w:tcW w:w="4322"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754223" w:rsidRPr="0061644B" w:rsidTr="00754223">
        <w:tc>
          <w:tcPr>
            <w:tcW w:w="3402" w:type="dxa"/>
            <w:vAlign w:val="center"/>
          </w:tcPr>
          <w:p w:rsidR="00633CCE" w:rsidRPr="0061644B" w:rsidRDefault="00633CCE" w:rsidP="00792A69">
            <w:pPr>
              <w:spacing w:before="29" w:line="288" w:lineRule="auto"/>
              <w:rPr>
                <w:b/>
                <w:color w:val="000000"/>
                <w:sz w:val="24"/>
              </w:rPr>
            </w:pPr>
            <w:r w:rsidRPr="0061644B">
              <w:rPr>
                <w:b/>
                <w:color w:val="000000"/>
                <w:sz w:val="24"/>
              </w:rPr>
              <w:t>减：二、费用</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4322" w:type="dxa"/>
            <w:vAlign w:val="center"/>
          </w:tcPr>
          <w:p w:rsidR="00633CCE" w:rsidRPr="0061644B" w:rsidRDefault="00633CCE" w:rsidP="00792A69">
            <w:pPr>
              <w:spacing w:before="29" w:line="288" w:lineRule="auto"/>
              <w:jc w:val="right"/>
              <w:rPr>
                <w:b/>
                <w:color w:val="000000"/>
                <w:sz w:val="24"/>
              </w:rPr>
            </w:pPr>
            <w:r w:rsidRPr="0061644B">
              <w:rPr>
                <w:b/>
                <w:color w:val="000000"/>
                <w:sz w:val="24"/>
              </w:rPr>
              <w:t>461,830.77</w:t>
            </w:r>
          </w:p>
        </w:tc>
      </w:tr>
      <w:tr w:rsidR="00754223" w:rsidRPr="0061644B" w:rsidTr="00754223">
        <w:tc>
          <w:tcPr>
            <w:tcW w:w="3402" w:type="dxa"/>
            <w:vAlign w:val="center"/>
          </w:tcPr>
          <w:p w:rsidR="00633CCE" w:rsidRPr="0061644B" w:rsidRDefault="00633CCE" w:rsidP="00792A69">
            <w:pPr>
              <w:spacing w:before="29" w:line="288" w:lineRule="auto"/>
              <w:rPr>
                <w:color w:val="000000"/>
                <w:sz w:val="24"/>
              </w:rPr>
            </w:pPr>
            <w:r w:rsidRPr="0061644B">
              <w:rPr>
                <w:color w:val="000000"/>
                <w:sz w:val="24"/>
              </w:rPr>
              <w:t>1</w:t>
            </w:r>
            <w:r w:rsidRPr="0061644B">
              <w:rPr>
                <w:color w:val="000000"/>
                <w:sz w:val="24"/>
              </w:rPr>
              <w:t>．管理人报酬</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4322" w:type="dxa"/>
            <w:vAlign w:val="center"/>
          </w:tcPr>
          <w:p w:rsidR="00633CCE" w:rsidRPr="0061644B" w:rsidRDefault="00633CCE" w:rsidP="00792A69">
            <w:pPr>
              <w:spacing w:before="29" w:line="288" w:lineRule="auto"/>
              <w:jc w:val="right"/>
              <w:rPr>
                <w:color w:val="000000"/>
                <w:sz w:val="24"/>
              </w:rPr>
            </w:pPr>
            <w:r w:rsidRPr="0061644B">
              <w:rPr>
                <w:color w:val="000000"/>
                <w:sz w:val="24"/>
              </w:rPr>
              <w:t>103,198.21</w:t>
            </w:r>
          </w:p>
        </w:tc>
      </w:tr>
      <w:tr w:rsidR="00754223" w:rsidRPr="0061644B" w:rsidTr="00754223">
        <w:tc>
          <w:tcPr>
            <w:tcW w:w="3402" w:type="dxa"/>
            <w:vAlign w:val="center"/>
          </w:tcPr>
          <w:p w:rsidR="00633CCE" w:rsidRPr="0061644B" w:rsidRDefault="00633CCE" w:rsidP="00792A69">
            <w:pPr>
              <w:spacing w:before="29" w:line="288" w:lineRule="auto"/>
              <w:rPr>
                <w:color w:val="000000"/>
                <w:sz w:val="24"/>
              </w:rPr>
            </w:pPr>
            <w:r w:rsidRPr="0061644B">
              <w:rPr>
                <w:color w:val="000000"/>
                <w:sz w:val="24"/>
              </w:rPr>
              <w:t>2</w:t>
            </w:r>
            <w:r w:rsidRPr="0061644B">
              <w:rPr>
                <w:color w:val="000000"/>
                <w:sz w:val="24"/>
              </w:rPr>
              <w:t>．托管费</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4322" w:type="dxa"/>
            <w:vAlign w:val="center"/>
          </w:tcPr>
          <w:p w:rsidR="00633CCE" w:rsidRPr="0061644B" w:rsidRDefault="00633CCE" w:rsidP="00792A69">
            <w:pPr>
              <w:spacing w:before="29" w:line="288" w:lineRule="auto"/>
              <w:jc w:val="right"/>
              <w:rPr>
                <w:color w:val="000000"/>
                <w:sz w:val="24"/>
              </w:rPr>
            </w:pPr>
            <w:r w:rsidRPr="0061644B">
              <w:rPr>
                <w:color w:val="000000"/>
                <w:sz w:val="24"/>
              </w:rPr>
              <w:t>34,399.44</w:t>
            </w:r>
          </w:p>
        </w:tc>
      </w:tr>
      <w:tr w:rsidR="00754223" w:rsidRPr="0061644B" w:rsidTr="00754223">
        <w:tc>
          <w:tcPr>
            <w:tcW w:w="3402" w:type="dxa"/>
            <w:vAlign w:val="center"/>
          </w:tcPr>
          <w:p w:rsidR="00633CCE" w:rsidRPr="0061644B" w:rsidRDefault="00633CCE" w:rsidP="00792A69">
            <w:pPr>
              <w:spacing w:before="29" w:line="288" w:lineRule="auto"/>
              <w:rPr>
                <w:color w:val="000000"/>
                <w:sz w:val="24"/>
              </w:rPr>
            </w:pPr>
            <w:r w:rsidRPr="0061644B">
              <w:rPr>
                <w:color w:val="000000"/>
                <w:sz w:val="24"/>
              </w:rPr>
              <w:t>3</w:t>
            </w:r>
            <w:r w:rsidRPr="0061644B">
              <w:rPr>
                <w:color w:val="000000"/>
                <w:sz w:val="24"/>
              </w:rPr>
              <w:t>．销售服务费</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4322" w:type="dxa"/>
            <w:vAlign w:val="center"/>
          </w:tcPr>
          <w:p w:rsidR="00633CCE" w:rsidRPr="0061644B" w:rsidRDefault="00633CCE" w:rsidP="00792A69">
            <w:pPr>
              <w:spacing w:before="29" w:line="288" w:lineRule="auto"/>
              <w:jc w:val="right"/>
              <w:rPr>
                <w:color w:val="000000"/>
                <w:sz w:val="24"/>
              </w:rPr>
            </w:pPr>
            <w:r w:rsidRPr="0061644B">
              <w:rPr>
                <w:color w:val="000000"/>
                <w:sz w:val="24"/>
              </w:rPr>
              <w:t>9,197.19</w:t>
            </w:r>
          </w:p>
        </w:tc>
      </w:tr>
      <w:tr w:rsidR="00754223" w:rsidRPr="0061644B" w:rsidTr="00754223">
        <w:tc>
          <w:tcPr>
            <w:tcW w:w="3402" w:type="dxa"/>
            <w:vAlign w:val="center"/>
          </w:tcPr>
          <w:p w:rsidR="00633CCE" w:rsidRPr="0061644B" w:rsidRDefault="00633CCE" w:rsidP="00792A69">
            <w:pPr>
              <w:spacing w:before="29" w:line="288" w:lineRule="auto"/>
              <w:rPr>
                <w:color w:val="000000"/>
                <w:sz w:val="24"/>
              </w:rPr>
            </w:pPr>
            <w:r w:rsidRPr="0061644B">
              <w:rPr>
                <w:color w:val="000000"/>
                <w:sz w:val="24"/>
              </w:rPr>
              <w:t>4</w:t>
            </w:r>
            <w:r w:rsidRPr="0061644B">
              <w:rPr>
                <w:color w:val="000000"/>
                <w:sz w:val="24"/>
              </w:rPr>
              <w:t>．交易费用</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4322"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754223" w:rsidRPr="0061644B" w:rsidTr="00754223">
        <w:tc>
          <w:tcPr>
            <w:tcW w:w="3402" w:type="dxa"/>
            <w:vAlign w:val="center"/>
          </w:tcPr>
          <w:p w:rsidR="00633CCE" w:rsidRPr="0061644B" w:rsidRDefault="00633CCE" w:rsidP="00792A69">
            <w:pPr>
              <w:spacing w:before="29" w:line="288" w:lineRule="auto"/>
              <w:rPr>
                <w:color w:val="000000"/>
                <w:sz w:val="24"/>
              </w:rPr>
            </w:pPr>
            <w:r w:rsidRPr="0061644B">
              <w:rPr>
                <w:color w:val="000000"/>
                <w:sz w:val="24"/>
              </w:rPr>
              <w:t>5</w:t>
            </w:r>
            <w:r w:rsidRPr="0061644B">
              <w:rPr>
                <w:color w:val="000000"/>
                <w:sz w:val="24"/>
              </w:rPr>
              <w:t>．利息支出</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4322" w:type="dxa"/>
            <w:vAlign w:val="center"/>
          </w:tcPr>
          <w:p w:rsidR="00633CCE" w:rsidRPr="0061644B" w:rsidRDefault="00633CCE" w:rsidP="00792A69">
            <w:pPr>
              <w:spacing w:before="29" w:line="288" w:lineRule="auto"/>
              <w:jc w:val="right"/>
              <w:rPr>
                <w:color w:val="000000"/>
                <w:sz w:val="24"/>
              </w:rPr>
            </w:pPr>
            <w:r w:rsidRPr="0061644B">
              <w:rPr>
                <w:color w:val="000000"/>
                <w:sz w:val="24"/>
              </w:rPr>
              <w:t>172,070.22</w:t>
            </w:r>
          </w:p>
        </w:tc>
      </w:tr>
      <w:tr w:rsidR="00754223" w:rsidRPr="0061644B" w:rsidTr="00754223">
        <w:tc>
          <w:tcPr>
            <w:tcW w:w="3402" w:type="dxa"/>
            <w:vAlign w:val="center"/>
          </w:tcPr>
          <w:p w:rsidR="00633CCE" w:rsidRPr="0061644B" w:rsidRDefault="00633CCE" w:rsidP="00792A69">
            <w:pPr>
              <w:spacing w:before="29" w:line="288" w:lineRule="auto"/>
              <w:rPr>
                <w:color w:val="000000"/>
                <w:sz w:val="24"/>
              </w:rPr>
            </w:pPr>
            <w:r w:rsidRPr="0061644B">
              <w:rPr>
                <w:color w:val="000000"/>
                <w:sz w:val="24"/>
              </w:rPr>
              <w:t>其中：卖出回购金融资产支出</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4322" w:type="dxa"/>
            <w:vAlign w:val="center"/>
          </w:tcPr>
          <w:p w:rsidR="00633CCE" w:rsidRPr="0061644B" w:rsidRDefault="00633CCE" w:rsidP="00792A69">
            <w:pPr>
              <w:spacing w:before="29" w:line="288" w:lineRule="auto"/>
              <w:jc w:val="right"/>
              <w:rPr>
                <w:color w:val="000000"/>
                <w:sz w:val="24"/>
              </w:rPr>
            </w:pPr>
            <w:r w:rsidRPr="0061644B">
              <w:rPr>
                <w:color w:val="000000"/>
                <w:sz w:val="24"/>
              </w:rPr>
              <w:t>172,070.22</w:t>
            </w:r>
          </w:p>
        </w:tc>
      </w:tr>
      <w:tr w:rsidR="00754223" w:rsidRPr="0061644B" w:rsidTr="00754223">
        <w:tc>
          <w:tcPr>
            <w:tcW w:w="3402" w:type="dxa"/>
            <w:vAlign w:val="center"/>
          </w:tcPr>
          <w:p w:rsidR="00B54CAD" w:rsidRPr="00690ED2" w:rsidRDefault="00B54CAD" w:rsidP="00B251C4">
            <w:pPr>
              <w:rPr>
                <w:rFonts w:eastAsiaTheme="minorEastAsia"/>
                <w:color w:val="000000"/>
                <w:szCs w:val="21"/>
              </w:rPr>
            </w:pPr>
            <w:r w:rsidRPr="00690ED2">
              <w:rPr>
                <w:rFonts w:eastAsiaTheme="minorEastAsia" w:hint="eastAsia"/>
                <w:color w:val="000000"/>
                <w:szCs w:val="21"/>
              </w:rPr>
              <w:t>6.</w:t>
            </w:r>
            <w:r w:rsidRPr="00690ED2">
              <w:rPr>
                <w:rFonts w:eastAsiaTheme="minorEastAsia" w:hint="eastAsia"/>
                <w:color w:val="000000"/>
                <w:szCs w:val="21"/>
              </w:rPr>
              <w:t>税金及附加</w:t>
            </w:r>
          </w:p>
        </w:tc>
        <w:tc>
          <w:tcPr>
            <w:tcW w:w="1276" w:type="dxa"/>
            <w:vAlign w:val="center"/>
          </w:tcPr>
          <w:p w:rsidR="00B54CAD" w:rsidRPr="00690ED2" w:rsidRDefault="00B54CAD" w:rsidP="00B251C4">
            <w:pPr>
              <w:pStyle w:val="af6"/>
              <w:jc w:val="center"/>
              <w:rPr>
                <w:rFonts w:ascii="Times New Roman" w:eastAsiaTheme="minorEastAsia" w:hAnsi="Times New Roman"/>
                <w:color w:val="000000"/>
                <w:sz w:val="21"/>
                <w:szCs w:val="21"/>
              </w:rPr>
            </w:pPr>
          </w:p>
        </w:tc>
        <w:tc>
          <w:tcPr>
            <w:tcW w:w="4322" w:type="dxa"/>
            <w:vAlign w:val="bottom"/>
          </w:tcPr>
          <w:p w:rsidR="00B54CAD" w:rsidRPr="00690ED2" w:rsidRDefault="00B54CAD" w:rsidP="00B251C4">
            <w:pPr>
              <w:jc w:val="right"/>
              <w:rPr>
                <w:rFonts w:eastAsiaTheme="minorEastAsia"/>
                <w:color w:val="000000"/>
                <w:szCs w:val="21"/>
              </w:rPr>
            </w:pPr>
            <w:r w:rsidRPr="00690ED2">
              <w:rPr>
                <w:rFonts w:eastAsiaTheme="minorEastAsia"/>
                <w:color w:val="000000"/>
                <w:szCs w:val="21"/>
              </w:rPr>
              <w:t>2,674.34</w:t>
            </w:r>
          </w:p>
        </w:tc>
      </w:tr>
      <w:tr w:rsidR="00754223" w:rsidRPr="0061644B" w:rsidTr="00754223">
        <w:tc>
          <w:tcPr>
            <w:tcW w:w="3402" w:type="dxa"/>
            <w:vAlign w:val="center"/>
          </w:tcPr>
          <w:p w:rsidR="00B54CAD" w:rsidRPr="00690ED2" w:rsidRDefault="00B54CAD" w:rsidP="00B251C4">
            <w:pPr>
              <w:rPr>
                <w:rFonts w:eastAsiaTheme="minorEastAsia"/>
                <w:color w:val="000000"/>
                <w:szCs w:val="21"/>
              </w:rPr>
            </w:pPr>
            <w:r w:rsidRPr="00690ED2">
              <w:rPr>
                <w:rFonts w:eastAsiaTheme="minorEastAsia" w:hint="eastAsia"/>
                <w:color w:val="000000"/>
                <w:szCs w:val="21"/>
              </w:rPr>
              <w:t>7</w:t>
            </w:r>
            <w:r w:rsidRPr="00690ED2">
              <w:rPr>
                <w:rFonts w:eastAsiaTheme="minorEastAsia"/>
                <w:color w:val="000000"/>
                <w:szCs w:val="21"/>
              </w:rPr>
              <w:t>．其他费用</w:t>
            </w:r>
          </w:p>
        </w:tc>
        <w:tc>
          <w:tcPr>
            <w:tcW w:w="1276" w:type="dxa"/>
            <w:vAlign w:val="center"/>
          </w:tcPr>
          <w:p w:rsidR="00B54CAD" w:rsidRPr="00690ED2" w:rsidRDefault="00B54CAD" w:rsidP="00B251C4">
            <w:pPr>
              <w:pStyle w:val="af6"/>
              <w:jc w:val="center"/>
              <w:rPr>
                <w:rFonts w:ascii="Times New Roman" w:eastAsiaTheme="minorEastAsia" w:hAnsi="Times New Roman"/>
                <w:color w:val="000000"/>
                <w:sz w:val="21"/>
                <w:szCs w:val="21"/>
              </w:rPr>
            </w:pPr>
            <w:r w:rsidRPr="00690ED2">
              <w:rPr>
                <w:rFonts w:ascii="Times New Roman" w:eastAsiaTheme="minorEastAsia" w:hAnsi="Times New Roman"/>
                <w:color w:val="000000"/>
                <w:sz w:val="21"/>
                <w:szCs w:val="21"/>
              </w:rPr>
              <w:t>6.4.7.15</w:t>
            </w:r>
          </w:p>
        </w:tc>
        <w:tc>
          <w:tcPr>
            <w:tcW w:w="4322" w:type="dxa"/>
            <w:vAlign w:val="bottom"/>
          </w:tcPr>
          <w:p w:rsidR="00B54CAD" w:rsidRPr="00690ED2" w:rsidRDefault="00B54CAD" w:rsidP="00B251C4">
            <w:pPr>
              <w:jc w:val="right"/>
              <w:rPr>
                <w:rFonts w:eastAsiaTheme="minorEastAsia"/>
                <w:color w:val="000000"/>
                <w:szCs w:val="21"/>
              </w:rPr>
            </w:pPr>
            <w:r w:rsidRPr="00690ED2">
              <w:rPr>
                <w:rFonts w:eastAsiaTheme="minorEastAsia"/>
                <w:color w:val="000000"/>
                <w:szCs w:val="21"/>
              </w:rPr>
              <w:t>140,291.37</w:t>
            </w:r>
          </w:p>
        </w:tc>
      </w:tr>
      <w:tr w:rsidR="00754223" w:rsidRPr="0061644B" w:rsidTr="00754223">
        <w:tc>
          <w:tcPr>
            <w:tcW w:w="3402" w:type="dxa"/>
            <w:vAlign w:val="center"/>
          </w:tcPr>
          <w:p w:rsidR="00B54CAD" w:rsidRPr="0061644B" w:rsidRDefault="00B54CAD" w:rsidP="00792A69">
            <w:pPr>
              <w:spacing w:before="29" w:line="288" w:lineRule="auto"/>
              <w:rPr>
                <w:b/>
                <w:color w:val="000000"/>
                <w:sz w:val="24"/>
              </w:rPr>
            </w:pPr>
            <w:r w:rsidRPr="0061644B">
              <w:rPr>
                <w:b/>
                <w:color w:val="000000"/>
                <w:sz w:val="24"/>
              </w:rPr>
              <w:t>三、利润总额（亏损总额以</w:t>
            </w:r>
            <w:r w:rsidRPr="0061644B">
              <w:rPr>
                <w:b/>
                <w:color w:val="000000"/>
                <w:sz w:val="24"/>
              </w:rPr>
              <w:t>“-”</w:t>
            </w:r>
            <w:r w:rsidRPr="0061644B">
              <w:rPr>
                <w:b/>
                <w:color w:val="000000"/>
                <w:sz w:val="24"/>
              </w:rPr>
              <w:t>号填列）</w:t>
            </w:r>
          </w:p>
        </w:tc>
        <w:tc>
          <w:tcPr>
            <w:tcW w:w="1276" w:type="dxa"/>
            <w:vAlign w:val="center"/>
          </w:tcPr>
          <w:p w:rsidR="00B54CAD" w:rsidRPr="00CD10F1" w:rsidRDefault="00B54CAD" w:rsidP="00792A69">
            <w:pPr>
              <w:pStyle w:val="af6"/>
              <w:spacing w:before="29" w:beforeAutospacing="0" w:line="288" w:lineRule="auto"/>
              <w:jc w:val="center"/>
              <w:rPr>
                <w:rFonts w:ascii="Times New Roman" w:hAnsi="Times New Roman"/>
                <w:color w:val="000000"/>
              </w:rPr>
            </w:pPr>
          </w:p>
        </w:tc>
        <w:tc>
          <w:tcPr>
            <w:tcW w:w="4322" w:type="dxa"/>
            <w:vAlign w:val="center"/>
          </w:tcPr>
          <w:p w:rsidR="00B54CAD" w:rsidRPr="0061644B" w:rsidRDefault="00B54CAD" w:rsidP="00792A69">
            <w:pPr>
              <w:spacing w:before="29" w:line="288" w:lineRule="auto"/>
              <w:jc w:val="right"/>
              <w:rPr>
                <w:b/>
                <w:color w:val="000000"/>
                <w:sz w:val="24"/>
              </w:rPr>
            </w:pPr>
            <w:r w:rsidRPr="0061644B">
              <w:rPr>
                <w:b/>
                <w:color w:val="000000"/>
                <w:sz w:val="24"/>
              </w:rPr>
              <w:t>2,573,282.86</w:t>
            </w:r>
          </w:p>
        </w:tc>
      </w:tr>
      <w:tr w:rsidR="00754223" w:rsidRPr="0061644B" w:rsidTr="00754223">
        <w:tc>
          <w:tcPr>
            <w:tcW w:w="3402" w:type="dxa"/>
            <w:vAlign w:val="center"/>
          </w:tcPr>
          <w:p w:rsidR="00B54CAD" w:rsidRPr="0061644B" w:rsidRDefault="00B54CAD" w:rsidP="00792A69">
            <w:pPr>
              <w:spacing w:before="29" w:line="288" w:lineRule="auto"/>
              <w:rPr>
                <w:b/>
                <w:color w:val="000000"/>
                <w:sz w:val="24"/>
              </w:rPr>
            </w:pPr>
            <w:r w:rsidRPr="0061644B">
              <w:rPr>
                <w:sz w:val="24"/>
              </w:rPr>
              <w:t>减：所得税费用</w:t>
            </w:r>
          </w:p>
        </w:tc>
        <w:tc>
          <w:tcPr>
            <w:tcW w:w="1276" w:type="dxa"/>
            <w:vAlign w:val="center"/>
          </w:tcPr>
          <w:p w:rsidR="00B54CAD" w:rsidRPr="00CD10F1" w:rsidRDefault="00B54CAD" w:rsidP="00792A69">
            <w:pPr>
              <w:pStyle w:val="af6"/>
              <w:spacing w:before="29" w:beforeAutospacing="0" w:line="288" w:lineRule="auto"/>
              <w:jc w:val="center"/>
              <w:rPr>
                <w:rFonts w:ascii="Times New Roman" w:hAnsi="Times New Roman"/>
                <w:color w:val="000000"/>
              </w:rPr>
            </w:pPr>
          </w:p>
        </w:tc>
        <w:tc>
          <w:tcPr>
            <w:tcW w:w="4322" w:type="dxa"/>
            <w:vAlign w:val="center"/>
          </w:tcPr>
          <w:p w:rsidR="00B54CAD" w:rsidRPr="0061644B" w:rsidRDefault="00B54CAD" w:rsidP="00792A69">
            <w:pPr>
              <w:spacing w:before="29" w:line="288" w:lineRule="auto"/>
              <w:jc w:val="right"/>
              <w:rPr>
                <w:color w:val="000000"/>
                <w:sz w:val="24"/>
              </w:rPr>
            </w:pPr>
            <w:r w:rsidRPr="0061644B">
              <w:rPr>
                <w:color w:val="000000"/>
                <w:sz w:val="24"/>
              </w:rPr>
              <w:t>-</w:t>
            </w:r>
          </w:p>
        </w:tc>
      </w:tr>
      <w:tr w:rsidR="00754223" w:rsidRPr="0061644B" w:rsidTr="00754223">
        <w:tc>
          <w:tcPr>
            <w:tcW w:w="3402" w:type="dxa"/>
            <w:vAlign w:val="center"/>
          </w:tcPr>
          <w:p w:rsidR="00B54CAD" w:rsidRPr="0061644B" w:rsidRDefault="00B54CAD" w:rsidP="00792A69">
            <w:pPr>
              <w:spacing w:before="29" w:line="288" w:lineRule="auto"/>
              <w:rPr>
                <w:b/>
                <w:color w:val="000000"/>
                <w:sz w:val="24"/>
              </w:rPr>
            </w:pPr>
            <w:r w:rsidRPr="0061644B">
              <w:rPr>
                <w:b/>
                <w:color w:val="000000"/>
                <w:sz w:val="24"/>
              </w:rPr>
              <w:t>四、净利润（净亏损以</w:t>
            </w:r>
            <w:r w:rsidRPr="0061644B">
              <w:rPr>
                <w:b/>
                <w:color w:val="000000"/>
                <w:sz w:val="24"/>
              </w:rPr>
              <w:t>“-”</w:t>
            </w:r>
            <w:r w:rsidRPr="0061644B">
              <w:rPr>
                <w:b/>
                <w:color w:val="000000"/>
                <w:sz w:val="24"/>
              </w:rPr>
              <w:t>号填列）</w:t>
            </w:r>
          </w:p>
        </w:tc>
        <w:tc>
          <w:tcPr>
            <w:tcW w:w="1276" w:type="dxa"/>
            <w:vAlign w:val="center"/>
          </w:tcPr>
          <w:p w:rsidR="00B54CAD" w:rsidRPr="00CD10F1" w:rsidRDefault="00B54CAD" w:rsidP="00792A69">
            <w:pPr>
              <w:pStyle w:val="af6"/>
              <w:spacing w:before="29" w:beforeAutospacing="0" w:line="288" w:lineRule="auto"/>
              <w:jc w:val="center"/>
              <w:rPr>
                <w:rFonts w:ascii="Times New Roman" w:hAnsi="Times New Roman"/>
                <w:color w:val="000000"/>
              </w:rPr>
            </w:pPr>
          </w:p>
        </w:tc>
        <w:tc>
          <w:tcPr>
            <w:tcW w:w="4322" w:type="dxa"/>
            <w:vAlign w:val="center"/>
          </w:tcPr>
          <w:p w:rsidR="00B54CAD" w:rsidRPr="0061644B" w:rsidRDefault="00B54CAD" w:rsidP="00792A69">
            <w:pPr>
              <w:spacing w:before="29" w:line="288" w:lineRule="auto"/>
              <w:jc w:val="right"/>
              <w:rPr>
                <w:b/>
                <w:color w:val="000000"/>
                <w:sz w:val="24"/>
              </w:rPr>
            </w:pPr>
            <w:r w:rsidRPr="0061644B">
              <w:rPr>
                <w:b/>
                <w:color w:val="000000"/>
                <w:sz w:val="24"/>
              </w:rPr>
              <w:t>2,573,282.86</w:t>
            </w:r>
          </w:p>
        </w:tc>
      </w:tr>
    </w:tbl>
    <w:p w:rsidR="00223DFB" w:rsidRPr="0061644B" w:rsidRDefault="00223DFB" w:rsidP="00792A69">
      <w:pPr>
        <w:spacing w:before="29" w:line="288" w:lineRule="auto"/>
        <w:rPr>
          <w:sz w:val="24"/>
        </w:rPr>
      </w:pPr>
    </w:p>
    <w:p w:rsidR="00223DFB" w:rsidRPr="0061644B" w:rsidRDefault="00227D61"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6</w:t>
      </w:r>
      <w:r w:rsidR="00223DFB" w:rsidRPr="0061644B">
        <w:rPr>
          <w:rFonts w:ascii="Times New Roman" w:hAnsi="Times New Roman" w:cs="Times New Roman"/>
          <w:kern w:val="0"/>
          <w:szCs w:val="24"/>
        </w:rPr>
        <w:t xml:space="preserve">.3 </w:t>
      </w:r>
      <w:r w:rsidR="00223DFB" w:rsidRPr="0061644B">
        <w:rPr>
          <w:rFonts w:ascii="Times New Roman" w:hAnsi="Times New Roman" w:cs="Times New Roman"/>
          <w:kern w:val="0"/>
          <w:szCs w:val="24"/>
        </w:rPr>
        <w:t>所有者权益（基金净值）变动表</w:t>
      </w:r>
    </w:p>
    <w:p w:rsidR="00223DFB" w:rsidRPr="0061644B" w:rsidRDefault="00223DFB" w:rsidP="00792A69">
      <w:pPr>
        <w:spacing w:before="29" w:line="288" w:lineRule="auto"/>
        <w:rPr>
          <w:kern w:val="0"/>
          <w:sz w:val="24"/>
        </w:rPr>
      </w:pPr>
      <w:r w:rsidRPr="0061644B">
        <w:rPr>
          <w:sz w:val="24"/>
        </w:rPr>
        <w:t>会计主体：</w:t>
      </w:r>
      <w:r w:rsidRPr="0061644B">
        <w:rPr>
          <w:kern w:val="0"/>
          <w:sz w:val="24"/>
        </w:rPr>
        <w:t>交银施罗德天运宝货币市场基金</w:t>
      </w:r>
    </w:p>
    <w:p w:rsidR="00223DFB" w:rsidRPr="0061644B" w:rsidRDefault="00223DFB" w:rsidP="00792A69">
      <w:pPr>
        <w:spacing w:before="29" w:line="288" w:lineRule="auto"/>
        <w:rPr>
          <w:kern w:val="0"/>
          <w:sz w:val="24"/>
        </w:rPr>
      </w:pPr>
      <w:r w:rsidRPr="0061644B">
        <w:rPr>
          <w:sz w:val="24"/>
        </w:rPr>
        <w:t>本报告期：</w:t>
      </w:r>
      <w:r w:rsidRPr="0061644B">
        <w:rPr>
          <w:kern w:val="0"/>
          <w:sz w:val="24"/>
        </w:rPr>
        <w:t>2018</w:t>
      </w:r>
      <w:r w:rsidRPr="0061644B">
        <w:rPr>
          <w:kern w:val="0"/>
          <w:sz w:val="24"/>
        </w:rPr>
        <w:t>年</w:t>
      </w:r>
      <w:r w:rsidRPr="0061644B">
        <w:rPr>
          <w:kern w:val="0"/>
          <w:sz w:val="24"/>
        </w:rPr>
        <w:t>1</w:t>
      </w:r>
      <w:r w:rsidRPr="0061644B">
        <w:rPr>
          <w:kern w:val="0"/>
          <w:sz w:val="24"/>
        </w:rPr>
        <w:t>月</w:t>
      </w:r>
      <w:r w:rsidRPr="0061644B">
        <w:rPr>
          <w:kern w:val="0"/>
          <w:sz w:val="24"/>
        </w:rPr>
        <w:t>1</w:t>
      </w:r>
      <w:r w:rsidRPr="0061644B">
        <w:rPr>
          <w:kern w:val="0"/>
          <w:sz w:val="24"/>
        </w:rPr>
        <w:t>日至</w:t>
      </w:r>
      <w:r w:rsidRPr="0061644B">
        <w:rPr>
          <w:kern w:val="0"/>
          <w:sz w:val="24"/>
        </w:rPr>
        <w:t>2018</w:t>
      </w:r>
      <w:r w:rsidRPr="0061644B">
        <w:rPr>
          <w:kern w:val="0"/>
          <w:sz w:val="24"/>
        </w:rPr>
        <w:t>年</w:t>
      </w:r>
      <w:r w:rsidRPr="0061644B">
        <w:rPr>
          <w:kern w:val="0"/>
          <w:sz w:val="24"/>
        </w:rPr>
        <w:t>6</w:t>
      </w:r>
      <w:r w:rsidRPr="0061644B">
        <w:rPr>
          <w:kern w:val="0"/>
          <w:sz w:val="24"/>
        </w:rPr>
        <w:t>月</w:t>
      </w:r>
      <w:r w:rsidRPr="0061644B">
        <w:rPr>
          <w:kern w:val="0"/>
          <w:sz w:val="24"/>
        </w:rPr>
        <w:t>30</w:t>
      </w:r>
      <w:r w:rsidRPr="0061644B">
        <w:rPr>
          <w:kern w:val="0"/>
          <w:sz w:val="24"/>
        </w:rPr>
        <w:t>日</w:t>
      </w:r>
    </w:p>
    <w:p w:rsidR="00223DFB" w:rsidRPr="0061644B" w:rsidRDefault="00223DFB" w:rsidP="00792A69">
      <w:pPr>
        <w:autoSpaceDE w:val="0"/>
        <w:autoSpaceDN w:val="0"/>
        <w:adjustRightInd w:val="0"/>
        <w:spacing w:before="29" w:line="288" w:lineRule="auto"/>
        <w:ind w:left="15"/>
        <w:jc w:val="right"/>
        <w:rPr>
          <w:kern w:val="0"/>
          <w:sz w:val="24"/>
        </w:rPr>
      </w:pPr>
      <w:r w:rsidRPr="0061644B">
        <w:rPr>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2127"/>
        <w:gridCol w:w="1984"/>
        <w:gridCol w:w="2054"/>
      </w:tblGrid>
      <w:tr w:rsidR="006B4A69" w:rsidRPr="0061644B" w:rsidTr="006B271B">
        <w:tc>
          <w:tcPr>
            <w:tcW w:w="2835" w:type="dxa"/>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b/>
                <w:sz w:val="24"/>
              </w:rPr>
            </w:pPr>
            <w:r w:rsidRPr="0061644B">
              <w:rPr>
                <w:b/>
                <w:sz w:val="24"/>
              </w:rPr>
              <w:t>项目</w:t>
            </w:r>
          </w:p>
        </w:tc>
        <w:tc>
          <w:tcPr>
            <w:tcW w:w="6165" w:type="dxa"/>
            <w:gridSpan w:val="3"/>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b/>
                <w:sz w:val="24"/>
              </w:rPr>
            </w:pPr>
            <w:r w:rsidRPr="0061644B">
              <w:rPr>
                <w:b/>
                <w:sz w:val="24"/>
              </w:rPr>
              <w:t>本期</w:t>
            </w:r>
          </w:p>
          <w:p w:rsidR="00223DFB" w:rsidRPr="0061644B" w:rsidRDefault="00223DFB" w:rsidP="00792A69">
            <w:pPr>
              <w:pStyle w:val="af6"/>
              <w:spacing w:before="29" w:beforeAutospacing="0" w:after="0" w:afterAutospacing="0" w:line="288" w:lineRule="auto"/>
              <w:jc w:val="center"/>
              <w:rPr>
                <w:rFonts w:ascii="Times New Roman" w:hAnsi="Times New Roman"/>
                <w:b/>
              </w:rPr>
            </w:pPr>
            <w:r w:rsidRPr="0061644B">
              <w:rPr>
                <w:rFonts w:ascii="Times New Roman" w:hAnsi="Times New Roman"/>
              </w:rPr>
              <w:t>2018</w:t>
            </w:r>
            <w:r w:rsidRPr="0061644B">
              <w:rPr>
                <w:rFonts w:ascii="Times New Roman" w:hAnsi="Times New Roman"/>
              </w:rPr>
              <w:t>年</w:t>
            </w:r>
            <w:r w:rsidRPr="0061644B">
              <w:rPr>
                <w:rFonts w:ascii="Times New Roman" w:hAnsi="Times New Roman"/>
              </w:rPr>
              <w:t>1</w:t>
            </w:r>
            <w:r w:rsidRPr="0061644B">
              <w:rPr>
                <w:rFonts w:ascii="Times New Roman" w:hAnsi="Times New Roman"/>
              </w:rPr>
              <w:t>月</w:t>
            </w:r>
            <w:r w:rsidRPr="0061644B">
              <w:rPr>
                <w:rFonts w:ascii="Times New Roman" w:hAnsi="Times New Roman"/>
              </w:rPr>
              <w:t>1</w:t>
            </w:r>
            <w:r w:rsidRPr="0061644B">
              <w:rPr>
                <w:rFonts w:ascii="Times New Roman" w:hAnsi="Times New Roman"/>
              </w:rPr>
              <w:t>日至</w:t>
            </w:r>
            <w:r w:rsidRPr="0061644B">
              <w:rPr>
                <w:rFonts w:ascii="Times New Roman" w:hAnsi="Times New Roman"/>
              </w:rPr>
              <w:t>2018</w:t>
            </w:r>
            <w:r w:rsidRPr="0061644B">
              <w:rPr>
                <w:rFonts w:ascii="Times New Roman" w:hAnsi="Times New Roman"/>
              </w:rPr>
              <w:t>年</w:t>
            </w:r>
            <w:r w:rsidRPr="0061644B">
              <w:rPr>
                <w:rFonts w:ascii="Times New Roman" w:hAnsi="Times New Roman"/>
              </w:rPr>
              <w:t>6</w:t>
            </w:r>
            <w:r w:rsidRPr="0061644B">
              <w:rPr>
                <w:rFonts w:ascii="Times New Roman" w:hAnsi="Times New Roman"/>
              </w:rPr>
              <w:t>月</w:t>
            </w:r>
            <w:r w:rsidRPr="0061644B">
              <w:rPr>
                <w:rFonts w:ascii="Times New Roman" w:hAnsi="Times New Roman"/>
              </w:rPr>
              <w:t>30</w:t>
            </w:r>
            <w:r w:rsidRPr="0061644B">
              <w:rPr>
                <w:rFonts w:ascii="Times New Roman" w:hAnsi="Times New Roman"/>
              </w:rPr>
              <w:t>日</w:t>
            </w:r>
          </w:p>
        </w:tc>
      </w:tr>
      <w:tr w:rsidR="006B4A69" w:rsidRPr="0061644B" w:rsidTr="006B271B">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widowControl/>
              <w:spacing w:before="29" w:line="288" w:lineRule="auto"/>
              <w:jc w:val="left"/>
              <w:rPr>
                <w:b/>
                <w:sz w:val="24"/>
              </w:rPr>
            </w:pP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b/>
                <w:sz w:val="24"/>
              </w:rPr>
            </w:pPr>
            <w:r w:rsidRPr="0061644B">
              <w:rPr>
                <w:b/>
                <w:sz w:val="24"/>
              </w:rPr>
              <w:t>实收基金</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b/>
                <w:sz w:val="24"/>
              </w:rPr>
            </w:pPr>
            <w:r w:rsidRPr="0061644B">
              <w:rPr>
                <w:b/>
                <w:sz w:val="24"/>
              </w:rPr>
              <w:t>未分配利润</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sz w:val="24"/>
              </w:rPr>
            </w:pPr>
            <w:r w:rsidRPr="0061644B">
              <w:rPr>
                <w:b/>
                <w:sz w:val="24"/>
              </w:rPr>
              <w:t>所有者权益合计</w:t>
            </w:r>
          </w:p>
        </w:tc>
      </w:tr>
      <w:tr w:rsidR="006B4A69" w:rsidRPr="0061644B" w:rsidTr="006B271B">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一、期初所有者权益（基金净值）</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220,254,630.03</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220,254,630.03</w:t>
            </w:r>
          </w:p>
        </w:tc>
      </w:tr>
      <w:tr w:rsidR="006B4A69" w:rsidRPr="0061644B" w:rsidTr="006B271B">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二、本期经营活动产生的基金净值变动数（本期利润）</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2,573,282.86</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2,573,282.86</w:t>
            </w:r>
          </w:p>
        </w:tc>
      </w:tr>
      <w:tr w:rsidR="006B4A69" w:rsidRPr="0061644B" w:rsidTr="006B271B">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三、本期基金份额交易产生的基金净值变动数（净值减少以</w:t>
            </w:r>
            <w:r w:rsidRPr="0061644B">
              <w:rPr>
                <w:sz w:val="24"/>
              </w:rPr>
              <w:t>“-”</w:t>
            </w:r>
            <w:r w:rsidRPr="0061644B">
              <w:rPr>
                <w:sz w:val="24"/>
              </w:rPr>
              <w:t>号填列）</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4,396,647.97</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4,396,647.97</w:t>
            </w:r>
          </w:p>
        </w:tc>
      </w:tr>
      <w:tr w:rsidR="006B4A69" w:rsidRPr="0061644B" w:rsidTr="006B271B">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其中：</w:t>
            </w:r>
            <w:r w:rsidRPr="0061644B">
              <w:rPr>
                <w:sz w:val="24"/>
              </w:rPr>
              <w:t>1.</w:t>
            </w:r>
            <w:r w:rsidRPr="0061644B">
              <w:rPr>
                <w:sz w:val="24"/>
              </w:rPr>
              <w:t>基金申购款</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193,202,097.94</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193,202,097.94</w:t>
            </w:r>
          </w:p>
        </w:tc>
      </w:tr>
      <w:tr w:rsidR="006B4A69" w:rsidRPr="0061644B" w:rsidTr="006B271B">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ind w:firstLineChars="300" w:firstLine="720"/>
              <w:rPr>
                <w:sz w:val="24"/>
              </w:rPr>
            </w:pPr>
            <w:r w:rsidRPr="0061644B">
              <w:rPr>
                <w:sz w:val="24"/>
              </w:rPr>
              <w:t>2.</w:t>
            </w:r>
            <w:r w:rsidRPr="0061644B">
              <w:rPr>
                <w:sz w:val="24"/>
              </w:rPr>
              <w:t>基金赎回款</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-188,805,449.97</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-188,805,449.97</w:t>
            </w:r>
          </w:p>
        </w:tc>
      </w:tr>
      <w:tr w:rsidR="006B4A69" w:rsidRPr="0061644B" w:rsidTr="006B271B">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四、本期向基金份额持有人分配利润产生的基金</w:t>
            </w:r>
            <w:r w:rsidRPr="0061644B">
              <w:rPr>
                <w:sz w:val="24"/>
              </w:rPr>
              <w:lastRenderedPageBreak/>
              <w:t>净值变动（净值减少以</w:t>
            </w:r>
            <w:r w:rsidRPr="0061644B">
              <w:rPr>
                <w:sz w:val="24"/>
              </w:rPr>
              <w:t>“-”</w:t>
            </w:r>
            <w:r w:rsidRPr="0061644B">
              <w:rPr>
                <w:sz w:val="24"/>
              </w:rPr>
              <w:t>号填列）</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lastRenderedPageBreak/>
              <w: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-2,573,282.86</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-2,573,282.86</w:t>
            </w:r>
          </w:p>
        </w:tc>
      </w:tr>
      <w:tr w:rsidR="006B4A69" w:rsidRPr="0061644B" w:rsidTr="006B271B">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五、期末所有者权益（基金净值）</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224,651,278.00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224,651,278.00</w:t>
            </w:r>
          </w:p>
        </w:tc>
      </w:tr>
    </w:tbl>
    <w:p w:rsidR="00B57305" w:rsidRPr="0061644B" w:rsidRDefault="00B57305" w:rsidP="00792A69">
      <w:pPr>
        <w:spacing w:before="29" w:line="288" w:lineRule="auto"/>
        <w:rPr>
          <w:sz w:val="24"/>
        </w:rPr>
      </w:pPr>
      <w:r w:rsidRPr="0061644B">
        <w:rPr>
          <w:sz w:val="24"/>
        </w:rPr>
        <w:t>报表附注为财务报表的组成部分。</w:t>
      </w:r>
    </w:p>
    <w:p w:rsidR="00B57305" w:rsidRPr="0061644B" w:rsidRDefault="00B57305" w:rsidP="00792A69">
      <w:pPr>
        <w:spacing w:before="29" w:line="288" w:lineRule="auto"/>
        <w:rPr>
          <w:sz w:val="24"/>
        </w:rPr>
      </w:pPr>
      <w:r w:rsidRPr="0061644B">
        <w:rPr>
          <w:sz w:val="24"/>
        </w:rPr>
        <w:t>本报告</w:t>
      </w:r>
      <w:r w:rsidRPr="0061644B">
        <w:rPr>
          <w:sz w:val="24"/>
        </w:rPr>
        <w:t>6.1</w:t>
      </w:r>
      <w:r w:rsidRPr="0061644B">
        <w:rPr>
          <w:sz w:val="24"/>
        </w:rPr>
        <w:t>至</w:t>
      </w:r>
      <w:r w:rsidRPr="0061644B">
        <w:rPr>
          <w:sz w:val="24"/>
        </w:rPr>
        <w:t>6.4</w:t>
      </w:r>
      <w:r w:rsidRPr="0061644B">
        <w:rPr>
          <w:sz w:val="24"/>
        </w:rPr>
        <w:t>，财务报表由下列负责人签署：</w:t>
      </w:r>
    </w:p>
    <w:p w:rsidR="00B57305" w:rsidRPr="0061644B" w:rsidRDefault="00A86819" w:rsidP="00792A69">
      <w:pPr>
        <w:spacing w:before="29" w:line="288" w:lineRule="auto"/>
        <w:rPr>
          <w:sz w:val="24"/>
        </w:rPr>
      </w:pPr>
      <w:r w:rsidRPr="0061644B">
        <w:rPr>
          <w:sz w:val="24"/>
        </w:rPr>
        <w:t>基金管理人</w:t>
      </w:r>
      <w:r w:rsidR="00B57305" w:rsidRPr="0061644B">
        <w:rPr>
          <w:sz w:val="24"/>
        </w:rPr>
        <w:t>负责人：阮红，主管会计工作负责人：夏华龙，会计机构负责人：单江</w:t>
      </w:r>
    </w:p>
    <w:p w:rsidR="00223DFB" w:rsidRPr="0061644B" w:rsidRDefault="00223DFB" w:rsidP="00792A69">
      <w:pPr>
        <w:spacing w:before="29" w:line="288" w:lineRule="auto"/>
        <w:ind w:firstLineChars="200" w:firstLine="480"/>
        <w:rPr>
          <w:sz w:val="24"/>
        </w:rPr>
      </w:pPr>
    </w:p>
    <w:p w:rsidR="00223DFB" w:rsidRPr="0061644B" w:rsidRDefault="00223DFB" w:rsidP="00792A69">
      <w:pPr>
        <w:pStyle w:val="20"/>
        <w:spacing w:before="29" w:after="0" w:line="288" w:lineRule="auto"/>
        <w:rPr>
          <w:rFonts w:ascii="Times New Roman" w:hAnsi="Times New Roman" w:cs="Times New Roman"/>
          <w:kern w:val="0"/>
          <w:szCs w:val="24"/>
        </w:rPr>
      </w:pPr>
      <w:bookmarkStart w:id="11" w:name="_Toc331410100"/>
      <w:bookmarkStart w:id="12" w:name="_Toc225498271"/>
      <w:r w:rsidRPr="0061644B">
        <w:rPr>
          <w:rFonts w:ascii="Times New Roman" w:hAnsi="Times New Roman" w:cs="Times New Roman"/>
          <w:kern w:val="0"/>
          <w:szCs w:val="24"/>
        </w:rPr>
        <w:t xml:space="preserve">6.4 </w:t>
      </w:r>
      <w:r w:rsidRPr="0061644B">
        <w:rPr>
          <w:rFonts w:ascii="Times New Roman" w:hAnsi="Times New Roman" w:cs="Times New Roman"/>
          <w:kern w:val="0"/>
          <w:szCs w:val="24"/>
        </w:rPr>
        <w:t>报表附注</w:t>
      </w:r>
      <w:bookmarkEnd w:id="11"/>
      <w:bookmarkEnd w:id="12"/>
    </w:p>
    <w:p w:rsidR="00223DFB" w:rsidRPr="0061644B" w:rsidRDefault="00223DFB" w:rsidP="00792A69">
      <w:pPr>
        <w:autoSpaceDE w:val="0"/>
        <w:autoSpaceDN w:val="0"/>
        <w:adjustRightInd w:val="0"/>
        <w:spacing w:before="29" w:line="288" w:lineRule="auto"/>
        <w:jc w:val="left"/>
        <w:rPr>
          <w:b/>
          <w:kern w:val="0"/>
          <w:sz w:val="24"/>
        </w:rPr>
      </w:pPr>
      <w:r w:rsidRPr="0061644B">
        <w:rPr>
          <w:b/>
          <w:bCs/>
          <w:kern w:val="0"/>
          <w:sz w:val="24"/>
        </w:rPr>
        <w:t>6.4.1</w:t>
      </w:r>
      <w:r w:rsidRPr="0061644B">
        <w:rPr>
          <w:b/>
          <w:kern w:val="0"/>
          <w:sz w:val="24"/>
        </w:rPr>
        <w:t>基金基本情况</w:t>
      </w:r>
    </w:p>
    <w:p w:rsidR="001124D8" w:rsidRDefault="00C50050">
      <w:pPr>
        <w:spacing w:before="29" w:line="288" w:lineRule="auto"/>
        <w:ind w:firstLineChars="200" w:firstLine="480"/>
        <w:rPr>
          <w:color w:val="000000"/>
          <w:sz w:val="24"/>
        </w:rPr>
      </w:pPr>
      <w:r>
        <w:rPr>
          <w:color w:val="000000"/>
          <w:sz w:val="24"/>
        </w:rPr>
        <w:t>交银施罗德天运宝货币市场基金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[2017]1136</w:t>
      </w:r>
      <w:r>
        <w:rPr>
          <w:color w:val="000000"/>
          <w:sz w:val="24"/>
        </w:rPr>
        <w:t>号《关于准予交银施罗德天运宝货币市场基金注册的批复》核准，由交银施罗德基金管理有限公司依照《中华人民共和国证券投资基金法》和《交银施罗德天运宝货币市场基金基金合同》负责公开募集。本基金为契约型开放式，存续期限不定。首次设立募集不包括认购资金利息共募集人民币</w:t>
      </w:r>
      <w:r>
        <w:rPr>
          <w:color w:val="000000"/>
          <w:sz w:val="24"/>
        </w:rPr>
        <w:t>220,018,503.81</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普华永道中天验字</w:t>
      </w:r>
      <w:r>
        <w:rPr>
          <w:color w:val="000000"/>
          <w:sz w:val="24"/>
        </w:rPr>
        <w:t>(2017)</w:t>
      </w:r>
      <w:r>
        <w:rPr>
          <w:color w:val="000000"/>
          <w:sz w:val="24"/>
        </w:rPr>
        <w:t>第</w:t>
      </w:r>
      <w:r>
        <w:rPr>
          <w:color w:val="000000"/>
          <w:sz w:val="24"/>
        </w:rPr>
        <w:t>347</w:t>
      </w:r>
      <w:r>
        <w:rPr>
          <w:color w:val="000000"/>
          <w:sz w:val="24"/>
        </w:rPr>
        <w:t>号验资报告予以验证。经向中国证监会备案，《交银施罗德天运宝货币市场基金基金合同》于</w:t>
      </w:r>
      <w:r>
        <w:rPr>
          <w:color w:val="000000"/>
          <w:sz w:val="24"/>
        </w:rPr>
        <w:t>2017</w:t>
      </w:r>
      <w:r>
        <w:rPr>
          <w:color w:val="000000"/>
          <w:sz w:val="24"/>
        </w:rPr>
        <w:t>年</w:t>
      </w:r>
      <w:r>
        <w:rPr>
          <w:color w:val="000000"/>
          <w:sz w:val="24"/>
        </w:rPr>
        <w:t>12</w:t>
      </w:r>
      <w:r>
        <w:rPr>
          <w:color w:val="000000"/>
          <w:sz w:val="24"/>
        </w:rPr>
        <w:t>月</w:t>
      </w:r>
      <w:r>
        <w:rPr>
          <w:color w:val="000000"/>
          <w:sz w:val="24"/>
        </w:rPr>
        <w:t>29</w:t>
      </w:r>
      <w:r>
        <w:rPr>
          <w:color w:val="000000"/>
          <w:sz w:val="24"/>
        </w:rPr>
        <w:t>日正式生效，基金合同生效日的基金份额总额为</w:t>
      </w:r>
      <w:r>
        <w:rPr>
          <w:color w:val="000000"/>
          <w:sz w:val="24"/>
        </w:rPr>
        <w:t>220,028,473.23</w:t>
      </w:r>
      <w:r>
        <w:rPr>
          <w:color w:val="000000"/>
          <w:sz w:val="24"/>
        </w:rPr>
        <w:t>份基金份额。本基金的基金管理人为交银施罗德基金管理有限公司，基金托管人为兴业银行股份有限公司。</w:t>
      </w:r>
    </w:p>
    <w:p w:rsidR="001124D8" w:rsidRDefault="001124D8">
      <w:pPr>
        <w:spacing w:before="29" w:line="288" w:lineRule="auto"/>
        <w:ind w:firstLineChars="200" w:firstLine="480"/>
        <w:rPr>
          <w:color w:val="000000"/>
          <w:sz w:val="24"/>
        </w:rPr>
      </w:pPr>
    </w:p>
    <w:p w:rsidR="001124D8" w:rsidRDefault="00C50050">
      <w:pPr>
        <w:spacing w:before="29" w:line="288" w:lineRule="auto"/>
        <w:ind w:firstLineChars="200" w:firstLine="480"/>
        <w:rPr>
          <w:color w:val="000000"/>
          <w:sz w:val="24"/>
        </w:rPr>
      </w:pPr>
      <w:r>
        <w:rPr>
          <w:color w:val="000000"/>
          <w:sz w:val="24"/>
        </w:rPr>
        <w:t>根据《交银施罗德天运宝货币市场基金基金合同》和《交银施罗德天运宝货币市场基金招募说明书》的相关规定，本基金根据销售服务费收取方式的不同，将基金份额分为</w:t>
      </w:r>
      <w:r>
        <w:rPr>
          <w:color w:val="000000"/>
          <w:sz w:val="24"/>
        </w:rPr>
        <w:t>A</w:t>
      </w:r>
      <w:r>
        <w:rPr>
          <w:color w:val="000000"/>
          <w:sz w:val="24"/>
        </w:rPr>
        <w:t>类基金份额和</w:t>
      </w:r>
      <w:r>
        <w:rPr>
          <w:color w:val="000000"/>
          <w:sz w:val="24"/>
        </w:rPr>
        <w:t>E</w:t>
      </w:r>
      <w:r>
        <w:rPr>
          <w:color w:val="000000"/>
          <w:sz w:val="24"/>
        </w:rPr>
        <w:t>类基金份额。销售服务费率为</w:t>
      </w:r>
      <w:r>
        <w:rPr>
          <w:color w:val="000000"/>
          <w:sz w:val="24"/>
        </w:rPr>
        <w:t>0.25%</w:t>
      </w:r>
      <w:r>
        <w:rPr>
          <w:color w:val="000000"/>
          <w:sz w:val="24"/>
        </w:rPr>
        <w:t>的基金份额，称为</w:t>
      </w:r>
      <w:r>
        <w:rPr>
          <w:color w:val="000000"/>
          <w:sz w:val="24"/>
        </w:rPr>
        <w:t>A</w:t>
      </w:r>
      <w:r>
        <w:rPr>
          <w:color w:val="000000"/>
          <w:sz w:val="24"/>
        </w:rPr>
        <w:t>类基金份额；销售服务费率为</w:t>
      </w:r>
      <w:r>
        <w:rPr>
          <w:color w:val="000000"/>
          <w:sz w:val="24"/>
        </w:rPr>
        <w:t>0.01%</w:t>
      </w:r>
      <w:r>
        <w:rPr>
          <w:color w:val="000000"/>
          <w:sz w:val="24"/>
        </w:rPr>
        <w:t>的基金份额，称为</w:t>
      </w:r>
      <w:r>
        <w:rPr>
          <w:color w:val="000000"/>
          <w:sz w:val="24"/>
        </w:rPr>
        <w:t>E</w:t>
      </w:r>
      <w:r>
        <w:rPr>
          <w:color w:val="000000"/>
          <w:sz w:val="24"/>
        </w:rPr>
        <w:t>类基金份额。两类基金份额单独设置基金代码，并分别公布各类基金份额的每万份基金已实现收益和七日年化收益率。投资者可自行选择认购</w:t>
      </w:r>
      <w:r>
        <w:rPr>
          <w:color w:val="000000"/>
          <w:sz w:val="24"/>
        </w:rPr>
        <w:t>/</w:t>
      </w:r>
      <w:r>
        <w:rPr>
          <w:color w:val="000000"/>
          <w:sz w:val="24"/>
        </w:rPr>
        <w:t>申购的基金份额类别，除非基金管理人在未来另行公告开通相关业务，本基金不同基金份额类别之间不得互相转换。</w:t>
      </w:r>
    </w:p>
    <w:p w:rsidR="001124D8" w:rsidRDefault="001124D8">
      <w:pPr>
        <w:spacing w:before="29" w:line="288" w:lineRule="auto"/>
        <w:ind w:firstLineChars="200" w:firstLine="480"/>
        <w:rPr>
          <w:color w:val="000000"/>
          <w:sz w:val="24"/>
        </w:rPr>
      </w:pPr>
    </w:p>
    <w:p w:rsidR="00223DFB" w:rsidRPr="0061644B" w:rsidRDefault="00223DFB" w:rsidP="00792A69">
      <w:pPr>
        <w:spacing w:before="29" w:line="288" w:lineRule="auto"/>
        <w:ind w:firstLineChars="200" w:firstLine="480"/>
        <w:rPr>
          <w:color w:val="000000"/>
          <w:sz w:val="24"/>
        </w:rPr>
      </w:pPr>
      <w:r w:rsidRPr="0061644B">
        <w:rPr>
          <w:color w:val="000000"/>
          <w:sz w:val="24"/>
        </w:rPr>
        <w:t>根据《中华人民共和国证券投资基金法》和《交银施罗德天运宝货币市场基金基金合同》的有关规定，本基金的投资范围为具有良好流动性的金融工具，包括现金，期限在</w:t>
      </w:r>
      <w:r w:rsidRPr="0061644B">
        <w:rPr>
          <w:color w:val="000000"/>
          <w:sz w:val="24"/>
        </w:rPr>
        <w:t>1</w:t>
      </w:r>
      <w:r w:rsidRPr="0061644B">
        <w:rPr>
          <w:color w:val="000000"/>
          <w:sz w:val="24"/>
        </w:rPr>
        <w:t>年以内（含</w:t>
      </w:r>
      <w:r w:rsidRPr="0061644B">
        <w:rPr>
          <w:color w:val="000000"/>
          <w:sz w:val="24"/>
        </w:rPr>
        <w:t>1</w:t>
      </w:r>
      <w:r w:rsidRPr="0061644B">
        <w:rPr>
          <w:color w:val="000000"/>
          <w:sz w:val="24"/>
        </w:rPr>
        <w:t>年）的银行存款、债券回购、中央银行票据、同业存单，剩余期限在</w:t>
      </w:r>
      <w:r w:rsidRPr="0061644B">
        <w:rPr>
          <w:color w:val="000000"/>
          <w:sz w:val="24"/>
        </w:rPr>
        <w:t>397</w:t>
      </w:r>
      <w:r w:rsidRPr="0061644B">
        <w:rPr>
          <w:color w:val="000000"/>
          <w:sz w:val="24"/>
        </w:rPr>
        <w:t>天以内（含</w:t>
      </w:r>
      <w:r w:rsidRPr="0061644B">
        <w:rPr>
          <w:color w:val="000000"/>
          <w:sz w:val="24"/>
        </w:rPr>
        <w:t>397</w:t>
      </w:r>
      <w:r w:rsidRPr="0061644B">
        <w:rPr>
          <w:color w:val="000000"/>
          <w:sz w:val="24"/>
        </w:rPr>
        <w:t>天）的债券、非金融企业债务融资工具、资产支持证券，中国证监会、中国人民银行认可的其他具有良好流动性的货币市场工具。如法律法规或监管机构以后允许货币市场基金投资其他金融工具，基金管理人在履行适当程序后，可以将其纳入投资范围，其投资比例遵循届时有效法律法规或相关规定。本基金的业绩比较基准为：</w:t>
      </w:r>
      <w:r w:rsidRPr="0061644B">
        <w:rPr>
          <w:color w:val="000000"/>
          <w:sz w:val="24"/>
        </w:rPr>
        <w:lastRenderedPageBreak/>
        <w:t>活期存款利率</w:t>
      </w:r>
      <w:r w:rsidRPr="0061644B">
        <w:rPr>
          <w:color w:val="000000"/>
          <w:sz w:val="24"/>
        </w:rPr>
        <w:t>(</w:t>
      </w:r>
      <w:r w:rsidRPr="0061644B">
        <w:rPr>
          <w:color w:val="000000"/>
          <w:sz w:val="24"/>
        </w:rPr>
        <w:t>税后</w:t>
      </w:r>
      <w:r w:rsidRPr="0061644B">
        <w:rPr>
          <w:color w:val="000000"/>
          <w:sz w:val="24"/>
        </w:rPr>
        <w:t>)</w:t>
      </w:r>
      <w:r w:rsidRPr="0061644B">
        <w:rPr>
          <w:color w:val="000000"/>
          <w:sz w:val="24"/>
        </w:rPr>
        <w:t>。</w:t>
      </w:r>
    </w:p>
    <w:p w:rsidR="00223DFB" w:rsidRPr="0061644B" w:rsidRDefault="00223DFB" w:rsidP="00792A69">
      <w:pPr>
        <w:tabs>
          <w:tab w:val="left" w:pos="2265"/>
        </w:tabs>
        <w:spacing w:before="29" w:line="288" w:lineRule="auto"/>
        <w:ind w:firstLineChars="200" w:firstLine="480"/>
        <w:rPr>
          <w:sz w:val="24"/>
        </w:rPr>
      </w:pPr>
    </w:p>
    <w:p w:rsidR="00223DFB" w:rsidRPr="0061644B" w:rsidRDefault="00223DFB" w:rsidP="00792A69">
      <w:pPr>
        <w:autoSpaceDE w:val="0"/>
        <w:autoSpaceDN w:val="0"/>
        <w:adjustRightInd w:val="0"/>
        <w:spacing w:before="29" w:line="288" w:lineRule="auto"/>
        <w:jc w:val="left"/>
        <w:rPr>
          <w:b/>
          <w:kern w:val="0"/>
          <w:sz w:val="24"/>
        </w:rPr>
      </w:pPr>
      <w:r w:rsidRPr="0061644B">
        <w:rPr>
          <w:b/>
          <w:bCs/>
          <w:kern w:val="0"/>
          <w:sz w:val="24"/>
        </w:rPr>
        <w:t>6.4.2</w:t>
      </w:r>
      <w:r w:rsidRPr="0061644B">
        <w:rPr>
          <w:b/>
          <w:kern w:val="0"/>
          <w:sz w:val="24"/>
        </w:rPr>
        <w:t>会计报表的编制基础</w:t>
      </w:r>
    </w:p>
    <w:p w:rsidR="001124D8" w:rsidRDefault="00C50050">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颁布的《证券投资基金会计核算业务指引》、《交银施罗德天运宝货币市场基金基金合同》和在财务报表附注</w:t>
      </w:r>
      <w:r>
        <w:rPr>
          <w:color w:val="000000"/>
          <w:sz w:val="24"/>
        </w:rPr>
        <w:t>6.4.4</w:t>
      </w:r>
      <w:r>
        <w:rPr>
          <w:color w:val="000000"/>
          <w:sz w:val="24"/>
        </w:rPr>
        <w:t>所列示的中国证监会、中国基金业协会发布的有关规定及允许的基金行业实务操作编制。</w:t>
      </w:r>
    </w:p>
    <w:p w:rsidR="001124D8" w:rsidRDefault="001124D8">
      <w:pPr>
        <w:spacing w:before="29" w:line="288" w:lineRule="auto"/>
        <w:ind w:firstLineChars="200" w:firstLine="480"/>
        <w:rPr>
          <w:color w:val="000000"/>
          <w:sz w:val="24"/>
        </w:rPr>
      </w:pPr>
    </w:p>
    <w:p w:rsidR="00223DFB" w:rsidRPr="0061644B" w:rsidRDefault="00223DFB" w:rsidP="00792A69">
      <w:pPr>
        <w:spacing w:before="29" w:line="288" w:lineRule="auto"/>
        <w:ind w:firstLineChars="200" w:firstLine="480"/>
        <w:rPr>
          <w:color w:val="000000"/>
          <w:sz w:val="24"/>
        </w:rPr>
      </w:pPr>
      <w:r w:rsidRPr="0061644B">
        <w:rPr>
          <w:color w:val="000000"/>
          <w:sz w:val="24"/>
        </w:rPr>
        <w:t>本财务报表以持续经营为基础编制。</w:t>
      </w:r>
    </w:p>
    <w:p w:rsidR="00223DFB" w:rsidRPr="0061644B" w:rsidRDefault="00223DFB" w:rsidP="00792A69">
      <w:pPr>
        <w:spacing w:before="29" w:line="288" w:lineRule="auto"/>
        <w:ind w:firstLineChars="200" w:firstLine="482"/>
        <w:rPr>
          <w:b/>
          <w:sz w:val="24"/>
        </w:rPr>
      </w:pPr>
    </w:p>
    <w:p w:rsidR="00223DFB" w:rsidRPr="0061644B" w:rsidRDefault="00223DFB" w:rsidP="00792A69">
      <w:pPr>
        <w:autoSpaceDE w:val="0"/>
        <w:autoSpaceDN w:val="0"/>
        <w:adjustRightInd w:val="0"/>
        <w:spacing w:before="29" w:line="288" w:lineRule="auto"/>
        <w:jc w:val="left"/>
        <w:rPr>
          <w:b/>
          <w:kern w:val="0"/>
          <w:sz w:val="24"/>
        </w:rPr>
      </w:pPr>
      <w:r w:rsidRPr="0061644B">
        <w:rPr>
          <w:b/>
          <w:bCs/>
          <w:kern w:val="0"/>
          <w:sz w:val="24"/>
        </w:rPr>
        <w:t>6.4.3</w:t>
      </w:r>
      <w:r w:rsidRPr="0061644B">
        <w:rPr>
          <w:b/>
          <w:kern w:val="0"/>
          <w:sz w:val="24"/>
        </w:rPr>
        <w:t>遵循企业会计准则及其他有关规定的声明</w:t>
      </w:r>
    </w:p>
    <w:p w:rsidR="00223DFB" w:rsidRPr="0061644B" w:rsidRDefault="00223DFB" w:rsidP="00792A69">
      <w:pPr>
        <w:spacing w:before="29" w:line="288" w:lineRule="auto"/>
        <w:ind w:firstLineChars="200" w:firstLine="480"/>
        <w:rPr>
          <w:color w:val="000000"/>
          <w:sz w:val="24"/>
        </w:rPr>
      </w:pPr>
      <w:r w:rsidRPr="0061644B">
        <w:rPr>
          <w:color w:val="000000"/>
          <w:sz w:val="24"/>
        </w:rPr>
        <w:t>本基金</w:t>
      </w:r>
      <w:r w:rsidRPr="0061644B">
        <w:rPr>
          <w:color w:val="000000"/>
          <w:sz w:val="24"/>
        </w:rPr>
        <w:t>2018</w:t>
      </w:r>
      <w:r w:rsidRPr="0061644B">
        <w:rPr>
          <w:color w:val="000000"/>
          <w:sz w:val="24"/>
        </w:rPr>
        <w:t>年上半年度财务报表符合企业会计准则的要求，真实、完整地反映了本基金</w:t>
      </w:r>
      <w:r w:rsidRPr="0061644B">
        <w:rPr>
          <w:color w:val="000000"/>
          <w:sz w:val="24"/>
        </w:rPr>
        <w:t>2018</w:t>
      </w:r>
      <w:r w:rsidRPr="0061644B">
        <w:rPr>
          <w:color w:val="000000"/>
          <w:sz w:val="24"/>
        </w:rPr>
        <w:t>年</w:t>
      </w:r>
      <w:r w:rsidRPr="0061644B">
        <w:rPr>
          <w:color w:val="000000"/>
          <w:sz w:val="24"/>
        </w:rPr>
        <w:t>6</w:t>
      </w:r>
      <w:r w:rsidRPr="0061644B">
        <w:rPr>
          <w:color w:val="000000"/>
          <w:sz w:val="24"/>
        </w:rPr>
        <w:t>月</w:t>
      </w:r>
      <w:r w:rsidRPr="0061644B">
        <w:rPr>
          <w:color w:val="000000"/>
          <w:sz w:val="24"/>
        </w:rPr>
        <w:t>30</w:t>
      </w:r>
      <w:r w:rsidRPr="0061644B">
        <w:rPr>
          <w:color w:val="000000"/>
          <w:sz w:val="24"/>
        </w:rPr>
        <w:t>日的财务状况以及</w:t>
      </w:r>
      <w:r w:rsidRPr="0061644B">
        <w:rPr>
          <w:color w:val="000000"/>
          <w:sz w:val="24"/>
        </w:rPr>
        <w:t>2018</w:t>
      </w:r>
      <w:r w:rsidRPr="0061644B">
        <w:rPr>
          <w:color w:val="000000"/>
          <w:sz w:val="24"/>
        </w:rPr>
        <w:t>年上半年度的经营成果和基金净值变动情况等有关信息。</w:t>
      </w:r>
    </w:p>
    <w:p w:rsidR="00223DFB" w:rsidRPr="0061644B" w:rsidRDefault="00223DFB" w:rsidP="00792A69">
      <w:pPr>
        <w:spacing w:before="29" w:line="288" w:lineRule="auto"/>
        <w:ind w:firstLineChars="200" w:firstLine="482"/>
        <w:rPr>
          <w:b/>
          <w:sz w:val="24"/>
        </w:rPr>
      </w:pPr>
    </w:p>
    <w:p w:rsidR="00223DFB" w:rsidRPr="0061644B" w:rsidRDefault="00D04EED" w:rsidP="00792A69">
      <w:pPr>
        <w:autoSpaceDE w:val="0"/>
        <w:autoSpaceDN w:val="0"/>
        <w:adjustRightInd w:val="0"/>
        <w:snapToGrid w:val="0"/>
        <w:spacing w:before="29" w:line="288" w:lineRule="auto"/>
        <w:jc w:val="left"/>
        <w:rPr>
          <w:b/>
          <w:kern w:val="0"/>
          <w:sz w:val="24"/>
        </w:rPr>
      </w:pPr>
      <w:r w:rsidRPr="005E1AD8">
        <w:rPr>
          <w:b/>
          <w:bCs/>
          <w:kern w:val="0"/>
          <w:sz w:val="24"/>
        </w:rPr>
        <w:t>6.4.4</w:t>
      </w:r>
      <w:r w:rsidR="00D7158E">
        <w:rPr>
          <w:rFonts w:hint="eastAsia"/>
          <w:b/>
          <w:kern w:val="0"/>
          <w:sz w:val="24"/>
        </w:rPr>
        <w:t>重要</w:t>
      </w:r>
      <w:r>
        <w:rPr>
          <w:b/>
          <w:kern w:val="0"/>
          <w:sz w:val="24"/>
        </w:rPr>
        <w:t>会计政策</w:t>
      </w:r>
      <w:r w:rsidR="00D7158E">
        <w:rPr>
          <w:rFonts w:hint="eastAsia"/>
          <w:b/>
          <w:kern w:val="0"/>
          <w:sz w:val="24"/>
        </w:rPr>
        <w:t>和</w:t>
      </w:r>
      <w:r>
        <w:rPr>
          <w:b/>
          <w:kern w:val="0"/>
          <w:sz w:val="24"/>
        </w:rPr>
        <w:t>会计估计</w:t>
      </w:r>
    </w:p>
    <w:p w:rsidR="00223DFB" w:rsidRPr="0061644B" w:rsidRDefault="00223DFB" w:rsidP="00792A69">
      <w:pPr>
        <w:autoSpaceDE w:val="0"/>
        <w:autoSpaceDN w:val="0"/>
        <w:adjustRightInd w:val="0"/>
        <w:spacing w:before="29" w:line="288" w:lineRule="auto"/>
        <w:jc w:val="left"/>
        <w:rPr>
          <w:b/>
          <w:kern w:val="0"/>
          <w:sz w:val="24"/>
        </w:rPr>
      </w:pPr>
      <w:r w:rsidRPr="0061644B">
        <w:rPr>
          <w:b/>
          <w:bCs/>
          <w:kern w:val="0"/>
          <w:sz w:val="24"/>
        </w:rPr>
        <w:t>6.4.4.1</w:t>
      </w:r>
      <w:r w:rsidRPr="0061644B">
        <w:rPr>
          <w:b/>
          <w:kern w:val="0"/>
          <w:sz w:val="24"/>
        </w:rPr>
        <w:t>会计年度</w:t>
      </w:r>
    </w:p>
    <w:p w:rsidR="00223DFB" w:rsidRPr="0061644B" w:rsidRDefault="00223DFB" w:rsidP="00792A69">
      <w:pPr>
        <w:spacing w:before="29" w:line="288" w:lineRule="auto"/>
        <w:ind w:firstLineChars="200" w:firstLine="480"/>
        <w:rPr>
          <w:color w:val="000000"/>
          <w:sz w:val="24"/>
        </w:rPr>
      </w:pPr>
      <w:r w:rsidRPr="0061644B">
        <w:rPr>
          <w:color w:val="000000"/>
          <w:sz w:val="24"/>
        </w:rPr>
        <w:t>本基金会计年度为公历</w:t>
      </w:r>
      <w:r w:rsidRPr="0061644B">
        <w:rPr>
          <w:color w:val="000000"/>
          <w:sz w:val="24"/>
        </w:rPr>
        <w:t>1</w:t>
      </w:r>
      <w:r w:rsidRPr="0061644B">
        <w:rPr>
          <w:color w:val="000000"/>
          <w:sz w:val="24"/>
        </w:rPr>
        <w:t>月</w:t>
      </w:r>
      <w:r w:rsidRPr="0061644B">
        <w:rPr>
          <w:color w:val="000000"/>
          <w:sz w:val="24"/>
        </w:rPr>
        <w:t>1</w:t>
      </w:r>
      <w:r w:rsidRPr="0061644B">
        <w:rPr>
          <w:color w:val="000000"/>
          <w:sz w:val="24"/>
        </w:rPr>
        <w:t>日起至</w:t>
      </w:r>
      <w:r w:rsidRPr="0061644B">
        <w:rPr>
          <w:color w:val="000000"/>
          <w:sz w:val="24"/>
        </w:rPr>
        <w:t>12</w:t>
      </w:r>
      <w:r w:rsidRPr="0061644B">
        <w:rPr>
          <w:color w:val="000000"/>
          <w:sz w:val="24"/>
        </w:rPr>
        <w:t>月</w:t>
      </w:r>
      <w:r w:rsidRPr="0061644B">
        <w:rPr>
          <w:color w:val="000000"/>
          <w:sz w:val="24"/>
        </w:rPr>
        <w:t>31</w:t>
      </w:r>
      <w:r w:rsidRPr="0061644B">
        <w:rPr>
          <w:color w:val="000000"/>
          <w:sz w:val="24"/>
        </w:rPr>
        <w:t>日止。</w:t>
      </w:r>
    </w:p>
    <w:p w:rsidR="00223DFB" w:rsidRPr="0061644B" w:rsidRDefault="00223DFB" w:rsidP="00792A69">
      <w:pPr>
        <w:spacing w:before="29" w:line="288" w:lineRule="auto"/>
        <w:ind w:firstLineChars="200" w:firstLine="482"/>
        <w:rPr>
          <w:b/>
          <w:sz w:val="24"/>
        </w:rPr>
      </w:pPr>
    </w:p>
    <w:p w:rsidR="00223DFB" w:rsidRPr="0061644B" w:rsidRDefault="00223DFB" w:rsidP="00792A69">
      <w:pPr>
        <w:autoSpaceDE w:val="0"/>
        <w:autoSpaceDN w:val="0"/>
        <w:adjustRightInd w:val="0"/>
        <w:spacing w:before="29" w:line="288" w:lineRule="auto"/>
        <w:jc w:val="left"/>
        <w:rPr>
          <w:b/>
          <w:kern w:val="0"/>
          <w:sz w:val="24"/>
        </w:rPr>
      </w:pPr>
      <w:r w:rsidRPr="0061644B">
        <w:rPr>
          <w:b/>
          <w:bCs/>
          <w:kern w:val="0"/>
          <w:sz w:val="24"/>
        </w:rPr>
        <w:t>6.4.4.2</w:t>
      </w:r>
      <w:r w:rsidRPr="0061644B">
        <w:rPr>
          <w:b/>
          <w:kern w:val="0"/>
          <w:sz w:val="24"/>
        </w:rPr>
        <w:t>记账本位币</w:t>
      </w:r>
    </w:p>
    <w:p w:rsidR="00223DFB" w:rsidRPr="0061644B" w:rsidRDefault="00223DFB" w:rsidP="00792A69">
      <w:pPr>
        <w:spacing w:before="29" w:line="288" w:lineRule="auto"/>
        <w:ind w:firstLineChars="200" w:firstLine="480"/>
        <w:rPr>
          <w:color w:val="000000"/>
          <w:sz w:val="24"/>
        </w:rPr>
      </w:pPr>
      <w:r w:rsidRPr="0061644B">
        <w:rPr>
          <w:color w:val="000000"/>
          <w:sz w:val="24"/>
        </w:rPr>
        <w:t>本基金的记账本位币为人民币。</w:t>
      </w:r>
    </w:p>
    <w:p w:rsidR="00223DFB" w:rsidRPr="0061644B" w:rsidRDefault="00223DFB" w:rsidP="00792A69">
      <w:pPr>
        <w:spacing w:before="29" w:line="288" w:lineRule="auto"/>
        <w:ind w:firstLineChars="200" w:firstLine="480"/>
        <w:rPr>
          <w:bCs/>
          <w:sz w:val="24"/>
        </w:rPr>
      </w:pPr>
    </w:p>
    <w:p w:rsidR="00223DFB" w:rsidRPr="0061644B" w:rsidRDefault="00223DFB" w:rsidP="00792A69">
      <w:pPr>
        <w:autoSpaceDE w:val="0"/>
        <w:autoSpaceDN w:val="0"/>
        <w:adjustRightInd w:val="0"/>
        <w:spacing w:before="29" w:line="288" w:lineRule="auto"/>
        <w:jc w:val="left"/>
        <w:rPr>
          <w:b/>
          <w:kern w:val="0"/>
          <w:sz w:val="24"/>
        </w:rPr>
      </w:pPr>
      <w:r w:rsidRPr="0061644B">
        <w:rPr>
          <w:b/>
          <w:bCs/>
          <w:kern w:val="0"/>
          <w:sz w:val="24"/>
        </w:rPr>
        <w:t>6.4.4.3</w:t>
      </w:r>
      <w:r w:rsidRPr="0061644B">
        <w:rPr>
          <w:b/>
          <w:kern w:val="0"/>
          <w:sz w:val="24"/>
        </w:rPr>
        <w:t>金融资产和金融负债的分类</w:t>
      </w:r>
    </w:p>
    <w:p w:rsidR="001124D8" w:rsidRDefault="00C50050">
      <w:pPr>
        <w:spacing w:before="29" w:line="288" w:lineRule="auto"/>
        <w:ind w:firstLineChars="200" w:firstLine="480"/>
        <w:rPr>
          <w:color w:val="000000"/>
          <w:sz w:val="24"/>
        </w:rPr>
      </w:pPr>
      <w:r>
        <w:rPr>
          <w:color w:val="000000"/>
          <w:sz w:val="24"/>
        </w:rPr>
        <w:t xml:space="preserve">(1) </w:t>
      </w:r>
      <w:r>
        <w:rPr>
          <w:color w:val="000000"/>
          <w:sz w:val="24"/>
        </w:rPr>
        <w:t>金融资产的分类</w:t>
      </w:r>
    </w:p>
    <w:p w:rsidR="001124D8" w:rsidRDefault="00C50050">
      <w:pPr>
        <w:spacing w:before="29" w:line="288" w:lineRule="auto"/>
        <w:ind w:firstLineChars="200" w:firstLine="480"/>
        <w:rPr>
          <w:color w:val="000000"/>
          <w:sz w:val="24"/>
        </w:rPr>
      </w:pPr>
      <w:r>
        <w:rPr>
          <w:color w:val="00000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1124D8" w:rsidRDefault="00C50050">
      <w:pPr>
        <w:spacing w:before="29" w:line="288" w:lineRule="auto"/>
        <w:ind w:firstLineChars="200" w:firstLine="480"/>
        <w:rPr>
          <w:color w:val="000000"/>
          <w:sz w:val="24"/>
        </w:rPr>
      </w:pPr>
      <w:r>
        <w:rPr>
          <w:color w:val="000000"/>
          <w:sz w:val="24"/>
        </w:rPr>
        <w:t>本基金以交易目的持有的债券投资和资产支持证券投资分类为以公允价值计量且其变动计入当期损益的金融资产。以公允价值计量且其公允价值变动计入损益的金融资产在资产负债表中以交易性金融资产列示。</w:t>
      </w:r>
    </w:p>
    <w:p w:rsidR="001124D8" w:rsidRDefault="00C50050">
      <w:pPr>
        <w:spacing w:before="29" w:line="288" w:lineRule="auto"/>
        <w:ind w:firstLineChars="200" w:firstLine="480"/>
        <w:rPr>
          <w:color w:val="000000"/>
          <w:sz w:val="24"/>
        </w:rPr>
      </w:pPr>
      <w:r>
        <w:rPr>
          <w:color w:val="000000"/>
          <w:sz w:val="24"/>
        </w:rPr>
        <w:t>本基金持有的其他金融资产分类为应收款项，包括银行存款、买入返售金融资产和其他各类应收款项等。应收款项是指在活跃市场中没有报价、回收金额固定或可确定的非衍生金融资产。</w:t>
      </w:r>
    </w:p>
    <w:p w:rsidR="001124D8" w:rsidRDefault="00C50050">
      <w:pPr>
        <w:spacing w:before="29" w:line="288" w:lineRule="auto"/>
        <w:ind w:firstLineChars="200" w:firstLine="480"/>
        <w:rPr>
          <w:color w:val="000000"/>
          <w:sz w:val="24"/>
        </w:rPr>
      </w:pPr>
      <w:r>
        <w:rPr>
          <w:color w:val="000000"/>
          <w:sz w:val="24"/>
        </w:rPr>
        <w:lastRenderedPageBreak/>
        <w:t xml:space="preserve">(2) </w:t>
      </w:r>
      <w:r>
        <w:rPr>
          <w:color w:val="000000"/>
          <w:sz w:val="24"/>
        </w:rPr>
        <w:t>金融负债的分类</w:t>
      </w:r>
    </w:p>
    <w:p w:rsidR="00223DFB" w:rsidRPr="0061644B" w:rsidRDefault="00223DFB" w:rsidP="00792A69">
      <w:pPr>
        <w:spacing w:before="29" w:line="288" w:lineRule="auto"/>
        <w:ind w:firstLineChars="200" w:firstLine="480"/>
        <w:rPr>
          <w:color w:val="000000"/>
          <w:sz w:val="24"/>
        </w:rPr>
      </w:pPr>
      <w:r w:rsidRPr="0061644B">
        <w:rPr>
          <w:color w:val="00000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223DFB" w:rsidRPr="0061644B" w:rsidRDefault="00223DFB" w:rsidP="00792A69">
      <w:pPr>
        <w:spacing w:before="29" w:line="288" w:lineRule="auto"/>
        <w:ind w:firstLineChars="200" w:firstLine="480"/>
        <w:rPr>
          <w:bCs/>
          <w:sz w:val="24"/>
        </w:rPr>
      </w:pPr>
    </w:p>
    <w:p w:rsidR="00223DFB" w:rsidRPr="0061644B" w:rsidRDefault="00223DFB" w:rsidP="00792A69">
      <w:pPr>
        <w:autoSpaceDE w:val="0"/>
        <w:autoSpaceDN w:val="0"/>
        <w:adjustRightInd w:val="0"/>
        <w:spacing w:before="29" w:line="288" w:lineRule="auto"/>
        <w:jc w:val="left"/>
        <w:rPr>
          <w:b/>
          <w:kern w:val="0"/>
          <w:sz w:val="24"/>
        </w:rPr>
      </w:pPr>
      <w:r w:rsidRPr="0061644B">
        <w:rPr>
          <w:b/>
          <w:bCs/>
          <w:kern w:val="0"/>
          <w:sz w:val="24"/>
        </w:rPr>
        <w:t>6.4.4.4</w:t>
      </w:r>
      <w:r w:rsidRPr="0061644B">
        <w:rPr>
          <w:b/>
          <w:kern w:val="0"/>
          <w:sz w:val="24"/>
        </w:rPr>
        <w:t>金融资产和金融负债的初始确认、后续计量和终止确认</w:t>
      </w:r>
    </w:p>
    <w:p w:rsidR="001124D8" w:rsidRDefault="00C50050">
      <w:pPr>
        <w:spacing w:before="29" w:line="288" w:lineRule="auto"/>
        <w:ind w:firstLineChars="200" w:firstLine="480"/>
        <w:rPr>
          <w:color w:val="000000"/>
          <w:sz w:val="24"/>
        </w:rPr>
      </w:pPr>
      <w:r>
        <w:rPr>
          <w:color w:val="000000"/>
          <w:sz w:val="24"/>
        </w:rPr>
        <w:t>金融资产或金融负债于本基金成为金融工具合同的一方时，按公允价值在资产负债表内确认。对于取得债券投资或资产支持证券投资支付的价款中包含的债券起息日或上次除息日至购买日止的利息，单独确认为应收项目。应收款项和其他金融负债的相关交易费用计入初始确认金额。</w:t>
      </w:r>
    </w:p>
    <w:p w:rsidR="001124D8" w:rsidRDefault="00C50050">
      <w:pPr>
        <w:spacing w:before="29" w:line="288" w:lineRule="auto"/>
        <w:ind w:firstLineChars="200" w:firstLine="480"/>
        <w:rPr>
          <w:color w:val="000000"/>
          <w:sz w:val="24"/>
        </w:rPr>
      </w:pPr>
      <w:r>
        <w:rPr>
          <w:color w:val="000000"/>
          <w:sz w:val="24"/>
        </w:rPr>
        <w:t>债券投资和资产支持证券投资按票面利率或商定利率每日计提应收利息，按实际利率法在其剩余期限内摊销其买入时的溢价或折价；同时于每一计价日计算影子价格，以避免债券投资和资产支持证券投资的账面价值与公允价值的差异导致基金资产净值发生重大偏离。对于应收款项和其他金融负债采用实际利率法，以摊余成本进行后续计量。</w:t>
      </w:r>
    </w:p>
    <w:p w:rsidR="001124D8" w:rsidRDefault="00C50050">
      <w:pPr>
        <w:spacing w:before="29" w:line="288" w:lineRule="auto"/>
        <w:ind w:firstLineChars="200" w:firstLine="480"/>
        <w:rPr>
          <w:color w:val="000000"/>
          <w:sz w:val="24"/>
        </w:rPr>
      </w:pPr>
      <w:r>
        <w:rPr>
          <w:color w:val="000000"/>
          <w:sz w:val="24"/>
        </w:rPr>
        <w:t>金融资产满足下列条件之一的，予以终止确认：</w:t>
      </w:r>
      <w:r>
        <w:rPr>
          <w:color w:val="000000"/>
          <w:sz w:val="24"/>
        </w:rPr>
        <w:t xml:space="preserve">(1) </w:t>
      </w:r>
      <w:r>
        <w:rPr>
          <w:color w:val="000000"/>
          <w:sz w:val="24"/>
        </w:rPr>
        <w:t>收取该金融资产现金流量的合同权利终止；</w:t>
      </w:r>
      <w:r>
        <w:rPr>
          <w:color w:val="000000"/>
          <w:sz w:val="24"/>
        </w:rPr>
        <w:t xml:space="preserve">(2) </w:t>
      </w:r>
      <w:r>
        <w:rPr>
          <w:color w:val="000000"/>
          <w:sz w:val="24"/>
        </w:rPr>
        <w:t>该金融资产已转移，且本基金将金融资产所有权上几乎所有的风险和报酬转移给转入方；或者</w:t>
      </w:r>
      <w:r>
        <w:rPr>
          <w:color w:val="000000"/>
          <w:sz w:val="24"/>
        </w:rPr>
        <w:t xml:space="preserve">(3) </w:t>
      </w:r>
      <w:r>
        <w:rPr>
          <w:color w:val="000000"/>
          <w:sz w:val="24"/>
        </w:rPr>
        <w:t>该金融资产已转移，虽然本基金既没有转移也没有保留金融资产所有权上几乎所有的风险和报酬，但是放弃了对该金融资产控制。</w:t>
      </w:r>
    </w:p>
    <w:p w:rsidR="001124D8" w:rsidRDefault="00C50050">
      <w:pPr>
        <w:spacing w:before="29" w:line="288" w:lineRule="auto"/>
        <w:ind w:firstLineChars="200" w:firstLine="480"/>
        <w:rPr>
          <w:color w:val="000000"/>
          <w:sz w:val="24"/>
        </w:rPr>
      </w:pPr>
      <w:r>
        <w:rPr>
          <w:color w:val="000000"/>
          <w:sz w:val="24"/>
        </w:rPr>
        <w:t>金融资产终止确认时，其账面价值与收到的对价的差额，计入当期损益。</w:t>
      </w:r>
    </w:p>
    <w:p w:rsidR="00223DFB" w:rsidRPr="0061644B" w:rsidRDefault="00223DFB" w:rsidP="00792A69">
      <w:pPr>
        <w:spacing w:before="29" w:line="288" w:lineRule="auto"/>
        <w:ind w:firstLineChars="200" w:firstLine="480"/>
        <w:rPr>
          <w:color w:val="000000"/>
          <w:sz w:val="24"/>
        </w:rPr>
      </w:pPr>
      <w:r w:rsidRPr="0061644B">
        <w:rPr>
          <w:color w:val="000000"/>
          <w:sz w:val="24"/>
        </w:rPr>
        <w:t>当金融负债的现时义务全部或部分已经解除时，终止确认该金融负债或义务已解除的部分。终止确认部分的账面价值与支付的对价之间的差额，计入当期损益。</w:t>
      </w:r>
    </w:p>
    <w:p w:rsidR="00223DFB" w:rsidRPr="0061644B" w:rsidRDefault="00223DFB" w:rsidP="00792A69">
      <w:pPr>
        <w:spacing w:before="29" w:line="288" w:lineRule="auto"/>
        <w:ind w:firstLineChars="200" w:firstLine="480"/>
        <w:rPr>
          <w:bCs/>
          <w:sz w:val="24"/>
        </w:rPr>
      </w:pPr>
    </w:p>
    <w:p w:rsidR="00223DFB" w:rsidRPr="0061644B" w:rsidRDefault="00223DFB" w:rsidP="00792A69">
      <w:pPr>
        <w:autoSpaceDE w:val="0"/>
        <w:autoSpaceDN w:val="0"/>
        <w:adjustRightInd w:val="0"/>
        <w:spacing w:before="29" w:line="288" w:lineRule="auto"/>
        <w:jc w:val="left"/>
        <w:rPr>
          <w:b/>
          <w:kern w:val="0"/>
          <w:sz w:val="24"/>
        </w:rPr>
      </w:pPr>
      <w:r w:rsidRPr="0061644B">
        <w:rPr>
          <w:b/>
          <w:bCs/>
          <w:kern w:val="0"/>
          <w:sz w:val="24"/>
        </w:rPr>
        <w:t>6.4.4.5</w:t>
      </w:r>
      <w:r w:rsidRPr="0061644B">
        <w:rPr>
          <w:b/>
          <w:kern w:val="0"/>
          <w:sz w:val="24"/>
        </w:rPr>
        <w:t>金融资产和金融负债的估值原则</w:t>
      </w:r>
    </w:p>
    <w:p w:rsidR="001124D8" w:rsidRDefault="00C50050">
      <w:pPr>
        <w:spacing w:before="29" w:line="288" w:lineRule="auto"/>
        <w:ind w:firstLineChars="200" w:firstLine="480"/>
        <w:rPr>
          <w:color w:val="000000"/>
          <w:sz w:val="24"/>
        </w:rPr>
      </w:pPr>
      <w:r>
        <w:rPr>
          <w:color w:val="000000"/>
          <w:sz w:val="24"/>
        </w:rPr>
        <w:t>为了避免投资组合的账面价值与公允价值的差异导致基金资产净值发生重大偏离，从而对基金持有人的利益产生稀释或不公平的结果，基金管理人于每一计价日采用投资组合的公允价值计算影子价格。当影子价格确定的基金资产净值与摊余成本法计算的基金资产净值的负偏离度的绝对值达到或超过</w:t>
      </w:r>
      <w:r>
        <w:rPr>
          <w:color w:val="000000"/>
          <w:sz w:val="24"/>
        </w:rPr>
        <w:t>0.25%</w:t>
      </w:r>
      <w:r>
        <w:rPr>
          <w:color w:val="000000"/>
          <w:sz w:val="24"/>
        </w:rPr>
        <w:t>或正偏离度绝对值达到或超过</w:t>
      </w:r>
      <w:r>
        <w:rPr>
          <w:color w:val="000000"/>
          <w:sz w:val="24"/>
        </w:rPr>
        <w:t>0.5%</w:t>
      </w:r>
      <w:r>
        <w:rPr>
          <w:color w:val="000000"/>
          <w:sz w:val="24"/>
        </w:rPr>
        <w:t>时，基金管理人应根据相关法律法规采取相应措施，使基金资产净值更能公允地反映基金投资组合价值。</w:t>
      </w:r>
    </w:p>
    <w:p w:rsidR="001124D8" w:rsidRDefault="00C50050">
      <w:pPr>
        <w:spacing w:before="29" w:line="288" w:lineRule="auto"/>
        <w:ind w:firstLineChars="200" w:firstLine="480"/>
        <w:rPr>
          <w:color w:val="000000"/>
          <w:sz w:val="24"/>
        </w:rPr>
      </w:pPr>
      <w:r>
        <w:rPr>
          <w:color w:val="000000"/>
          <w:sz w:val="24"/>
        </w:rPr>
        <w:t>计算影子价格时按如下原则确定债券投资和资产支持证券投资的公允价值：</w:t>
      </w:r>
    </w:p>
    <w:p w:rsidR="001124D8" w:rsidRDefault="00C50050">
      <w:pPr>
        <w:spacing w:before="29" w:line="288" w:lineRule="auto"/>
        <w:ind w:firstLineChars="200" w:firstLine="480"/>
        <w:rPr>
          <w:color w:val="000000"/>
          <w:sz w:val="24"/>
        </w:rPr>
      </w:pPr>
      <w:r>
        <w:rPr>
          <w:color w:val="000000"/>
          <w:sz w:val="24"/>
        </w:rPr>
        <w:t>(1)</w:t>
      </w:r>
      <w:r>
        <w:rPr>
          <w:color w:val="000000"/>
          <w:sz w:val="24"/>
        </w:rPr>
        <w:t>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w:t>
      </w:r>
      <w:r>
        <w:rPr>
          <w:color w:val="000000"/>
          <w:sz w:val="24"/>
        </w:rPr>
        <w:lastRenderedPageBreak/>
        <w:t>素的影响。特征是指对资产出售或使用的限制等，如果该限制是针对资产持有者的，那么在估值技术中不应将该限制作为特征考虑。此外，基金管理人不应考虑因大量持有相关资产或负债所产生的溢价或折价。</w:t>
      </w:r>
    </w:p>
    <w:p w:rsidR="001124D8" w:rsidRDefault="00C50050">
      <w:pPr>
        <w:spacing w:before="29" w:line="288" w:lineRule="auto"/>
        <w:ind w:firstLineChars="200" w:firstLine="480"/>
        <w:rPr>
          <w:color w:val="000000"/>
          <w:sz w:val="24"/>
        </w:rPr>
      </w:pPr>
      <w:r>
        <w:rPr>
          <w:color w:val="000000"/>
          <w:sz w:val="24"/>
        </w:rPr>
        <w:t>(2)</w:t>
      </w:r>
      <w:r>
        <w:rPr>
          <w:color w:val="000000"/>
          <w:sz w:val="24"/>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rsidR="00223DFB" w:rsidRPr="0061644B" w:rsidRDefault="00223DFB" w:rsidP="00792A69">
      <w:pPr>
        <w:spacing w:before="29" w:line="288" w:lineRule="auto"/>
        <w:ind w:firstLineChars="200" w:firstLine="480"/>
        <w:rPr>
          <w:color w:val="000000"/>
          <w:sz w:val="24"/>
        </w:rPr>
      </w:pPr>
      <w:r w:rsidRPr="0061644B">
        <w:rPr>
          <w:color w:val="000000"/>
          <w:sz w:val="24"/>
        </w:rPr>
        <w:t>(3)</w:t>
      </w:r>
      <w:r w:rsidRPr="0061644B">
        <w:rPr>
          <w:color w:val="000000"/>
          <w:sz w:val="24"/>
        </w:rPr>
        <w:t>如经济环境发生重大变化或证券发行人发生影响金融工具价格的重大事件，应对估值进行调整并确定公允价值。</w:t>
      </w:r>
    </w:p>
    <w:p w:rsidR="00223DFB" w:rsidRPr="0061644B" w:rsidRDefault="00223DFB" w:rsidP="00792A69">
      <w:pPr>
        <w:autoSpaceDE w:val="0"/>
        <w:autoSpaceDN w:val="0"/>
        <w:adjustRightInd w:val="0"/>
        <w:spacing w:before="29" w:line="288" w:lineRule="auto"/>
        <w:jc w:val="left"/>
        <w:rPr>
          <w:b/>
          <w:kern w:val="0"/>
          <w:sz w:val="24"/>
        </w:rPr>
      </w:pPr>
    </w:p>
    <w:p w:rsidR="00223DFB" w:rsidRPr="0061644B" w:rsidRDefault="00223DFB" w:rsidP="00792A69">
      <w:pPr>
        <w:autoSpaceDE w:val="0"/>
        <w:autoSpaceDN w:val="0"/>
        <w:adjustRightInd w:val="0"/>
        <w:spacing w:before="29" w:line="288" w:lineRule="auto"/>
        <w:jc w:val="left"/>
        <w:rPr>
          <w:b/>
          <w:kern w:val="0"/>
          <w:sz w:val="24"/>
        </w:rPr>
      </w:pPr>
      <w:r w:rsidRPr="0061644B">
        <w:rPr>
          <w:b/>
          <w:bCs/>
          <w:kern w:val="0"/>
          <w:sz w:val="24"/>
        </w:rPr>
        <w:t>6.4.4.6</w:t>
      </w:r>
      <w:r w:rsidRPr="0061644B">
        <w:rPr>
          <w:b/>
          <w:kern w:val="0"/>
          <w:sz w:val="24"/>
        </w:rPr>
        <w:t>金融资产和金融负债的抵销</w:t>
      </w:r>
    </w:p>
    <w:p w:rsidR="00223DFB" w:rsidRPr="0061644B" w:rsidRDefault="00223DFB" w:rsidP="00792A69">
      <w:pPr>
        <w:spacing w:before="29" w:line="288" w:lineRule="auto"/>
        <w:ind w:firstLineChars="200" w:firstLine="480"/>
        <w:rPr>
          <w:color w:val="000000"/>
          <w:sz w:val="24"/>
        </w:rPr>
      </w:pPr>
      <w:r w:rsidRPr="0061644B">
        <w:rPr>
          <w:color w:val="000000"/>
          <w:sz w:val="24"/>
        </w:rPr>
        <w:t>本基金持有的资产和承担的负债基本为金融资产和金融负债。当本基金</w:t>
      </w:r>
      <w:r w:rsidRPr="0061644B">
        <w:rPr>
          <w:color w:val="000000"/>
          <w:sz w:val="24"/>
        </w:rPr>
        <w:t xml:space="preserve">1) </w:t>
      </w:r>
      <w:r w:rsidRPr="0061644B">
        <w:rPr>
          <w:color w:val="000000"/>
          <w:sz w:val="24"/>
        </w:rPr>
        <w:t>具有抵销已确认金额的法定权利且该种法定权利现在是可执行的；且</w:t>
      </w:r>
      <w:r w:rsidRPr="0061644B">
        <w:rPr>
          <w:color w:val="000000"/>
          <w:sz w:val="24"/>
        </w:rPr>
        <w:t xml:space="preserve">2) </w:t>
      </w:r>
      <w:r w:rsidRPr="0061644B">
        <w:rPr>
          <w:color w:val="000000"/>
          <w:sz w:val="24"/>
        </w:rPr>
        <w:t>交易双方准备按净额结算时，金融资产与金融负债按抵销后的净额在资产负债表中列示。</w:t>
      </w:r>
    </w:p>
    <w:p w:rsidR="00223DFB" w:rsidRPr="0061644B" w:rsidRDefault="00223DFB" w:rsidP="00792A69">
      <w:pPr>
        <w:spacing w:before="29" w:line="288" w:lineRule="auto"/>
        <w:ind w:firstLineChars="200" w:firstLine="480"/>
        <w:rPr>
          <w:color w:val="000000"/>
          <w:sz w:val="24"/>
        </w:rPr>
      </w:pPr>
    </w:p>
    <w:p w:rsidR="00223DFB" w:rsidRPr="0061644B" w:rsidRDefault="00223DFB" w:rsidP="00792A69">
      <w:pPr>
        <w:autoSpaceDE w:val="0"/>
        <w:autoSpaceDN w:val="0"/>
        <w:adjustRightInd w:val="0"/>
        <w:spacing w:before="29" w:line="288" w:lineRule="auto"/>
        <w:jc w:val="left"/>
        <w:rPr>
          <w:b/>
          <w:kern w:val="0"/>
          <w:sz w:val="24"/>
        </w:rPr>
      </w:pPr>
      <w:r w:rsidRPr="0061644B">
        <w:rPr>
          <w:b/>
          <w:bCs/>
          <w:kern w:val="0"/>
          <w:sz w:val="24"/>
        </w:rPr>
        <w:t>6.4.4.7</w:t>
      </w:r>
      <w:r w:rsidRPr="0061644B">
        <w:rPr>
          <w:b/>
          <w:kern w:val="0"/>
          <w:sz w:val="24"/>
        </w:rPr>
        <w:t>实收基金</w:t>
      </w:r>
    </w:p>
    <w:p w:rsidR="00223DFB" w:rsidRPr="0061644B" w:rsidRDefault="00223DFB" w:rsidP="00792A69">
      <w:pPr>
        <w:spacing w:before="29" w:line="288" w:lineRule="auto"/>
        <w:ind w:firstLineChars="200" w:firstLine="480"/>
        <w:rPr>
          <w:color w:val="000000"/>
          <w:sz w:val="24"/>
        </w:rPr>
      </w:pPr>
      <w:r w:rsidRPr="0061644B">
        <w:rPr>
          <w:color w:val="000000"/>
          <w:sz w:val="24"/>
        </w:rPr>
        <w:t>实收基金为对外发行基金份额所募集的总金额。每份基金份额面值为人民币</w:t>
      </w:r>
      <w:r w:rsidRPr="0061644B">
        <w:rPr>
          <w:color w:val="000000"/>
          <w:sz w:val="24"/>
        </w:rPr>
        <w:t>1.00</w:t>
      </w:r>
      <w:r w:rsidRPr="0061644B">
        <w:rPr>
          <w:color w:val="000000"/>
          <w:sz w:val="24"/>
        </w:rPr>
        <w:t>元。由于申购和和赎回引起的实收基金的变动分别于上述各交易确认日认列。上述申购和赎回分别包括基金转换所引起的转入基金的实收基金增加和转出基金的实收基金减少。</w:t>
      </w:r>
    </w:p>
    <w:p w:rsidR="00223DFB" w:rsidRPr="0061644B" w:rsidRDefault="00223DFB" w:rsidP="00792A69">
      <w:pPr>
        <w:spacing w:before="29" w:line="288" w:lineRule="auto"/>
        <w:ind w:firstLineChars="200" w:firstLine="480"/>
        <w:rPr>
          <w:bCs/>
          <w:sz w:val="24"/>
        </w:rPr>
      </w:pPr>
    </w:p>
    <w:p w:rsidR="00223DFB" w:rsidRPr="0061644B" w:rsidRDefault="00223DFB" w:rsidP="00792A69">
      <w:pPr>
        <w:autoSpaceDE w:val="0"/>
        <w:autoSpaceDN w:val="0"/>
        <w:adjustRightInd w:val="0"/>
        <w:spacing w:before="29" w:line="288" w:lineRule="auto"/>
        <w:jc w:val="left"/>
        <w:rPr>
          <w:b/>
          <w:kern w:val="0"/>
          <w:sz w:val="24"/>
        </w:rPr>
      </w:pPr>
      <w:r w:rsidRPr="0061644B">
        <w:rPr>
          <w:b/>
          <w:bCs/>
          <w:kern w:val="0"/>
          <w:sz w:val="24"/>
        </w:rPr>
        <w:t>6.4.4.8</w:t>
      </w:r>
      <w:r w:rsidRPr="0061644B">
        <w:rPr>
          <w:b/>
          <w:kern w:val="0"/>
          <w:sz w:val="24"/>
        </w:rPr>
        <w:t>收入</w:t>
      </w:r>
      <w:r w:rsidRPr="0061644B">
        <w:rPr>
          <w:b/>
          <w:kern w:val="0"/>
          <w:sz w:val="24"/>
        </w:rPr>
        <w:t>/(</w:t>
      </w:r>
      <w:r w:rsidRPr="0061644B">
        <w:rPr>
          <w:b/>
          <w:kern w:val="0"/>
          <w:sz w:val="24"/>
        </w:rPr>
        <w:t>损失</w:t>
      </w:r>
      <w:r w:rsidRPr="0061644B">
        <w:rPr>
          <w:b/>
          <w:kern w:val="0"/>
          <w:sz w:val="24"/>
        </w:rPr>
        <w:t>)</w:t>
      </w:r>
      <w:r w:rsidRPr="0061644B">
        <w:rPr>
          <w:b/>
          <w:kern w:val="0"/>
          <w:sz w:val="24"/>
        </w:rPr>
        <w:t>的确认和计量</w:t>
      </w:r>
    </w:p>
    <w:p w:rsidR="001124D8" w:rsidRDefault="00C50050">
      <w:pPr>
        <w:spacing w:before="29" w:line="288" w:lineRule="auto"/>
        <w:ind w:firstLineChars="200" w:firstLine="480"/>
        <w:rPr>
          <w:color w:val="000000"/>
          <w:sz w:val="24"/>
        </w:rPr>
      </w:pPr>
      <w:r>
        <w:rPr>
          <w:color w:val="000000"/>
          <w:sz w:val="24"/>
        </w:rPr>
        <w:t>债券投资和资产支持证券投资在持有期间按实际利率计算确定的金额扣除在适用情况下由债券发行企业代扣代缴的个人所得税后的净额确认为利息收入。</w:t>
      </w:r>
    </w:p>
    <w:p w:rsidR="001124D8" w:rsidRDefault="00C50050">
      <w:pPr>
        <w:spacing w:before="29" w:line="288" w:lineRule="auto"/>
        <w:ind w:firstLineChars="200" w:firstLine="480"/>
        <w:rPr>
          <w:color w:val="000000"/>
          <w:sz w:val="24"/>
        </w:rPr>
      </w:pPr>
      <w:r>
        <w:rPr>
          <w:color w:val="000000"/>
          <w:sz w:val="24"/>
        </w:rPr>
        <w:t>债券投资处置时其处置价格扣除相关交易费用后的净额与账面价值之间的差额确认为投资收益。</w:t>
      </w:r>
    </w:p>
    <w:p w:rsidR="00223DFB" w:rsidRPr="0061644B" w:rsidRDefault="00223DFB" w:rsidP="00792A69">
      <w:pPr>
        <w:spacing w:before="29" w:line="288" w:lineRule="auto"/>
        <w:ind w:firstLineChars="200" w:firstLine="480"/>
        <w:rPr>
          <w:color w:val="000000"/>
          <w:sz w:val="24"/>
        </w:rPr>
      </w:pPr>
      <w:r w:rsidRPr="0061644B">
        <w:rPr>
          <w:color w:val="000000"/>
          <w:sz w:val="24"/>
        </w:rPr>
        <w:t>应收款项在持有期间确认的利息收入按实际利率法计算，实际利率法与直线法差异较小的则按直线法计算。</w:t>
      </w:r>
    </w:p>
    <w:p w:rsidR="00223DFB" w:rsidRPr="0061644B" w:rsidRDefault="00223DFB" w:rsidP="00792A69">
      <w:pPr>
        <w:spacing w:before="29" w:line="288" w:lineRule="auto"/>
        <w:ind w:firstLineChars="200" w:firstLine="480"/>
        <w:rPr>
          <w:bCs/>
          <w:sz w:val="24"/>
        </w:rPr>
      </w:pPr>
    </w:p>
    <w:p w:rsidR="00223DFB" w:rsidRPr="0061644B" w:rsidRDefault="00223DFB" w:rsidP="00792A69">
      <w:pPr>
        <w:autoSpaceDE w:val="0"/>
        <w:autoSpaceDN w:val="0"/>
        <w:adjustRightInd w:val="0"/>
        <w:spacing w:before="29" w:line="288" w:lineRule="auto"/>
        <w:jc w:val="left"/>
        <w:rPr>
          <w:b/>
          <w:kern w:val="0"/>
          <w:sz w:val="24"/>
        </w:rPr>
      </w:pPr>
      <w:r w:rsidRPr="0061644B">
        <w:rPr>
          <w:b/>
          <w:bCs/>
          <w:kern w:val="0"/>
          <w:sz w:val="24"/>
        </w:rPr>
        <w:t>6.4.4.9</w:t>
      </w:r>
      <w:r w:rsidRPr="0061644B">
        <w:rPr>
          <w:b/>
          <w:kern w:val="0"/>
          <w:sz w:val="24"/>
        </w:rPr>
        <w:t>费用的确认和计量</w:t>
      </w:r>
    </w:p>
    <w:p w:rsidR="001124D8" w:rsidRDefault="00C50050">
      <w:pPr>
        <w:spacing w:before="29" w:line="288" w:lineRule="auto"/>
        <w:ind w:firstLineChars="200" w:firstLine="480"/>
        <w:rPr>
          <w:color w:val="000000"/>
          <w:sz w:val="24"/>
        </w:rPr>
      </w:pPr>
      <w:r>
        <w:rPr>
          <w:color w:val="000000"/>
          <w:sz w:val="24"/>
        </w:rPr>
        <w:t>本基金的管理人报酬、托管费和销售服务费在费用涵盖期间按基金合同约定的费率和计算方法逐日确认。</w:t>
      </w:r>
    </w:p>
    <w:p w:rsidR="00223DFB" w:rsidRPr="0061644B" w:rsidRDefault="00223DFB" w:rsidP="00792A69">
      <w:pPr>
        <w:spacing w:before="29" w:line="288" w:lineRule="auto"/>
        <w:ind w:firstLineChars="200" w:firstLine="480"/>
        <w:rPr>
          <w:color w:val="000000"/>
          <w:sz w:val="24"/>
        </w:rPr>
      </w:pPr>
      <w:r w:rsidRPr="0061644B">
        <w:rPr>
          <w:color w:val="000000"/>
          <w:sz w:val="24"/>
        </w:rPr>
        <w:t>其他金融负债在持有期间确认的利息支出按实际利率法计算，实际利率法与直线法差异较小的则按直线法计算。</w:t>
      </w:r>
    </w:p>
    <w:p w:rsidR="00223DFB" w:rsidRPr="0061644B" w:rsidRDefault="00223DFB" w:rsidP="00792A69">
      <w:pPr>
        <w:spacing w:before="29" w:line="288" w:lineRule="auto"/>
        <w:ind w:firstLineChars="200" w:firstLine="480"/>
        <w:rPr>
          <w:bCs/>
          <w:sz w:val="24"/>
        </w:rPr>
      </w:pPr>
    </w:p>
    <w:p w:rsidR="00223DFB" w:rsidRPr="0061644B" w:rsidRDefault="00223DFB" w:rsidP="00792A69">
      <w:pPr>
        <w:autoSpaceDE w:val="0"/>
        <w:autoSpaceDN w:val="0"/>
        <w:adjustRightInd w:val="0"/>
        <w:spacing w:before="29" w:line="288" w:lineRule="auto"/>
        <w:jc w:val="left"/>
        <w:rPr>
          <w:b/>
          <w:kern w:val="0"/>
          <w:sz w:val="24"/>
        </w:rPr>
      </w:pPr>
      <w:r w:rsidRPr="0061644B">
        <w:rPr>
          <w:b/>
          <w:bCs/>
          <w:kern w:val="0"/>
          <w:sz w:val="24"/>
        </w:rPr>
        <w:t>6.4.4.10</w:t>
      </w:r>
      <w:r w:rsidRPr="0061644B">
        <w:rPr>
          <w:b/>
          <w:kern w:val="0"/>
          <w:sz w:val="24"/>
        </w:rPr>
        <w:t>基金的收益分配政策</w:t>
      </w:r>
    </w:p>
    <w:p w:rsidR="00223DFB" w:rsidRPr="0061644B" w:rsidRDefault="00223DFB" w:rsidP="00792A69">
      <w:pPr>
        <w:spacing w:before="29" w:line="288" w:lineRule="auto"/>
        <w:ind w:firstLineChars="200" w:firstLine="480"/>
        <w:rPr>
          <w:color w:val="000000"/>
          <w:sz w:val="24"/>
        </w:rPr>
      </w:pPr>
      <w:r w:rsidRPr="0061644B">
        <w:rPr>
          <w:color w:val="000000"/>
          <w:sz w:val="24"/>
        </w:rPr>
        <w:lastRenderedPageBreak/>
        <w:t>本基金同一类别的每一基金份额享有同等分配权。申购的基金份额享有确认当日的分红权益，而赎回的基金份额不享有确认当日的分红权益。本基金以份额面值</w:t>
      </w:r>
      <w:r w:rsidRPr="0061644B">
        <w:rPr>
          <w:color w:val="000000"/>
          <w:sz w:val="24"/>
        </w:rPr>
        <w:t>1.00</w:t>
      </w:r>
      <w:r w:rsidRPr="0061644B">
        <w:rPr>
          <w:color w:val="000000"/>
          <w:sz w:val="24"/>
        </w:rPr>
        <w:t>元固定份额净值交易方式，每日计算当日收益并全部分配结转至应付收益科目，且每日进行支付。</w:t>
      </w:r>
    </w:p>
    <w:p w:rsidR="00223DFB" w:rsidRPr="0061644B" w:rsidRDefault="00223DFB" w:rsidP="00792A69">
      <w:pPr>
        <w:spacing w:before="29" w:line="288" w:lineRule="auto"/>
        <w:ind w:firstLineChars="200" w:firstLine="480"/>
        <w:rPr>
          <w:bCs/>
          <w:sz w:val="24"/>
        </w:rPr>
      </w:pPr>
    </w:p>
    <w:p w:rsidR="00223DFB" w:rsidRPr="0061644B" w:rsidRDefault="00223DFB" w:rsidP="00792A69">
      <w:pPr>
        <w:autoSpaceDE w:val="0"/>
        <w:autoSpaceDN w:val="0"/>
        <w:adjustRightInd w:val="0"/>
        <w:spacing w:before="29" w:line="288" w:lineRule="auto"/>
        <w:jc w:val="left"/>
        <w:rPr>
          <w:b/>
          <w:kern w:val="0"/>
          <w:sz w:val="24"/>
        </w:rPr>
      </w:pPr>
      <w:r w:rsidRPr="0061644B">
        <w:rPr>
          <w:b/>
          <w:bCs/>
          <w:kern w:val="0"/>
          <w:sz w:val="24"/>
        </w:rPr>
        <w:t>6.4.4.11</w:t>
      </w:r>
      <w:r w:rsidRPr="0061644B">
        <w:rPr>
          <w:b/>
          <w:kern w:val="0"/>
          <w:sz w:val="24"/>
        </w:rPr>
        <w:t>分部报告</w:t>
      </w:r>
    </w:p>
    <w:p w:rsidR="001124D8" w:rsidRDefault="00C50050">
      <w:pPr>
        <w:spacing w:before="29" w:line="288" w:lineRule="auto"/>
        <w:ind w:firstLineChars="200" w:firstLine="480"/>
        <w:rPr>
          <w:color w:val="000000"/>
          <w:sz w:val="24"/>
        </w:rPr>
      </w:pPr>
      <w:r>
        <w:rPr>
          <w:color w:val="000000"/>
          <w:sz w:val="24"/>
        </w:rPr>
        <w:t>本基金以内部组织结构、管理要求、内部报告制度为依据确定经营分部，以经营分部为基础确定报告分部并披露分部信息。经营分部是指本基金内同时满足下列条件的组成部分：</w:t>
      </w:r>
      <w:r>
        <w:rPr>
          <w:color w:val="000000"/>
          <w:sz w:val="24"/>
        </w:rPr>
        <w:t xml:space="preserve">(1) </w:t>
      </w:r>
      <w:r>
        <w:rPr>
          <w:color w:val="000000"/>
          <w:sz w:val="24"/>
        </w:rPr>
        <w:t>该组成部分能够在日常活动中产生收入、发生费用；</w:t>
      </w:r>
      <w:r>
        <w:rPr>
          <w:color w:val="000000"/>
          <w:sz w:val="24"/>
        </w:rPr>
        <w:t xml:space="preserve">(2) </w:t>
      </w:r>
      <w:r>
        <w:rPr>
          <w:color w:val="000000"/>
          <w:sz w:val="24"/>
        </w:rPr>
        <w:t>本基金的基金管理人能够定期评价该组成部分的经营成果，以决定向其配置资源、评价其业绩；</w:t>
      </w:r>
      <w:r>
        <w:rPr>
          <w:color w:val="000000"/>
          <w:sz w:val="24"/>
        </w:rPr>
        <w:t xml:space="preserve">(3) </w:t>
      </w:r>
      <w:r>
        <w:rPr>
          <w:color w:val="000000"/>
          <w:sz w:val="24"/>
        </w:rPr>
        <w:t>本基金能够取得该组成部分的财务状况、经营成果和现金流量等有关会计信息。如果两个或多个经营分部具有相似的经济特征，并且满足一定条件的，则合并为一个经营分部。</w:t>
      </w:r>
    </w:p>
    <w:p w:rsidR="00223DFB" w:rsidRPr="0061644B" w:rsidRDefault="00223DFB" w:rsidP="00792A69">
      <w:pPr>
        <w:spacing w:before="29" w:line="288" w:lineRule="auto"/>
        <w:ind w:firstLineChars="200" w:firstLine="480"/>
        <w:rPr>
          <w:color w:val="000000"/>
          <w:sz w:val="24"/>
        </w:rPr>
      </w:pPr>
      <w:r w:rsidRPr="0061644B">
        <w:rPr>
          <w:color w:val="000000"/>
          <w:sz w:val="24"/>
        </w:rPr>
        <w:t>本基金目前以一个单一的经营分部运作，不需要披露分部信息。</w:t>
      </w:r>
    </w:p>
    <w:p w:rsidR="00223DFB" w:rsidRPr="0061644B" w:rsidRDefault="00223DFB" w:rsidP="00792A69">
      <w:pPr>
        <w:spacing w:before="29" w:line="288" w:lineRule="auto"/>
        <w:ind w:firstLineChars="200" w:firstLine="480"/>
        <w:rPr>
          <w:bCs/>
          <w:sz w:val="24"/>
        </w:rPr>
      </w:pPr>
    </w:p>
    <w:p w:rsidR="00223DFB" w:rsidRPr="0061644B" w:rsidRDefault="00223DFB" w:rsidP="00792A69">
      <w:pPr>
        <w:autoSpaceDE w:val="0"/>
        <w:autoSpaceDN w:val="0"/>
        <w:adjustRightInd w:val="0"/>
        <w:spacing w:before="29" w:line="288" w:lineRule="auto"/>
        <w:jc w:val="left"/>
        <w:rPr>
          <w:b/>
          <w:kern w:val="0"/>
          <w:sz w:val="24"/>
        </w:rPr>
      </w:pPr>
      <w:r w:rsidRPr="0061644B">
        <w:rPr>
          <w:b/>
          <w:bCs/>
          <w:kern w:val="0"/>
          <w:sz w:val="24"/>
        </w:rPr>
        <w:t>6.4.4.12</w:t>
      </w:r>
      <w:r w:rsidRPr="0061644B">
        <w:rPr>
          <w:b/>
          <w:kern w:val="0"/>
          <w:sz w:val="24"/>
        </w:rPr>
        <w:t>其他重要的会计政策和会计估计</w:t>
      </w:r>
    </w:p>
    <w:p w:rsidR="001124D8" w:rsidRDefault="00C50050">
      <w:pPr>
        <w:spacing w:before="29" w:line="288" w:lineRule="auto"/>
        <w:ind w:firstLineChars="200" w:firstLine="480"/>
        <w:rPr>
          <w:color w:val="000000"/>
          <w:sz w:val="24"/>
        </w:rPr>
      </w:pPr>
      <w:r>
        <w:rPr>
          <w:color w:val="000000"/>
          <w:sz w:val="24"/>
        </w:rPr>
        <w:t>根据本基金的估值原则和中国证监会允许的基金行业估值实务操作，本基金计算影子价格过程中确定债券投资的公允价值时采用的估值方法及其关键假设如下：</w:t>
      </w:r>
    </w:p>
    <w:p w:rsidR="00223DFB" w:rsidRPr="0061644B" w:rsidRDefault="00223DFB" w:rsidP="00792A69">
      <w:pPr>
        <w:spacing w:before="29" w:line="288" w:lineRule="auto"/>
        <w:ind w:firstLineChars="200" w:firstLine="480"/>
        <w:rPr>
          <w:color w:val="000000"/>
          <w:sz w:val="24"/>
        </w:rPr>
      </w:pPr>
      <w:r w:rsidRPr="0061644B">
        <w:rPr>
          <w:color w:val="000000"/>
          <w:sz w:val="24"/>
        </w:rPr>
        <w:t>对于在证券交易所上市或挂牌转让的固定收益品种</w:t>
      </w:r>
      <w:r w:rsidRPr="0061644B">
        <w:rPr>
          <w:color w:val="000000"/>
          <w:sz w:val="24"/>
        </w:rPr>
        <w:t>(</w:t>
      </w:r>
      <w:r w:rsidRPr="0061644B">
        <w:rPr>
          <w:color w:val="000000"/>
          <w:sz w:val="24"/>
        </w:rPr>
        <w:t>可转换债券、资产支持证券和私募债券除外</w:t>
      </w:r>
      <w:r w:rsidRPr="0061644B">
        <w:rPr>
          <w:color w:val="000000"/>
          <w:sz w:val="24"/>
        </w:rPr>
        <w:t>)</w:t>
      </w:r>
      <w:r w:rsidRPr="0061644B">
        <w:rPr>
          <w:color w:val="000000"/>
          <w:sz w:val="24"/>
        </w:rPr>
        <w:t>及在银行间同业市场交易的固定收益品种，根据中国证监会公告</w:t>
      </w:r>
      <w:r w:rsidRPr="0061644B">
        <w:rPr>
          <w:color w:val="000000"/>
          <w:sz w:val="24"/>
        </w:rPr>
        <w:t>[2017]13</w:t>
      </w:r>
      <w:r w:rsidRPr="0061644B">
        <w:rPr>
          <w:color w:val="000000"/>
          <w:sz w:val="24"/>
        </w:rPr>
        <w:t>号《中国证监会关于证券投资基金估值业务的指导意见》及《中国证券投资基金业协会估值核算工作小组关于</w:t>
      </w:r>
      <w:r w:rsidRPr="0061644B">
        <w:rPr>
          <w:color w:val="000000"/>
          <w:sz w:val="24"/>
        </w:rPr>
        <w:t>2015</w:t>
      </w:r>
      <w:r w:rsidRPr="0061644B">
        <w:rPr>
          <w:color w:val="000000"/>
          <w:sz w:val="24"/>
        </w:rPr>
        <w:t>年</w:t>
      </w:r>
      <w:r w:rsidRPr="0061644B">
        <w:rPr>
          <w:color w:val="000000"/>
          <w:sz w:val="24"/>
        </w:rPr>
        <w:t>1</w:t>
      </w:r>
      <w:r w:rsidRPr="0061644B">
        <w:rPr>
          <w:color w:val="000000"/>
          <w:sz w:val="24"/>
        </w:rPr>
        <w:t>季度固定收益品种的估值处理标准》采用估值技术确定公允价值。本基金持有的证券交易所上市或挂牌转让的固定收益品种</w:t>
      </w:r>
      <w:r w:rsidRPr="0061644B">
        <w:rPr>
          <w:color w:val="000000"/>
          <w:sz w:val="24"/>
        </w:rPr>
        <w:t>(</w:t>
      </w:r>
      <w:r w:rsidRPr="0061644B">
        <w:rPr>
          <w:color w:val="000000"/>
          <w:sz w:val="24"/>
        </w:rPr>
        <w:t>可转换债券、资产支持证券和私募债券除外</w:t>
      </w:r>
      <w:r w:rsidRPr="0061644B">
        <w:rPr>
          <w:color w:val="000000"/>
          <w:sz w:val="24"/>
        </w:rPr>
        <w:t>)</w:t>
      </w:r>
      <w:r w:rsidRPr="0061644B">
        <w:rPr>
          <w:color w:val="000000"/>
          <w:sz w:val="24"/>
        </w:rPr>
        <w:t>，按照中证指数有限公司所独立提供的估值结果确定公允价值。本基金持有的银行间同业市场固定收益品种按照中央国债登记结算有限责任公司所独立提供的估值结果确定公允价值。</w:t>
      </w:r>
    </w:p>
    <w:p w:rsidR="00223DFB" w:rsidRPr="0061644B" w:rsidRDefault="00223DFB" w:rsidP="00792A69">
      <w:pPr>
        <w:spacing w:before="29" w:line="288" w:lineRule="auto"/>
        <w:ind w:firstLineChars="200" w:firstLine="480"/>
        <w:rPr>
          <w:bCs/>
          <w:sz w:val="24"/>
        </w:rPr>
      </w:pPr>
    </w:p>
    <w:p w:rsidR="00223DFB" w:rsidRPr="0061644B" w:rsidRDefault="00223DFB" w:rsidP="00792A69">
      <w:pPr>
        <w:autoSpaceDE w:val="0"/>
        <w:autoSpaceDN w:val="0"/>
        <w:adjustRightInd w:val="0"/>
        <w:spacing w:before="29" w:line="288" w:lineRule="auto"/>
        <w:jc w:val="left"/>
        <w:rPr>
          <w:b/>
          <w:kern w:val="0"/>
          <w:sz w:val="24"/>
        </w:rPr>
      </w:pPr>
      <w:r w:rsidRPr="0061644B">
        <w:rPr>
          <w:b/>
          <w:bCs/>
          <w:kern w:val="0"/>
          <w:sz w:val="24"/>
        </w:rPr>
        <w:t>6.4.5</w:t>
      </w:r>
      <w:r w:rsidRPr="0061644B">
        <w:rPr>
          <w:b/>
          <w:kern w:val="0"/>
          <w:sz w:val="24"/>
        </w:rPr>
        <w:t>会计政策和会计估计变更以及差错更正的说明</w:t>
      </w:r>
    </w:p>
    <w:p w:rsidR="00223DFB" w:rsidRPr="0061644B" w:rsidRDefault="00223DFB" w:rsidP="00792A69">
      <w:pPr>
        <w:autoSpaceDE w:val="0"/>
        <w:autoSpaceDN w:val="0"/>
        <w:adjustRightInd w:val="0"/>
        <w:spacing w:before="29" w:line="288" w:lineRule="auto"/>
        <w:jc w:val="left"/>
        <w:rPr>
          <w:b/>
          <w:kern w:val="0"/>
          <w:sz w:val="24"/>
        </w:rPr>
      </w:pPr>
      <w:r w:rsidRPr="0061644B">
        <w:rPr>
          <w:b/>
          <w:bCs/>
          <w:kern w:val="0"/>
          <w:sz w:val="24"/>
        </w:rPr>
        <w:t>6.4.5.1</w:t>
      </w:r>
      <w:r w:rsidRPr="0061644B">
        <w:rPr>
          <w:b/>
          <w:kern w:val="0"/>
          <w:sz w:val="24"/>
        </w:rPr>
        <w:t>会计政策变更的说明</w:t>
      </w:r>
    </w:p>
    <w:p w:rsidR="00223DFB" w:rsidRPr="0061644B" w:rsidRDefault="00223DFB" w:rsidP="00792A69">
      <w:pPr>
        <w:spacing w:before="29" w:line="288" w:lineRule="auto"/>
        <w:ind w:firstLineChars="200" w:firstLine="480"/>
        <w:rPr>
          <w:color w:val="000000"/>
          <w:sz w:val="24"/>
        </w:rPr>
      </w:pPr>
      <w:r w:rsidRPr="0061644B">
        <w:rPr>
          <w:color w:val="000000"/>
          <w:sz w:val="24"/>
        </w:rPr>
        <w:t>本基金本报告期未发生会计政策变更。</w:t>
      </w:r>
    </w:p>
    <w:p w:rsidR="00223DFB" w:rsidRPr="0061644B" w:rsidRDefault="00223DFB" w:rsidP="00792A69">
      <w:pPr>
        <w:spacing w:before="29" w:line="288" w:lineRule="auto"/>
        <w:ind w:firstLineChars="200" w:firstLine="480"/>
        <w:rPr>
          <w:bCs/>
          <w:sz w:val="24"/>
        </w:rPr>
      </w:pPr>
    </w:p>
    <w:p w:rsidR="00223DFB" w:rsidRPr="0061644B" w:rsidRDefault="00223DFB" w:rsidP="00792A69">
      <w:pPr>
        <w:autoSpaceDE w:val="0"/>
        <w:autoSpaceDN w:val="0"/>
        <w:adjustRightInd w:val="0"/>
        <w:spacing w:before="29" w:line="288" w:lineRule="auto"/>
        <w:jc w:val="left"/>
        <w:rPr>
          <w:b/>
          <w:kern w:val="0"/>
          <w:sz w:val="24"/>
        </w:rPr>
      </w:pPr>
      <w:r w:rsidRPr="0061644B">
        <w:rPr>
          <w:b/>
          <w:bCs/>
          <w:kern w:val="0"/>
          <w:sz w:val="24"/>
        </w:rPr>
        <w:t>6.4.5.2</w:t>
      </w:r>
      <w:r w:rsidRPr="0061644B">
        <w:rPr>
          <w:b/>
          <w:kern w:val="0"/>
          <w:sz w:val="24"/>
        </w:rPr>
        <w:t>会计估计变更的说明</w:t>
      </w:r>
    </w:p>
    <w:p w:rsidR="00223DFB" w:rsidRPr="0061644B" w:rsidRDefault="00223DFB" w:rsidP="00792A69">
      <w:pPr>
        <w:spacing w:before="29" w:line="288" w:lineRule="auto"/>
        <w:ind w:firstLineChars="200" w:firstLine="480"/>
        <w:rPr>
          <w:color w:val="000000"/>
          <w:sz w:val="24"/>
        </w:rPr>
      </w:pPr>
      <w:r w:rsidRPr="0061644B">
        <w:rPr>
          <w:color w:val="000000"/>
          <w:sz w:val="24"/>
        </w:rPr>
        <w:t>本基金本报告期未发生会计估计变更。</w:t>
      </w:r>
    </w:p>
    <w:p w:rsidR="00223DFB" w:rsidRPr="0061644B" w:rsidRDefault="00223DFB" w:rsidP="00792A69">
      <w:pPr>
        <w:spacing w:before="29" w:line="288" w:lineRule="auto"/>
        <w:ind w:firstLineChars="200" w:firstLine="480"/>
        <w:rPr>
          <w:bCs/>
          <w:sz w:val="24"/>
        </w:rPr>
      </w:pPr>
    </w:p>
    <w:p w:rsidR="00223DFB" w:rsidRPr="0061644B" w:rsidRDefault="00223DFB" w:rsidP="00792A69">
      <w:pPr>
        <w:autoSpaceDE w:val="0"/>
        <w:autoSpaceDN w:val="0"/>
        <w:adjustRightInd w:val="0"/>
        <w:spacing w:before="29" w:line="288" w:lineRule="auto"/>
        <w:jc w:val="left"/>
        <w:rPr>
          <w:b/>
          <w:kern w:val="0"/>
          <w:sz w:val="24"/>
        </w:rPr>
      </w:pPr>
      <w:r w:rsidRPr="0061644B">
        <w:rPr>
          <w:b/>
          <w:bCs/>
          <w:kern w:val="0"/>
          <w:sz w:val="24"/>
        </w:rPr>
        <w:t>6.4.5.3</w:t>
      </w:r>
      <w:r w:rsidRPr="0061644B">
        <w:rPr>
          <w:b/>
          <w:kern w:val="0"/>
          <w:sz w:val="24"/>
        </w:rPr>
        <w:t>差错更正的说明</w:t>
      </w:r>
    </w:p>
    <w:p w:rsidR="00223DFB" w:rsidRPr="0061644B" w:rsidRDefault="00223DFB" w:rsidP="00792A69">
      <w:pPr>
        <w:spacing w:before="29" w:line="288" w:lineRule="auto"/>
        <w:ind w:firstLineChars="200" w:firstLine="480"/>
        <w:rPr>
          <w:color w:val="000000"/>
          <w:sz w:val="24"/>
        </w:rPr>
      </w:pPr>
      <w:r w:rsidRPr="0061644B">
        <w:rPr>
          <w:color w:val="000000"/>
          <w:sz w:val="24"/>
        </w:rPr>
        <w:t>本基金在本报告期间无须说明的会计差错更正。</w:t>
      </w:r>
    </w:p>
    <w:p w:rsidR="00223DFB" w:rsidRPr="0061644B" w:rsidRDefault="00223DFB" w:rsidP="00792A69">
      <w:pPr>
        <w:spacing w:before="29" w:line="288" w:lineRule="auto"/>
        <w:ind w:firstLineChars="200" w:firstLine="480"/>
        <w:rPr>
          <w:bCs/>
          <w:sz w:val="24"/>
        </w:rPr>
      </w:pPr>
    </w:p>
    <w:p w:rsidR="00223DFB" w:rsidRPr="0061644B" w:rsidRDefault="00223DFB" w:rsidP="00792A69">
      <w:pPr>
        <w:autoSpaceDE w:val="0"/>
        <w:autoSpaceDN w:val="0"/>
        <w:adjustRightInd w:val="0"/>
        <w:spacing w:before="29" w:line="288" w:lineRule="auto"/>
        <w:jc w:val="left"/>
        <w:rPr>
          <w:b/>
          <w:kern w:val="0"/>
          <w:sz w:val="24"/>
        </w:rPr>
      </w:pPr>
      <w:r w:rsidRPr="0061644B">
        <w:rPr>
          <w:b/>
          <w:bCs/>
          <w:kern w:val="0"/>
          <w:sz w:val="24"/>
        </w:rPr>
        <w:lastRenderedPageBreak/>
        <w:t>6.4.6</w:t>
      </w:r>
      <w:r w:rsidRPr="0061644B">
        <w:rPr>
          <w:b/>
          <w:kern w:val="0"/>
          <w:sz w:val="24"/>
        </w:rPr>
        <w:t>税项</w:t>
      </w:r>
    </w:p>
    <w:p w:rsidR="001124D8" w:rsidRDefault="00C50050">
      <w:pPr>
        <w:spacing w:before="29" w:line="288" w:lineRule="auto"/>
        <w:ind w:firstLineChars="200" w:firstLine="480"/>
        <w:rPr>
          <w:color w:val="000000"/>
          <w:sz w:val="24"/>
        </w:rPr>
      </w:pPr>
      <w:r>
        <w:rPr>
          <w:color w:val="000000"/>
          <w:sz w:val="24"/>
        </w:rPr>
        <w:t>根据财政部、国家税务总局财税</w:t>
      </w:r>
      <w:r>
        <w:rPr>
          <w:color w:val="000000"/>
          <w:sz w:val="24"/>
        </w:rPr>
        <w:t>[2008]1</w:t>
      </w:r>
      <w:r>
        <w:rPr>
          <w:color w:val="000000"/>
          <w:sz w:val="24"/>
        </w:rPr>
        <w:t>号《关于企业所得税若干优惠政策的通知》、财税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号《关于租入固定资产进项税额抵扣等增值税政策的通知》及其他相关财税法规和实务操作，主要税项列示如下：</w:t>
      </w:r>
    </w:p>
    <w:p w:rsidR="001124D8" w:rsidRDefault="001124D8">
      <w:pPr>
        <w:spacing w:before="29" w:line="288" w:lineRule="auto"/>
        <w:ind w:firstLineChars="200" w:firstLine="480"/>
        <w:rPr>
          <w:color w:val="000000"/>
          <w:sz w:val="24"/>
        </w:rPr>
      </w:pPr>
    </w:p>
    <w:p w:rsidR="001124D8" w:rsidRDefault="00C50050">
      <w:pPr>
        <w:spacing w:before="29" w:line="288" w:lineRule="auto"/>
        <w:ind w:firstLineChars="200" w:firstLine="480"/>
        <w:rPr>
          <w:color w:val="000000"/>
          <w:sz w:val="24"/>
        </w:rPr>
      </w:pPr>
      <w:r>
        <w:rPr>
          <w:color w:val="000000"/>
          <w:sz w:val="24"/>
        </w:rPr>
        <w:t>(1)</w:t>
      </w:r>
      <w:r>
        <w:rPr>
          <w:color w:val="000000"/>
          <w:sz w:val="24"/>
        </w:rPr>
        <w:t>资管产品运营过程中发生的增值税应税行为，以资管产品管理人为增值税纳税人。资管产品管理人运营资管产品过程中发生的增值税应税行为，暂适用简易计税方法，按照</w:t>
      </w:r>
      <w:r>
        <w:rPr>
          <w:color w:val="000000"/>
          <w:sz w:val="24"/>
        </w:rPr>
        <w:t>3%</w:t>
      </w:r>
      <w:r>
        <w:rPr>
          <w:color w:val="000000"/>
          <w:sz w:val="24"/>
        </w:rPr>
        <w:t>的征收率缴纳增值税。对资管产品在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过程中发生的增值税应税行为，未缴纳增值税的，不再缴纳；已缴纳增值税的，已纳税额从资管产品管理人以后月份的增值税应纳税额中抵减。对证券投资基金管理人运用基金买卖债券的转让收入免征增值税，对国债、地方政府债以及金融同业往来利息收入亦免征增值税。资管产品管理人运营资管产品提供的贷款服务，以</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日起产生的利息及利息性质的收入为销售额。</w:t>
      </w:r>
    </w:p>
    <w:p w:rsidR="001124D8" w:rsidRDefault="001124D8">
      <w:pPr>
        <w:spacing w:before="29" w:line="288" w:lineRule="auto"/>
        <w:ind w:firstLineChars="200" w:firstLine="480"/>
        <w:rPr>
          <w:color w:val="000000"/>
          <w:sz w:val="24"/>
        </w:rPr>
      </w:pPr>
    </w:p>
    <w:p w:rsidR="001124D8" w:rsidRDefault="00C50050">
      <w:pPr>
        <w:spacing w:before="29" w:line="288" w:lineRule="auto"/>
        <w:ind w:firstLineChars="200" w:firstLine="480"/>
        <w:rPr>
          <w:color w:val="000000"/>
          <w:sz w:val="24"/>
        </w:rPr>
      </w:pPr>
      <w:r>
        <w:rPr>
          <w:color w:val="000000"/>
          <w:sz w:val="24"/>
        </w:rPr>
        <w:t>(2)</w:t>
      </w:r>
      <w:r>
        <w:rPr>
          <w:color w:val="000000"/>
          <w:sz w:val="24"/>
        </w:rPr>
        <w:t>对基金从证券市场中取得的收入，包括买卖债券的差价收入，债券的利息收入及其他收入，暂不征收企业所得税。</w:t>
      </w:r>
    </w:p>
    <w:p w:rsidR="001124D8" w:rsidRDefault="001124D8">
      <w:pPr>
        <w:spacing w:before="29" w:line="288" w:lineRule="auto"/>
        <w:ind w:firstLineChars="200" w:firstLine="480"/>
        <w:rPr>
          <w:color w:val="000000"/>
          <w:sz w:val="24"/>
        </w:rPr>
      </w:pPr>
    </w:p>
    <w:p w:rsidR="001124D8" w:rsidRDefault="00C50050">
      <w:pPr>
        <w:spacing w:before="29" w:line="288"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w:t>
      </w:r>
    </w:p>
    <w:p w:rsidR="001124D8" w:rsidRDefault="001124D8">
      <w:pPr>
        <w:spacing w:before="29" w:line="288" w:lineRule="auto"/>
        <w:ind w:firstLineChars="200" w:firstLine="480"/>
        <w:rPr>
          <w:color w:val="000000"/>
          <w:sz w:val="24"/>
        </w:rPr>
      </w:pPr>
    </w:p>
    <w:p w:rsidR="00223DFB" w:rsidRPr="0061644B" w:rsidRDefault="00223DFB" w:rsidP="00792A69">
      <w:pPr>
        <w:spacing w:before="29" w:line="288" w:lineRule="auto"/>
        <w:ind w:firstLineChars="200" w:firstLine="480"/>
        <w:rPr>
          <w:color w:val="000000"/>
          <w:sz w:val="24"/>
        </w:rPr>
      </w:pPr>
      <w:r w:rsidRPr="0061644B">
        <w:rPr>
          <w:color w:val="000000"/>
          <w:sz w:val="24"/>
        </w:rPr>
        <w:t>(4)</w:t>
      </w:r>
      <w:r w:rsidRPr="0061644B">
        <w:rPr>
          <w:color w:val="000000"/>
          <w:sz w:val="24"/>
        </w:rPr>
        <w:t>本基金的城市维护建设税、教育费附加和地方教育费附加等税费按照实际缴纳增值税额的适用比例计算缴纳。</w:t>
      </w:r>
    </w:p>
    <w:p w:rsidR="00223DFB" w:rsidRDefault="00223DFB" w:rsidP="00792A69">
      <w:pPr>
        <w:spacing w:before="29" w:line="288" w:lineRule="auto"/>
        <w:ind w:firstLineChars="200" w:firstLine="480"/>
        <w:rPr>
          <w:bCs/>
          <w:sz w:val="24"/>
        </w:rPr>
      </w:pPr>
    </w:p>
    <w:p w:rsidR="00DC1F4B" w:rsidRPr="0060695C" w:rsidRDefault="00DC1F4B" w:rsidP="00DC1F4B">
      <w:pPr>
        <w:autoSpaceDE w:val="0"/>
        <w:autoSpaceDN w:val="0"/>
        <w:adjustRightInd w:val="0"/>
        <w:spacing w:before="29" w:line="288" w:lineRule="auto"/>
        <w:jc w:val="left"/>
        <w:rPr>
          <w:b/>
          <w:color w:val="000000"/>
          <w:kern w:val="0"/>
          <w:sz w:val="24"/>
        </w:rPr>
      </w:pPr>
      <w:r w:rsidRPr="0060695C">
        <w:rPr>
          <w:b/>
          <w:bCs/>
          <w:color w:val="000000"/>
          <w:kern w:val="0"/>
          <w:sz w:val="24"/>
        </w:rPr>
        <w:t xml:space="preserve">6.4.7 </w:t>
      </w:r>
      <w:r w:rsidRPr="0060695C">
        <w:rPr>
          <w:b/>
          <w:color w:val="000000"/>
          <w:kern w:val="0"/>
          <w:sz w:val="24"/>
        </w:rPr>
        <w:t>关联方关系</w:t>
      </w:r>
    </w:p>
    <w:p w:rsidR="00DC1F4B" w:rsidRPr="0060695C" w:rsidRDefault="00DC1F4B" w:rsidP="00DC1F4B">
      <w:pPr>
        <w:spacing w:before="29" w:line="288" w:lineRule="auto"/>
        <w:rPr>
          <w:b/>
          <w:kern w:val="0"/>
          <w:sz w:val="24"/>
        </w:rPr>
      </w:pPr>
      <w:r w:rsidRPr="0060695C">
        <w:rPr>
          <w:b/>
          <w:bCs/>
          <w:color w:val="000000"/>
          <w:kern w:val="0"/>
          <w:sz w:val="24"/>
        </w:rPr>
        <w:t>6.4.7.1</w:t>
      </w:r>
      <w:r w:rsidRPr="0060695C">
        <w:rPr>
          <w:b/>
          <w:kern w:val="0"/>
          <w:sz w:val="24"/>
        </w:rPr>
        <w:t>本报告期存在控制关系或其他重大利害关系的关联方发生变化的情况</w:t>
      </w:r>
    </w:p>
    <w:p w:rsidR="00DC1F4B" w:rsidRPr="0060695C" w:rsidRDefault="00DC1F4B" w:rsidP="00DC1F4B">
      <w:pPr>
        <w:spacing w:before="29" w:line="288" w:lineRule="auto"/>
        <w:ind w:firstLineChars="200" w:firstLine="480"/>
        <w:rPr>
          <w:color w:val="000000"/>
          <w:sz w:val="24"/>
        </w:rPr>
      </w:pPr>
      <w:r w:rsidRPr="0060695C">
        <w:rPr>
          <w:color w:val="000000"/>
          <w:sz w:val="24"/>
        </w:rPr>
        <w:t>本基金本报告期内存在控制关系或其他重大利害关系的关联方未发生变化。</w:t>
      </w:r>
    </w:p>
    <w:p w:rsidR="00DC1F4B" w:rsidRPr="0060695C" w:rsidRDefault="00DC1F4B" w:rsidP="00DC1F4B">
      <w:pPr>
        <w:autoSpaceDE w:val="0"/>
        <w:autoSpaceDN w:val="0"/>
        <w:adjustRightInd w:val="0"/>
        <w:spacing w:before="29" w:line="288" w:lineRule="auto"/>
        <w:ind w:firstLine="405"/>
        <w:jc w:val="left"/>
        <w:rPr>
          <w:b/>
          <w:color w:val="000000"/>
          <w:kern w:val="0"/>
          <w:sz w:val="24"/>
        </w:rPr>
      </w:pPr>
    </w:p>
    <w:p w:rsidR="00DC1F4B" w:rsidRPr="0060695C" w:rsidRDefault="00DC1F4B" w:rsidP="00DC1F4B">
      <w:pPr>
        <w:spacing w:before="29" w:line="288" w:lineRule="auto"/>
        <w:rPr>
          <w:b/>
          <w:kern w:val="0"/>
          <w:sz w:val="24"/>
        </w:rPr>
      </w:pPr>
      <w:r w:rsidRPr="0060695C">
        <w:rPr>
          <w:b/>
          <w:bCs/>
          <w:color w:val="000000"/>
          <w:kern w:val="0"/>
          <w:sz w:val="24"/>
        </w:rPr>
        <w:t xml:space="preserve">6.4.7.2 </w:t>
      </w:r>
      <w:r w:rsidRPr="0060695C">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DC1F4B" w:rsidRPr="0060695C" w:rsidTr="00B258B8">
        <w:tc>
          <w:tcPr>
            <w:tcW w:w="5220" w:type="dxa"/>
            <w:vAlign w:val="center"/>
          </w:tcPr>
          <w:p w:rsidR="00DC1F4B" w:rsidRPr="0060695C" w:rsidRDefault="00DC1F4B" w:rsidP="00B258B8">
            <w:pPr>
              <w:spacing w:before="29" w:line="288" w:lineRule="auto"/>
              <w:jc w:val="center"/>
              <w:rPr>
                <w:color w:val="000000"/>
                <w:sz w:val="24"/>
              </w:rPr>
            </w:pPr>
            <w:r w:rsidRPr="0060695C">
              <w:rPr>
                <w:color w:val="000000"/>
                <w:sz w:val="24"/>
              </w:rPr>
              <w:t>关联方名称</w:t>
            </w:r>
          </w:p>
        </w:tc>
        <w:tc>
          <w:tcPr>
            <w:tcW w:w="3780" w:type="dxa"/>
            <w:vAlign w:val="center"/>
          </w:tcPr>
          <w:p w:rsidR="00DC1F4B" w:rsidRPr="0060695C" w:rsidRDefault="00DC1F4B" w:rsidP="00B258B8">
            <w:pPr>
              <w:spacing w:before="29" w:line="288" w:lineRule="auto"/>
              <w:jc w:val="center"/>
              <w:rPr>
                <w:color w:val="000000"/>
                <w:sz w:val="24"/>
              </w:rPr>
            </w:pPr>
            <w:r w:rsidRPr="0060695C">
              <w:rPr>
                <w:color w:val="000000"/>
                <w:sz w:val="24"/>
              </w:rPr>
              <w:t>与本基金的关系</w:t>
            </w:r>
          </w:p>
        </w:tc>
      </w:tr>
      <w:tr w:rsidR="001124D8">
        <w:tc>
          <w:tcPr>
            <w:tcW w:w="5219" w:type="dxa"/>
            <w:vAlign w:val="center"/>
          </w:tcPr>
          <w:p w:rsidR="001124D8" w:rsidRDefault="00C50050">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79" w:type="dxa"/>
            <w:vAlign w:val="center"/>
          </w:tcPr>
          <w:p w:rsidR="001124D8" w:rsidRDefault="00C50050">
            <w:pPr>
              <w:jc w:val="left"/>
            </w:pPr>
            <w:r>
              <w:rPr>
                <w:color w:val="000000"/>
                <w:sz w:val="24"/>
              </w:rPr>
              <w:t>基金管理人、基金销售机构、基金登记机构</w:t>
            </w:r>
          </w:p>
        </w:tc>
      </w:tr>
      <w:tr w:rsidR="001124D8">
        <w:tc>
          <w:tcPr>
            <w:tcW w:w="5219" w:type="dxa"/>
            <w:vAlign w:val="center"/>
          </w:tcPr>
          <w:p w:rsidR="001124D8" w:rsidRDefault="00C50050">
            <w:pPr>
              <w:jc w:val="left"/>
            </w:pPr>
            <w:r>
              <w:rPr>
                <w:color w:val="000000"/>
                <w:sz w:val="24"/>
              </w:rPr>
              <w:t>兴业银行股份有限公司（</w:t>
            </w:r>
            <w:r>
              <w:rPr>
                <w:color w:val="000000"/>
                <w:sz w:val="24"/>
              </w:rPr>
              <w:t>“</w:t>
            </w:r>
            <w:r>
              <w:rPr>
                <w:color w:val="000000"/>
                <w:sz w:val="24"/>
              </w:rPr>
              <w:t>兴业银行</w:t>
            </w:r>
            <w:r>
              <w:rPr>
                <w:color w:val="000000"/>
                <w:sz w:val="24"/>
              </w:rPr>
              <w:t>”</w:t>
            </w:r>
            <w:r>
              <w:rPr>
                <w:color w:val="000000"/>
                <w:sz w:val="24"/>
              </w:rPr>
              <w:t>）</w:t>
            </w:r>
          </w:p>
        </w:tc>
        <w:tc>
          <w:tcPr>
            <w:tcW w:w="3779" w:type="dxa"/>
            <w:vAlign w:val="center"/>
          </w:tcPr>
          <w:p w:rsidR="001124D8" w:rsidRDefault="00C50050">
            <w:pPr>
              <w:jc w:val="left"/>
            </w:pPr>
            <w:r>
              <w:rPr>
                <w:color w:val="000000"/>
                <w:sz w:val="24"/>
              </w:rPr>
              <w:t>基金托管人</w:t>
            </w:r>
          </w:p>
        </w:tc>
      </w:tr>
      <w:tr w:rsidR="001124D8">
        <w:tc>
          <w:tcPr>
            <w:tcW w:w="5219" w:type="dxa"/>
            <w:vAlign w:val="center"/>
          </w:tcPr>
          <w:p w:rsidR="001124D8" w:rsidRDefault="00C50050">
            <w:pPr>
              <w:jc w:val="left"/>
            </w:pPr>
            <w:r>
              <w:rPr>
                <w:color w:val="000000"/>
                <w:sz w:val="24"/>
              </w:rPr>
              <w:lastRenderedPageBreak/>
              <w:t>交通银行股份有限公司</w:t>
            </w:r>
            <w:r>
              <w:rPr>
                <w:color w:val="000000"/>
                <w:sz w:val="24"/>
              </w:rPr>
              <w:t>("</w:t>
            </w:r>
            <w:r>
              <w:rPr>
                <w:color w:val="000000"/>
                <w:sz w:val="24"/>
              </w:rPr>
              <w:t>交通银行</w:t>
            </w:r>
            <w:r>
              <w:rPr>
                <w:color w:val="000000"/>
                <w:sz w:val="24"/>
              </w:rPr>
              <w:t>")</w:t>
            </w:r>
          </w:p>
        </w:tc>
        <w:tc>
          <w:tcPr>
            <w:tcW w:w="3779" w:type="dxa"/>
            <w:vAlign w:val="center"/>
          </w:tcPr>
          <w:p w:rsidR="001124D8" w:rsidRDefault="00C50050">
            <w:pPr>
              <w:jc w:val="left"/>
            </w:pPr>
            <w:r>
              <w:rPr>
                <w:color w:val="000000"/>
                <w:sz w:val="24"/>
              </w:rPr>
              <w:t>基金管理人的股东、基金销售机构</w:t>
            </w:r>
          </w:p>
        </w:tc>
      </w:tr>
      <w:tr w:rsidR="001124D8">
        <w:tc>
          <w:tcPr>
            <w:tcW w:w="5219" w:type="dxa"/>
            <w:vAlign w:val="center"/>
          </w:tcPr>
          <w:p w:rsidR="001124D8" w:rsidRDefault="00C50050">
            <w:pPr>
              <w:jc w:val="left"/>
            </w:pPr>
            <w:r>
              <w:rPr>
                <w:color w:val="000000"/>
                <w:sz w:val="24"/>
              </w:rPr>
              <w:t>交银施罗德资产管理有限公司</w:t>
            </w:r>
          </w:p>
        </w:tc>
        <w:tc>
          <w:tcPr>
            <w:tcW w:w="3779" w:type="dxa"/>
            <w:vAlign w:val="center"/>
          </w:tcPr>
          <w:p w:rsidR="001124D8" w:rsidRDefault="00C50050">
            <w:pPr>
              <w:jc w:val="left"/>
            </w:pPr>
            <w:r>
              <w:rPr>
                <w:color w:val="000000"/>
                <w:sz w:val="24"/>
              </w:rPr>
              <w:t>基金管理人的子公司</w:t>
            </w:r>
          </w:p>
        </w:tc>
      </w:tr>
    </w:tbl>
    <w:p w:rsidR="00DC1F4B" w:rsidRPr="0060695C" w:rsidRDefault="00DC1F4B" w:rsidP="00DC1F4B">
      <w:pPr>
        <w:tabs>
          <w:tab w:val="left" w:pos="426"/>
        </w:tabs>
        <w:spacing w:before="29" w:line="288" w:lineRule="auto"/>
        <w:jc w:val="left"/>
        <w:rPr>
          <w:kern w:val="0"/>
          <w:sz w:val="24"/>
        </w:rPr>
      </w:pPr>
      <w:r w:rsidRPr="0060695C">
        <w:rPr>
          <w:kern w:val="0"/>
          <w:sz w:val="24"/>
        </w:rPr>
        <w:t>注：下述关联交易均在正常业务范围内按一般商业条款订立。</w:t>
      </w:r>
    </w:p>
    <w:p w:rsidR="00DC1F4B" w:rsidRPr="0060695C" w:rsidRDefault="00DC1F4B" w:rsidP="00DC1F4B">
      <w:pPr>
        <w:spacing w:before="29" w:line="288" w:lineRule="auto"/>
        <w:rPr>
          <w:color w:val="000000"/>
          <w:sz w:val="24"/>
        </w:rPr>
      </w:pPr>
      <w:r w:rsidRPr="0060695C">
        <w:rPr>
          <w:color w:val="000000"/>
          <w:sz w:val="24"/>
        </w:rPr>
        <w:tab/>
      </w:r>
    </w:p>
    <w:p w:rsidR="00DC1F4B" w:rsidRPr="0060695C" w:rsidRDefault="00DC1F4B" w:rsidP="00DC1F4B">
      <w:pPr>
        <w:autoSpaceDE w:val="0"/>
        <w:autoSpaceDN w:val="0"/>
        <w:adjustRightInd w:val="0"/>
        <w:spacing w:before="29" w:line="288" w:lineRule="auto"/>
        <w:jc w:val="left"/>
        <w:rPr>
          <w:b/>
          <w:color w:val="000000"/>
          <w:kern w:val="0"/>
          <w:sz w:val="24"/>
        </w:rPr>
      </w:pPr>
      <w:r w:rsidRPr="0060695C">
        <w:rPr>
          <w:b/>
          <w:bCs/>
          <w:color w:val="000000"/>
          <w:kern w:val="0"/>
          <w:sz w:val="24"/>
        </w:rPr>
        <w:t xml:space="preserve">6.4.8 </w:t>
      </w:r>
      <w:r w:rsidRPr="0060695C">
        <w:rPr>
          <w:b/>
          <w:color w:val="000000"/>
          <w:kern w:val="0"/>
          <w:sz w:val="24"/>
        </w:rPr>
        <w:t>本报告期及上年度可比期间的关联方交易</w:t>
      </w:r>
    </w:p>
    <w:p w:rsidR="00DC1F4B" w:rsidRPr="0060695C" w:rsidRDefault="00DC1F4B" w:rsidP="00DC1F4B">
      <w:pPr>
        <w:autoSpaceDE w:val="0"/>
        <w:autoSpaceDN w:val="0"/>
        <w:adjustRightInd w:val="0"/>
        <w:spacing w:before="29" w:line="288" w:lineRule="auto"/>
        <w:jc w:val="left"/>
        <w:rPr>
          <w:b/>
          <w:color w:val="000000"/>
          <w:kern w:val="0"/>
          <w:sz w:val="24"/>
        </w:rPr>
      </w:pPr>
      <w:r w:rsidRPr="0060695C">
        <w:rPr>
          <w:b/>
          <w:bCs/>
          <w:color w:val="000000"/>
          <w:kern w:val="0"/>
          <w:sz w:val="24"/>
        </w:rPr>
        <w:t xml:space="preserve">6.4.8.1 </w:t>
      </w:r>
      <w:r w:rsidRPr="0060695C">
        <w:rPr>
          <w:b/>
          <w:color w:val="000000"/>
          <w:kern w:val="0"/>
          <w:sz w:val="24"/>
        </w:rPr>
        <w:t>通过关联方交易单元进行的交易</w:t>
      </w:r>
    </w:p>
    <w:p w:rsidR="00DC1F4B" w:rsidRPr="0060695C" w:rsidRDefault="00DC1F4B" w:rsidP="00DC1F4B">
      <w:pPr>
        <w:spacing w:before="29" w:line="288" w:lineRule="auto"/>
        <w:ind w:firstLineChars="200" w:firstLine="480"/>
        <w:rPr>
          <w:color w:val="000000"/>
          <w:sz w:val="24"/>
        </w:rPr>
      </w:pPr>
      <w:r w:rsidRPr="0060695C">
        <w:rPr>
          <w:color w:val="000000"/>
          <w:sz w:val="24"/>
        </w:rPr>
        <w:t>本基金本报告期内无通过关联方交易单元进行的交易。</w:t>
      </w:r>
    </w:p>
    <w:p w:rsidR="00DC1F4B" w:rsidRPr="0060695C" w:rsidRDefault="00DC1F4B" w:rsidP="00DC1F4B">
      <w:pPr>
        <w:spacing w:before="29" w:line="288" w:lineRule="auto"/>
        <w:ind w:firstLineChars="200" w:firstLine="480"/>
        <w:rPr>
          <w:color w:val="000000"/>
          <w:sz w:val="24"/>
        </w:rPr>
      </w:pPr>
    </w:p>
    <w:p w:rsidR="006D141C" w:rsidRPr="0061644B" w:rsidRDefault="006D141C" w:rsidP="00792A69">
      <w:pPr>
        <w:autoSpaceDE w:val="0"/>
        <w:autoSpaceDN w:val="0"/>
        <w:adjustRightInd w:val="0"/>
        <w:spacing w:before="29" w:line="288" w:lineRule="auto"/>
        <w:jc w:val="left"/>
        <w:rPr>
          <w:b/>
          <w:kern w:val="0"/>
          <w:sz w:val="24"/>
        </w:rPr>
      </w:pPr>
      <w:r w:rsidRPr="0061644B">
        <w:rPr>
          <w:b/>
          <w:bCs/>
          <w:kern w:val="0"/>
          <w:sz w:val="24"/>
        </w:rPr>
        <w:t>6.4.8.2</w:t>
      </w:r>
      <w:r w:rsidRPr="0061644B">
        <w:rPr>
          <w:b/>
          <w:kern w:val="0"/>
          <w:sz w:val="24"/>
        </w:rPr>
        <w:t>关联方报酬</w:t>
      </w:r>
    </w:p>
    <w:p w:rsidR="006D141C" w:rsidRPr="0061644B" w:rsidRDefault="006D141C" w:rsidP="00792A69">
      <w:pPr>
        <w:autoSpaceDE w:val="0"/>
        <w:autoSpaceDN w:val="0"/>
        <w:adjustRightInd w:val="0"/>
        <w:spacing w:before="29" w:line="288" w:lineRule="auto"/>
        <w:jc w:val="left"/>
        <w:rPr>
          <w:b/>
          <w:kern w:val="0"/>
          <w:sz w:val="24"/>
        </w:rPr>
      </w:pPr>
      <w:r w:rsidRPr="0061644B">
        <w:rPr>
          <w:b/>
          <w:bCs/>
          <w:kern w:val="0"/>
          <w:sz w:val="24"/>
        </w:rPr>
        <w:t>6.4.8.2.1</w:t>
      </w:r>
      <w:r w:rsidRPr="0061644B">
        <w:rPr>
          <w:b/>
          <w:kern w:val="0"/>
          <w:sz w:val="24"/>
        </w:rPr>
        <w:t>基金管理费</w:t>
      </w:r>
    </w:p>
    <w:p w:rsidR="006D141C" w:rsidRPr="0061644B" w:rsidRDefault="005B4215" w:rsidP="00792A69">
      <w:pPr>
        <w:autoSpaceDE w:val="0"/>
        <w:autoSpaceDN w:val="0"/>
        <w:adjustRightInd w:val="0"/>
        <w:spacing w:before="29" w:line="288" w:lineRule="auto"/>
        <w:ind w:left="15" w:right="210"/>
        <w:jc w:val="right"/>
        <w:rPr>
          <w:kern w:val="0"/>
          <w:sz w:val="24"/>
        </w:rPr>
      </w:pPr>
      <w:r w:rsidRPr="0061644B">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6"/>
        <w:gridCol w:w="6222"/>
      </w:tblGrid>
      <w:tr w:rsidR="00754223" w:rsidRPr="0061644B" w:rsidTr="00754223">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项目</w:t>
            </w:r>
          </w:p>
        </w:tc>
        <w:tc>
          <w:tcPr>
            <w:tcW w:w="6223"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本期</w:t>
            </w:r>
          </w:p>
          <w:p w:rsidR="006D141C" w:rsidRPr="0061644B" w:rsidRDefault="006D141C" w:rsidP="00792A69">
            <w:pPr>
              <w:widowControl/>
              <w:autoSpaceDE w:val="0"/>
              <w:autoSpaceDN w:val="0"/>
              <w:spacing w:before="29" w:line="288" w:lineRule="auto"/>
              <w:ind w:right="-15"/>
              <w:jc w:val="center"/>
              <w:textAlignment w:val="bottom"/>
              <w:rPr>
                <w:sz w:val="24"/>
              </w:rPr>
            </w:pPr>
            <w:r w:rsidRPr="0061644B">
              <w:rPr>
                <w:sz w:val="24"/>
              </w:rPr>
              <w:t>2018</w:t>
            </w:r>
            <w:r w:rsidRPr="0061644B">
              <w:rPr>
                <w:sz w:val="24"/>
              </w:rPr>
              <w:t>年</w:t>
            </w:r>
            <w:r w:rsidRPr="0061644B">
              <w:rPr>
                <w:sz w:val="24"/>
              </w:rPr>
              <w:t>1</w:t>
            </w:r>
            <w:r w:rsidRPr="0061644B">
              <w:rPr>
                <w:sz w:val="24"/>
              </w:rPr>
              <w:t>月</w:t>
            </w:r>
            <w:r w:rsidRPr="0061644B">
              <w:rPr>
                <w:sz w:val="24"/>
              </w:rPr>
              <w:t>1</w:t>
            </w:r>
            <w:r w:rsidRPr="0061644B">
              <w:rPr>
                <w:sz w:val="24"/>
              </w:rPr>
              <w:t>日至</w:t>
            </w:r>
            <w:r w:rsidRPr="0061644B">
              <w:rPr>
                <w:sz w:val="24"/>
              </w:rPr>
              <w:t>2018</w:t>
            </w:r>
            <w:r w:rsidRPr="0061644B">
              <w:rPr>
                <w:sz w:val="24"/>
              </w:rPr>
              <w:t>年</w:t>
            </w:r>
            <w:r w:rsidRPr="0061644B">
              <w:rPr>
                <w:sz w:val="24"/>
              </w:rPr>
              <w:t>6</w:t>
            </w:r>
            <w:r w:rsidRPr="0061644B">
              <w:rPr>
                <w:sz w:val="24"/>
              </w:rPr>
              <w:t>月</w:t>
            </w:r>
            <w:r w:rsidRPr="0061644B">
              <w:rPr>
                <w:sz w:val="24"/>
              </w:rPr>
              <w:t>30</w:t>
            </w:r>
            <w:r w:rsidRPr="0061644B">
              <w:rPr>
                <w:sz w:val="24"/>
              </w:rPr>
              <w:t>日</w:t>
            </w:r>
          </w:p>
        </w:tc>
      </w:tr>
      <w:tr w:rsidR="00754223" w:rsidRPr="0061644B" w:rsidTr="00754223">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rPr>
                <w:sz w:val="24"/>
              </w:rPr>
            </w:pPr>
            <w:r w:rsidRPr="0061644B">
              <w:rPr>
                <w:sz w:val="24"/>
              </w:rPr>
              <w:t>当期发生的基金应支付的管理费</w:t>
            </w:r>
          </w:p>
        </w:tc>
        <w:tc>
          <w:tcPr>
            <w:tcW w:w="6223"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103,198.21</w:t>
            </w:r>
          </w:p>
        </w:tc>
      </w:tr>
      <w:tr w:rsidR="00754223" w:rsidRPr="0061644B" w:rsidTr="00754223">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rPr>
                <w:sz w:val="24"/>
              </w:rPr>
            </w:pPr>
            <w:r w:rsidRPr="0061644B">
              <w:rPr>
                <w:sz w:val="24"/>
              </w:rPr>
              <w:t>其中：支付销售机构的客户维护费</w:t>
            </w:r>
          </w:p>
        </w:tc>
        <w:tc>
          <w:tcPr>
            <w:tcW w:w="6223"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w:t>
            </w:r>
          </w:p>
        </w:tc>
      </w:tr>
    </w:tbl>
    <w:p w:rsidR="001124D8" w:rsidRDefault="00C50050">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0.15%</w:t>
      </w:r>
      <w:r>
        <w:rPr>
          <w:kern w:val="0"/>
          <w:sz w:val="24"/>
        </w:rPr>
        <w:t>的年费率计提，逐日累计至每月月底，按月支付。</w:t>
      </w:r>
      <w:r>
        <w:rPr>
          <w:kern w:val="0"/>
          <w:sz w:val="24"/>
        </w:rPr>
        <w:t xml:space="preserve"> </w:t>
      </w:r>
      <w:r>
        <w:rPr>
          <w:kern w:val="0"/>
          <w:sz w:val="24"/>
        </w:rPr>
        <w:t>其计算公式为：</w:t>
      </w:r>
    </w:p>
    <w:p w:rsidR="006D141C" w:rsidRPr="0061644B" w:rsidRDefault="006D141C" w:rsidP="00792A69">
      <w:pPr>
        <w:tabs>
          <w:tab w:val="left" w:pos="426"/>
        </w:tabs>
        <w:spacing w:before="29" w:line="288" w:lineRule="auto"/>
        <w:jc w:val="left"/>
        <w:rPr>
          <w:kern w:val="0"/>
          <w:sz w:val="24"/>
        </w:rPr>
      </w:pPr>
      <w:r w:rsidRPr="0061644B">
        <w:rPr>
          <w:kern w:val="0"/>
          <w:sz w:val="24"/>
        </w:rPr>
        <w:t>日管理人报酬＝前一日基金资产净值</w:t>
      </w:r>
      <w:r w:rsidRPr="0061644B">
        <w:rPr>
          <w:kern w:val="0"/>
          <w:sz w:val="24"/>
        </w:rPr>
        <w:t>×0.15%÷</w:t>
      </w:r>
      <w:r w:rsidRPr="0061644B">
        <w:rPr>
          <w:kern w:val="0"/>
          <w:sz w:val="24"/>
        </w:rPr>
        <w:t>当年天数。</w:t>
      </w:r>
    </w:p>
    <w:p w:rsidR="006D141C" w:rsidRPr="0061644B" w:rsidRDefault="006D141C" w:rsidP="00792A69">
      <w:pPr>
        <w:spacing w:before="29" w:line="288" w:lineRule="auto"/>
        <w:rPr>
          <w:sz w:val="24"/>
        </w:rPr>
      </w:pPr>
    </w:p>
    <w:p w:rsidR="006D141C" w:rsidRPr="0061644B" w:rsidRDefault="006D141C" w:rsidP="00792A69">
      <w:pPr>
        <w:autoSpaceDE w:val="0"/>
        <w:autoSpaceDN w:val="0"/>
        <w:adjustRightInd w:val="0"/>
        <w:spacing w:before="29" w:line="288" w:lineRule="auto"/>
        <w:jc w:val="left"/>
        <w:rPr>
          <w:b/>
          <w:kern w:val="0"/>
          <w:sz w:val="24"/>
        </w:rPr>
      </w:pPr>
      <w:r w:rsidRPr="0061644B">
        <w:rPr>
          <w:b/>
          <w:bCs/>
          <w:kern w:val="0"/>
          <w:sz w:val="24"/>
        </w:rPr>
        <w:t>6.4.8.2.2</w:t>
      </w:r>
      <w:r w:rsidRPr="0061644B">
        <w:rPr>
          <w:b/>
          <w:kern w:val="0"/>
          <w:sz w:val="24"/>
        </w:rPr>
        <w:t>基金托管费</w:t>
      </w:r>
    </w:p>
    <w:p w:rsidR="006D141C" w:rsidRPr="0061644B" w:rsidRDefault="005B4215" w:rsidP="00792A69">
      <w:pPr>
        <w:autoSpaceDE w:val="0"/>
        <w:autoSpaceDN w:val="0"/>
        <w:adjustRightInd w:val="0"/>
        <w:spacing w:before="29" w:line="288" w:lineRule="auto"/>
        <w:ind w:left="15" w:right="210"/>
        <w:jc w:val="right"/>
        <w:rPr>
          <w:kern w:val="0"/>
          <w:sz w:val="24"/>
        </w:rPr>
      </w:pPr>
      <w:r w:rsidRPr="0061644B">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6"/>
        <w:gridCol w:w="6222"/>
      </w:tblGrid>
      <w:tr w:rsidR="00754223" w:rsidRPr="0061644B" w:rsidTr="00754223">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项目</w:t>
            </w:r>
          </w:p>
        </w:tc>
        <w:tc>
          <w:tcPr>
            <w:tcW w:w="6223"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本期</w:t>
            </w:r>
          </w:p>
          <w:p w:rsidR="006D141C" w:rsidRPr="0061644B" w:rsidRDefault="006D141C" w:rsidP="00792A69">
            <w:pPr>
              <w:widowControl/>
              <w:autoSpaceDE w:val="0"/>
              <w:autoSpaceDN w:val="0"/>
              <w:spacing w:before="29" w:line="288" w:lineRule="auto"/>
              <w:ind w:right="-15"/>
              <w:jc w:val="center"/>
              <w:textAlignment w:val="bottom"/>
              <w:rPr>
                <w:sz w:val="24"/>
              </w:rPr>
            </w:pPr>
            <w:r w:rsidRPr="0061644B">
              <w:rPr>
                <w:sz w:val="24"/>
              </w:rPr>
              <w:t>2018</w:t>
            </w:r>
            <w:r w:rsidRPr="0061644B">
              <w:rPr>
                <w:sz w:val="24"/>
              </w:rPr>
              <w:t>年</w:t>
            </w:r>
            <w:r w:rsidRPr="0061644B">
              <w:rPr>
                <w:sz w:val="24"/>
              </w:rPr>
              <w:t>1</w:t>
            </w:r>
            <w:r w:rsidRPr="0061644B">
              <w:rPr>
                <w:sz w:val="24"/>
              </w:rPr>
              <w:t>月</w:t>
            </w:r>
            <w:r w:rsidRPr="0061644B">
              <w:rPr>
                <w:sz w:val="24"/>
              </w:rPr>
              <w:t>1</w:t>
            </w:r>
            <w:r w:rsidRPr="0061644B">
              <w:rPr>
                <w:sz w:val="24"/>
              </w:rPr>
              <w:t>日至</w:t>
            </w:r>
            <w:r w:rsidRPr="0061644B">
              <w:rPr>
                <w:sz w:val="24"/>
              </w:rPr>
              <w:t>2018</w:t>
            </w:r>
            <w:r w:rsidRPr="0061644B">
              <w:rPr>
                <w:sz w:val="24"/>
              </w:rPr>
              <w:t>年</w:t>
            </w:r>
            <w:r w:rsidRPr="0061644B">
              <w:rPr>
                <w:sz w:val="24"/>
              </w:rPr>
              <w:t>6</w:t>
            </w:r>
            <w:r w:rsidRPr="0061644B">
              <w:rPr>
                <w:sz w:val="24"/>
              </w:rPr>
              <w:t>月</w:t>
            </w:r>
            <w:r w:rsidRPr="0061644B">
              <w:rPr>
                <w:sz w:val="24"/>
              </w:rPr>
              <w:t>30</w:t>
            </w:r>
            <w:r w:rsidRPr="0061644B">
              <w:rPr>
                <w:sz w:val="24"/>
              </w:rPr>
              <w:t>日</w:t>
            </w:r>
          </w:p>
        </w:tc>
      </w:tr>
      <w:tr w:rsidR="00754223" w:rsidRPr="0061644B" w:rsidTr="00754223">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rPr>
                <w:sz w:val="24"/>
              </w:rPr>
            </w:pPr>
            <w:r w:rsidRPr="0061644B">
              <w:rPr>
                <w:sz w:val="24"/>
              </w:rPr>
              <w:t>当期发生的基金应支付的托管费</w:t>
            </w:r>
          </w:p>
        </w:tc>
        <w:tc>
          <w:tcPr>
            <w:tcW w:w="6223"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kern w:val="0"/>
                <w:sz w:val="24"/>
              </w:rPr>
            </w:pPr>
            <w:r w:rsidRPr="0061644B">
              <w:rPr>
                <w:sz w:val="24"/>
              </w:rPr>
              <w:t>34,399.44</w:t>
            </w:r>
          </w:p>
        </w:tc>
      </w:tr>
    </w:tbl>
    <w:p w:rsidR="001124D8" w:rsidRDefault="00C50050">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0.05%</w:t>
      </w:r>
      <w:r>
        <w:rPr>
          <w:kern w:val="0"/>
          <w:sz w:val="24"/>
        </w:rPr>
        <w:t>的年费率计提，逐日累计至每月月底，按月支付。</w:t>
      </w:r>
      <w:r>
        <w:rPr>
          <w:kern w:val="0"/>
          <w:sz w:val="24"/>
        </w:rPr>
        <w:t xml:space="preserve"> </w:t>
      </w:r>
      <w:r>
        <w:rPr>
          <w:kern w:val="0"/>
          <w:sz w:val="24"/>
        </w:rPr>
        <w:t>其计算公式为：</w:t>
      </w:r>
    </w:p>
    <w:p w:rsidR="006D141C" w:rsidRPr="0061644B" w:rsidRDefault="006D141C" w:rsidP="00792A69">
      <w:pPr>
        <w:tabs>
          <w:tab w:val="left" w:pos="426"/>
        </w:tabs>
        <w:spacing w:before="29" w:line="288" w:lineRule="auto"/>
        <w:jc w:val="left"/>
        <w:rPr>
          <w:kern w:val="0"/>
          <w:sz w:val="24"/>
        </w:rPr>
      </w:pPr>
      <w:r w:rsidRPr="0061644B">
        <w:rPr>
          <w:kern w:val="0"/>
          <w:sz w:val="24"/>
        </w:rPr>
        <w:t>日托管费＝前一日基金资产净值</w:t>
      </w:r>
      <w:r w:rsidRPr="0061644B">
        <w:rPr>
          <w:kern w:val="0"/>
          <w:sz w:val="24"/>
        </w:rPr>
        <w:t>×0.05%÷</w:t>
      </w:r>
      <w:r w:rsidRPr="0061644B">
        <w:rPr>
          <w:kern w:val="0"/>
          <w:sz w:val="24"/>
        </w:rPr>
        <w:t>当年天数。</w:t>
      </w:r>
    </w:p>
    <w:p w:rsidR="006D141C" w:rsidRPr="0061644B" w:rsidRDefault="006D141C" w:rsidP="00792A69">
      <w:pPr>
        <w:spacing w:before="29" w:line="288" w:lineRule="auto"/>
        <w:rPr>
          <w:sz w:val="24"/>
        </w:rPr>
      </w:pPr>
    </w:p>
    <w:p w:rsidR="006D141C" w:rsidRPr="0061644B" w:rsidRDefault="006D141C" w:rsidP="00792A69">
      <w:pPr>
        <w:autoSpaceDE w:val="0"/>
        <w:autoSpaceDN w:val="0"/>
        <w:adjustRightInd w:val="0"/>
        <w:spacing w:before="29" w:line="288" w:lineRule="auto"/>
        <w:jc w:val="left"/>
        <w:rPr>
          <w:b/>
          <w:kern w:val="0"/>
          <w:sz w:val="24"/>
        </w:rPr>
      </w:pPr>
      <w:r w:rsidRPr="0061644B">
        <w:rPr>
          <w:b/>
          <w:bCs/>
          <w:kern w:val="0"/>
          <w:sz w:val="24"/>
        </w:rPr>
        <w:t>6.4.8.2.3</w:t>
      </w:r>
      <w:r w:rsidRPr="0061644B">
        <w:rPr>
          <w:b/>
          <w:kern w:val="0"/>
          <w:sz w:val="24"/>
        </w:rPr>
        <w:t>销售服务费</w:t>
      </w:r>
    </w:p>
    <w:p w:rsidR="006D141C" w:rsidRPr="0061644B" w:rsidRDefault="005B4215" w:rsidP="00792A69">
      <w:pPr>
        <w:autoSpaceDE w:val="0"/>
        <w:autoSpaceDN w:val="0"/>
        <w:adjustRightInd w:val="0"/>
        <w:spacing w:before="29" w:line="288" w:lineRule="auto"/>
        <w:ind w:left="15" w:right="210"/>
        <w:jc w:val="right"/>
        <w:rPr>
          <w:sz w:val="24"/>
        </w:rPr>
      </w:pPr>
      <w:r w:rsidRPr="0061644B">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2348"/>
        <w:gridCol w:w="2349"/>
        <w:gridCol w:w="2349"/>
      </w:tblGrid>
      <w:tr w:rsidR="006B4A69" w:rsidRPr="0061644B" w:rsidTr="00F323AC">
        <w:trPr>
          <w:trHeight w:val="465"/>
        </w:trPr>
        <w:tc>
          <w:tcPr>
            <w:tcW w:w="1952"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widowControl/>
              <w:spacing w:before="29" w:line="288" w:lineRule="auto"/>
              <w:ind w:leftChars="-51" w:left="-107" w:rightChars="-51" w:right="-107"/>
              <w:jc w:val="center"/>
              <w:rPr>
                <w:sz w:val="24"/>
              </w:rPr>
            </w:pPr>
            <w:r w:rsidRPr="0061644B">
              <w:rPr>
                <w:sz w:val="24"/>
              </w:rPr>
              <w:t>获得销售服务费的各关联方名称</w:t>
            </w:r>
          </w:p>
        </w:tc>
        <w:tc>
          <w:tcPr>
            <w:tcW w:w="7046" w:type="dxa"/>
            <w:gridSpan w:val="3"/>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widowControl/>
              <w:autoSpaceDE w:val="0"/>
              <w:autoSpaceDN w:val="0"/>
              <w:spacing w:before="29" w:line="288" w:lineRule="auto"/>
              <w:ind w:leftChars="-51" w:left="-107" w:rightChars="-51" w:right="-107"/>
              <w:jc w:val="center"/>
              <w:textAlignment w:val="bottom"/>
              <w:rPr>
                <w:sz w:val="24"/>
              </w:rPr>
            </w:pPr>
            <w:r w:rsidRPr="0061644B">
              <w:rPr>
                <w:sz w:val="24"/>
              </w:rPr>
              <w:t>本期</w:t>
            </w:r>
          </w:p>
          <w:p w:rsidR="006D141C" w:rsidRPr="0061644B" w:rsidRDefault="006D141C" w:rsidP="00792A69">
            <w:pPr>
              <w:widowControl/>
              <w:autoSpaceDE w:val="0"/>
              <w:autoSpaceDN w:val="0"/>
              <w:spacing w:before="29" w:line="288" w:lineRule="auto"/>
              <w:ind w:leftChars="-51" w:left="-107" w:rightChars="-51" w:right="-107"/>
              <w:jc w:val="center"/>
              <w:textAlignment w:val="bottom"/>
              <w:rPr>
                <w:sz w:val="24"/>
              </w:rPr>
            </w:pPr>
            <w:r w:rsidRPr="0061644B">
              <w:rPr>
                <w:sz w:val="24"/>
              </w:rPr>
              <w:t>2018</w:t>
            </w:r>
            <w:r w:rsidRPr="0061644B">
              <w:rPr>
                <w:sz w:val="24"/>
              </w:rPr>
              <w:t>年</w:t>
            </w:r>
            <w:r w:rsidRPr="0061644B">
              <w:rPr>
                <w:sz w:val="24"/>
              </w:rPr>
              <w:t>1</w:t>
            </w:r>
            <w:r w:rsidRPr="0061644B">
              <w:rPr>
                <w:sz w:val="24"/>
              </w:rPr>
              <w:t>月</w:t>
            </w:r>
            <w:r w:rsidRPr="0061644B">
              <w:rPr>
                <w:sz w:val="24"/>
              </w:rPr>
              <w:t>1</w:t>
            </w:r>
            <w:r w:rsidRPr="0061644B">
              <w:rPr>
                <w:sz w:val="24"/>
              </w:rPr>
              <w:t>日至</w:t>
            </w:r>
            <w:r w:rsidRPr="0061644B">
              <w:rPr>
                <w:sz w:val="24"/>
              </w:rPr>
              <w:t>2018</w:t>
            </w:r>
            <w:r w:rsidRPr="0061644B">
              <w:rPr>
                <w:sz w:val="24"/>
              </w:rPr>
              <w:t>年</w:t>
            </w:r>
            <w:r w:rsidRPr="0061644B">
              <w:rPr>
                <w:sz w:val="24"/>
              </w:rPr>
              <w:t>6</w:t>
            </w:r>
            <w:r w:rsidRPr="0061644B">
              <w:rPr>
                <w:sz w:val="24"/>
              </w:rPr>
              <w:t>月</w:t>
            </w:r>
            <w:r w:rsidRPr="0061644B">
              <w:rPr>
                <w:sz w:val="24"/>
              </w:rPr>
              <w:t>30</w:t>
            </w:r>
            <w:r w:rsidRPr="0061644B">
              <w:rPr>
                <w:sz w:val="24"/>
              </w:rPr>
              <w:t>日</w:t>
            </w:r>
          </w:p>
        </w:tc>
      </w:tr>
      <w:tr w:rsidR="006B4A69" w:rsidRPr="0061644B" w:rsidTr="00F323AC">
        <w:trPr>
          <w:trHeight w:val="465"/>
        </w:trPr>
        <w:tc>
          <w:tcPr>
            <w:tcW w:w="1952" w:type="dxa"/>
            <w:vMerge/>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widowControl/>
              <w:spacing w:before="29" w:line="288" w:lineRule="auto"/>
              <w:jc w:val="left"/>
              <w:rPr>
                <w:sz w:val="24"/>
              </w:rPr>
            </w:pPr>
          </w:p>
        </w:tc>
        <w:tc>
          <w:tcPr>
            <w:tcW w:w="7046" w:type="dxa"/>
            <w:gridSpan w:val="3"/>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widowControl/>
              <w:autoSpaceDE w:val="0"/>
              <w:autoSpaceDN w:val="0"/>
              <w:spacing w:before="29" w:line="288" w:lineRule="auto"/>
              <w:ind w:leftChars="-51" w:left="-107" w:rightChars="-51" w:right="-107"/>
              <w:jc w:val="center"/>
              <w:textAlignment w:val="bottom"/>
              <w:rPr>
                <w:sz w:val="24"/>
              </w:rPr>
            </w:pPr>
            <w:r w:rsidRPr="0061644B">
              <w:rPr>
                <w:sz w:val="24"/>
              </w:rPr>
              <w:t>当期发生的基金应支付的销售服务费</w:t>
            </w:r>
          </w:p>
        </w:tc>
      </w:tr>
      <w:tr w:rsidR="006B4A69" w:rsidRPr="0061644B" w:rsidTr="00F323AC">
        <w:tc>
          <w:tcPr>
            <w:tcW w:w="1952" w:type="dxa"/>
            <w:vMerge/>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widowControl/>
              <w:spacing w:before="29" w:line="288" w:lineRule="auto"/>
              <w:jc w:val="left"/>
              <w:rPr>
                <w:sz w:val="24"/>
              </w:rPr>
            </w:pPr>
          </w:p>
        </w:tc>
        <w:tc>
          <w:tcPr>
            <w:tcW w:w="234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widowControl/>
              <w:spacing w:before="29" w:line="288" w:lineRule="auto"/>
              <w:ind w:leftChars="-51" w:left="-107" w:rightChars="-51" w:right="-107"/>
              <w:jc w:val="center"/>
              <w:rPr>
                <w:sz w:val="24"/>
              </w:rPr>
            </w:pPr>
            <w:r w:rsidRPr="0061644B">
              <w:rPr>
                <w:sz w:val="24"/>
              </w:rPr>
              <w:t>交银天运宝货币</w:t>
            </w:r>
            <w:r w:rsidRPr="0061644B">
              <w:rPr>
                <w:sz w:val="24"/>
              </w:rPr>
              <w:t>A</w:t>
            </w:r>
          </w:p>
        </w:tc>
        <w:tc>
          <w:tcPr>
            <w:tcW w:w="2349"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widowControl/>
              <w:spacing w:before="29" w:line="288" w:lineRule="auto"/>
              <w:ind w:leftChars="-51" w:left="-107" w:rightChars="-51" w:right="-107"/>
              <w:jc w:val="center"/>
              <w:rPr>
                <w:sz w:val="24"/>
              </w:rPr>
            </w:pPr>
            <w:r w:rsidRPr="0061644B">
              <w:rPr>
                <w:sz w:val="24"/>
              </w:rPr>
              <w:t>交银天运宝货币</w:t>
            </w:r>
            <w:r w:rsidRPr="0061644B">
              <w:rPr>
                <w:sz w:val="24"/>
              </w:rPr>
              <w:t>E</w:t>
            </w:r>
          </w:p>
        </w:tc>
        <w:tc>
          <w:tcPr>
            <w:tcW w:w="2349"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widowControl/>
              <w:spacing w:before="29" w:line="288" w:lineRule="auto"/>
              <w:ind w:leftChars="-51" w:left="-107" w:rightChars="-51" w:right="-107"/>
              <w:jc w:val="center"/>
              <w:rPr>
                <w:sz w:val="24"/>
              </w:rPr>
            </w:pPr>
            <w:r w:rsidRPr="0061644B">
              <w:rPr>
                <w:sz w:val="24"/>
              </w:rPr>
              <w:t>合计</w:t>
            </w:r>
          </w:p>
        </w:tc>
      </w:tr>
      <w:tr w:rsidR="001124D8">
        <w:tc>
          <w:tcPr>
            <w:tcW w:w="1952" w:type="dxa"/>
            <w:vAlign w:val="center"/>
          </w:tcPr>
          <w:p w:rsidR="001124D8" w:rsidRDefault="00C50050">
            <w:pPr>
              <w:jc w:val="center"/>
            </w:pPr>
            <w:r>
              <w:rPr>
                <w:sz w:val="24"/>
              </w:rPr>
              <w:t>交银施罗德基金公司</w:t>
            </w:r>
          </w:p>
        </w:tc>
        <w:tc>
          <w:tcPr>
            <w:tcW w:w="2348" w:type="dxa"/>
            <w:vAlign w:val="center"/>
          </w:tcPr>
          <w:p w:rsidR="001124D8" w:rsidRDefault="00C50050">
            <w:pPr>
              <w:jc w:val="center"/>
            </w:pPr>
            <w:r>
              <w:rPr>
                <w:sz w:val="24"/>
              </w:rPr>
              <w:t>97.63</w:t>
            </w:r>
          </w:p>
        </w:tc>
        <w:tc>
          <w:tcPr>
            <w:tcW w:w="2349" w:type="dxa"/>
            <w:vAlign w:val="center"/>
          </w:tcPr>
          <w:p w:rsidR="001124D8" w:rsidRDefault="00C50050">
            <w:pPr>
              <w:jc w:val="center"/>
            </w:pPr>
            <w:r>
              <w:rPr>
                <w:sz w:val="24"/>
              </w:rPr>
              <w:t>6,782.77</w:t>
            </w:r>
          </w:p>
        </w:tc>
        <w:tc>
          <w:tcPr>
            <w:tcW w:w="2349" w:type="dxa"/>
            <w:vAlign w:val="center"/>
          </w:tcPr>
          <w:p w:rsidR="001124D8" w:rsidRDefault="00C50050">
            <w:pPr>
              <w:jc w:val="center"/>
            </w:pPr>
            <w:r>
              <w:rPr>
                <w:sz w:val="24"/>
              </w:rPr>
              <w:t>6,880.40</w:t>
            </w:r>
          </w:p>
        </w:tc>
      </w:tr>
      <w:tr w:rsidR="001124D8">
        <w:tc>
          <w:tcPr>
            <w:tcW w:w="1952" w:type="dxa"/>
            <w:vAlign w:val="center"/>
          </w:tcPr>
          <w:p w:rsidR="001124D8" w:rsidRDefault="00C50050">
            <w:pPr>
              <w:jc w:val="center"/>
            </w:pPr>
            <w:r>
              <w:rPr>
                <w:sz w:val="24"/>
              </w:rPr>
              <w:t>交通银行</w:t>
            </w:r>
          </w:p>
        </w:tc>
        <w:tc>
          <w:tcPr>
            <w:tcW w:w="2348" w:type="dxa"/>
            <w:vAlign w:val="center"/>
          </w:tcPr>
          <w:p w:rsidR="001124D8" w:rsidRDefault="00C50050">
            <w:pPr>
              <w:jc w:val="center"/>
            </w:pPr>
            <w:r>
              <w:rPr>
                <w:sz w:val="24"/>
              </w:rPr>
              <w:t>2,315.64</w:t>
            </w:r>
          </w:p>
        </w:tc>
        <w:tc>
          <w:tcPr>
            <w:tcW w:w="2349" w:type="dxa"/>
            <w:vAlign w:val="center"/>
          </w:tcPr>
          <w:p w:rsidR="001124D8" w:rsidRDefault="00C50050">
            <w:pPr>
              <w:jc w:val="center"/>
            </w:pPr>
            <w:r>
              <w:rPr>
                <w:sz w:val="24"/>
              </w:rPr>
              <w:t>-</w:t>
            </w:r>
          </w:p>
        </w:tc>
        <w:tc>
          <w:tcPr>
            <w:tcW w:w="2349" w:type="dxa"/>
            <w:vAlign w:val="center"/>
          </w:tcPr>
          <w:p w:rsidR="001124D8" w:rsidRDefault="00C50050">
            <w:pPr>
              <w:jc w:val="center"/>
            </w:pPr>
            <w:r>
              <w:rPr>
                <w:sz w:val="24"/>
              </w:rPr>
              <w:t>2,315.64</w:t>
            </w:r>
          </w:p>
        </w:tc>
      </w:tr>
      <w:tr w:rsidR="00527D3A" w:rsidRPr="0061644B" w:rsidTr="00F323AC">
        <w:tc>
          <w:tcPr>
            <w:tcW w:w="1952" w:type="dxa"/>
            <w:tcBorders>
              <w:top w:val="single" w:sz="4" w:space="0" w:color="000000"/>
              <w:left w:val="single" w:sz="4" w:space="0" w:color="000000"/>
              <w:bottom w:val="single" w:sz="4" w:space="0" w:color="000000"/>
              <w:right w:val="single" w:sz="4" w:space="0" w:color="000000"/>
            </w:tcBorders>
            <w:vAlign w:val="center"/>
          </w:tcPr>
          <w:p w:rsidR="00527D3A" w:rsidRPr="0061644B" w:rsidRDefault="00527D3A" w:rsidP="00792A69">
            <w:pPr>
              <w:widowControl/>
              <w:spacing w:before="29" w:line="288" w:lineRule="auto"/>
              <w:jc w:val="left"/>
              <w:rPr>
                <w:sz w:val="24"/>
              </w:rPr>
            </w:pPr>
            <w:r w:rsidRPr="0061644B">
              <w:rPr>
                <w:sz w:val="24"/>
              </w:rPr>
              <w:t>合计</w:t>
            </w:r>
          </w:p>
        </w:tc>
        <w:tc>
          <w:tcPr>
            <w:tcW w:w="2348" w:type="dxa"/>
            <w:tcBorders>
              <w:top w:val="single" w:sz="4" w:space="0" w:color="000000"/>
              <w:left w:val="single" w:sz="4" w:space="0" w:color="000000"/>
              <w:bottom w:val="single" w:sz="4" w:space="0" w:color="000000"/>
              <w:right w:val="single" w:sz="4" w:space="0" w:color="000000"/>
            </w:tcBorders>
            <w:vAlign w:val="center"/>
          </w:tcPr>
          <w:p w:rsidR="00527D3A" w:rsidRPr="0061644B" w:rsidRDefault="00527D3A" w:rsidP="00792A69">
            <w:pPr>
              <w:spacing w:before="29" w:line="288" w:lineRule="auto"/>
              <w:jc w:val="center"/>
              <w:rPr>
                <w:sz w:val="24"/>
              </w:rPr>
            </w:pPr>
            <w:r w:rsidRPr="0061644B">
              <w:rPr>
                <w:sz w:val="24"/>
              </w:rPr>
              <w:t>2,413.27</w:t>
            </w:r>
          </w:p>
        </w:tc>
        <w:tc>
          <w:tcPr>
            <w:tcW w:w="2349" w:type="dxa"/>
            <w:tcBorders>
              <w:top w:val="single" w:sz="4" w:space="0" w:color="000000"/>
              <w:left w:val="single" w:sz="4" w:space="0" w:color="000000"/>
              <w:bottom w:val="single" w:sz="4" w:space="0" w:color="000000"/>
              <w:right w:val="single" w:sz="4" w:space="0" w:color="000000"/>
            </w:tcBorders>
            <w:vAlign w:val="center"/>
          </w:tcPr>
          <w:p w:rsidR="00527D3A" w:rsidRPr="0061644B" w:rsidRDefault="00527D3A" w:rsidP="00792A69">
            <w:pPr>
              <w:spacing w:before="29" w:line="288" w:lineRule="auto"/>
              <w:jc w:val="center"/>
              <w:rPr>
                <w:sz w:val="24"/>
              </w:rPr>
            </w:pPr>
            <w:r w:rsidRPr="0061644B">
              <w:rPr>
                <w:sz w:val="24"/>
              </w:rPr>
              <w:t>6,782.77</w:t>
            </w:r>
          </w:p>
        </w:tc>
        <w:tc>
          <w:tcPr>
            <w:tcW w:w="2349" w:type="dxa"/>
            <w:tcBorders>
              <w:top w:val="single" w:sz="4" w:space="0" w:color="000000"/>
              <w:left w:val="single" w:sz="4" w:space="0" w:color="000000"/>
              <w:bottom w:val="single" w:sz="4" w:space="0" w:color="000000"/>
              <w:right w:val="single" w:sz="4" w:space="0" w:color="000000"/>
            </w:tcBorders>
            <w:vAlign w:val="center"/>
          </w:tcPr>
          <w:p w:rsidR="00527D3A" w:rsidRPr="0061644B" w:rsidRDefault="00527D3A" w:rsidP="00792A69">
            <w:pPr>
              <w:spacing w:before="29" w:line="288" w:lineRule="auto"/>
              <w:jc w:val="center"/>
              <w:rPr>
                <w:sz w:val="24"/>
              </w:rPr>
            </w:pPr>
            <w:r w:rsidRPr="0061644B">
              <w:rPr>
                <w:sz w:val="24"/>
              </w:rPr>
              <w:t>9,196.04</w:t>
            </w:r>
          </w:p>
        </w:tc>
      </w:tr>
    </w:tbl>
    <w:p w:rsidR="001124D8" w:rsidRDefault="00C50050">
      <w:pPr>
        <w:tabs>
          <w:tab w:val="left" w:pos="426"/>
        </w:tabs>
        <w:spacing w:before="29" w:line="288" w:lineRule="auto"/>
        <w:jc w:val="left"/>
        <w:rPr>
          <w:kern w:val="0"/>
          <w:sz w:val="24"/>
        </w:rPr>
      </w:pPr>
      <w:r>
        <w:rPr>
          <w:kern w:val="0"/>
          <w:sz w:val="24"/>
        </w:rPr>
        <w:t>注：支付基金销售机构的销售服务费按前一日基金资产净值的约定年费率计提，逐日累计至每月月底，按月支付给基金管理人，再由基金管理人计算并支付给各基金销售机构。</w:t>
      </w:r>
      <w:r>
        <w:rPr>
          <w:kern w:val="0"/>
          <w:sz w:val="24"/>
        </w:rPr>
        <w:t>A</w:t>
      </w:r>
      <w:r>
        <w:rPr>
          <w:kern w:val="0"/>
          <w:sz w:val="24"/>
        </w:rPr>
        <w:t>类基金份额和</w:t>
      </w:r>
      <w:r>
        <w:rPr>
          <w:kern w:val="0"/>
          <w:sz w:val="24"/>
        </w:rPr>
        <w:t>E</w:t>
      </w:r>
      <w:r>
        <w:rPr>
          <w:kern w:val="0"/>
          <w:sz w:val="24"/>
        </w:rPr>
        <w:t>类基金份额约定的销售服务费年费率分别为</w:t>
      </w:r>
      <w:r>
        <w:rPr>
          <w:kern w:val="0"/>
          <w:sz w:val="24"/>
        </w:rPr>
        <w:t>0.25%</w:t>
      </w:r>
      <w:r>
        <w:rPr>
          <w:kern w:val="0"/>
          <w:sz w:val="24"/>
        </w:rPr>
        <w:t>和</w:t>
      </w:r>
      <w:r>
        <w:rPr>
          <w:kern w:val="0"/>
          <w:sz w:val="24"/>
        </w:rPr>
        <w:t>0.01%</w:t>
      </w:r>
      <w:r>
        <w:rPr>
          <w:kern w:val="0"/>
          <w:sz w:val="24"/>
        </w:rPr>
        <w:t>。销售服务费的计算公式为：</w:t>
      </w:r>
    </w:p>
    <w:p w:rsidR="006D141C" w:rsidRPr="0061644B" w:rsidRDefault="006D141C" w:rsidP="00792A69">
      <w:pPr>
        <w:tabs>
          <w:tab w:val="left" w:pos="426"/>
        </w:tabs>
        <w:spacing w:before="29" w:line="288" w:lineRule="auto"/>
        <w:jc w:val="left"/>
        <w:rPr>
          <w:kern w:val="0"/>
          <w:sz w:val="24"/>
        </w:rPr>
      </w:pPr>
      <w:r w:rsidRPr="0061644B">
        <w:rPr>
          <w:kern w:val="0"/>
          <w:sz w:val="24"/>
        </w:rPr>
        <w:t>日销售服务费＝前一日基金资产净值</w:t>
      </w:r>
      <w:r w:rsidRPr="0061644B">
        <w:rPr>
          <w:kern w:val="0"/>
          <w:sz w:val="24"/>
        </w:rPr>
        <w:t>×</w:t>
      </w:r>
      <w:r w:rsidRPr="0061644B">
        <w:rPr>
          <w:kern w:val="0"/>
          <w:sz w:val="24"/>
        </w:rPr>
        <w:t>约定年费率</w:t>
      </w:r>
      <w:r w:rsidRPr="0061644B">
        <w:rPr>
          <w:kern w:val="0"/>
          <w:sz w:val="24"/>
        </w:rPr>
        <w:t xml:space="preserve"> / </w:t>
      </w:r>
      <w:r w:rsidRPr="0061644B">
        <w:rPr>
          <w:kern w:val="0"/>
          <w:sz w:val="24"/>
        </w:rPr>
        <w:t>当年天数。</w:t>
      </w:r>
    </w:p>
    <w:p w:rsidR="006D141C" w:rsidRPr="0061644B" w:rsidRDefault="006D141C" w:rsidP="00792A69">
      <w:pPr>
        <w:spacing w:before="29" w:line="288" w:lineRule="auto"/>
        <w:rPr>
          <w:sz w:val="24"/>
        </w:rPr>
      </w:pPr>
    </w:p>
    <w:p w:rsidR="006D141C" w:rsidRPr="0061644B" w:rsidRDefault="006D141C" w:rsidP="00792A69">
      <w:pPr>
        <w:spacing w:before="29" w:line="288" w:lineRule="auto"/>
        <w:rPr>
          <w:b/>
          <w:bCs/>
          <w:sz w:val="24"/>
        </w:rPr>
      </w:pPr>
      <w:r w:rsidRPr="0061644B">
        <w:rPr>
          <w:b/>
          <w:bCs/>
          <w:kern w:val="0"/>
          <w:sz w:val="24"/>
        </w:rPr>
        <w:t>6.4.8.3</w:t>
      </w:r>
      <w:r w:rsidRPr="0061644B">
        <w:rPr>
          <w:b/>
          <w:bCs/>
          <w:sz w:val="24"/>
        </w:rPr>
        <w:t>与关联方进行银行间同业市场的债券</w:t>
      </w:r>
      <w:r w:rsidRPr="0061644B">
        <w:rPr>
          <w:b/>
          <w:bCs/>
          <w:sz w:val="24"/>
        </w:rPr>
        <w:t>(</w:t>
      </w:r>
      <w:r w:rsidRPr="0061644B">
        <w:rPr>
          <w:b/>
          <w:bCs/>
          <w:sz w:val="24"/>
        </w:rPr>
        <w:t>含回购</w:t>
      </w:r>
      <w:r w:rsidRPr="0061644B">
        <w:rPr>
          <w:b/>
          <w:bCs/>
          <w:sz w:val="24"/>
        </w:rPr>
        <w:t>)</w:t>
      </w:r>
      <w:r w:rsidRPr="0061644B">
        <w:rPr>
          <w:b/>
          <w:bCs/>
          <w:sz w:val="24"/>
        </w:rPr>
        <w:t>交易</w:t>
      </w:r>
    </w:p>
    <w:p w:rsidR="006D141C" w:rsidRPr="0061644B" w:rsidRDefault="006D141C" w:rsidP="00792A69">
      <w:pPr>
        <w:tabs>
          <w:tab w:val="left" w:pos="426"/>
        </w:tabs>
        <w:spacing w:before="29" w:line="288" w:lineRule="auto"/>
        <w:jc w:val="left"/>
        <w:rPr>
          <w:kern w:val="0"/>
          <w:sz w:val="24"/>
        </w:rPr>
      </w:pPr>
      <w:r w:rsidRPr="0061644B">
        <w:rPr>
          <w:kern w:val="0"/>
          <w:sz w:val="24"/>
        </w:rPr>
        <w:t>本基金本报告期内未与关联方进行银行间同业市场的债券</w:t>
      </w:r>
      <w:r w:rsidRPr="0061644B">
        <w:rPr>
          <w:kern w:val="0"/>
          <w:sz w:val="24"/>
        </w:rPr>
        <w:t>(</w:t>
      </w:r>
      <w:r w:rsidRPr="0061644B">
        <w:rPr>
          <w:kern w:val="0"/>
          <w:sz w:val="24"/>
        </w:rPr>
        <w:t>含回购</w:t>
      </w:r>
      <w:r w:rsidRPr="0061644B">
        <w:rPr>
          <w:kern w:val="0"/>
          <w:sz w:val="24"/>
        </w:rPr>
        <w:t>)</w:t>
      </w:r>
      <w:r w:rsidRPr="0061644B">
        <w:rPr>
          <w:kern w:val="0"/>
          <w:sz w:val="24"/>
        </w:rPr>
        <w:t>交易。</w:t>
      </w:r>
    </w:p>
    <w:p w:rsidR="006D141C" w:rsidRPr="0061644B" w:rsidRDefault="006D141C" w:rsidP="00792A69">
      <w:pPr>
        <w:spacing w:before="29" w:line="288" w:lineRule="auto"/>
        <w:rPr>
          <w:b/>
          <w:bCs/>
          <w:sz w:val="24"/>
        </w:rPr>
      </w:pPr>
      <w:r w:rsidRPr="0061644B">
        <w:rPr>
          <w:b/>
          <w:bCs/>
          <w:kern w:val="0"/>
          <w:sz w:val="24"/>
        </w:rPr>
        <w:t>6.4.8.4</w:t>
      </w:r>
      <w:r w:rsidRPr="0061644B">
        <w:rPr>
          <w:b/>
          <w:bCs/>
          <w:sz w:val="24"/>
        </w:rPr>
        <w:t>各关联方投资本基金的情况</w:t>
      </w:r>
    </w:p>
    <w:p w:rsidR="006D141C" w:rsidRPr="0061644B" w:rsidRDefault="006D141C" w:rsidP="00792A69">
      <w:pPr>
        <w:adjustRightInd w:val="0"/>
        <w:snapToGrid w:val="0"/>
        <w:spacing w:before="29" w:line="288" w:lineRule="auto"/>
        <w:rPr>
          <w:b/>
          <w:bCs/>
          <w:sz w:val="24"/>
        </w:rPr>
      </w:pPr>
      <w:r w:rsidRPr="0061644B">
        <w:rPr>
          <w:b/>
          <w:bCs/>
          <w:kern w:val="0"/>
          <w:sz w:val="24"/>
        </w:rPr>
        <w:t>6.4.8.4.1</w:t>
      </w:r>
      <w:r w:rsidRPr="0061644B">
        <w:rPr>
          <w:b/>
          <w:bCs/>
          <w:sz w:val="24"/>
        </w:rPr>
        <w:t>报告期内基金管理人运用固有资金投资本基金的情况</w:t>
      </w:r>
    </w:p>
    <w:p w:rsidR="006D141C" w:rsidRPr="0061644B" w:rsidRDefault="006D141C" w:rsidP="00792A69">
      <w:pPr>
        <w:autoSpaceDE w:val="0"/>
        <w:autoSpaceDN w:val="0"/>
        <w:adjustRightInd w:val="0"/>
        <w:spacing w:before="29" w:line="288" w:lineRule="auto"/>
        <w:ind w:left="15" w:right="90"/>
        <w:jc w:val="right"/>
        <w:rPr>
          <w:sz w:val="24"/>
        </w:rPr>
      </w:pPr>
      <w:r w:rsidRPr="0061644B">
        <w:rPr>
          <w:sz w:val="24"/>
        </w:rPr>
        <w:t>份额单位：份</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63"/>
        <w:gridCol w:w="1638"/>
        <w:gridCol w:w="5397"/>
      </w:tblGrid>
      <w:tr w:rsidR="00754223" w:rsidRPr="0061644B" w:rsidTr="00754223">
        <w:trPr>
          <w:trHeight w:val="340"/>
        </w:trPr>
        <w:tc>
          <w:tcPr>
            <w:tcW w:w="1963"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widowControl/>
              <w:autoSpaceDE w:val="0"/>
              <w:autoSpaceDN w:val="0"/>
              <w:spacing w:before="29" w:line="288" w:lineRule="auto"/>
              <w:ind w:leftChars="-51" w:left="-107" w:rightChars="-51" w:right="-107"/>
              <w:jc w:val="center"/>
              <w:textAlignment w:val="bottom"/>
              <w:rPr>
                <w:sz w:val="24"/>
              </w:rPr>
            </w:pPr>
            <w:r w:rsidRPr="0061644B">
              <w:rPr>
                <w:sz w:val="24"/>
              </w:rPr>
              <w:t>项目</w:t>
            </w:r>
          </w:p>
        </w:tc>
        <w:tc>
          <w:tcPr>
            <w:tcW w:w="7035"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widowControl/>
              <w:autoSpaceDE w:val="0"/>
              <w:autoSpaceDN w:val="0"/>
              <w:spacing w:before="29" w:line="288" w:lineRule="auto"/>
              <w:ind w:leftChars="-51" w:left="-107" w:rightChars="-51" w:right="-107"/>
              <w:jc w:val="center"/>
              <w:textAlignment w:val="bottom"/>
              <w:rPr>
                <w:sz w:val="24"/>
              </w:rPr>
            </w:pPr>
            <w:r w:rsidRPr="0061644B">
              <w:rPr>
                <w:sz w:val="24"/>
              </w:rPr>
              <w:t>本期</w:t>
            </w:r>
          </w:p>
          <w:p w:rsidR="006D141C" w:rsidRPr="0061644B" w:rsidRDefault="006D141C" w:rsidP="00792A69">
            <w:pPr>
              <w:widowControl/>
              <w:autoSpaceDE w:val="0"/>
              <w:autoSpaceDN w:val="0"/>
              <w:spacing w:before="29" w:line="288" w:lineRule="auto"/>
              <w:ind w:leftChars="-51" w:left="-107" w:rightChars="-51" w:right="-107"/>
              <w:jc w:val="center"/>
              <w:textAlignment w:val="bottom"/>
              <w:rPr>
                <w:sz w:val="24"/>
              </w:rPr>
            </w:pPr>
            <w:r w:rsidRPr="0061644B">
              <w:rPr>
                <w:sz w:val="24"/>
              </w:rPr>
              <w:t>2018</w:t>
            </w:r>
            <w:r w:rsidRPr="0061644B">
              <w:rPr>
                <w:sz w:val="24"/>
              </w:rPr>
              <w:t>年</w:t>
            </w:r>
            <w:r w:rsidRPr="0061644B">
              <w:rPr>
                <w:sz w:val="24"/>
              </w:rPr>
              <w:t>1</w:t>
            </w:r>
            <w:r w:rsidRPr="0061644B">
              <w:rPr>
                <w:sz w:val="24"/>
              </w:rPr>
              <w:t>月</w:t>
            </w:r>
            <w:r w:rsidRPr="0061644B">
              <w:rPr>
                <w:sz w:val="24"/>
              </w:rPr>
              <w:t>1</w:t>
            </w:r>
            <w:r w:rsidRPr="0061644B">
              <w:rPr>
                <w:sz w:val="24"/>
              </w:rPr>
              <w:t>日至</w:t>
            </w:r>
            <w:r w:rsidRPr="0061644B">
              <w:rPr>
                <w:sz w:val="24"/>
              </w:rPr>
              <w:t>2018</w:t>
            </w:r>
            <w:r w:rsidRPr="0061644B">
              <w:rPr>
                <w:sz w:val="24"/>
              </w:rPr>
              <w:t>年</w:t>
            </w:r>
            <w:r w:rsidRPr="0061644B">
              <w:rPr>
                <w:sz w:val="24"/>
              </w:rPr>
              <w:t>6</w:t>
            </w:r>
            <w:r w:rsidRPr="0061644B">
              <w:rPr>
                <w:sz w:val="24"/>
              </w:rPr>
              <w:t>月</w:t>
            </w:r>
            <w:r w:rsidRPr="0061644B">
              <w:rPr>
                <w:sz w:val="24"/>
              </w:rPr>
              <w:t>30</w:t>
            </w:r>
            <w:r w:rsidRPr="0061644B">
              <w:rPr>
                <w:sz w:val="24"/>
              </w:rPr>
              <w:t>日</w:t>
            </w:r>
          </w:p>
        </w:tc>
      </w:tr>
      <w:tr w:rsidR="00754223" w:rsidRPr="0061644B" w:rsidTr="00754223">
        <w:trPr>
          <w:trHeight w:val="340"/>
        </w:trPr>
        <w:tc>
          <w:tcPr>
            <w:tcW w:w="1963" w:type="dxa"/>
            <w:vMerge/>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widowControl/>
              <w:spacing w:before="29" w:line="288" w:lineRule="auto"/>
              <w:jc w:val="left"/>
              <w:rPr>
                <w:sz w:val="24"/>
              </w:rPr>
            </w:pPr>
          </w:p>
        </w:tc>
        <w:tc>
          <w:tcPr>
            <w:tcW w:w="163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widowControl/>
              <w:autoSpaceDE w:val="0"/>
              <w:autoSpaceDN w:val="0"/>
              <w:spacing w:before="29" w:line="288" w:lineRule="auto"/>
              <w:ind w:leftChars="-51" w:left="-107" w:rightChars="-51" w:right="-107"/>
              <w:jc w:val="center"/>
              <w:textAlignment w:val="bottom"/>
              <w:rPr>
                <w:sz w:val="24"/>
              </w:rPr>
            </w:pPr>
            <w:r w:rsidRPr="0061644B">
              <w:rPr>
                <w:sz w:val="24"/>
              </w:rPr>
              <w:t>交银天运宝货币</w:t>
            </w:r>
            <w:r w:rsidRPr="0061644B">
              <w:rPr>
                <w:sz w:val="24"/>
              </w:rPr>
              <w:t>A</w:t>
            </w:r>
          </w:p>
        </w:tc>
        <w:tc>
          <w:tcPr>
            <w:tcW w:w="539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widowControl/>
              <w:autoSpaceDE w:val="0"/>
              <w:autoSpaceDN w:val="0"/>
              <w:spacing w:before="29" w:line="288" w:lineRule="auto"/>
              <w:ind w:leftChars="-51" w:left="-107" w:rightChars="-51" w:right="-107"/>
              <w:jc w:val="center"/>
              <w:textAlignment w:val="bottom"/>
              <w:rPr>
                <w:sz w:val="24"/>
              </w:rPr>
            </w:pPr>
            <w:r w:rsidRPr="0061644B">
              <w:rPr>
                <w:sz w:val="24"/>
              </w:rPr>
              <w:t>交银天运宝货币</w:t>
            </w:r>
            <w:r w:rsidRPr="0061644B">
              <w:rPr>
                <w:sz w:val="24"/>
              </w:rPr>
              <w:t>E</w:t>
            </w:r>
          </w:p>
        </w:tc>
      </w:tr>
      <w:tr w:rsidR="00754223" w:rsidRPr="0061644B" w:rsidTr="00754223">
        <w:trPr>
          <w:trHeight w:val="340"/>
        </w:trPr>
        <w:tc>
          <w:tcPr>
            <w:tcW w:w="1963"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pStyle w:val="ad"/>
              <w:spacing w:before="29" w:line="288" w:lineRule="auto"/>
              <w:rPr>
                <w:szCs w:val="24"/>
              </w:rPr>
            </w:pPr>
            <w:r w:rsidRPr="0061644B">
              <w:rPr>
                <w:szCs w:val="24"/>
              </w:rPr>
              <w:t>基金合同生效日</w:t>
            </w:r>
            <w:r w:rsidR="00392958" w:rsidRPr="0061644B">
              <w:rPr>
                <w:szCs w:val="24"/>
              </w:rPr>
              <w:t>（</w:t>
            </w:r>
            <w:r w:rsidRPr="0061644B">
              <w:rPr>
                <w:szCs w:val="24"/>
              </w:rPr>
              <w:t>2017</w:t>
            </w:r>
            <w:r w:rsidRPr="0061644B">
              <w:rPr>
                <w:szCs w:val="24"/>
              </w:rPr>
              <w:t>年</w:t>
            </w:r>
            <w:r w:rsidRPr="0061644B">
              <w:rPr>
                <w:szCs w:val="24"/>
              </w:rPr>
              <w:t>12</w:t>
            </w:r>
            <w:r w:rsidRPr="0061644B">
              <w:rPr>
                <w:szCs w:val="24"/>
              </w:rPr>
              <w:t>月</w:t>
            </w:r>
            <w:r w:rsidRPr="0061644B">
              <w:rPr>
                <w:szCs w:val="24"/>
              </w:rPr>
              <w:t>29</w:t>
            </w:r>
            <w:r w:rsidRPr="0061644B">
              <w:rPr>
                <w:szCs w:val="24"/>
              </w:rPr>
              <w:t>日</w:t>
            </w:r>
            <w:r w:rsidR="00392958" w:rsidRPr="0061644B">
              <w:rPr>
                <w:szCs w:val="24"/>
              </w:rPr>
              <w:t>）</w:t>
            </w:r>
            <w:r w:rsidRPr="0061644B">
              <w:rPr>
                <w:szCs w:val="24"/>
              </w:rPr>
              <w:t>持有的基金份额</w:t>
            </w:r>
          </w:p>
        </w:tc>
        <w:tc>
          <w:tcPr>
            <w:tcW w:w="163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w:t>
            </w:r>
          </w:p>
        </w:tc>
        <w:tc>
          <w:tcPr>
            <w:tcW w:w="539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w:t>
            </w:r>
          </w:p>
        </w:tc>
      </w:tr>
      <w:tr w:rsidR="00754223" w:rsidRPr="0061644B" w:rsidTr="00754223">
        <w:trPr>
          <w:trHeight w:val="340"/>
        </w:trPr>
        <w:tc>
          <w:tcPr>
            <w:tcW w:w="1963"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EE0E9A" w:rsidP="00792A69">
            <w:pPr>
              <w:pStyle w:val="ad"/>
              <w:spacing w:before="29" w:line="288" w:lineRule="auto"/>
              <w:rPr>
                <w:szCs w:val="24"/>
              </w:rPr>
            </w:pPr>
            <w:r>
              <w:rPr>
                <w:rFonts w:hint="eastAsia"/>
                <w:szCs w:val="24"/>
              </w:rPr>
              <w:t>报告</w:t>
            </w:r>
            <w:r w:rsidR="006D141C" w:rsidRPr="0061644B">
              <w:rPr>
                <w:szCs w:val="24"/>
              </w:rPr>
              <w:t>期初持有的基金份额</w:t>
            </w:r>
          </w:p>
        </w:tc>
        <w:tc>
          <w:tcPr>
            <w:tcW w:w="163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3,000,000.00</w:t>
            </w:r>
          </w:p>
        </w:tc>
        <w:tc>
          <w:tcPr>
            <w:tcW w:w="539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w:t>
            </w:r>
          </w:p>
        </w:tc>
      </w:tr>
      <w:tr w:rsidR="00754223" w:rsidRPr="0061644B" w:rsidTr="00754223">
        <w:trPr>
          <w:trHeight w:val="340"/>
        </w:trPr>
        <w:tc>
          <w:tcPr>
            <w:tcW w:w="1963"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EE0E9A" w:rsidP="00792A69">
            <w:pPr>
              <w:spacing w:before="29" w:line="288" w:lineRule="auto"/>
              <w:rPr>
                <w:sz w:val="24"/>
              </w:rPr>
            </w:pPr>
            <w:r w:rsidRPr="00EE0E9A">
              <w:rPr>
                <w:rFonts w:hint="eastAsia"/>
                <w:sz w:val="24"/>
              </w:rPr>
              <w:t>报告</w:t>
            </w:r>
            <w:r w:rsidR="006D141C" w:rsidRPr="0061644B">
              <w:rPr>
                <w:sz w:val="24"/>
              </w:rPr>
              <w:t>期间申购</w:t>
            </w:r>
            <w:r w:rsidR="006D141C" w:rsidRPr="0061644B">
              <w:rPr>
                <w:sz w:val="24"/>
              </w:rPr>
              <w:t>/</w:t>
            </w:r>
            <w:r w:rsidR="006D141C" w:rsidRPr="0061644B">
              <w:rPr>
                <w:sz w:val="24"/>
              </w:rPr>
              <w:t>买入总份额</w:t>
            </w:r>
          </w:p>
        </w:tc>
        <w:tc>
          <w:tcPr>
            <w:tcW w:w="163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4,845.08</w:t>
            </w:r>
          </w:p>
        </w:tc>
        <w:tc>
          <w:tcPr>
            <w:tcW w:w="539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w:t>
            </w:r>
          </w:p>
        </w:tc>
      </w:tr>
      <w:tr w:rsidR="00754223" w:rsidRPr="0061644B" w:rsidTr="00754223">
        <w:trPr>
          <w:trHeight w:val="340"/>
        </w:trPr>
        <w:tc>
          <w:tcPr>
            <w:tcW w:w="1963"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EE0E9A" w:rsidP="00792A69">
            <w:pPr>
              <w:spacing w:before="29" w:line="288" w:lineRule="auto"/>
              <w:rPr>
                <w:sz w:val="24"/>
              </w:rPr>
            </w:pPr>
            <w:r w:rsidRPr="00EE0E9A">
              <w:rPr>
                <w:rFonts w:hint="eastAsia"/>
                <w:sz w:val="24"/>
              </w:rPr>
              <w:t>报告</w:t>
            </w:r>
            <w:r w:rsidR="006D141C" w:rsidRPr="0061644B">
              <w:rPr>
                <w:sz w:val="24"/>
              </w:rPr>
              <w:t>期间因拆分变动份额</w:t>
            </w:r>
          </w:p>
        </w:tc>
        <w:tc>
          <w:tcPr>
            <w:tcW w:w="163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w:t>
            </w:r>
          </w:p>
        </w:tc>
        <w:tc>
          <w:tcPr>
            <w:tcW w:w="539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w:t>
            </w:r>
          </w:p>
        </w:tc>
      </w:tr>
      <w:tr w:rsidR="00754223" w:rsidRPr="0061644B" w:rsidTr="00754223">
        <w:trPr>
          <w:trHeight w:val="340"/>
        </w:trPr>
        <w:tc>
          <w:tcPr>
            <w:tcW w:w="1963"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rPr>
                <w:sz w:val="24"/>
              </w:rPr>
            </w:pPr>
            <w:r w:rsidRPr="0061644B">
              <w:rPr>
                <w:sz w:val="24"/>
              </w:rPr>
              <w:t>减：</w:t>
            </w:r>
            <w:r w:rsidR="00EE0E9A" w:rsidRPr="00EE0E9A">
              <w:rPr>
                <w:rFonts w:hint="eastAsia"/>
                <w:sz w:val="24"/>
              </w:rPr>
              <w:t>报告</w:t>
            </w:r>
            <w:r w:rsidRPr="0061644B">
              <w:rPr>
                <w:sz w:val="24"/>
              </w:rPr>
              <w:t>期间赎回</w:t>
            </w:r>
            <w:r w:rsidRPr="0061644B">
              <w:rPr>
                <w:sz w:val="24"/>
              </w:rPr>
              <w:t>/</w:t>
            </w:r>
            <w:r w:rsidRPr="0061644B">
              <w:rPr>
                <w:sz w:val="24"/>
              </w:rPr>
              <w:t>卖出总份额</w:t>
            </w:r>
          </w:p>
        </w:tc>
        <w:tc>
          <w:tcPr>
            <w:tcW w:w="163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w:t>
            </w:r>
          </w:p>
        </w:tc>
        <w:tc>
          <w:tcPr>
            <w:tcW w:w="539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w:t>
            </w:r>
          </w:p>
        </w:tc>
      </w:tr>
      <w:tr w:rsidR="00754223" w:rsidRPr="0061644B" w:rsidTr="00754223">
        <w:trPr>
          <w:trHeight w:val="340"/>
        </w:trPr>
        <w:tc>
          <w:tcPr>
            <w:tcW w:w="1963"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EE0E9A" w:rsidP="00792A69">
            <w:pPr>
              <w:spacing w:before="29" w:line="288" w:lineRule="auto"/>
              <w:rPr>
                <w:sz w:val="24"/>
              </w:rPr>
            </w:pPr>
            <w:r w:rsidRPr="00EE0E9A">
              <w:rPr>
                <w:rFonts w:hint="eastAsia"/>
                <w:sz w:val="24"/>
              </w:rPr>
              <w:t>报告</w:t>
            </w:r>
            <w:r w:rsidR="006D141C" w:rsidRPr="0061644B">
              <w:rPr>
                <w:sz w:val="24"/>
              </w:rPr>
              <w:t>期末持有的基金份额</w:t>
            </w:r>
          </w:p>
        </w:tc>
        <w:tc>
          <w:tcPr>
            <w:tcW w:w="163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3,004,845.08</w:t>
            </w:r>
          </w:p>
        </w:tc>
        <w:tc>
          <w:tcPr>
            <w:tcW w:w="539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w:t>
            </w:r>
          </w:p>
        </w:tc>
      </w:tr>
      <w:tr w:rsidR="00754223" w:rsidRPr="0061644B" w:rsidTr="00754223">
        <w:trPr>
          <w:trHeight w:val="340"/>
        </w:trPr>
        <w:tc>
          <w:tcPr>
            <w:tcW w:w="1963"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EE0E9A" w:rsidP="00792A69">
            <w:pPr>
              <w:spacing w:before="29" w:line="288" w:lineRule="auto"/>
              <w:rPr>
                <w:sz w:val="24"/>
              </w:rPr>
            </w:pPr>
            <w:r w:rsidRPr="00EE0E9A">
              <w:rPr>
                <w:rFonts w:hint="eastAsia"/>
                <w:sz w:val="24"/>
              </w:rPr>
              <w:t>报告</w:t>
            </w:r>
            <w:r w:rsidR="006D141C" w:rsidRPr="0061644B">
              <w:rPr>
                <w:sz w:val="24"/>
              </w:rPr>
              <w:t>期末持有的</w:t>
            </w:r>
            <w:r w:rsidR="006D141C" w:rsidRPr="0061644B">
              <w:rPr>
                <w:sz w:val="24"/>
              </w:rPr>
              <w:lastRenderedPageBreak/>
              <w:t>基金份额占基金总份额比例</w:t>
            </w:r>
          </w:p>
        </w:tc>
        <w:tc>
          <w:tcPr>
            <w:tcW w:w="163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lastRenderedPageBreak/>
              <w:t>1.34%</w:t>
            </w:r>
          </w:p>
        </w:tc>
        <w:tc>
          <w:tcPr>
            <w:tcW w:w="539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w:t>
            </w:r>
          </w:p>
        </w:tc>
      </w:tr>
    </w:tbl>
    <w:p w:rsidR="001124D8" w:rsidRDefault="00076D5E">
      <w:pPr>
        <w:tabs>
          <w:tab w:val="left" w:pos="426"/>
        </w:tabs>
        <w:spacing w:before="29" w:line="288" w:lineRule="auto"/>
        <w:jc w:val="left"/>
        <w:rPr>
          <w:kern w:val="0"/>
          <w:sz w:val="24"/>
        </w:rPr>
      </w:pPr>
      <w:r>
        <w:rPr>
          <w:kern w:val="0"/>
          <w:sz w:val="24"/>
        </w:rPr>
        <w:t>注：</w:t>
      </w:r>
      <w:r w:rsidR="00C50050">
        <w:rPr>
          <w:kern w:val="0"/>
          <w:sz w:val="24"/>
        </w:rPr>
        <w:t>1</w:t>
      </w:r>
      <w:r w:rsidR="00C50050">
        <w:rPr>
          <w:kern w:val="0"/>
          <w:sz w:val="24"/>
        </w:rPr>
        <w:t>、如果本报告期间发生转换入、红利再投业务，则总申购份额中包含该业务。</w:t>
      </w:r>
    </w:p>
    <w:p w:rsidR="001124D8" w:rsidRDefault="00C50050">
      <w:pPr>
        <w:tabs>
          <w:tab w:val="left" w:pos="426"/>
        </w:tabs>
        <w:spacing w:before="29" w:line="288" w:lineRule="auto"/>
        <w:jc w:val="left"/>
        <w:rPr>
          <w:kern w:val="0"/>
          <w:sz w:val="24"/>
        </w:rPr>
      </w:pPr>
      <w:r>
        <w:rPr>
          <w:kern w:val="0"/>
          <w:sz w:val="24"/>
        </w:rPr>
        <w:t>2</w:t>
      </w:r>
      <w:r>
        <w:rPr>
          <w:kern w:val="0"/>
          <w:sz w:val="24"/>
        </w:rPr>
        <w:t>、如果本报告期间发生转换出业务，则总赎回份额中包含该业务。</w:t>
      </w:r>
    </w:p>
    <w:p w:rsidR="006D141C" w:rsidRPr="0061644B" w:rsidRDefault="006D141C" w:rsidP="00792A69">
      <w:pPr>
        <w:tabs>
          <w:tab w:val="left" w:pos="426"/>
        </w:tabs>
        <w:spacing w:before="29" w:line="288" w:lineRule="auto"/>
        <w:jc w:val="left"/>
        <w:rPr>
          <w:kern w:val="0"/>
          <w:sz w:val="24"/>
        </w:rPr>
      </w:pPr>
      <w:r w:rsidRPr="0061644B">
        <w:rPr>
          <w:kern w:val="0"/>
          <w:sz w:val="24"/>
        </w:rPr>
        <w:t>3</w:t>
      </w:r>
      <w:r w:rsidRPr="0061644B">
        <w:rPr>
          <w:kern w:val="0"/>
          <w:sz w:val="24"/>
        </w:rPr>
        <w:t>、基金管理人投资本基金适用的申购</w:t>
      </w:r>
      <w:r w:rsidRPr="0061644B">
        <w:rPr>
          <w:kern w:val="0"/>
          <w:sz w:val="24"/>
        </w:rPr>
        <w:t>/</w:t>
      </w:r>
      <w:r w:rsidRPr="0061644B">
        <w:rPr>
          <w:kern w:val="0"/>
          <w:sz w:val="24"/>
        </w:rPr>
        <w:t>赎回费率按照本基金招募说明书的规定执行。</w:t>
      </w:r>
    </w:p>
    <w:p w:rsidR="006D141C" w:rsidRPr="0061644B" w:rsidRDefault="007D0C4D" w:rsidP="00792A69">
      <w:pPr>
        <w:adjustRightInd w:val="0"/>
        <w:snapToGrid w:val="0"/>
        <w:spacing w:before="29" w:line="288" w:lineRule="auto"/>
        <w:jc w:val="left"/>
        <w:rPr>
          <w:bCs/>
          <w:sz w:val="24"/>
        </w:rPr>
      </w:pPr>
      <w:r w:rsidRPr="0061644B">
        <w:rPr>
          <w:bCs/>
          <w:sz w:val="24"/>
        </w:rPr>
        <w:tab/>
      </w:r>
    </w:p>
    <w:p w:rsidR="006D141C" w:rsidRPr="0061644B" w:rsidRDefault="006D141C" w:rsidP="00792A69">
      <w:pPr>
        <w:adjustRightInd w:val="0"/>
        <w:snapToGrid w:val="0"/>
        <w:spacing w:before="29" w:line="288" w:lineRule="auto"/>
        <w:rPr>
          <w:b/>
          <w:bCs/>
          <w:sz w:val="24"/>
        </w:rPr>
      </w:pPr>
      <w:r w:rsidRPr="0061644B">
        <w:rPr>
          <w:b/>
          <w:bCs/>
          <w:kern w:val="0"/>
          <w:sz w:val="24"/>
        </w:rPr>
        <w:t>6.4.8.4.2</w:t>
      </w:r>
      <w:r w:rsidRPr="0061644B">
        <w:rPr>
          <w:b/>
          <w:bCs/>
          <w:sz w:val="24"/>
        </w:rPr>
        <w:t>报告期末除基金管理人之外的其他关联方投资本基金的情况</w:t>
      </w:r>
    </w:p>
    <w:p w:rsidR="00FD2AE8" w:rsidRPr="0061644B" w:rsidRDefault="00AF77DD" w:rsidP="00792A69">
      <w:pPr>
        <w:spacing w:before="29" w:line="288" w:lineRule="auto"/>
        <w:rPr>
          <w:sz w:val="24"/>
        </w:rPr>
      </w:pPr>
      <w:r w:rsidRPr="0061644B">
        <w:rPr>
          <w:sz w:val="24"/>
        </w:rPr>
        <w:t>交银天运宝货币</w:t>
      </w:r>
      <w:r w:rsidRPr="0061644B">
        <w:rPr>
          <w:sz w:val="24"/>
        </w:rPr>
        <w:t>A</w:t>
      </w:r>
    </w:p>
    <w:p w:rsidR="006D141C" w:rsidRPr="0061644B" w:rsidRDefault="006D141C" w:rsidP="00792A69">
      <w:pPr>
        <w:tabs>
          <w:tab w:val="left" w:pos="426"/>
        </w:tabs>
        <w:spacing w:before="29" w:line="288" w:lineRule="auto"/>
        <w:jc w:val="left"/>
        <w:rPr>
          <w:kern w:val="0"/>
          <w:sz w:val="24"/>
        </w:rPr>
      </w:pPr>
      <w:r w:rsidRPr="0061644B">
        <w:rPr>
          <w:kern w:val="0"/>
          <w:sz w:val="24"/>
        </w:rPr>
        <w:t>本报告期末及上年度末除基金管理人之外的其他关联方未持有本基金。</w:t>
      </w:r>
    </w:p>
    <w:p w:rsidR="00AF77DD" w:rsidRPr="0061644B" w:rsidRDefault="00AF77DD" w:rsidP="00792A69">
      <w:pPr>
        <w:widowControl/>
        <w:spacing w:before="29" w:line="288" w:lineRule="auto"/>
        <w:rPr>
          <w:sz w:val="24"/>
        </w:rPr>
      </w:pPr>
      <w:r w:rsidRPr="0061644B">
        <w:rPr>
          <w:sz w:val="24"/>
        </w:rPr>
        <w:t>交银天运宝货币</w:t>
      </w:r>
      <w:r w:rsidRPr="0061644B">
        <w:rPr>
          <w:sz w:val="24"/>
        </w:rPr>
        <w:t>E</w:t>
      </w:r>
    </w:p>
    <w:p w:rsidR="00D7356B" w:rsidRPr="0061644B" w:rsidRDefault="00D7356B" w:rsidP="00792A69">
      <w:pPr>
        <w:adjustRightInd w:val="0"/>
        <w:snapToGrid w:val="0"/>
        <w:spacing w:before="29" w:line="288" w:lineRule="auto"/>
        <w:jc w:val="right"/>
        <w:rPr>
          <w:sz w:val="24"/>
        </w:rPr>
      </w:pPr>
      <w:r w:rsidRPr="0061644B">
        <w:rPr>
          <w:sz w:val="24"/>
        </w:rPr>
        <w:t>份额单位：份</w:t>
      </w:r>
    </w:p>
    <w:tbl>
      <w:tblPr>
        <w:tblW w:w="8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7"/>
        <w:gridCol w:w="3248"/>
        <w:gridCol w:w="3343"/>
      </w:tblGrid>
      <w:tr w:rsidR="00462DCC" w:rsidRPr="0061644B" w:rsidTr="00524C6D">
        <w:tc>
          <w:tcPr>
            <w:tcW w:w="2518" w:type="dxa"/>
            <w:vMerge w:val="restart"/>
            <w:tcBorders>
              <w:top w:val="single" w:sz="4" w:space="0" w:color="000000"/>
              <w:left w:val="single" w:sz="4" w:space="0" w:color="000000"/>
              <w:bottom w:val="single" w:sz="4" w:space="0" w:color="000000"/>
              <w:right w:val="single" w:sz="4" w:space="0" w:color="000000"/>
            </w:tcBorders>
            <w:vAlign w:val="center"/>
            <w:hideMark/>
          </w:tcPr>
          <w:p w:rsidR="00462DCC" w:rsidRPr="0061644B" w:rsidRDefault="00462DCC" w:rsidP="00792A69">
            <w:pPr>
              <w:widowControl/>
              <w:autoSpaceDE w:val="0"/>
              <w:autoSpaceDN w:val="0"/>
              <w:spacing w:before="29" w:line="288" w:lineRule="auto"/>
              <w:ind w:leftChars="-51" w:left="-107" w:rightChars="-51" w:right="-107"/>
              <w:jc w:val="center"/>
              <w:textAlignment w:val="bottom"/>
              <w:rPr>
                <w:sz w:val="24"/>
              </w:rPr>
            </w:pPr>
            <w:r w:rsidRPr="0061644B">
              <w:rPr>
                <w:sz w:val="24"/>
              </w:rPr>
              <w:t>关联方名称</w:t>
            </w:r>
          </w:p>
        </w:tc>
        <w:tc>
          <w:tcPr>
            <w:tcW w:w="6904" w:type="dxa"/>
            <w:gridSpan w:val="2"/>
            <w:tcBorders>
              <w:top w:val="single" w:sz="4" w:space="0" w:color="000000"/>
              <w:left w:val="single" w:sz="4" w:space="0" w:color="000000"/>
              <w:bottom w:val="single" w:sz="4" w:space="0" w:color="000000"/>
              <w:right w:val="single" w:sz="4" w:space="0" w:color="000000"/>
            </w:tcBorders>
            <w:vAlign w:val="center"/>
            <w:hideMark/>
          </w:tcPr>
          <w:p w:rsidR="00462DCC" w:rsidRPr="0061644B" w:rsidRDefault="00462DCC" w:rsidP="00792A69">
            <w:pPr>
              <w:widowControl/>
              <w:autoSpaceDE w:val="0"/>
              <w:autoSpaceDN w:val="0"/>
              <w:spacing w:before="29" w:line="288" w:lineRule="auto"/>
              <w:ind w:leftChars="-51" w:left="-107" w:rightChars="-51" w:right="-107"/>
              <w:jc w:val="center"/>
              <w:textAlignment w:val="bottom"/>
              <w:rPr>
                <w:sz w:val="24"/>
              </w:rPr>
            </w:pPr>
            <w:r w:rsidRPr="0061644B">
              <w:rPr>
                <w:sz w:val="24"/>
              </w:rPr>
              <w:t>交银天运宝货币</w:t>
            </w:r>
            <w:r w:rsidRPr="0061644B">
              <w:rPr>
                <w:sz w:val="24"/>
              </w:rPr>
              <w:t>E</w:t>
            </w:r>
            <w:r w:rsidRPr="0061644B">
              <w:rPr>
                <w:sz w:val="24"/>
              </w:rPr>
              <w:t>本期末</w:t>
            </w:r>
          </w:p>
          <w:p w:rsidR="00462DCC" w:rsidRPr="0061644B" w:rsidRDefault="00462DCC" w:rsidP="00792A69">
            <w:pPr>
              <w:widowControl/>
              <w:autoSpaceDE w:val="0"/>
              <w:autoSpaceDN w:val="0"/>
              <w:spacing w:before="29" w:line="288" w:lineRule="auto"/>
              <w:ind w:leftChars="-51" w:left="-107" w:rightChars="-51" w:right="-107"/>
              <w:jc w:val="center"/>
              <w:textAlignment w:val="bottom"/>
              <w:rPr>
                <w:sz w:val="24"/>
              </w:rPr>
            </w:pPr>
            <w:r w:rsidRPr="0061644B">
              <w:rPr>
                <w:sz w:val="24"/>
              </w:rPr>
              <w:t>2018</w:t>
            </w:r>
            <w:r w:rsidRPr="0061644B">
              <w:rPr>
                <w:sz w:val="24"/>
              </w:rPr>
              <w:t>年</w:t>
            </w:r>
            <w:r w:rsidRPr="0061644B">
              <w:rPr>
                <w:sz w:val="24"/>
              </w:rPr>
              <w:t>6</w:t>
            </w:r>
            <w:r w:rsidRPr="0061644B">
              <w:rPr>
                <w:sz w:val="24"/>
              </w:rPr>
              <w:t>月</w:t>
            </w:r>
            <w:r w:rsidRPr="0061644B">
              <w:rPr>
                <w:sz w:val="24"/>
              </w:rPr>
              <w:t>30</w:t>
            </w:r>
            <w:r w:rsidRPr="0061644B">
              <w:rPr>
                <w:sz w:val="24"/>
              </w:rPr>
              <w:t>日</w:t>
            </w:r>
          </w:p>
        </w:tc>
      </w:tr>
      <w:tr w:rsidR="00462DCC" w:rsidRPr="0061644B" w:rsidTr="00524C6D">
        <w:tc>
          <w:tcPr>
            <w:tcW w:w="2518" w:type="dxa"/>
            <w:vMerge/>
            <w:tcBorders>
              <w:top w:val="single" w:sz="4" w:space="0" w:color="000000"/>
              <w:left w:val="single" w:sz="4" w:space="0" w:color="000000"/>
              <w:bottom w:val="single" w:sz="4" w:space="0" w:color="000000"/>
              <w:right w:val="single" w:sz="4" w:space="0" w:color="000000"/>
            </w:tcBorders>
            <w:vAlign w:val="center"/>
            <w:hideMark/>
          </w:tcPr>
          <w:p w:rsidR="00462DCC" w:rsidRPr="0061644B" w:rsidRDefault="00462DCC" w:rsidP="00792A69">
            <w:pPr>
              <w:widowControl/>
              <w:spacing w:before="29" w:line="288" w:lineRule="auto"/>
              <w:jc w:val="left"/>
              <w:rPr>
                <w:sz w:val="24"/>
              </w:rPr>
            </w:pP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462DCC" w:rsidRPr="0061644B" w:rsidRDefault="00462DCC" w:rsidP="00792A69">
            <w:pPr>
              <w:widowControl/>
              <w:autoSpaceDE w:val="0"/>
              <w:autoSpaceDN w:val="0"/>
              <w:spacing w:before="29" w:line="288" w:lineRule="auto"/>
              <w:ind w:leftChars="-51" w:left="-107" w:rightChars="-51" w:right="-107"/>
              <w:jc w:val="center"/>
              <w:textAlignment w:val="bottom"/>
              <w:rPr>
                <w:sz w:val="24"/>
              </w:rPr>
            </w:pPr>
            <w:r w:rsidRPr="0061644B">
              <w:rPr>
                <w:sz w:val="24"/>
              </w:rPr>
              <w:t>持有的</w:t>
            </w:r>
          </w:p>
          <w:p w:rsidR="00462DCC" w:rsidRPr="0061644B" w:rsidRDefault="00462DCC" w:rsidP="00792A69">
            <w:pPr>
              <w:widowControl/>
              <w:autoSpaceDE w:val="0"/>
              <w:autoSpaceDN w:val="0"/>
              <w:spacing w:before="29" w:line="288" w:lineRule="auto"/>
              <w:ind w:leftChars="-51" w:left="-107" w:rightChars="-51" w:right="-107"/>
              <w:jc w:val="center"/>
              <w:textAlignment w:val="bottom"/>
              <w:rPr>
                <w:sz w:val="24"/>
              </w:rPr>
            </w:pPr>
            <w:r w:rsidRPr="0061644B">
              <w:rPr>
                <w:sz w:val="24"/>
              </w:rPr>
              <w:t>基金份额</w:t>
            </w:r>
          </w:p>
        </w:tc>
        <w:tc>
          <w:tcPr>
            <w:tcW w:w="3502" w:type="dxa"/>
            <w:tcBorders>
              <w:top w:val="single" w:sz="4" w:space="0" w:color="000000"/>
              <w:left w:val="single" w:sz="4" w:space="0" w:color="000000"/>
              <w:bottom w:val="single" w:sz="4" w:space="0" w:color="000000"/>
              <w:right w:val="single" w:sz="4" w:space="0" w:color="000000"/>
            </w:tcBorders>
            <w:vAlign w:val="center"/>
            <w:hideMark/>
          </w:tcPr>
          <w:p w:rsidR="00462DCC" w:rsidRPr="0061644B" w:rsidRDefault="00462DCC" w:rsidP="00792A69">
            <w:pPr>
              <w:widowControl/>
              <w:autoSpaceDE w:val="0"/>
              <w:autoSpaceDN w:val="0"/>
              <w:spacing w:before="29" w:line="288" w:lineRule="auto"/>
              <w:ind w:leftChars="-51" w:left="-107" w:rightChars="-51" w:right="-107"/>
              <w:jc w:val="center"/>
              <w:textAlignment w:val="bottom"/>
              <w:rPr>
                <w:sz w:val="24"/>
              </w:rPr>
            </w:pPr>
            <w:r w:rsidRPr="0061644B">
              <w:rPr>
                <w:sz w:val="24"/>
              </w:rPr>
              <w:t>持有的基金份额占基金总份额的比例</w:t>
            </w:r>
          </w:p>
        </w:tc>
      </w:tr>
      <w:tr w:rsidR="001124D8">
        <w:tc>
          <w:tcPr>
            <w:tcW w:w="2407" w:type="dxa"/>
            <w:vAlign w:val="center"/>
          </w:tcPr>
          <w:p w:rsidR="001124D8" w:rsidRDefault="00C50050">
            <w:pPr>
              <w:jc w:val="center"/>
            </w:pPr>
            <w:r>
              <w:rPr>
                <w:sz w:val="24"/>
              </w:rPr>
              <w:t>交银施罗德资产管理有限公司</w:t>
            </w:r>
          </w:p>
        </w:tc>
        <w:tc>
          <w:tcPr>
            <w:tcW w:w="3248" w:type="dxa"/>
            <w:vAlign w:val="center"/>
          </w:tcPr>
          <w:p w:rsidR="001124D8" w:rsidRDefault="00C50050">
            <w:pPr>
              <w:jc w:val="center"/>
            </w:pPr>
            <w:r>
              <w:rPr>
                <w:sz w:val="24"/>
              </w:rPr>
              <w:t>80,122,446.96</w:t>
            </w:r>
          </w:p>
        </w:tc>
        <w:tc>
          <w:tcPr>
            <w:tcW w:w="3343" w:type="dxa"/>
            <w:vAlign w:val="center"/>
          </w:tcPr>
          <w:p w:rsidR="001124D8" w:rsidRDefault="00C50050">
            <w:pPr>
              <w:jc w:val="center"/>
            </w:pPr>
            <w:r>
              <w:rPr>
                <w:sz w:val="24"/>
              </w:rPr>
              <w:t>37.77%</w:t>
            </w:r>
          </w:p>
        </w:tc>
      </w:tr>
      <w:tr w:rsidR="001124D8">
        <w:tc>
          <w:tcPr>
            <w:tcW w:w="2407" w:type="dxa"/>
            <w:vAlign w:val="center"/>
          </w:tcPr>
          <w:p w:rsidR="001124D8" w:rsidRDefault="00C50050">
            <w:pPr>
              <w:jc w:val="center"/>
            </w:pPr>
            <w:r>
              <w:rPr>
                <w:sz w:val="24"/>
              </w:rPr>
              <w:t>交通银行股份有限公司</w:t>
            </w:r>
          </w:p>
        </w:tc>
        <w:tc>
          <w:tcPr>
            <w:tcW w:w="3248" w:type="dxa"/>
            <w:vAlign w:val="center"/>
          </w:tcPr>
          <w:p w:rsidR="001124D8" w:rsidRDefault="00C50050">
            <w:pPr>
              <w:jc w:val="center"/>
            </w:pPr>
            <w:r>
              <w:rPr>
                <w:sz w:val="24"/>
              </w:rPr>
              <w:t>50,984,412.90</w:t>
            </w:r>
          </w:p>
        </w:tc>
        <w:tc>
          <w:tcPr>
            <w:tcW w:w="3343" w:type="dxa"/>
            <w:vAlign w:val="center"/>
          </w:tcPr>
          <w:p w:rsidR="001124D8" w:rsidRDefault="00C50050">
            <w:pPr>
              <w:jc w:val="center"/>
            </w:pPr>
            <w:r>
              <w:rPr>
                <w:sz w:val="24"/>
              </w:rPr>
              <w:t>22.69%</w:t>
            </w:r>
          </w:p>
        </w:tc>
      </w:tr>
    </w:tbl>
    <w:p w:rsidR="006D141C" w:rsidRPr="0061644B" w:rsidRDefault="006D141C" w:rsidP="00792A69">
      <w:pPr>
        <w:tabs>
          <w:tab w:val="left" w:pos="426"/>
        </w:tabs>
        <w:spacing w:before="29" w:line="288" w:lineRule="auto"/>
        <w:jc w:val="left"/>
        <w:rPr>
          <w:kern w:val="0"/>
          <w:sz w:val="24"/>
        </w:rPr>
      </w:pPr>
      <w:r w:rsidRPr="0061644B">
        <w:rPr>
          <w:kern w:val="0"/>
          <w:sz w:val="24"/>
        </w:rPr>
        <w:t>注：关联方投资本基金的费率按照基金合同和招募说明书规定的确定，符合公允性要求。</w:t>
      </w:r>
    </w:p>
    <w:p w:rsidR="006D141C" w:rsidRPr="0061644B" w:rsidRDefault="006D141C" w:rsidP="00792A69">
      <w:pPr>
        <w:spacing w:before="29" w:line="288" w:lineRule="auto"/>
        <w:rPr>
          <w:kern w:val="0"/>
          <w:sz w:val="24"/>
        </w:rPr>
      </w:pPr>
    </w:p>
    <w:p w:rsidR="006D141C" w:rsidRPr="0061644B" w:rsidRDefault="006D141C" w:rsidP="00792A69">
      <w:pPr>
        <w:spacing w:before="29" w:line="288" w:lineRule="auto"/>
        <w:rPr>
          <w:b/>
          <w:bCs/>
          <w:sz w:val="24"/>
        </w:rPr>
      </w:pPr>
      <w:r w:rsidRPr="0061644B">
        <w:rPr>
          <w:b/>
          <w:bCs/>
          <w:kern w:val="0"/>
          <w:sz w:val="24"/>
        </w:rPr>
        <w:t>6.4.8.5</w:t>
      </w:r>
      <w:r w:rsidRPr="0061644B">
        <w:rPr>
          <w:b/>
          <w:bCs/>
          <w:sz w:val="24"/>
        </w:rPr>
        <w:t>由关联方保管的银行存款余额及当期产生的利息收入</w:t>
      </w:r>
    </w:p>
    <w:p w:rsidR="006D141C" w:rsidRPr="0061644B" w:rsidRDefault="005B4215" w:rsidP="00792A69">
      <w:pPr>
        <w:autoSpaceDE w:val="0"/>
        <w:autoSpaceDN w:val="0"/>
        <w:adjustRightInd w:val="0"/>
        <w:spacing w:before="29" w:line="288" w:lineRule="auto"/>
        <w:ind w:left="15" w:right="210"/>
        <w:jc w:val="right"/>
        <w:rPr>
          <w:kern w:val="0"/>
          <w:sz w:val="24"/>
        </w:rPr>
      </w:pPr>
      <w:r w:rsidRPr="0061644B">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6"/>
        <w:gridCol w:w="3014"/>
        <w:gridCol w:w="4188"/>
      </w:tblGrid>
      <w:tr w:rsidR="00E8377C" w:rsidRPr="0061644B" w:rsidTr="00524C6D">
        <w:tc>
          <w:tcPr>
            <w:tcW w:w="1800" w:type="dxa"/>
            <w:vMerge w:val="restart"/>
            <w:tcBorders>
              <w:top w:val="single" w:sz="4" w:space="0" w:color="000000"/>
              <w:left w:val="single" w:sz="4" w:space="0" w:color="000000"/>
              <w:bottom w:val="single" w:sz="4" w:space="0" w:color="000000"/>
              <w:right w:val="single" w:sz="4" w:space="0" w:color="000000"/>
            </w:tcBorders>
            <w:vAlign w:val="center"/>
            <w:hideMark/>
          </w:tcPr>
          <w:p w:rsidR="00E8377C" w:rsidRPr="0061644B" w:rsidRDefault="00E8377C" w:rsidP="00792A69">
            <w:pPr>
              <w:spacing w:before="29" w:line="288" w:lineRule="auto"/>
              <w:jc w:val="center"/>
              <w:rPr>
                <w:sz w:val="24"/>
              </w:rPr>
            </w:pPr>
            <w:r w:rsidRPr="0061644B">
              <w:rPr>
                <w:sz w:val="24"/>
              </w:rPr>
              <w:t>关联方名称</w:t>
            </w:r>
          </w:p>
        </w:tc>
        <w:tc>
          <w:tcPr>
            <w:tcW w:w="7217" w:type="dxa"/>
            <w:gridSpan w:val="2"/>
            <w:tcBorders>
              <w:top w:val="single" w:sz="4" w:space="0" w:color="000000"/>
              <w:left w:val="single" w:sz="4" w:space="0" w:color="000000"/>
              <w:bottom w:val="single" w:sz="4" w:space="0" w:color="000000"/>
              <w:right w:val="single" w:sz="4" w:space="0" w:color="000000"/>
            </w:tcBorders>
            <w:vAlign w:val="center"/>
            <w:hideMark/>
          </w:tcPr>
          <w:p w:rsidR="00E8377C" w:rsidRPr="0061644B" w:rsidRDefault="00E8377C" w:rsidP="00792A69">
            <w:pPr>
              <w:spacing w:before="29" w:line="288" w:lineRule="auto"/>
              <w:jc w:val="center"/>
              <w:rPr>
                <w:sz w:val="24"/>
              </w:rPr>
            </w:pPr>
            <w:r w:rsidRPr="0061644B">
              <w:rPr>
                <w:sz w:val="24"/>
              </w:rPr>
              <w:t>本期</w:t>
            </w:r>
          </w:p>
          <w:p w:rsidR="00E8377C" w:rsidRPr="0061644B" w:rsidRDefault="00E8377C" w:rsidP="00792A69">
            <w:pPr>
              <w:widowControl/>
              <w:autoSpaceDE w:val="0"/>
              <w:autoSpaceDN w:val="0"/>
              <w:spacing w:before="29" w:line="288" w:lineRule="auto"/>
              <w:ind w:right="-15"/>
              <w:jc w:val="center"/>
              <w:textAlignment w:val="bottom"/>
              <w:rPr>
                <w:sz w:val="24"/>
              </w:rPr>
            </w:pPr>
            <w:r w:rsidRPr="0061644B">
              <w:rPr>
                <w:sz w:val="24"/>
              </w:rPr>
              <w:t>2018</w:t>
            </w:r>
            <w:r w:rsidRPr="0061644B">
              <w:rPr>
                <w:sz w:val="24"/>
              </w:rPr>
              <w:t>年</w:t>
            </w:r>
            <w:r w:rsidRPr="0061644B">
              <w:rPr>
                <w:sz w:val="24"/>
              </w:rPr>
              <w:t>1</w:t>
            </w:r>
            <w:r w:rsidRPr="0061644B">
              <w:rPr>
                <w:sz w:val="24"/>
              </w:rPr>
              <w:t>月</w:t>
            </w:r>
            <w:r w:rsidRPr="0061644B">
              <w:rPr>
                <w:sz w:val="24"/>
              </w:rPr>
              <w:t>1</w:t>
            </w:r>
            <w:r w:rsidRPr="0061644B">
              <w:rPr>
                <w:sz w:val="24"/>
              </w:rPr>
              <w:t>日至</w:t>
            </w:r>
            <w:r w:rsidRPr="0061644B">
              <w:rPr>
                <w:sz w:val="24"/>
              </w:rPr>
              <w:t>2018</w:t>
            </w:r>
            <w:r w:rsidRPr="0061644B">
              <w:rPr>
                <w:sz w:val="24"/>
              </w:rPr>
              <w:t>年</w:t>
            </w:r>
            <w:r w:rsidRPr="0061644B">
              <w:rPr>
                <w:sz w:val="24"/>
              </w:rPr>
              <w:t>6</w:t>
            </w:r>
            <w:r w:rsidRPr="0061644B">
              <w:rPr>
                <w:sz w:val="24"/>
              </w:rPr>
              <w:t>月</w:t>
            </w:r>
            <w:r w:rsidRPr="0061644B">
              <w:rPr>
                <w:sz w:val="24"/>
              </w:rPr>
              <w:t>30</w:t>
            </w:r>
            <w:r w:rsidRPr="0061644B">
              <w:rPr>
                <w:sz w:val="24"/>
              </w:rPr>
              <w:t>日</w:t>
            </w:r>
          </w:p>
        </w:tc>
      </w:tr>
      <w:tr w:rsidR="00E8377C" w:rsidRPr="0061644B" w:rsidTr="00524C6D">
        <w:tc>
          <w:tcPr>
            <w:tcW w:w="1800" w:type="dxa"/>
            <w:vMerge/>
            <w:tcBorders>
              <w:top w:val="single" w:sz="4" w:space="0" w:color="000000"/>
              <w:left w:val="single" w:sz="4" w:space="0" w:color="000000"/>
              <w:bottom w:val="single" w:sz="4" w:space="0" w:color="000000"/>
              <w:right w:val="single" w:sz="4" w:space="0" w:color="000000"/>
            </w:tcBorders>
            <w:vAlign w:val="center"/>
            <w:hideMark/>
          </w:tcPr>
          <w:p w:rsidR="00E8377C" w:rsidRPr="0061644B" w:rsidRDefault="00E8377C" w:rsidP="00792A69">
            <w:pPr>
              <w:widowControl/>
              <w:spacing w:before="29" w:line="288" w:lineRule="auto"/>
              <w:jc w:val="left"/>
              <w:rPr>
                <w:sz w:val="24"/>
              </w:rPr>
            </w:pPr>
          </w:p>
        </w:tc>
        <w:tc>
          <w:tcPr>
            <w:tcW w:w="3020" w:type="dxa"/>
            <w:tcBorders>
              <w:top w:val="single" w:sz="4" w:space="0" w:color="000000"/>
              <w:left w:val="single" w:sz="4" w:space="0" w:color="000000"/>
              <w:bottom w:val="single" w:sz="4" w:space="0" w:color="000000"/>
              <w:right w:val="single" w:sz="4" w:space="0" w:color="000000"/>
            </w:tcBorders>
            <w:vAlign w:val="center"/>
            <w:hideMark/>
          </w:tcPr>
          <w:p w:rsidR="00E8377C" w:rsidRPr="0061644B" w:rsidRDefault="00E8377C" w:rsidP="00792A69">
            <w:pPr>
              <w:spacing w:before="29" w:line="288" w:lineRule="auto"/>
              <w:jc w:val="center"/>
              <w:rPr>
                <w:sz w:val="24"/>
              </w:rPr>
            </w:pPr>
            <w:r w:rsidRPr="0061644B">
              <w:rPr>
                <w:sz w:val="24"/>
              </w:rPr>
              <w:t>期末余额</w:t>
            </w:r>
          </w:p>
        </w:tc>
        <w:tc>
          <w:tcPr>
            <w:tcW w:w="4197" w:type="dxa"/>
            <w:tcBorders>
              <w:top w:val="single" w:sz="4" w:space="0" w:color="000000"/>
              <w:left w:val="single" w:sz="4" w:space="0" w:color="000000"/>
              <w:bottom w:val="single" w:sz="4" w:space="0" w:color="000000"/>
              <w:right w:val="single" w:sz="4" w:space="0" w:color="000000"/>
            </w:tcBorders>
            <w:vAlign w:val="center"/>
            <w:hideMark/>
          </w:tcPr>
          <w:p w:rsidR="00E8377C" w:rsidRPr="0061644B" w:rsidRDefault="00E8377C" w:rsidP="00792A69">
            <w:pPr>
              <w:spacing w:before="29" w:line="288" w:lineRule="auto"/>
              <w:jc w:val="center"/>
              <w:rPr>
                <w:sz w:val="24"/>
              </w:rPr>
            </w:pPr>
            <w:r w:rsidRPr="0061644B">
              <w:rPr>
                <w:sz w:val="24"/>
              </w:rPr>
              <w:t>当期利息收入</w:t>
            </w:r>
          </w:p>
        </w:tc>
      </w:tr>
      <w:tr w:rsidR="001124D8">
        <w:tc>
          <w:tcPr>
            <w:tcW w:w="1796" w:type="dxa"/>
            <w:vAlign w:val="center"/>
          </w:tcPr>
          <w:p w:rsidR="001124D8" w:rsidRDefault="00C50050">
            <w:pPr>
              <w:jc w:val="center"/>
            </w:pPr>
            <w:r>
              <w:rPr>
                <w:sz w:val="24"/>
              </w:rPr>
              <w:t>兴业银行股份有限公司</w:t>
            </w:r>
          </w:p>
        </w:tc>
        <w:tc>
          <w:tcPr>
            <w:tcW w:w="3014" w:type="dxa"/>
            <w:vAlign w:val="center"/>
          </w:tcPr>
          <w:p w:rsidR="001124D8" w:rsidRDefault="00C50050">
            <w:pPr>
              <w:jc w:val="center"/>
            </w:pPr>
            <w:r>
              <w:rPr>
                <w:sz w:val="24"/>
              </w:rPr>
              <w:t>264,146.78</w:t>
            </w:r>
          </w:p>
        </w:tc>
        <w:tc>
          <w:tcPr>
            <w:tcW w:w="4188" w:type="dxa"/>
            <w:vAlign w:val="center"/>
          </w:tcPr>
          <w:p w:rsidR="001124D8" w:rsidRDefault="00C50050">
            <w:pPr>
              <w:jc w:val="center"/>
            </w:pPr>
            <w:r>
              <w:rPr>
                <w:sz w:val="24"/>
              </w:rPr>
              <w:t>178,884.41</w:t>
            </w:r>
          </w:p>
        </w:tc>
      </w:tr>
    </w:tbl>
    <w:p w:rsidR="006D141C" w:rsidRPr="0061644B" w:rsidRDefault="006D141C" w:rsidP="00792A69">
      <w:pPr>
        <w:tabs>
          <w:tab w:val="left" w:pos="426"/>
        </w:tabs>
        <w:spacing w:before="29" w:line="288" w:lineRule="auto"/>
        <w:jc w:val="left"/>
        <w:rPr>
          <w:kern w:val="0"/>
          <w:sz w:val="24"/>
        </w:rPr>
      </w:pPr>
      <w:r w:rsidRPr="0061644B">
        <w:rPr>
          <w:kern w:val="0"/>
          <w:sz w:val="24"/>
        </w:rPr>
        <w:t>注：本基金的银行存款由基金托管人保管，按银行同业利率计息。</w:t>
      </w:r>
    </w:p>
    <w:p w:rsidR="006D141C" w:rsidRPr="0061644B" w:rsidRDefault="006D141C" w:rsidP="00792A69">
      <w:pPr>
        <w:spacing w:before="29" w:line="288" w:lineRule="auto"/>
        <w:rPr>
          <w:sz w:val="24"/>
        </w:rPr>
      </w:pPr>
    </w:p>
    <w:p w:rsidR="006D141C" w:rsidRPr="0061644B" w:rsidRDefault="006D141C" w:rsidP="00792A69">
      <w:pPr>
        <w:spacing w:before="29" w:line="288" w:lineRule="auto"/>
        <w:rPr>
          <w:b/>
          <w:bCs/>
          <w:sz w:val="24"/>
        </w:rPr>
      </w:pPr>
      <w:r w:rsidRPr="0061644B">
        <w:rPr>
          <w:b/>
          <w:bCs/>
          <w:kern w:val="0"/>
          <w:sz w:val="24"/>
        </w:rPr>
        <w:t>6.4.8.6</w:t>
      </w:r>
      <w:r w:rsidRPr="0061644B">
        <w:rPr>
          <w:b/>
          <w:bCs/>
          <w:sz w:val="24"/>
        </w:rPr>
        <w:t>本基金在承销期内参与关联方承销证券的情况</w:t>
      </w:r>
    </w:p>
    <w:p w:rsidR="006D141C" w:rsidRPr="0061644B" w:rsidRDefault="006D141C" w:rsidP="00792A69">
      <w:pPr>
        <w:tabs>
          <w:tab w:val="left" w:pos="426"/>
        </w:tabs>
        <w:spacing w:before="29" w:line="288" w:lineRule="auto"/>
        <w:jc w:val="left"/>
        <w:rPr>
          <w:kern w:val="0"/>
          <w:sz w:val="24"/>
        </w:rPr>
      </w:pPr>
      <w:r w:rsidRPr="0061644B">
        <w:rPr>
          <w:kern w:val="0"/>
          <w:sz w:val="24"/>
        </w:rPr>
        <w:t>本基金本报告期内未在承销期内参与关联方承销证券。</w:t>
      </w:r>
    </w:p>
    <w:p w:rsidR="006D141C" w:rsidRPr="0061644B" w:rsidRDefault="006D141C" w:rsidP="00792A69">
      <w:pPr>
        <w:adjustRightInd w:val="0"/>
        <w:snapToGrid w:val="0"/>
        <w:spacing w:before="29" w:line="288" w:lineRule="auto"/>
        <w:jc w:val="left"/>
        <w:rPr>
          <w:bCs/>
          <w:sz w:val="24"/>
        </w:rPr>
      </w:pPr>
    </w:p>
    <w:p w:rsidR="00B54CAD" w:rsidRPr="00690ED2" w:rsidRDefault="00B54CAD" w:rsidP="00B54CAD">
      <w:pPr>
        <w:adjustRightInd w:val="0"/>
        <w:snapToGrid w:val="0"/>
        <w:spacing w:beforeLines="100" w:before="312" w:line="360" w:lineRule="auto"/>
        <w:rPr>
          <w:rFonts w:eastAsiaTheme="minorEastAsia"/>
          <w:b/>
          <w:color w:val="000000" w:themeColor="text1"/>
          <w:szCs w:val="21"/>
        </w:rPr>
      </w:pPr>
      <w:r w:rsidRPr="00690ED2">
        <w:rPr>
          <w:rFonts w:eastAsiaTheme="minorEastAsia"/>
          <w:b/>
          <w:bCs/>
          <w:color w:val="000000" w:themeColor="text1"/>
          <w:kern w:val="0"/>
          <w:szCs w:val="21"/>
        </w:rPr>
        <w:t xml:space="preserve">6.4.8.7 </w:t>
      </w:r>
      <w:bookmarkStart w:id="13" w:name="OLE_LINK189"/>
      <w:bookmarkStart w:id="14" w:name="OLE_LINK7"/>
      <w:bookmarkStart w:id="15" w:name="OLE_LINK6"/>
      <w:r w:rsidRPr="00690ED2">
        <w:rPr>
          <w:rFonts w:eastAsiaTheme="minorEastAsia" w:hint="eastAsia"/>
          <w:b/>
          <w:color w:val="000000" w:themeColor="text1"/>
          <w:szCs w:val="21"/>
        </w:rPr>
        <w:t>其他关联交易事项的说明</w:t>
      </w:r>
      <w:bookmarkEnd w:id="13"/>
      <w:bookmarkEnd w:id="14"/>
      <w:bookmarkEnd w:id="15"/>
    </w:p>
    <w:p w:rsidR="00B54CAD" w:rsidRDefault="00B54CAD" w:rsidP="00C02363">
      <w:pPr>
        <w:widowControl/>
        <w:spacing w:line="360" w:lineRule="auto"/>
        <w:rPr>
          <w:rFonts w:eastAsiaTheme="minorEastAsia"/>
          <w:color w:val="000000" w:themeColor="text1"/>
          <w:kern w:val="0"/>
          <w:szCs w:val="21"/>
        </w:rPr>
      </w:pPr>
      <w:r w:rsidRPr="00690ED2">
        <w:rPr>
          <w:rFonts w:eastAsiaTheme="minorEastAsia"/>
          <w:color w:val="000000" w:themeColor="text1"/>
          <w:kern w:val="0"/>
          <w:szCs w:val="21"/>
        </w:rPr>
        <w:t>本基金本报告期内无其他关联交易事项。</w:t>
      </w:r>
    </w:p>
    <w:p w:rsidR="00B54CAD" w:rsidRPr="00690ED2" w:rsidRDefault="00B54CAD" w:rsidP="00B54CAD">
      <w:pPr>
        <w:widowControl/>
        <w:spacing w:line="360" w:lineRule="auto"/>
        <w:ind w:firstLineChars="200" w:firstLine="420"/>
        <w:rPr>
          <w:rFonts w:eastAsiaTheme="minorEastAsia"/>
          <w:color w:val="000000" w:themeColor="text1"/>
          <w:kern w:val="0"/>
          <w:szCs w:val="21"/>
        </w:rPr>
      </w:pPr>
    </w:p>
    <w:p w:rsidR="006D141C" w:rsidRPr="0061644B" w:rsidRDefault="006D141C" w:rsidP="00792A69">
      <w:pPr>
        <w:spacing w:before="29" w:line="288" w:lineRule="auto"/>
        <w:rPr>
          <w:b/>
          <w:bCs/>
          <w:sz w:val="24"/>
        </w:rPr>
      </w:pPr>
      <w:r w:rsidRPr="0061644B">
        <w:rPr>
          <w:b/>
          <w:bCs/>
          <w:kern w:val="0"/>
          <w:sz w:val="24"/>
        </w:rPr>
        <w:t>6.4.9</w:t>
      </w:r>
      <w:r w:rsidRPr="0061644B">
        <w:rPr>
          <w:b/>
          <w:bCs/>
          <w:sz w:val="24"/>
        </w:rPr>
        <w:t>期末（</w:t>
      </w:r>
      <w:r w:rsidRPr="0061644B">
        <w:rPr>
          <w:b/>
          <w:bCs/>
          <w:sz w:val="24"/>
        </w:rPr>
        <w:t>2018</w:t>
      </w:r>
      <w:r w:rsidRPr="0061644B">
        <w:rPr>
          <w:b/>
          <w:bCs/>
          <w:sz w:val="24"/>
        </w:rPr>
        <w:t>年</w:t>
      </w:r>
      <w:r w:rsidRPr="0061644B">
        <w:rPr>
          <w:b/>
          <w:bCs/>
          <w:sz w:val="24"/>
        </w:rPr>
        <w:t>6</w:t>
      </w:r>
      <w:r w:rsidRPr="0061644B">
        <w:rPr>
          <w:b/>
          <w:bCs/>
          <w:sz w:val="24"/>
        </w:rPr>
        <w:t>月</w:t>
      </w:r>
      <w:r w:rsidRPr="0061644B">
        <w:rPr>
          <w:b/>
          <w:bCs/>
          <w:sz w:val="24"/>
        </w:rPr>
        <w:t>30</w:t>
      </w:r>
      <w:r w:rsidRPr="0061644B">
        <w:rPr>
          <w:b/>
          <w:bCs/>
          <w:sz w:val="24"/>
        </w:rPr>
        <w:t>日）本基金持有的流通受限证券</w:t>
      </w:r>
    </w:p>
    <w:p w:rsidR="006D141C" w:rsidRPr="0061644B" w:rsidRDefault="006D141C" w:rsidP="00792A69">
      <w:pPr>
        <w:spacing w:before="29" w:line="288" w:lineRule="auto"/>
        <w:rPr>
          <w:b/>
          <w:bCs/>
          <w:sz w:val="24"/>
        </w:rPr>
      </w:pPr>
      <w:r w:rsidRPr="0061644B">
        <w:rPr>
          <w:b/>
          <w:bCs/>
          <w:kern w:val="0"/>
          <w:sz w:val="24"/>
        </w:rPr>
        <w:t>6.4.9.1</w:t>
      </w:r>
      <w:r w:rsidRPr="0061644B">
        <w:rPr>
          <w:b/>
          <w:bCs/>
          <w:sz w:val="24"/>
        </w:rPr>
        <w:t>因认购新发</w:t>
      </w:r>
      <w:r w:rsidRPr="0061644B">
        <w:rPr>
          <w:b/>
          <w:bCs/>
          <w:sz w:val="24"/>
        </w:rPr>
        <w:t>/</w:t>
      </w:r>
      <w:r w:rsidRPr="0061644B">
        <w:rPr>
          <w:b/>
          <w:bCs/>
          <w:sz w:val="24"/>
        </w:rPr>
        <w:t>增发证券而于期末持有的流通受限证券</w:t>
      </w:r>
    </w:p>
    <w:p w:rsidR="006D141C" w:rsidRPr="0061644B" w:rsidRDefault="006D141C" w:rsidP="00792A69">
      <w:pPr>
        <w:tabs>
          <w:tab w:val="left" w:pos="426"/>
        </w:tabs>
        <w:spacing w:before="29" w:line="288" w:lineRule="auto"/>
        <w:jc w:val="left"/>
        <w:rPr>
          <w:kern w:val="0"/>
          <w:sz w:val="24"/>
        </w:rPr>
      </w:pPr>
      <w:r w:rsidRPr="0061644B">
        <w:rPr>
          <w:kern w:val="0"/>
          <w:sz w:val="24"/>
        </w:rPr>
        <w:t>本基金本报告期末未持有因认购新发</w:t>
      </w:r>
      <w:r w:rsidRPr="0061644B">
        <w:rPr>
          <w:kern w:val="0"/>
          <w:sz w:val="24"/>
        </w:rPr>
        <w:t>/</w:t>
      </w:r>
      <w:r w:rsidRPr="0061644B">
        <w:rPr>
          <w:kern w:val="0"/>
          <w:sz w:val="24"/>
        </w:rPr>
        <w:t>增发证券而流通受限的证券。</w:t>
      </w:r>
    </w:p>
    <w:p w:rsidR="006D141C" w:rsidRPr="0061644B" w:rsidRDefault="006D141C" w:rsidP="00792A69">
      <w:pPr>
        <w:spacing w:before="29" w:line="288" w:lineRule="auto"/>
        <w:rPr>
          <w:sz w:val="24"/>
        </w:rPr>
      </w:pPr>
    </w:p>
    <w:p w:rsidR="006D141C" w:rsidRPr="0061644B" w:rsidRDefault="006D141C" w:rsidP="00792A69">
      <w:pPr>
        <w:spacing w:before="29" w:line="288" w:lineRule="auto"/>
        <w:rPr>
          <w:b/>
          <w:bCs/>
          <w:sz w:val="24"/>
        </w:rPr>
      </w:pPr>
      <w:r w:rsidRPr="0061644B">
        <w:rPr>
          <w:b/>
          <w:bCs/>
          <w:kern w:val="0"/>
          <w:sz w:val="24"/>
        </w:rPr>
        <w:t>6.4.9.2</w:t>
      </w:r>
      <w:r w:rsidRPr="0061644B">
        <w:rPr>
          <w:b/>
          <w:bCs/>
          <w:sz w:val="24"/>
        </w:rPr>
        <w:t>期末持有的暂时停牌等流通受限股票</w:t>
      </w:r>
    </w:p>
    <w:p w:rsidR="006D141C" w:rsidRPr="008026F8" w:rsidRDefault="006D141C" w:rsidP="00792A69">
      <w:pPr>
        <w:tabs>
          <w:tab w:val="left" w:pos="426"/>
        </w:tabs>
        <w:spacing w:before="29" w:line="288" w:lineRule="auto"/>
        <w:jc w:val="left"/>
        <w:rPr>
          <w:kern w:val="0"/>
          <w:sz w:val="24"/>
        </w:rPr>
      </w:pPr>
      <w:r w:rsidRPr="008026F8">
        <w:rPr>
          <w:kern w:val="0"/>
          <w:sz w:val="24"/>
        </w:rPr>
        <w:t>本基金本报告期末未持有暂时停牌等流通受限股票。</w:t>
      </w:r>
    </w:p>
    <w:p w:rsidR="006D141C" w:rsidRPr="0061644B" w:rsidRDefault="006D141C" w:rsidP="00792A69">
      <w:pPr>
        <w:spacing w:before="29" w:line="288" w:lineRule="auto"/>
        <w:rPr>
          <w:sz w:val="24"/>
        </w:rPr>
      </w:pPr>
    </w:p>
    <w:p w:rsidR="006D141C" w:rsidRPr="0061644B" w:rsidRDefault="006D141C" w:rsidP="00792A69">
      <w:pPr>
        <w:spacing w:before="29" w:line="288" w:lineRule="auto"/>
        <w:rPr>
          <w:b/>
          <w:bCs/>
          <w:sz w:val="24"/>
        </w:rPr>
      </w:pPr>
      <w:r w:rsidRPr="0061644B">
        <w:rPr>
          <w:b/>
          <w:bCs/>
          <w:kern w:val="0"/>
          <w:sz w:val="24"/>
        </w:rPr>
        <w:t>6.4.9.3</w:t>
      </w:r>
      <w:r w:rsidRPr="0061644B">
        <w:rPr>
          <w:b/>
          <w:bCs/>
          <w:sz w:val="24"/>
        </w:rPr>
        <w:t>期末债券正回购交易中作为抵押的债券</w:t>
      </w:r>
    </w:p>
    <w:p w:rsidR="006D141C" w:rsidRPr="0061644B" w:rsidRDefault="006D141C" w:rsidP="00792A69">
      <w:pPr>
        <w:spacing w:before="29" w:line="288" w:lineRule="auto"/>
        <w:rPr>
          <w:b/>
          <w:bCs/>
          <w:sz w:val="24"/>
        </w:rPr>
      </w:pPr>
      <w:r w:rsidRPr="0061644B">
        <w:rPr>
          <w:b/>
          <w:bCs/>
          <w:kern w:val="0"/>
          <w:sz w:val="24"/>
        </w:rPr>
        <w:t>6.4.9.3.1</w:t>
      </w:r>
      <w:r w:rsidRPr="0061644B">
        <w:rPr>
          <w:b/>
          <w:bCs/>
          <w:sz w:val="24"/>
        </w:rPr>
        <w:t>银行间市场债券正回购</w:t>
      </w:r>
    </w:p>
    <w:p w:rsidR="006D141C" w:rsidRPr="0061644B" w:rsidRDefault="006D141C" w:rsidP="00792A69">
      <w:pPr>
        <w:spacing w:before="29" w:line="288" w:lineRule="auto"/>
        <w:ind w:firstLineChars="200" w:firstLine="480"/>
        <w:rPr>
          <w:color w:val="000000"/>
          <w:sz w:val="24"/>
        </w:rPr>
      </w:pPr>
      <w:r w:rsidRPr="0061644B">
        <w:rPr>
          <w:color w:val="000000"/>
          <w:sz w:val="24"/>
        </w:rPr>
        <w:t>截至本报告期末</w:t>
      </w:r>
      <w:r w:rsidRPr="0061644B">
        <w:rPr>
          <w:color w:val="000000"/>
          <w:sz w:val="24"/>
        </w:rPr>
        <w:t>2018</w:t>
      </w:r>
      <w:r w:rsidRPr="0061644B">
        <w:rPr>
          <w:color w:val="000000"/>
          <w:sz w:val="24"/>
        </w:rPr>
        <w:t>年</w:t>
      </w:r>
      <w:r w:rsidRPr="0061644B">
        <w:rPr>
          <w:color w:val="000000"/>
          <w:sz w:val="24"/>
        </w:rPr>
        <w:t>6</w:t>
      </w:r>
      <w:r w:rsidRPr="0061644B">
        <w:rPr>
          <w:color w:val="000000"/>
          <w:sz w:val="24"/>
        </w:rPr>
        <w:t>月</w:t>
      </w:r>
      <w:r w:rsidRPr="0061644B">
        <w:rPr>
          <w:color w:val="000000"/>
          <w:sz w:val="24"/>
        </w:rPr>
        <w:t>30</w:t>
      </w:r>
      <w:r w:rsidRPr="0061644B">
        <w:rPr>
          <w:color w:val="000000"/>
          <w:sz w:val="24"/>
        </w:rPr>
        <w:t>日止，本基金从事银行间市场债券正回购交易形成的卖出回购证券款余额</w:t>
      </w:r>
      <w:r w:rsidRPr="0061644B">
        <w:rPr>
          <w:color w:val="000000"/>
          <w:sz w:val="24"/>
        </w:rPr>
        <w:t>39,044,741.43</w:t>
      </w:r>
      <w:r w:rsidRPr="0061644B">
        <w:rPr>
          <w:color w:val="000000"/>
          <w:sz w:val="24"/>
        </w:rPr>
        <w:t>元，是以如下债券作为质押：</w:t>
      </w:r>
    </w:p>
    <w:p w:rsidR="006D141C" w:rsidRPr="0061644B" w:rsidRDefault="00644AB5" w:rsidP="00792A69">
      <w:pPr>
        <w:autoSpaceDE w:val="0"/>
        <w:autoSpaceDN w:val="0"/>
        <w:adjustRightInd w:val="0"/>
        <w:spacing w:before="29" w:line="288" w:lineRule="auto"/>
        <w:ind w:left="15"/>
        <w:jc w:val="right"/>
        <w:rPr>
          <w:kern w:val="0"/>
          <w:sz w:val="24"/>
        </w:rPr>
      </w:pPr>
      <w:r w:rsidRPr="0061644B">
        <w:rPr>
          <w:sz w:val="24"/>
        </w:rPr>
        <w:t>金额单位</w:t>
      </w:r>
      <w:r w:rsidR="006D141C" w:rsidRPr="0061644B">
        <w:rPr>
          <w:bCs/>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93"/>
        <w:gridCol w:w="1494"/>
        <w:gridCol w:w="1494"/>
        <w:gridCol w:w="1255"/>
        <w:gridCol w:w="1434"/>
        <w:gridCol w:w="1828"/>
      </w:tblGrid>
      <w:tr w:rsidR="006B4A69" w:rsidRPr="0061644B" w:rsidTr="006F549C">
        <w:tc>
          <w:tcPr>
            <w:tcW w:w="1493"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债券代码</w:t>
            </w:r>
          </w:p>
        </w:tc>
        <w:tc>
          <w:tcPr>
            <w:tcW w:w="1494"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债券名称</w:t>
            </w:r>
          </w:p>
        </w:tc>
        <w:tc>
          <w:tcPr>
            <w:tcW w:w="1494"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回购到期日</w:t>
            </w:r>
          </w:p>
        </w:tc>
        <w:tc>
          <w:tcPr>
            <w:tcW w:w="1255"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期末估值单价</w:t>
            </w:r>
          </w:p>
        </w:tc>
        <w:tc>
          <w:tcPr>
            <w:tcW w:w="1434"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数量（张）</w:t>
            </w:r>
          </w:p>
        </w:tc>
        <w:tc>
          <w:tcPr>
            <w:tcW w:w="182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期末估值总额</w:t>
            </w:r>
          </w:p>
        </w:tc>
      </w:tr>
      <w:tr w:rsidR="001124D8">
        <w:tc>
          <w:tcPr>
            <w:tcW w:w="1493" w:type="dxa"/>
            <w:vAlign w:val="center"/>
          </w:tcPr>
          <w:p w:rsidR="001124D8" w:rsidRDefault="00C50050">
            <w:pPr>
              <w:jc w:val="center"/>
            </w:pPr>
            <w:r>
              <w:rPr>
                <w:kern w:val="0"/>
                <w:sz w:val="24"/>
              </w:rPr>
              <w:t>111719289</w:t>
            </w:r>
          </w:p>
        </w:tc>
        <w:tc>
          <w:tcPr>
            <w:tcW w:w="1494" w:type="dxa"/>
            <w:vAlign w:val="center"/>
          </w:tcPr>
          <w:p w:rsidR="001124D8" w:rsidRDefault="00C50050">
            <w:pPr>
              <w:jc w:val="center"/>
            </w:pPr>
            <w:r>
              <w:rPr>
                <w:kern w:val="0"/>
                <w:sz w:val="24"/>
              </w:rPr>
              <w:t>17</w:t>
            </w:r>
            <w:r>
              <w:rPr>
                <w:kern w:val="0"/>
                <w:sz w:val="24"/>
              </w:rPr>
              <w:t>恒丰银行</w:t>
            </w:r>
            <w:r>
              <w:rPr>
                <w:kern w:val="0"/>
                <w:sz w:val="24"/>
              </w:rPr>
              <w:t>CD289</w:t>
            </w:r>
          </w:p>
        </w:tc>
        <w:tc>
          <w:tcPr>
            <w:tcW w:w="1494" w:type="dxa"/>
            <w:vAlign w:val="center"/>
          </w:tcPr>
          <w:p w:rsidR="001124D8" w:rsidRDefault="00C50050">
            <w:pPr>
              <w:jc w:val="center"/>
            </w:pPr>
            <w:r>
              <w:rPr>
                <w:kern w:val="0"/>
                <w:sz w:val="24"/>
              </w:rPr>
              <w:t>2018-07-04</w:t>
            </w:r>
          </w:p>
        </w:tc>
        <w:tc>
          <w:tcPr>
            <w:tcW w:w="1255" w:type="dxa"/>
            <w:vAlign w:val="center"/>
          </w:tcPr>
          <w:p w:rsidR="001124D8" w:rsidRDefault="00C50050">
            <w:pPr>
              <w:jc w:val="right"/>
            </w:pPr>
            <w:r>
              <w:rPr>
                <w:kern w:val="0"/>
                <w:sz w:val="24"/>
              </w:rPr>
              <w:t>99.79</w:t>
            </w:r>
          </w:p>
        </w:tc>
        <w:tc>
          <w:tcPr>
            <w:tcW w:w="1434" w:type="dxa"/>
            <w:vAlign w:val="center"/>
          </w:tcPr>
          <w:p w:rsidR="001124D8" w:rsidRDefault="00C50050">
            <w:pPr>
              <w:jc w:val="right"/>
            </w:pPr>
            <w:r>
              <w:rPr>
                <w:kern w:val="0"/>
                <w:sz w:val="24"/>
              </w:rPr>
              <w:t>111,000</w:t>
            </w:r>
          </w:p>
        </w:tc>
        <w:tc>
          <w:tcPr>
            <w:tcW w:w="1828" w:type="dxa"/>
            <w:vAlign w:val="center"/>
          </w:tcPr>
          <w:p w:rsidR="001124D8" w:rsidRDefault="00C50050">
            <w:pPr>
              <w:jc w:val="right"/>
            </w:pPr>
            <w:r>
              <w:rPr>
                <w:kern w:val="0"/>
                <w:sz w:val="24"/>
              </w:rPr>
              <w:t>11,076,690.00</w:t>
            </w:r>
          </w:p>
        </w:tc>
      </w:tr>
      <w:tr w:rsidR="001124D8">
        <w:tc>
          <w:tcPr>
            <w:tcW w:w="1493" w:type="dxa"/>
            <w:vAlign w:val="center"/>
          </w:tcPr>
          <w:p w:rsidR="001124D8" w:rsidRDefault="00C50050">
            <w:pPr>
              <w:jc w:val="center"/>
            </w:pPr>
            <w:r>
              <w:rPr>
                <w:kern w:val="0"/>
                <w:sz w:val="24"/>
              </w:rPr>
              <w:t>111714261</w:t>
            </w:r>
          </w:p>
        </w:tc>
        <w:tc>
          <w:tcPr>
            <w:tcW w:w="1494" w:type="dxa"/>
            <w:vAlign w:val="center"/>
          </w:tcPr>
          <w:p w:rsidR="001124D8" w:rsidRDefault="00C50050">
            <w:pPr>
              <w:jc w:val="center"/>
            </w:pPr>
            <w:r>
              <w:rPr>
                <w:kern w:val="0"/>
                <w:sz w:val="24"/>
              </w:rPr>
              <w:t>17</w:t>
            </w:r>
            <w:r>
              <w:rPr>
                <w:kern w:val="0"/>
                <w:sz w:val="24"/>
              </w:rPr>
              <w:t>江苏银行</w:t>
            </w:r>
            <w:r>
              <w:rPr>
                <w:kern w:val="0"/>
                <w:sz w:val="24"/>
              </w:rPr>
              <w:t>CD261</w:t>
            </w:r>
          </w:p>
        </w:tc>
        <w:tc>
          <w:tcPr>
            <w:tcW w:w="1494" w:type="dxa"/>
            <w:vAlign w:val="center"/>
          </w:tcPr>
          <w:p w:rsidR="001124D8" w:rsidRDefault="00C50050">
            <w:pPr>
              <w:jc w:val="center"/>
            </w:pPr>
            <w:r>
              <w:rPr>
                <w:kern w:val="0"/>
                <w:sz w:val="24"/>
              </w:rPr>
              <w:t>2018-07-04</w:t>
            </w:r>
          </w:p>
        </w:tc>
        <w:tc>
          <w:tcPr>
            <w:tcW w:w="1255" w:type="dxa"/>
            <w:vAlign w:val="center"/>
          </w:tcPr>
          <w:p w:rsidR="001124D8" w:rsidRDefault="00C50050">
            <w:pPr>
              <w:jc w:val="right"/>
            </w:pPr>
            <w:r>
              <w:rPr>
                <w:kern w:val="0"/>
                <w:sz w:val="24"/>
              </w:rPr>
              <w:t>99.77</w:t>
            </w:r>
          </w:p>
        </w:tc>
        <w:tc>
          <w:tcPr>
            <w:tcW w:w="1434" w:type="dxa"/>
            <w:vAlign w:val="center"/>
          </w:tcPr>
          <w:p w:rsidR="001124D8" w:rsidRDefault="00C50050">
            <w:pPr>
              <w:jc w:val="right"/>
            </w:pPr>
            <w:r>
              <w:rPr>
                <w:kern w:val="0"/>
                <w:sz w:val="24"/>
              </w:rPr>
              <w:t>300,000</w:t>
            </w:r>
          </w:p>
        </w:tc>
        <w:tc>
          <w:tcPr>
            <w:tcW w:w="1828" w:type="dxa"/>
            <w:vAlign w:val="center"/>
          </w:tcPr>
          <w:p w:rsidR="001124D8" w:rsidRDefault="00C50050">
            <w:pPr>
              <w:jc w:val="right"/>
            </w:pPr>
            <w:r>
              <w:rPr>
                <w:kern w:val="0"/>
                <w:sz w:val="24"/>
              </w:rPr>
              <w:t>29,931,000.00</w:t>
            </w:r>
          </w:p>
        </w:tc>
      </w:tr>
      <w:tr w:rsidR="006B4A69" w:rsidRPr="0061644B" w:rsidTr="006F549C">
        <w:tc>
          <w:tcPr>
            <w:tcW w:w="1493"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rPr>
                <w:kern w:val="0"/>
                <w:sz w:val="24"/>
              </w:rPr>
            </w:pPr>
            <w:r w:rsidRPr="0061644B">
              <w:rPr>
                <w:sz w:val="24"/>
              </w:rPr>
              <w:t>合计</w:t>
            </w:r>
          </w:p>
        </w:tc>
        <w:tc>
          <w:tcPr>
            <w:tcW w:w="1494" w:type="dxa"/>
            <w:tcBorders>
              <w:top w:val="single" w:sz="4" w:space="0" w:color="000000"/>
              <w:left w:val="single" w:sz="4" w:space="0" w:color="000000"/>
              <w:bottom w:val="single" w:sz="4" w:space="0" w:color="000000"/>
              <w:right w:val="single" w:sz="4" w:space="0" w:color="000000"/>
            </w:tcBorders>
            <w:vAlign w:val="center"/>
          </w:tcPr>
          <w:p w:rsidR="006D141C" w:rsidRPr="0061644B" w:rsidRDefault="006D141C" w:rsidP="00792A69">
            <w:pPr>
              <w:autoSpaceDE w:val="0"/>
              <w:autoSpaceDN w:val="0"/>
              <w:adjustRightInd w:val="0"/>
              <w:spacing w:before="29" w:line="288" w:lineRule="auto"/>
              <w:ind w:left="15"/>
              <w:jc w:val="center"/>
              <w:rPr>
                <w:kern w:val="0"/>
                <w:sz w:val="24"/>
              </w:rPr>
            </w:pPr>
          </w:p>
        </w:tc>
        <w:tc>
          <w:tcPr>
            <w:tcW w:w="1494" w:type="dxa"/>
            <w:tcBorders>
              <w:top w:val="single" w:sz="4" w:space="0" w:color="000000"/>
              <w:left w:val="single" w:sz="4" w:space="0" w:color="000000"/>
              <w:bottom w:val="single" w:sz="4" w:space="0" w:color="000000"/>
              <w:right w:val="single" w:sz="4" w:space="0" w:color="000000"/>
            </w:tcBorders>
            <w:vAlign w:val="center"/>
          </w:tcPr>
          <w:p w:rsidR="006D141C" w:rsidRPr="0061644B" w:rsidRDefault="006D141C" w:rsidP="00792A69">
            <w:pPr>
              <w:autoSpaceDE w:val="0"/>
              <w:autoSpaceDN w:val="0"/>
              <w:adjustRightInd w:val="0"/>
              <w:spacing w:before="29" w:line="288" w:lineRule="auto"/>
              <w:ind w:left="15"/>
              <w:jc w:val="center"/>
              <w:rPr>
                <w:kern w:val="0"/>
                <w:sz w:val="24"/>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6D141C" w:rsidRPr="0061644B" w:rsidRDefault="006D141C" w:rsidP="00792A69">
            <w:pPr>
              <w:autoSpaceDE w:val="0"/>
              <w:autoSpaceDN w:val="0"/>
              <w:adjustRightInd w:val="0"/>
              <w:spacing w:before="29" w:line="288" w:lineRule="auto"/>
              <w:ind w:left="15"/>
              <w:jc w:val="right"/>
              <w:rPr>
                <w:kern w:val="0"/>
                <w:sz w:val="24"/>
              </w:rPr>
            </w:pPr>
          </w:p>
        </w:tc>
        <w:tc>
          <w:tcPr>
            <w:tcW w:w="1434"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411,000</w:t>
            </w:r>
          </w:p>
        </w:tc>
        <w:tc>
          <w:tcPr>
            <w:tcW w:w="182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41,007,690.00</w:t>
            </w:r>
          </w:p>
        </w:tc>
      </w:tr>
    </w:tbl>
    <w:p w:rsidR="006D141C" w:rsidRPr="0061644B" w:rsidRDefault="006D141C" w:rsidP="00792A69">
      <w:pPr>
        <w:spacing w:before="29" w:line="288" w:lineRule="auto"/>
        <w:rPr>
          <w:sz w:val="24"/>
        </w:rPr>
      </w:pPr>
    </w:p>
    <w:p w:rsidR="006D141C" w:rsidRPr="0061644B" w:rsidRDefault="006D141C" w:rsidP="00792A69">
      <w:pPr>
        <w:spacing w:before="29" w:line="288" w:lineRule="auto"/>
        <w:rPr>
          <w:b/>
          <w:bCs/>
          <w:sz w:val="24"/>
        </w:rPr>
      </w:pPr>
      <w:r w:rsidRPr="0061644B">
        <w:rPr>
          <w:b/>
          <w:bCs/>
          <w:kern w:val="0"/>
          <w:sz w:val="24"/>
        </w:rPr>
        <w:t>6.4.9.3.2</w:t>
      </w:r>
      <w:r w:rsidRPr="0061644B">
        <w:rPr>
          <w:b/>
          <w:bCs/>
          <w:sz w:val="24"/>
        </w:rPr>
        <w:t>交易所市场债券正回购</w:t>
      </w:r>
    </w:p>
    <w:p w:rsidR="006D141C" w:rsidRPr="0061644B" w:rsidRDefault="006D141C" w:rsidP="00792A69">
      <w:pPr>
        <w:spacing w:before="29" w:line="288" w:lineRule="auto"/>
        <w:ind w:firstLineChars="200" w:firstLine="480"/>
        <w:rPr>
          <w:color w:val="000000"/>
          <w:sz w:val="24"/>
        </w:rPr>
      </w:pPr>
      <w:r w:rsidRPr="0061644B">
        <w:rPr>
          <w:color w:val="000000"/>
          <w:sz w:val="24"/>
        </w:rPr>
        <w:t>本基金本报告期末无从事交易所市场债券正回购交易形成的卖出回购证券款余额。</w:t>
      </w:r>
    </w:p>
    <w:p w:rsidR="006D141C" w:rsidRPr="0061644B" w:rsidRDefault="006D141C" w:rsidP="00792A69">
      <w:pPr>
        <w:spacing w:before="29" w:line="288" w:lineRule="auto"/>
        <w:ind w:firstLineChars="200" w:firstLine="480"/>
        <w:rPr>
          <w:bCs/>
          <w:sz w:val="24"/>
        </w:rPr>
      </w:pPr>
    </w:p>
    <w:p w:rsidR="006D141C" w:rsidRPr="0061644B" w:rsidRDefault="002620BD" w:rsidP="00B54CAD">
      <w:pPr>
        <w:pStyle w:val="1"/>
        <w:keepNext/>
        <w:keepLines/>
        <w:widowControl w:val="0"/>
        <w:spacing w:beforeLines="100" w:before="312" w:afterLines="100" w:after="312" w:line="288" w:lineRule="auto"/>
        <w:jc w:val="center"/>
        <w:rPr>
          <w:b/>
          <w:bCs/>
          <w:szCs w:val="24"/>
          <w:lang w:val="en-US"/>
        </w:rPr>
      </w:pPr>
      <w:bookmarkStart w:id="16" w:name="_Toc331410101"/>
      <w:bookmarkStart w:id="17" w:name="_Toc225498272"/>
      <w:r w:rsidRPr="0061644B">
        <w:rPr>
          <w:b/>
          <w:bCs/>
          <w:szCs w:val="24"/>
          <w:lang w:val="en-US"/>
        </w:rPr>
        <w:t>7</w:t>
      </w:r>
      <w:r w:rsidR="006D141C" w:rsidRPr="0061644B">
        <w:rPr>
          <w:b/>
          <w:bCs/>
          <w:szCs w:val="24"/>
          <w:lang w:val="en-US"/>
        </w:rPr>
        <w:t>投资组合报告</w:t>
      </w:r>
      <w:bookmarkEnd w:id="16"/>
      <w:bookmarkEnd w:id="17"/>
    </w:p>
    <w:p w:rsidR="006D141C" w:rsidRPr="0061644B" w:rsidRDefault="006D141C" w:rsidP="00792A69">
      <w:pPr>
        <w:pStyle w:val="20"/>
        <w:spacing w:before="29" w:after="0" w:line="288" w:lineRule="auto"/>
        <w:rPr>
          <w:rFonts w:ascii="Times New Roman" w:hAnsi="Times New Roman" w:cs="Times New Roman"/>
          <w:kern w:val="0"/>
          <w:szCs w:val="24"/>
        </w:rPr>
      </w:pPr>
      <w:bookmarkStart w:id="18" w:name="_Toc331410102"/>
      <w:bookmarkStart w:id="19" w:name="_Toc225498273"/>
      <w:r w:rsidRPr="0061644B">
        <w:rPr>
          <w:rFonts w:ascii="Times New Roman" w:hAnsi="Times New Roman" w:cs="Times New Roman"/>
          <w:bCs w:val="0"/>
          <w:kern w:val="0"/>
          <w:szCs w:val="24"/>
        </w:rPr>
        <w:t>7.1</w:t>
      </w:r>
      <w:r w:rsidRPr="0061644B">
        <w:rPr>
          <w:rFonts w:ascii="Times New Roman" w:hAnsi="Times New Roman" w:cs="Times New Roman"/>
          <w:kern w:val="0"/>
          <w:szCs w:val="24"/>
        </w:rPr>
        <w:t>期末基金资产组合情况</w:t>
      </w:r>
      <w:bookmarkEnd w:id="18"/>
      <w:bookmarkEnd w:id="19"/>
    </w:p>
    <w:p w:rsidR="006D141C" w:rsidRPr="0061644B" w:rsidRDefault="00644AB5" w:rsidP="00792A69">
      <w:pPr>
        <w:autoSpaceDE w:val="0"/>
        <w:autoSpaceDN w:val="0"/>
        <w:adjustRightInd w:val="0"/>
        <w:spacing w:before="29" w:line="288" w:lineRule="auto"/>
        <w:ind w:left="15"/>
        <w:jc w:val="right"/>
        <w:rPr>
          <w:kern w:val="0"/>
          <w:sz w:val="24"/>
        </w:rPr>
      </w:pPr>
      <w:r w:rsidRPr="0061644B">
        <w:rPr>
          <w:sz w:val="24"/>
        </w:rPr>
        <w:t>金额单位</w:t>
      </w:r>
      <w:r w:rsidR="006D141C" w:rsidRPr="0061644B">
        <w:rPr>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1"/>
        <w:gridCol w:w="3419"/>
        <w:gridCol w:w="2249"/>
        <w:gridCol w:w="2249"/>
      </w:tblGrid>
      <w:tr w:rsidR="006B4A69" w:rsidRPr="0061644B" w:rsidTr="00973AE5">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序号</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项目</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金额</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占基金总资产的比例</w:t>
            </w:r>
            <w:r w:rsidR="00367705" w:rsidRPr="0061644B">
              <w:rPr>
                <w:rFonts w:hint="eastAsia"/>
                <w:color w:val="000000"/>
                <w:sz w:val="24"/>
              </w:rPr>
              <w:t>（％）</w:t>
            </w:r>
          </w:p>
        </w:tc>
      </w:tr>
      <w:tr w:rsidR="006B4A69" w:rsidRPr="0061644B" w:rsidTr="00973AE5">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1</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8039DA" w:rsidP="00792A69">
            <w:pPr>
              <w:spacing w:before="29" w:line="288" w:lineRule="auto"/>
              <w:ind w:leftChars="50" w:left="105"/>
              <w:rPr>
                <w:sz w:val="24"/>
              </w:rPr>
            </w:pPr>
            <w:r w:rsidRPr="0061644B">
              <w:rPr>
                <w:sz w:val="24"/>
              </w:rPr>
              <w:t>固定收益投资</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17"/>
              <w:jc w:val="right"/>
              <w:rPr>
                <w:sz w:val="24"/>
              </w:rPr>
            </w:pPr>
            <w:r w:rsidRPr="0061644B">
              <w:rPr>
                <w:sz w:val="24"/>
              </w:rPr>
              <w:t>137,967,538.90</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17"/>
              <w:jc w:val="right"/>
              <w:rPr>
                <w:sz w:val="24"/>
              </w:rPr>
            </w:pPr>
            <w:r w:rsidRPr="0061644B">
              <w:rPr>
                <w:sz w:val="24"/>
              </w:rPr>
              <w:t>52.28</w:t>
            </w:r>
          </w:p>
        </w:tc>
      </w:tr>
      <w:tr w:rsidR="006B4A69" w:rsidRPr="0061644B" w:rsidTr="00973AE5">
        <w:tc>
          <w:tcPr>
            <w:tcW w:w="1080" w:type="dxa"/>
            <w:tcBorders>
              <w:top w:val="single" w:sz="4" w:space="0" w:color="000000"/>
              <w:left w:val="single" w:sz="4" w:space="0" w:color="000000"/>
              <w:bottom w:val="single" w:sz="4" w:space="0" w:color="000000"/>
              <w:right w:val="single" w:sz="4" w:space="0" w:color="000000"/>
            </w:tcBorders>
            <w:vAlign w:val="center"/>
          </w:tcPr>
          <w:p w:rsidR="006D141C" w:rsidRPr="0061644B" w:rsidRDefault="006D141C" w:rsidP="00792A69">
            <w:pPr>
              <w:spacing w:before="29" w:line="288" w:lineRule="auto"/>
              <w:jc w:val="center"/>
              <w:rPr>
                <w:sz w:val="24"/>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991A56" w:rsidP="00792A69">
            <w:pPr>
              <w:spacing w:before="29" w:line="288" w:lineRule="auto"/>
              <w:ind w:leftChars="50" w:left="105"/>
              <w:rPr>
                <w:sz w:val="24"/>
              </w:rPr>
            </w:pPr>
            <w:r w:rsidRPr="0061644B">
              <w:rPr>
                <w:sz w:val="24"/>
              </w:rPr>
              <w:t>其中：债券</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17"/>
              <w:jc w:val="right"/>
              <w:rPr>
                <w:sz w:val="24"/>
              </w:rPr>
            </w:pPr>
            <w:r w:rsidRPr="0061644B">
              <w:rPr>
                <w:sz w:val="24"/>
              </w:rPr>
              <w:t>137,967,538.90</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17"/>
              <w:jc w:val="right"/>
              <w:rPr>
                <w:sz w:val="24"/>
              </w:rPr>
            </w:pPr>
            <w:r w:rsidRPr="0061644B">
              <w:rPr>
                <w:sz w:val="24"/>
              </w:rPr>
              <w:t>52.28</w:t>
            </w:r>
          </w:p>
        </w:tc>
      </w:tr>
      <w:tr w:rsidR="006B4A69" w:rsidRPr="0061644B" w:rsidTr="00973AE5">
        <w:tc>
          <w:tcPr>
            <w:tcW w:w="1080" w:type="dxa"/>
            <w:tcBorders>
              <w:top w:val="single" w:sz="4" w:space="0" w:color="000000"/>
              <w:left w:val="single" w:sz="4" w:space="0" w:color="000000"/>
              <w:bottom w:val="single" w:sz="4" w:space="0" w:color="000000"/>
              <w:right w:val="single" w:sz="4" w:space="0" w:color="000000"/>
            </w:tcBorders>
            <w:vAlign w:val="center"/>
            <w:hideMark/>
          </w:tcPr>
          <w:p w:rsidR="00460672" w:rsidRPr="0061644B" w:rsidRDefault="00460672" w:rsidP="00792A69">
            <w:pPr>
              <w:spacing w:before="29" w:line="288" w:lineRule="auto"/>
              <w:jc w:val="center"/>
              <w:rPr>
                <w:sz w:val="24"/>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460672" w:rsidRPr="0061644B" w:rsidRDefault="00460672" w:rsidP="00792A69">
            <w:pPr>
              <w:spacing w:before="29" w:line="288" w:lineRule="auto"/>
              <w:ind w:leftChars="50" w:left="105"/>
              <w:rPr>
                <w:sz w:val="24"/>
              </w:rPr>
            </w:pPr>
            <w:r w:rsidRPr="0061644B">
              <w:rPr>
                <w:sz w:val="24"/>
              </w:rPr>
              <w:t>资产支持证券</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460672" w:rsidRPr="0061644B" w:rsidRDefault="00460672" w:rsidP="00792A69">
            <w:pPr>
              <w:spacing w:before="29" w:line="288" w:lineRule="auto"/>
              <w:ind w:left="17"/>
              <w:jc w:val="right"/>
              <w:rPr>
                <w:sz w:val="24"/>
              </w:rPr>
            </w:pPr>
            <w:r w:rsidRPr="0061644B">
              <w:rPr>
                <w:sz w:val="24"/>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460672" w:rsidRPr="0061644B" w:rsidRDefault="00460672" w:rsidP="00792A69">
            <w:pPr>
              <w:spacing w:before="29" w:line="288" w:lineRule="auto"/>
              <w:ind w:left="17"/>
              <w:jc w:val="right"/>
              <w:rPr>
                <w:sz w:val="24"/>
              </w:rPr>
            </w:pPr>
            <w:r w:rsidRPr="0061644B">
              <w:rPr>
                <w:sz w:val="24"/>
              </w:rPr>
              <w:t>-</w:t>
            </w:r>
          </w:p>
        </w:tc>
      </w:tr>
      <w:tr w:rsidR="006B4A69" w:rsidRPr="0061644B" w:rsidTr="00973AE5">
        <w:tc>
          <w:tcPr>
            <w:tcW w:w="1080" w:type="dxa"/>
            <w:tcBorders>
              <w:top w:val="single" w:sz="4" w:space="0" w:color="000000"/>
              <w:left w:val="single" w:sz="4" w:space="0" w:color="000000"/>
              <w:bottom w:val="single" w:sz="4" w:space="0" w:color="000000"/>
              <w:right w:val="single" w:sz="4" w:space="0" w:color="000000"/>
            </w:tcBorders>
            <w:vAlign w:val="center"/>
          </w:tcPr>
          <w:p w:rsidR="006D141C" w:rsidRPr="0061644B" w:rsidRDefault="00460672" w:rsidP="00792A69">
            <w:pPr>
              <w:spacing w:before="29" w:line="288" w:lineRule="auto"/>
              <w:jc w:val="center"/>
              <w:rPr>
                <w:sz w:val="24"/>
              </w:rPr>
            </w:pPr>
            <w:r w:rsidRPr="0061644B">
              <w:rPr>
                <w:sz w:val="24"/>
              </w:rPr>
              <w:t>2</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460672" w:rsidP="00792A69">
            <w:pPr>
              <w:spacing w:before="29" w:line="288" w:lineRule="auto"/>
              <w:ind w:leftChars="50" w:left="105"/>
              <w:rPr>
                <w:sz w:val="24"/>
              </w:rPr>
            </w:pPr>
            <w:r w:rsidRPr="0061644B">
              <w:rPr>
                <w:sz w:val="24"/>
              </w:rPr>
              <w:t>买入返售金融资产</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17"/>
              <w:jc w:val="right"/>
              <w:rPr>
                <w:sz w:val="24"/>
              </w:rPr>
            </w:pPr>
            <w:r w:rsidRPr="0061644B">
              <w:rPr>
                <w:sz w:val="24"/>
              </w:rPr>
              <w:t>54,686,322.03</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17"/>
              <w:jc w:val="right"/>
              <w:rPr>
                <w:sz w:val="24"/>
              </w:rPr>
            </w:pPr>
            <w:r w:rsidRPr="0061644B">
              <w:rPr>
                <w:sz w:val="24"/>
              </w:rPr>
              <w:t>20.72</w:t>
            </w:r>
          </w:p>
        </w:tc>
      </w:tr>
      <w:tr w:rsidR="006B4A69" w:rsidRPr="0061644B" w:rsidTr="00973AE5">
        <w:tc>
          <w:tcPr>
            <w:tcW w:w="1080" w:type="dxa"/>
            <w:tcBorders>
              <w:top w:val="single" w:sz="4" w:space="0" w:color="000000"/>
              <w:left w:val="single" w:sz="4" w:space="0" w:color="000000"/>
              <w:bottom w:val="single" w:sz="4" w:space="0" w:color="000000"/>
              <w:right w:val="single" w:sz="4" w:space="0" w:color="000000"/>
            </w:tcBorders>
            <w:vAlign w:val="center"/>
          </w:tcPr>
          <w:p w:rsidR="006D141C" w:rsidRPr="0061644B" w:rsidRDefault="006D141C" w:rsidP="00792A69">
            <w:pPr>
              <w:spacing w:before="29" w:line="288" w:lineRule="auto"/>
              <w:jc w:val="center"/>
              <w:rPr>
                <w:sz w:val="24"/>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DB354F" w:rsidP="00792A69">
            <w:pPr>
              <w:spacing w:before="29" w:line="288" w:lineRule="auto"/>
              <w:ind w:leftChars="50" w:left="105"/>
              <w:rPr>
                <w:sz w:val="24"/>
              </w:rPr>
            </w:pPr>
            <w:r w:rsidRPr="0061644B">
              <w:rPr>
                <w:sz w:val="24"/>
              </w:rPr>
              <w:t>其中：买断式回购的买入返售</w:t>
            </w:r>
            <w:r w:rsidRPr="0061644B">
              <w:rPr>
                <w:sz w:val="24"/>
              </w:rPr>
              <w:lastRenderedPageBreak/>
              <w:t>金融资产</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17"/>
              <w:jc w:val="right"/>
              <w:rPr>
                <w:sz w:val="24"/>
              </w:rPr>
            </w:pPr>
            <w:r w:rsidRPr="0061644B">
              <w:rPr>
                <w:sz w:val="24"/>
              </w:rPr>
              <w:lastRenderedPageBreak/>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17"/>
              <w:jc w:val="right"/>
              <w:rPr>
                <w:sz w:val="24"/>
              </w:rPr>
            </w:pPr>
            <w:r w:rsidRPr="0061644B">
              <w:rPr>
                <w:sz w:val="24"/>
              </w:rPr>
              <w:t>-</w:t>
            </w:r>
          </w:p>
        </w:tc>
      </w:tr>
      <w:tr w:rsidR="006B4A69" w:rsidRPr="0061644B" w:rsidTr="00973AE5">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3</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AF5FD2" w:rsidP="00792A69">
            <w:pPr>
              <w:spacing w:before="29" w:line="288" w:lineRule="auto"/>
              <w:ind w:leftChars="50" w:left="105"/>
              <w:rPr>
                <w:sz w:val="24"/>
              </w:rPr>
            </w:pPr>
            <w:r w:rsidRPr="0061644B">
              <w:rPr>
                <w:sz w:val="24"/>
              </w:rPr>
              <w:t>银行存款和结算备付金合计</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17"/>
              <w:jc w:val="right"/>
              <w:rPr>
                <w:sz w:val="24"/>
              </w:rPr>
            </w:pPr>
            <w:r w:rsidRPr="0061644B">
              <w:rPr>
                <w:sz w:val="24"/>
              </w:rPr>
              <w:t>70,574,601.33</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17"/>
              <w:jc w:val="right"/>
              <w:rPr>
                <w:sz w:val="24"/>
              </w:rPr>
            </w:pPr>
            <w:r w:rsidRPr="0061644B">
              <w:rPr>
                <w:sz w:val="24"/>
              </w:rPr>
              <w:t>26.74</w:t>
            </w:r>
          </w:p>
        </w:tc>
      </w:tr>
      <w:tr w:rsidR="006B4A69" w:rsidRPr="0061644B" w:rsidTr="00973AE5">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17"/>
              <w:jc w:val="center"/>
              <w:rPr>
                <w:sz w:val="24"/>
              </w:rPr>
            </w:pPr>
            <w:r w:rsidRPr="0061644B">
              <w:rPr>
                <w:sz w:val="24"/>
              </w:rPr>
              <w:t>4</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Chars="50" w:left="105"/>
              <w:rPr>
                <w:sz w:val="24"/>
              </w:rPr>
            </w:pPr>
            <w:r w:rsidRPr="0061644B">
              <w:rPr>
                <w:sz w:val="24"/>
              </w:rPr>
              <w:t>其他各项资产</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693,256.09</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0.26</w:t>
            </w:r>
          </w:p>
        </w:tc>
      </w:tr>
      <w:tr w:rsidR="006B4A69" w:rsidRPr="0061644B" w:rsidTr="00973AE5">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17"/>
              <w:jc w:val="center"/>
              <w:rPr>
                <w:sz w:val="24"/>
              </w:rPr>
            </w:pPr>
            <w:r w:rsidRPr="0061644B">
              <w:rPr>
                <w:sz w:val="24"/>
              </w:rPr>
              <w:t>5</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Chars="50" w:left="105"/>
              <w:rPr>
                <w:sz w:val="24"/>
              </w:rPr>
            </w:pPr>
            <w:r w:rsidRPr="0061644B">
              <w:rPr>
                <w:sz w:val="24"/>
              </w:rPr>
              <w:t>合计</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263,921,718.35</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100.00</w:t>
            </w:r>
          </w:p>
        </w:tc>
      </w:tr>
    </w:tbl>
    <w:p w:rsidR="006D141C" w:rsidRPr="0061644B" w:rsidRDefault="006D141C" w:rsidP="00792A69">
      <w:pPr>
        <w:spacing w:before="29" w:line="288" w:lineRule="auto"/>
        <w:rPr>
          <w:sz w:val="24"/>
        </w:rPr>
      </w:pPr>
    </w:p>
    <w:p w:rsidR="006D141C" w:rsidRPr="0061644B" w:rsidRDefault="006D141C" w:rsidP="00792A69">
      <w:pPr>
        <w:pStyle w:val="20"/>
        <w:spacing w:before="29" w:after="0" w:line="288" w:lineRule="auto"/>
        <w:rPr>
          <w:rFonts w:ascii="Times New Roman" w:hAnsi="Times New Roman" w:cs="Times New Roman"/>
          <w:szCs w:val="24"/>
        </w:rPr>
      </w:pPr>
      <w:bookmarkStart w:id="20" w:name="_Toc331410103"/>
      <w:bookmarkStart w:id="21" w:name="_Toc225498274"/>
      <w:r w:rsidRPr="0061644B">
        <w:rPr>
          <w:rFonts w:ascii="Times New Roman" w:hAnsi="Times New Roman" w:cs="Times New Roman"/>
          <w:szCs w:val="24"/>
        </w:rPr>
        <w:t>7.2</w:t>
      </w:r>
      <w:bookmarkEnd w:id="20"/>
      <w:bookmarkEnd w:id="21"/>
      <w:r w:rsidR="00AF5FD2" w:rsidRPr="0061644B">
        <w:rPr>
          <w:rFonts w:ascii="Times New Roman" w:hAnsi="Times New Roman" w:cs="Times New Roman"/>
          <w:szCs w:val="24"/>
        </w:rPr>
        <w:t>债券回购融资情况</w:t>
      </w:r>
    </w:p>
    <w:p w:rsidR="006D141C" w:rsidRPr="0061644B" w:rsidRDefault="00644AB5" w:rsidP="00792A69">
      <w:pPr>
        <w:autoSpaceDE w:val="0"/>
        <w:autoSpaceDN w:val="0"/>
        <w:adjustRightInd w:val="0"/>
        <w:spacing w:before="29" w:line="288" w:lineRule="auto"/>
        <w:ind w:left="15"/>
        <w:jc w:val="right"/>
        <w:rPr>
          <w:sz w:val="24"/>
        </w:rPr>
      </w:pPr>
      <w:r w:rsidRPr="0061644B">
        <w:rPr>
          <w:sz w:val="24"/>
        </w:rPr>
        <w:t>金额单位</w:t>
      </w:r>
      <w:r w:rsidR="006D141C" w:rsidRPr="0061644B">
        <w:rPr>
          <w:sz w:val="24"/>
        </w:rPr>
        <w:t>：人民币元</w:t>
      </w:r>
    </w:p>
    <w:tbl>
      <w:tblPr>
        <w:tblW w:w="92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99"/>
        <w:gridCol w:w="3072"/>
        <w:gridCol w:w="3163"/>
        <w:gridCol w:w="2275"/>
        <w:gridCol w:w="10"/>
      </w:tblGrid>
      <w:tr w:rsidR="006B4A69" w:rsidRPr="0061644B" w:rsidTr="00A82D72">
        <w:trPr>
          <w:trHeight w:val="390"/>
        </w:trPr>
        <w:tc>
          <w:tcPr>
            <w:tcW w:w="709" w:type="dxa"/>
            <w:vAlign w:val="center"/>
          </w:tcPr>
          <w:p w:rsidR="00A27C85" w:rsidRPr="0061644B" w:rsidRDefault="00A27C85" w:rsidP="00792A69">
            <w:pPr>
              <w:spacing w:before="29" w:line="288" w:lineRule="auto"/>
              <w:jc w:val="center"/>
              <w:rPr>
                <w:sz w:val="24"/>
              </w:rPr>
            </w:pPr>
            <w:r w:rsidRPr="0061644B">
              <w:rPr>
                <w:sz w:val="24"/>
              </w:rPr>
              <w:t>序号</w:t>
            </w:r>
          </w:p>
        </w:tc>
        <w:tc>
          <w:tcPr>
            <w:tcW w:w="3119" w:type="dxa"/>
            <w:tcMar>
              <w:top w:w="15" w:type="dxa"/>
              <w:left w:w="15" w:type="dxa"/>
              <w:bottom w:w="0" w:type="dxa"/>
              <w:right w:w="15" w:type="dxa"/>
            </w:tcMar>
            <w:vAlign w:val="center"/>
          </w:tcPr>
          <w:p w:rsidR="00A27C85" w:rsidRPr="0061644B" w:rsidRDefault="00A27C85" w:rsidP="00792A69">
            <w:pPr>
              <w:spacing w:before="29" w:line="288" w:lineRule="auto"/>
              <w:jc w:val="center"/>
              <w:rPr>
                <w:sz w:val="24"/>
              </w:rPr>
            </w:pPr>
            <w:r w:rsidRPr="0061644B">
              <w:rPr>
                <w:kern w:val="0"/>
                <w:sz w:val="24"/>
              </w:rPr>
              <w:t>项目</w:t>
            </w:r>
          </w:p>
        </w:tc>
        <w:tc>
          <w:tcPr>
            <w:tcW w:w="5532" w:type="dxa"/>
            <w:gridSpan w:val="3"/>
            <w:vAlign w:val="center"/>
          </w:tcPr>
          <w:p w:rsidR="00A27C85" w:rsidRPr="0061644B" w:rsidRDefault="00A27C85" w:rsidP="00792A69">
            <w:pPr>
              <w:spacing w:before="29" w:line="288" w:lineRule="auto"/>
              <w:jc w:val="center"/>
              <w:rPr>
                <w:sz w:val="24"/>
              </w:rPr>
            </w:pPr>
            <w:r w:rsidRPr="0061644B">
              <w:rPr>
                <w:sz w:val="24"/>
              </w:rPr>
              <w:t>占基金资产净值</w:t>
            </w:r>
            <w:r w:rsidR="0011127E" w:rsidRPr="0061644B">
              <w:rPr>
                <w:sz w:val="24"/>
              </w:rPr>
              <w:t>的</w:t>
            </w:r>
            <w:r w:rsidRPr="0061644B">
              <w:rPr>
                <w:sz w:val="24"/>
              </w:rPr>
              <w:t>比例（％）</w:t>
            </w:r>
          </w:p>
        </w:tc>
      </w:tr>
      <w:tr w:rsidR="006B4A69" w:rsidRPr="0061644B" w:rsidTr="00A82D72">
        <w:trPr>
          <w:trHeight w:val="285"/>
        </w:trPr>
        <w:tc>
          <w:tcPr>
            <w:tcW w:w="709" w:type="dxa"/>
            <w:vMerge w:val="restart"/>
            <w:tcMar>
              <w:top w:w="15" w:type="dxa"/>
              <w:left w:w="15" w:type="dxa"/>
              <w:bottom w:w="0" w:type="dxa"/>
              <w:right w:w="15" w:type="dxa"/>
            </w:tcMar>
            <w:vAlign w:val="center"/>
          </w:tcPr>
          <w:p w:rsidR="00A27C85" w:rsidRPr="0061644B" w:rsidRDefault="00A27C85" w:rsidP="00792A69">
            <w:pPr>
              <w:spacing w:before="29" w:line="288" w:lineRule="auto"/>
              <w:jc w:val="center"/>
              <w:rPr>
                <w:sz w:val="24"/>
              </w:rPr>
            </w:pPr>
            <w:r w:rsidRPr="0061644B">
              <w:rPr>
                <w:sz w:val="24"/>
              </w:rPr>
              <w:t>1</w:t>
            </w:r>
          </w:p>
        </w:tc>
        <w:tc>
          <w:tcPr>
            <w:tcW w:w="3119" w:type="dxa"/>
            <w:tcMar>
              <w:top w:w="15" w:type="dxa"/>
              <w:left w:w="15" w:type="dxa"/>
              <w:bottom w:w="0" w:type="dxa"/>
              <w:right w:w="15" w:type="dxa"/>
            </w:tcMar>
            <w:vAlign w:val="center"/>
          </w:tcPr>
          <w:p w:rsidR="00A27C85" w:rsidRPr="0061644B" w:rsidRDefault="00A27C85" w:rsidP="00792A69">
            <w:pPr>
              <w:spacing w:before="29" w:line="288" w:lineRule="auto"/>
              <w:ind w:leftChars="50" w:left="105"/>
              <w:jc w:val="center"/>
              <w:rPr>
                <w:sz w:val="24"/>
              </w:rPr>
            </w:pPr>
            <w:r w:rsidRPr="0061644B">
              <w:rPr>
                <w:sz w:val="24"/>
              </w:rPr>
              <w:t>报告期内债券回购融资余额</w:t>
            </w:r>
          </w:p>
        </w:tc>
        <w:tc>
          <w:tcPr>
            <w:tcW w:w="5532" w:type="dxa"/>
            <w:gridSpan w:val="3"/>
            <w:vAlign w:val="center"/>
          </w:tcPr>
          <w:p w:rsidR="00A27C85" w:rsidRPr="0061644B" w:rsidRDefault="00A27C85" w:rsidP="00792A69">
            <w:pPr>
              <w:spacing w:before="29" w:line="288" w:lineRule="auto"/>
              <w:jc w:val="right"/>
              <w:rPr>
                <w:sz w:val="24"/>
              </w:rPr>
            </w:pPr>
            <w:r w:rsidRPr="0061644B">
              <w:rPr>
                <w:sz w:val="24"/>
              </w:rPr>
              <w:t>7.59</w:t>
            </w:r>
          </w:p>
        </w:tc>
      </w:tr>
      <w:tr w:rsidR="006B4A69" w:rsidRPr="0061644B" w:rsidTr="00A82D72">
        <w:trPr>
          <w:trHeight w:val="285"/>
        </w:trPr>
        <w:tc>
          <w:tcPr>
            <w:tcW w:w="709" w:type="dxa"/>
            <w:vMerge/>
            <w:tcMar>
              <w:top w:w="15" w:type="dxa"/>
              <w:left w:w="15" w:type="dxa"/>
              <w:bottom w:w="0" w:type="dxa"/>
              <w:right w:w="15" w:type="dxa"/>
            </w:tcMar>
            <w:vAlign w:val="center"/>
          </w:tcPr>
          <w:p w:rsidR="00A27C85" w:rsidRPr="0061644B" w:rsidRDefault="00A27C85" w:rsidP="00792A69">
            <w:pPr>
              <w:spacing w:before="29" w:line="288" w:lineRule="auto"/>
              <w:jc w:val="center"/>
              <w:rPr>
                <w:sz w:val="24"/>
              </w:rPr>
            </w:pPr>
          </w:p>
        </w:tc>
        <w:tc>
          <w:tcPr>
            <w:tcW w:w="3119" w:type="dxa"/>
            <w:tcMar>
              <w:top w:w="15" w:type="dxa"/>
              <w:left w:w="15" w:type="dxa"/>
              <w:bottom w:w="0" w:type="dxa"/>
              <w:right w:w="15" w:type="dxa"/>
            </w:tcMar>
            <w:vAlign w:val="center"/>
          </w:tcPr>
          <w:p w:rsidR="00A27C85" w:rsidRPr="0061644B" w:rsidRDefault="00A27C85" w:rsidP="00792A69">
            <w:pPr>
              <w:spacing w:before="29" w:line="288" w:lineRule="auto"/>
              <w:ind w:leftChars="50" w:left="105"/>
              <w:jc w:val="center"/>
              <w:rPr>
                <w:sz w:val="24"/>
              </w:rPr>
            </w:pPr>
            <w:r w:rsidRPr="0061644B">
              <w:rPr>
                <w:sz w:val="24"/>
              </w:rPr>
              <w:t>其中：买断式回购融资</w:t>
            </w:r>
          </w:p>
        </w:tc>
        <w:tc>
          <w:tcPr>
            <w:tcW w:w="5532" w:type="dxa"/>
            <w:gridSpan w:val="3"/>
            <w:vAlign w:val="center"/>
          </w:tcPr>
          <w:p w:rsidR="00A27C85" w:rsidRPr="0061644B" w:rsidRDefault="00A27C85" w:rsidP="00792A69">
            <w:pPr>
              <w:spacing w:before="29" w:line="288" w:lineRule="auto"/>
              <w:jc w:val="right"/>
              <w:rPr>
                <w:sz w:val="24"/>
              </w:rPr>
            </w:pPr>
            <w:r w:rsidRPr="0061644B">
              <w:rPr>
                <w:sz w:val="24"/>
              </w:rPr>
              <w:t>-</w:t>
            </w:r>
          </w:p>
        </w:tc>
      </w:tr>
      <w:tr w:rsidR="006B4A69" w:rsidRPr="0061644B" w:rsidTr="00A82D72">
        <w:trPr>
          <w:gridAfter w:val="1"/>
          <w:wAfter w:w="10" w:type="dxa"/>
          <w:trHeight w:val="285"/>
        </w:trPr>
        <w:tc>
          <w:tcPr>
            <w:tcW w:w="709" w:type="dxa"/>
            <w:tcMar>
              <w:top w:w="15" w:type="dxa"/>
              <w:left w:w="15" w:type="dxa"/>
              <w:bottom w:w="0" w:type="dxa"/>
              <w:right w:w="15" w:type="dxa"/>
            </w:tcMar>
            <w:vAlign w:val="center"/>
          </w:tcPr>
          <w:p w:rsidR="00C86197" w:rsidRPr="0061644B" w:rsidRDefault="00C86197" w:rsidP="00792A69">
            <w:pPr>
              <w:spacing w:before="29" w:line="288" w:lineRule="auto"/>
              <w:jc w:val="center"/>
              <w:rPr>
                <w:sz w:val="24"/>
              </w:rPr>
            </w:pPr>
            <w:r w:rsidRPr="0061644B">
              <w:rPr>
                <w:sz w:val="24"/>
              </w:rPr>
              <w:t>序号</w:t>
            </w:r>
          </w:p>
        </w:tc>
        <w:tc>
          <w:tcPr>
            <w:tcW w:w="3119" w:type="dxa"/>
            <w:tcMar>
              <w:top w:w="15" w:type="dxa"/>
              <w:left w:w="15" w:type="dxa"/>
              <w:bottom w:w="0" w:type="dxa"/>
              <w:right w:w="15" w:type="dxa"/>
            </w:tcMar>
            <w:vAlign w:val="center"/>
          </w:tcPr>
          <w:p w:rsidR="00C86197" w:rsidRPr="0061644B" w:rsidRDefault="00C86197" w:rsidP="00792A69">
            <w:pPr>
              <w:spacing w:before="29" w:line="288" w:lineRule="auto"/>
              <w:jc w:val="center"/>
              <w:rPr>
                <w:sz w:val="24"/>
              </w:rPr>
            </w:pPr>
            <w:r w:rsidRPr="0061644B">
              <w:rPr>
                <w:kern w:val="0"/>
                <w:sz w:val="24"/>
              </w:rPr>
              <w:t>项目</w:t>
            </w:r>
          </w:p>
        </w:tc>
        <w:tc>
          <w:tcPr>
            <w:tcW w:w="3212" w:type="dxa"/>
            <w:vAlign w:val="center"/>
          </w:tcPr>
          <w:p w:rsidR="00C86197" w:rsidRPr="0061644B" w:rsidRDefault="00C86197" w:rsidP="00792A69">
            <w:pPr>
              <w:spacing w:before="29" w:line="288" w:lineRule="auto"/>
              <w:jc w:val="center"/>
              <w:rPr>
                <w:sz w:val="24"/>
              </w:rPr>
            </w:pPr>
            <w:r w:rsidRPr="0061644B">
              <w:rPr>
                <w:kern w:val="0"/>
                <w:sz w:val="24"/>
              </w:rPr>
              <w:t>金额</w:t>
            </w:r>
          </w:p>
        </w:tc>
        <w:tc>
          <w:tcPr>
            <w:tcW w:w="2310" w:type="dxa"/>
            <w:tcMar>
              <w:top w:w="15" w:type="dxa"/>
              <w:left w:w="15" w:type="dxa"/>
              <w:bottom w:w="0" w:type="dxa"/>
              <w:right w:w="15" w:type="dxa"/>
            </w:tcMar>
            <w:vAlign w:val="center"/>
          </w:tcPr>
          <w:p w:rsidR="00C86197" w:rsidRPr="0061644B" w:rsidRDefault="00C86197" w:rsidP="00792A69">
            <w:pPr>
              <w:spacing w:before="29" w:line="288" w:lineRule="auto"/>
              <w:jc w:val="center"/>
              <w:rPr>
                <w:sz w:val="24"/>
              </w:rPr>
            </w:pPr>
            <w:r w:rsidRPr="0061644B">
              <w:rPr>
                <w:kern w:val="0"/>
                <w:sz w:val="24"/>
              </w:rPr>
              <w:t>占基金资产净值的比例（％）</w:t>
            </w:r>
          </w:p>
        </w:tc>
      </w:tr>
      <w:tr w:rsidR="006B4A69" w:rsidRPr="0061644B" w:rsidTr="00A82D72">
        <w:trPr>
          <w:gridAfter w:val="1"/>
          <w:wAfter w:w="10" w:type="dxa"/>
          <w:trHeight w:val="285"/>
        </w:trPr>
        <w:tc>
          <w:tcPr>
            <w:tcW w:w="709" w:type="dxa"/>
            <w:vMerge w:val="restart"/>
            <w:tcMar>
              <w:top w:w="15" w:type="dxa"/>
              <w:left w:w="15" w:type="dxa"/>
              <w:bottom w:w="0" w:type="dxa"/>
              <w:right w:w="15" w:type="dxa"/>
            </w:tcMar>
            <w:vAlign w:val="center"/>
          </w:tcPr>
          <w:p w:rsidR="00C86197" w:rsidRPr="0061644B" w:rsidRDefault="00C86197" w:rsidP="00792A69">
            <w:pPr>
              <w:spacing w:before="29" w:line="288" w:lineRule="auto"/>
              <w:jc w:val="center"/>
              <w:rPr>
                <w:sz w:val="24"/>
              </w:rPr>
            </w:pPr>
            <w:r w:rsidRPr="0061644B">
              <w:rPr>
                <w:sz w:val="24"/>
              </w:rPr>
              <w:t>2</w:t>
            </w:r>
          </w:p>
        </w:tc>
        <w:tc>
          <w:tcPr>
            <w:tcW w:w="3119" w:type="dxa"/>
            <w:tcMar>
              <w:top w:w="15" w:type="dxa"/>
              <w:left w:w="15" w:type="dxa"/>
              <w:bottom w:w="0" w:type="dxa"/>
              <w:right w:w="15" w:type="dxa"/>
            </w:tcMar>
            <w:vAlign w:val="center"/>
          </w:tcPr>
          <w:p w:rsidR="00C86197" w:rsidRPr="0061644B" w:rsidRDefault="00C86197" w:rsidP="00792A69">
            <w:pPr>
              <w:spacing w:before="29" w:line="288" w:lineRule="auto"/>
              <w:jc w:val="center"/>
              <w:rPr>
                <w:sz w:val="24"/>
              </w:rPr>
            </w:pPr>
            <w:r w:rsidRPr="0061644B">
              <w:rPr>
                <w:sz w:val="24"/>
              </w:rPr>
              <w:t>报告期末债券回购融资余额</w:t>
            </w:r>
          </w:p>
        </w:tc>
        <w:tc>
          <w:tcPr>
            <w:tcW w:w="3212" w:type="dxa"/>
            <w:vAlign w:val="center"/>
          </w:tcPr>
          <w:p w:rsidR="00C86197" w:rsidRPr="0061644B" w:rsidRDefault="00C86197" w:rsidP="00792A69">
            <w:pPr>
              <w:spacing w:before="29" w:line="288" w:lineRule="auto"/>
              <w:jc w:val="right"/>
              <w:rPr>
                <w:sz w:val="24"/>
              </w:rPr>
            </w:pPr>
            <w:r w:rsidRPr="0061644B">
              <w:rPr>
                <w:sz w:val="24"/>
              </w:rPr>
              <w:t>39,044,741.43</w:t>
            </w:r>
          </w:p>
        </w:tc>
        <w:tc>
          <w:tcPr>
            <w:tcW w:w="2310" w:type="dxa"/>
            <w:tcMar>
              <w:top w:w="15" w:type="dxa"/>
              <w:left w:w="15" w:type="dxa"/>
              <w:bottom w:w="0" w:type="dxa"/>
              <w:right w:w="15" w:type="dxa"/>
            </w:tcMar>
            <w:vAlign w:val="center"/>
          </w:tcPr>
          <w:p w:rsidR="00C86197" w:rsidRPr="0061644B" w:rsidRDefault="00D13184" w:rsidP="00792A69">
            <w:pPr>
              <w:spacing w:before="29" w:line="288" w:lineRule="auto"/>
              <w:jc w:val="right"/>
              <w:rPr>
                <w:sz w:val="24"/>
              </w:rPr>
            </w:pPr>
            <w:r w:rsidRPr="0061644B">
              <w:rPr>
                <w:sz w:val="24"/>
              </w:rPr>
              <w:t>17.38</w:t>
            </w:r>
          </w:p>
        </w:tc>
      </w:tr>
      <w:tr w:rsidR="006B4A69" w:rsidRPr="0061644B" w:rsidTr="00A82D72">
        <w:trPr>
          <w:gridAfter w:val="1"/>
          <w:wAfter w:w="10" w:type="dxa"/>
          <w:trHeight w:val="285"/>
        </w:trPr>
        <w:tc>
          <w:tcPr>
            <w:tcW w:w="709" w:type="dxa"/>
            <w:vMerge/>
            <w:tcMar>
              <w:top w:w="15" w:type="dxa"/>
              <w:left w:w="15" w:type="dxa"/>
              <w:bottom w:w="0" w:type="dxa"/>
              <w:right w:w="15" w:type="dxa"/>
            </w:tcMar>
            <w:vAlign w:val="center"/>
          </w:tcPr>
          <w:p w:rsidR="00C86197" w:rsidRPr="0061644B" w:rsidRDefault="00C86197" w:rsidP="00792A69">
            <w:pPr>
              <w:spacing w:before="29" w:line="288" w:lineRule="auto"/>
              <w:jc w:val="center"/>
              <w:rPr>
                <w:sz w:val="24"/>
              </w:rPr>
            </w:pPr>
          </w:p>
        </w:tc>
        <w:tc>
          <w:tcPr>
            <w:tcW w:w="3119" w:type="dxa"/>
            <w:tcMar>
              <w:top w:w="15" w:type="dxa"/>
              <w:left w:w="15" w:type="dxa"/>
              <w:bottom w:w="0" w:type="dxa"/>
              <w:right w:w="15" w:type="dxa"/>
            </w:tcMar>
            <w:vAlign w:val="center"/>
          </w:tcPr>
          <w:p w:rsidR="00C86197" w:rsidRPr="0061644B" w:rsidRDefault="00C86197" w:rsidP="00792A69">
            <w:pPr>
              <w:spacing w:before="29" w:line="288" w:lineRule="auto"/>
              <w:jc w:val="center"/>
              <w:rPr>
                <w:sz w:val="24"/>
              </w:rPr>
            </w:pPr>
            <w:r w:rsidRPr="0061644B">
              <w:rPr>
                <w:sz w:val="24"/>
              </w:rPr>
              <w:t>其中：买断式回购融资</w:t>
            </w:r>
          </w:p>
        </w:tc>
        <w:tc>
          <w:tcPr>
            <w:tcW w:w="3212" w:type="dxa"/>
            <w:vAlign w:val="center"/>
          </w:tcPr>
          <w:p w:rsidR="00C86197" w:rsidRPr="0061644B" w:rsidRDefault="00D13184" w:rsidP="00792A69">
            <w:pPr>
              <w:spacing w:before="29" w:line="288" w:lineRule="auto"/>
              <w:jc w:val="right"/>
              <w:rPr>
                <w:sz w:val="24"/>
              </w:rPr>
            </w:pPr>
            <w:r w:rsidRPr="0061644B">
              <w:rPr>
                <w:sz w:val="24"/>
              </w:rPr>
              <w:t>-</w:t>
            </w:r>
          </w:p>
        </w:tc>
        <w:tc>
          <w:tcPr>
            <w:tcW w:w="2310" w:type="dxa"/>
            <w:tcMar>
              <w:top w:w="15" w:type="dxa"/>
              <w:left w:w="15" w:type="dxa"/>
              <w:bottom w:w="0" w:type="dxa"/>
              <w:right w:w="15" w:type="dxa"/>
            </w:tcMar>
            <w:vAlign w:val="center"/>
          </w:tcPr>
          <w:p w:rsidR="00C86197" w:rsidRPr="0061644B" w:rsidRDefault="00D13184" w:rsidP="00792A69">
            <w:pPr>
              <w:spacing w:before="29" w:line="288" w:lineRule="auto"/>
              <w:jc w:val="right"/>
              <w:rPr>
                <w:sz w:val="24"/>
              </w:rPr>
            </w:pPr>
            <w:r w:rsidRPr="0061644B">
              <w:rPr>
                <w:sz w:val="24"/>
              </w:rPr>
              <w:t>-</w:t>
            </w:r>
          </w:p>
        </w:tc>
      </w:tr>
    </w:tbl>
    <w:p w:rsidR="006D141C" w:rsidRPr="0061644B" w:rsidRDefault="006D141C" w:rsidP="00792A69">
      <w:pPr>
        <w:tabs>
          <w:tab w:val="left" w:pos="426"/>
        </w:tabs>
        <w:spacing w:before="29" w:line="288" w:lineRule="auto"/>
        <w:jc w:val="left"/>
        <w:rPr>
          <w:kern w:val="0"/>
          <w:sz w:val="24"/>
        </w:rPr>
      </w:pPr>
      <w:r w:rsidRPr="0061644B">
        <w:rPr>
          <w:kern w:val="0"/>
          <w:sz w:val="24"/>
        </w:rPr>
        <w:t>注：报告期内债券回购融资余额占基金资产净值的比例为报告期内每个银行间市场交易日融资余额占资产净值比例的简单平均值。</w:t>
      </w:r>
    </w:p>
    <w:p w:rsidR="006D141C" w:rsidRPr="0061644B" w:rsidRDefault="006D141C" w:rsidP="00792A69">
      <w:pPr>
        <w:autoSpaceDE w:val="0"/>
        <w:autoSpaceDN w:val="0"/>
        <w:adjustRightInd w:val="0"/>
        <w:spacing w:before="29" w:line="288" w:lineRule="auto"/>
        <w:rPr>
          <w:sz w:val="24"/>
        </w:rPr>
      </w:pPr>
    </w:p>
    <w:p w:rsidR="002313DE" w:rsidRPr="0061644B" w:rsidRDefault="002313DE" w:rsidP="00792A69">
      <w:pPr>
        <w:autoSpaceDE w:val="0"/>
        <w:autoSpaceDN w:val="0"/>
        <w:adjustRightInd w:val="0"/>
        <w:spacing w:before="29" w:line="288" w:lineRule="auto"/>
        <w:rPr>
          <w:b/>
          <w:kern w:val="0"/>
          <w:sz w:val="24"/>
        </w:rPr>
      </w:pPr>
      <w:bookmarkStart w:id="22" w:name="_Toc247957040"/>
      <w:bookmarkStart w:id="23" w:name="_Toc255486552"/>
      <w:r w:rsidRPr="0061644B">
        <w:rPr>
          <w:b/>
          <w:kern w:val="0"/>
          <w:sz w:val="24"/>
        </w:rPr>
        <w:t>债券正回购的资金余额超过基金资产净值的</w:t>
      </w:r>
      <w:r w:rsidRPr="0061644B">
        <w:rPr>
          <w:b/>
          <w:kern w:val="0"/>
          <w:sz w:val="24"/>
        </w:rPr>
        <w:t>20%</w:t>
      </w:r>
      <w:r w:rsidRPr="0061644B">
        <w:rPr>
          <w:b/>
          <w:kern w:val="0"/>
          <w:sz w:val="24"/>
        </w:rPr>
        <w:t>的说明</w:t>
      </w:r>
      <w:bookmarkEnd w:id="22"/>
      <w:bookmarkEnd w:id="23"/>
    </w:p>
    <w:p w:rsidR="002313DE" w:rsidRPr="0061644B" w:rsidRDefault="00985B68" w:rsidP="00792A69">
      <w:pPr>
        <w:tabs>
          <w:tab w:val="left" w:pos="426"/>
        </w:tabs>
        <w:spacing w:before="29" w:line="288" w:lineRule="auto"/>
        <w:jc w:val="left"/>
        <w:rPr>
          <w:kern w:val="0"/>
          <w:sz w:val="24"/>
        </w:rPr>
      </w:pPr>
      <w:r w:rsidRPr="0061644B">
        <w:rPr>
          <w:kern w:val="0"/>
          <w:sz w:val="24"/>
        </w:rPr>
        <w:t>本基金本报告期内债券正回购的资金余额未超过资产净值的</w:t>
      </w:r>
      <w:r w:rsidRPr="0061644B">
        <w:rPr>
          <w:kern w:val="0"/>
          <w:sz w:val="24"/>
        </w:rPr>
        <w:t>20%</w:t>
      </w:r>
      <w:r w:rsidRPr="0061644B">
        <w:rPr>
          <w:kern w:val="0"/>
          <w:sz w:val="24"/>
        </w:rPr>
        <w:t>。</w:t>
      </w:r>
    </w:p>
    <w:p w:rsidR="002313DE" w:rsidRPr="0061644B" w:rsidRDefault="002313DE" w:rsidP="00792A69">
      <w:pPr>
        <w:autoSpaceDE w:val="0"/>
        <w:autoSpaceDN w:val="0"/>
        <w:adjustRightInd w:val="0"/>
        <w:spacing w:before="29" w:line="288" w:lineRule="auto"/>
        <w:rPr>
          <w:sz w:val="24"/>
        </w:rPr>
      </w:pPr>
    </w:p>
    <w:p w:rsidR="006D141C" w:rsidRPr="0061644B" w:rsidRDefault="006D141C" w:rsidP="00792A69">
      <w:pPr>
        <w:spacing w:before="29" w:line="288" w:lineRule="auto"/>
        <w:rPr>
          <w:b/>
          <w:bCs/>
          <w:sz w:val="24"/>
        </w:rPr>
      </w:pPr>
      <w:bookmarkStart w:id="24" w:name="_Toc275523745"/>
      <w:r w:rsidRPr="0061644B">
        <w:rPr>
          <w:b/>
          <w:bCs/>
          <w:sz w:val="24"/>
        </w:rPr>
        <w:t>7.3</w:t>
      </w:r>
      <w:bookmarkEnd w:id="24"/>
      <w:r w:rsidR="00344CF8" w:rsidRPr="0061644B">
        <w:rPr>
          <w:b/>
          <w:bCs/>
          <w:sz w:val="24"/>
        </w:rPr>
        <w:t>基金投资组合平均剩余期限</w:t>
      </w:r>
    </w:p>
    <w:p w:rsidR="00F15C96" w:rsidRPr="0061644B" w:rsidRDefault="00F15C96" w:rsidP="00792A69">
      <w:pPr>
        <w:spacing w:before="29" w:line="288" w:lineRule="auto"/>
        <w:rPr>
          <w:b/>
          <w:bCs/>
          <w:sz w:val="24"/>
        </w:rPr>
      </w:pPr>
      <w:r w:rsidRPr="0061644B">
        <w:rPr>
          <w:b/>
          <w:bCs/>
          <w:sz w:val="24"/>
        </w:rPr>
        <w:t>7.3.1</w:t>
      </w:r>
      <w:r w:rsidRPr="0061644B">
        <w:rPr>
          <w:b/>
          <w:bCs/>
          <w:sz w:val="24"/>
        </w:rPr>
        <w:t>投资组合平均剩余期限基本情况</w:t>
      </w:r>
    </w:p>
    <w:tbl>
      <w:tblPr>
        <w:tblW w:w="92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4988"/>
        <w:gridCol w:w="4231"/>
      </w:tblGrid>
      <w:tr w:rsidR="006B4A69" w:rsidRPr="0061644B" w:rsidTr="00DE3939">
        <w:trPr>
          <w:trHeight w:val="375"/>
        </w:trPr>
        <w:tc>
          <w:tcPr>
            <w:tcW w:w="5062" w:type="dxa"/>
            <w:vAlign w:val="center"/>
          </w:tcPr>
          <w:p w:rsidR="00F15C96" w:rsidRPr="0061644B" w:rsidRDefault="00F15C96" w:rsidP="00792A69">
            <w:pPr>
              <w:widowControl/>
              <w:spacing w:before="29" w:line="288" w:lineRule="auto"/>
              <w:jc w:val="center"/>
              <w:rPr>
                <w:kern w:val="0"/>
                <w:sz w:val="24"/>
              </w:rPr>
            </w:pPr>
            <w:r w:rsidRPr="0061644B">
              <w:rPr>
                <w:kern w:val="0"/>
                <w:sz w:val="24"/>
              </w:rPr>
              <w:t>项目</w:t>
            </w:r>
          </w:p>
        </w:tc>
        <w:tc>
          <w:tcPr>
            <w:tcW w:w="4294" w:type="dxa"/>
            <w:vAlign w:val="center"/>
          </w:tcPr>
          <w:p w:rsidR="00F15C96" w:rsidRPr="0061644B" w:rsidRDefault="00F15C96" w:rsidP="00792A69">
            <w:pPr>
              <w:widowControl/>
              <w:spacing w:before="29" w:line="288" w:lineRule="auto"/>
              <w:jc w:val="center"/>
              <w:rPr>
                <w:kern w:val="0"/>
                <w:sz w:val="24"/>
              </w:rPr>
            </w:pPr>
            <w:r w:rsidRPr="0061644B">
              <w:rPr>
                <w:kern w:val="0"/>
                <w:sz w:val="24"/>
              </w:rPr>
              <w:t>天数</w:t>
            </w:r>
          </w:p>
        </w:tc>
      </w:tr>
      <w:tr w:rsidR="006B4A69" w:rsidRPr="0061644B" w:rsidTr="00DE3939">
        <w:trPr>
          <w:trHeight w:val="295"/>
        </w:trPr>
        <w:tc>
          <w:tcPr>
            <w:tcW w:w="5062" w:type="dxa"/>
            <w:vAlign w:val="center"/>
          </w:tcPr>
          <w:p w:rsidR="00F15C96" w:rsidRPr="0061644B" w:rsidRDefault="00F15C96" w:rsidP="00792A69">
            <w:pPr>
              <w:spacing w:before="29" w:line="288" w:lineRule="auto"/>
              <w:rPr>
                <w:sz w:val="24"/>
              </w:rPr>
            </w:pPr>
            <w:r w:rsidRPr="0061644B">
              <w:rPr>
                <w:sz w:val="24"/>
              </w:rPr>
              <w:t>报告期末投资组合平均剩余期限</w:t>
            </w:r>
          </w:p>
        </w:tc>
        <w:tc>
          <w:tcPr>
            <w:tcW w:w="4294" w:type="dxa"/>
            <w:vAlign w:val="center"/>
          </w:tcPr>
          <w:p w:rsidR="00F15C96" w:rsidRPr="0061644B" w:rsidRDefault="00F15C96" w:rsidP="00792A69">
            <w:pPr>
              <w:spacing w:before="29" w:line="288" w:lineRule="auto"/>
              <w:jc w:val="center"/>
              <w:rPr>
                <w:sz w:val="24"/>
              </w:rPr>
            </w:pPr>
            <w:r w:rsidRPr="0061644B">
              <w:rPr>
                <w:sz w:val="24"/>
              </w:rPr>
              <w:t>49</w:t>
            </w:r>
          </w:p>
        </w:tc>
      </w:tr>
      <w:tr w:rsidR="006B4A69" w:rsidRPr="0061644B" w:rsidTr="00DE3939">
        <w:trPr>
          <w:trHeight w:val="295"/>
        </w:trPr>
        <w:tc>
          <w:tcPr>
            <w:tcW w:w="5062" w:type="dxa"/>
            <w:vAlign w:val="center"/>
          </w:tcPr>
          <w:p w:rsidR="00F15C96" w:rsidRPr="0061644B" w:rsidRDefault="00F15C96" w:rsidP="00792A69">
            <w:pPr>
              <w:spacing w:before="29" w:line="288" w:lineRule="auto"/>
              <w:rPr>
                <w:sz w:val="24"/>
              </w:rPr>
            </w:pPr>
            <w:r w:rsidRPr="0061644B">
              <w:rPr>
                <w:sz w:val="24"/>
              </w:rPr>
              <w:t>报告期内投资组合平均剩余期限最高值</w:t>
            </w:r>
          </w:p>
        </w:tc>
        <w:tc>
          <w:tcPr>
            <w:tcW w:w="4294" w:type="dxa"/>
            <w:vAlign w:val="center"/>
          </w:tcPr>
          <w:p w:rsidR="00F15C96" w:rsidRPr="0061644B" w:rsidRDefault="00F15C96" w:rsidP="00792A69">
            <w:pPr>
              <w:spacing w:before="29" w:line="288" w:lineRule="auto"/>
              <w:ind w:right="120"/>
              <w:jc w:val="center"/>
              <w:rPr>
                <w:sz w:val="24"/>
              </w:rPr>
            </w:pPr>
            <w:r w:rsidRPr="0061644B">
              <w:rPr>
                <w:sz w:val="24"/>
              </w:rPr>
              <w:t>55</w:t>
            </w:r>
          </w:p>
        </w:tc>
      </w:tr>
      <w:tr w:rsidR="006B4A69" w:rsidRPr="0061644B" w:rsidTr="00DE3939">
        <w:trPr>
          <w:trHeight w:val="295"/>
        </w:trPr>
        <w:tc>
          <w:tcPr>
            <w:tcW w:w="5062" w:type="dxa"/>
            <w:vAlign w:val="center"/>
          </w:tcPr>
          <w:p w:rsidR="00F15C96" w:rsidRPr="0061644B" w:rsidRDefault="00F15C96" w:rsidP="00792A69">
            <w:pPr>
              <w:spacing w:before="29" w:line="288" w:lineRule="auto"/>
              <w:rPr>
                <w:sz w:val="24"/>
              </w:rPr>
            </w:pPr>
            <w:r w:rsidRPr="0061644B">
              <w:rPr>
                <w:sz w:val="24"/>
              </w:rPr>
              <w:t>报告期内投资组合平均剩余期限最低值</w:t>
            </w:r>
          </w:p>
        </w:tc>
        <w:tc>
          <w:tcPr>
            <w:tcW w:w="4294" w:type="dxa"/>
            <w:vAlign w:val="center"/>
          </w:tcPr>
          <w:p w:rsidR="00F15C96" w:rsidRPr="0061644B" w:rsidRDefault="00F15C96" w:rsidP="00792A69">
            <w:pPr>
              <w:spacing w:before="29" w:line="288" w:lineRule="auto"/>
              <w:ind w:right="120"/>
              <w:jc w:val="center"/>
              <w:rPr>
                <w:sz w:val="24"/>
              </w:rPr>
            </w:pPr>
            <w:r w:rsidRPr="0061644B">
              <w:rPr>
                <w:sz w:val="24"/>
              </w:rPr>
              <w:t>0</w:t>
            </w:r>
          </w:p>
        </w:tc>
      </w:tr>
    </w:tbl>
    <w:p w:rsidR="006D141C" w:rsidRPr="0061644B" w:rsidRDefault="006D141C" w:rsidP="00792A69">
      <w:pPr>
        <w:spacing w:before="29" w:line="288" w:lineRule="auto"/>
        <w:rPr>
          <w:sz w:val="24"/>
        </w:rPr>
      </w:pPr>
    </w:p>
    <w:p w:rsidR="00B109D0" w:rsidRPr="0061644B" w:rsidRDefault="00B109D0" w:rsidP="00792A69">
      <w:pPr>
        <w:spacing w:before="29" w:line="288" w:lineRule="auto"/>
        <w:rPr>
          <w:b/>
          <w:sz w:val="24"/>
        </w:rPr>
      </w:pPr>
      <w:r w:rsidRPr="0061644B">
        <w:rPr>
          <w:b/>
          <w:sz w:val="24"/>
        </w:rPr>
        <w:t>报告期内投资组合平均剩余期限超过</w:t>
      </w:r>
      <w:r w:rsidR="00B258B8">
        <w:rPr>
          <w:b/>
          <w:sz w:val="24"/>
        </w:rPr>
        <w:t>12</w:t>
      </w:r>
      <w:r w:rsidRPr="0061644B">
        <w:rPr>
          <w:b/>
          <w:sz w:val="24"/>
        </w:rPr>
        <w:t>0</w:t>
      </w:r>
      <w:r w:rsidRPr="0061644B">
        <w:rPr>
          <w:b/>
          <w:sz w:val="24"/>
        </w:rPr>
        <w:t>天情况说明</w:t>
      </w:r>
    </w:p>
    <w:p w:rsidR="001124D8" w:rsidRDefault="00C50050">
      <w:pPr>
        <w:autoSpaceDE w:val="0"/>
        <w:autoSpaceDN w:val="0"/>
        <w:adjustRightInd w:val="0"/>
        <w:spacing w:line="360" w:lineRule="auto"/>
        <w:jc w:val="left"/>
        <w:rPr>
          <w:rFonts w:eastAsiaTheme="minorEastAsia"/>
          <w:color w:val="000000" w:themeColor="text1"/>
          <w:sz w:val="24"/>
        </w:rPr>
      </w:pPr>
      <w:r>
        <w:rPr>
          <w:rFonts w:eastAsiaTheme="minorEastAsia"/>
          <w:color w:val="000000" w:themeColor="text1"/>
          <w:sz w:val="24"/>
        </w:rPr>
        <w:t>本基金合同约定：</w:t>
      </w:r>
      <w:r>
        <w:rPr>
          <w:rFonts w:eastAsiaTheme="minorEastAsia"/>
          <w:color w:val="000000" w:themeColor="text1"/>
          <w:sz w:val="24"/>
        </w:rPr>
        <w:t>“</w:t>
      </w:r>
      <w:r>
        <w:rPr>
          <w:rFonts w:eastAsiaTheme="minorEastAsia"/>
          <w:color w:val="000000" w:themeColor="text1"/>
          <w:sz w:val="24"/>
        </w:rPr>
        <w:t>本基金投资组合的平均剩余期限在每个交易日均不得超过</w:t>
      </w:r>
      <w:r>
        <w:rPr>
          <w:rFonts w:eastAsiaTheme="minorEastAsia"/>
          <w:color w:val="000000" w:themeColor="text1"/>
          <w:sz w:val="24"/>
        </w:rPr>
        <w:t>120</w:t>
      </w:r>
      <w:r>
        <w:rPr>
          <w:rFonts w:eastAsiaTheme="minorEastAsia"/>
          <w:color w:val="000000" w:themeColor="text1"/>
          <w:sz w:val="24"/>
        </w:rPr>
        <w:t>天</w:t>
      </w:r>
      <w:r>
        <w:rPr>
          <w:rFonts w:eastAsiaTheme="minorEastAsia"/>
          <w:color w:val="000000" w:themeColor="text1"/>
          <w:sz w:val="24"/>
        </w:rPr>
        <w:t>”</w:t>
      </w:r>
      <w:r>
        <w:rPr>
          <w:rFonts w:eastAsiaTheme="minorEastAsia"/>
          <w:color w:val="000000" w:themeColor="text1"/>
          <w:sz w:val="24"/>
        </w:rPr>
        <w:t>。</w:t>
      </w:r>
    </w:p>
    <w:p w:rsidR="00453908" w:rsidRPr="00453908" w:rsidRDefault="00453908" w:rsidP="00453908">
      <w:pPr>
        <w:autoSpaceDE w:val="0"/>
        <w:autoSpaceDN w:val="0"/>
        <w:adjustRightInd w:val="0"/>
        <w:spacing w:line="360" w:lineRule="auto"/>
        <w:jc w:val="left"/>
        <w:rPr>
          <w:rFonts w:eastAsiaTheme="minorEastAsia"/>
          <w:color w:val="000000" w:themeColor="text1"/>
          <w:sz w:val="24"/>
        </w:rPr>
      </w:pPr>
      <w:r w:rsidRPr="00453908">
        <w:rPr>
          <w:rFonts w:eastAsiaTheme="minorEastAsia"/>
          <w:color w:val="000000" w:themeColor="text1"/>
          <w:sz w:val="24"/>
        </w:rPr>
        <w:t>本报告期内，本基金未发生超标情况。</w:t>
      </w:r>
    </w:p>
    <w:p w:rsidR="00140036" w:rsidRPr="00453908" w:rsidRDefault="00140036" w:rsidP="00792A69">
      <w:pPr>
        <w:spacing w:before="29" w:line="288" w:lineRule="auto"/>
        <w:rPr>
          <w:sz w:val="24"/>
        </w:rPr>
      </w:pPr>
    </w:p>
    <w:p w:rsidR="00140036" w:rsidRPr="0061644B" w:rsidRDefault="00140036" w:rsidP="00792A69">
      <w:pPr>
        <w:spacing w:before="29" w:line="288" w:lineRule="auto"/>
        <w:rPr>
          <w:b/>
          <w:bCs/>
          <w:sz w:val="24"/>
        </w:rPr>
      </w:pPr>
      <w:r w:rsidRPr="0061644B">
        <w:rPr>
          <w:b/>
          <w:bCs/>
          <w:sz w:val="24"/>
        </w:rPr>
        <w:t>7.3.2</w:t>
      </w:r>
      <w:r w:rsidRPr="0061644B">
        <w:rPr>
          <w:b/>
          <w:bCs/>
          <w:sz w:val="24"/>
        </w:rPr>
        <w:t>期末投资组合平均剩余期限分布比例</w:t>
      </w:r>
    </w:p>
    <w:tbl>
      <w:tblPr>
        <w:tblW w:w="92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0"/>
        <w:gridCol w:w="3139"/>
        <w:gridCol w:w="2550"/>
        <w:gridCol w:w="2550"/>
      </w:tblGrid>
      <w:tr w:rsidR="006B4A69" w:rsidRPr="0061644B" w:rsidTr="00F71FAF">
        <w:tc>
          <w:tcPr>
            <w:tcW w:w="980" w:type="dxa"/>
            <w:vAlign w:val="center"/>
          </w:tcPr>
          <w:p w:rsidR="004339AD" w:rsidRPr="0061644B" w:rsidRDefault="004339AD" w:rsidP="00792A69">
            <w:pPr>
              <w:spacing w:before="29" w:line="288" w:lineRule="auto"/>
              <w:jc w:val="center"/>
              <w:rPr>
                <w:sz w:val="24"/>
              </w:rPr>
            </w:pPr>
            <w:r w:rsidRPr="0061644B">
              <w:rPr>
                <w:sz w:val="24"/>
              </w:rPr>
              <w:t>序号</w:t>
            </w:r>
          </w:p>
        </w:tc>
        <w:tc>
          <w:tcPr>
            <w:tcW w:w="3139" w:type="dxa"/>
            <w:vAlign w:val="center"/>
          </w:tcPr>
          <w:p w:rsidR="004339AD" w:rsidRPr="0061644B" w:rsidRDefault="004339AD" w:rsidP="00792A69">
            <w:pPr>
              <w:spacing w:before="29" w:line="288" w:lineRule="auto"/>
              <w:jc w:val="center"/>
              <w:rPr>
                <w:sz w:val="24"/>
              </w:rPr>
            </w:pPr>
            <w:r w:rsidRPr="0061644B">
              <w:rPr>
                <w:sz w:val="24"/>
              </w:rPr>
              <w:t>平均剩余期限</w:t>
            </w:r>
          </w:p>
        </w:tc>
        <w:tc>
          <w:tcPr>
            <w:tcW w:w="2550" w:type="dxa"/>
            <w:vAlign w:val="center"/>
          </w:tcPr>
          <w:p w:rsidR="004339AD" w:rsidRPr="0061644B" w:rsidRDefault="004339AD" w:rsidP="00792A69">
            <w:pPr>
              <w:spacing w:before="29" w:line="288" w:lineRule="auto"/>
              <w:jc w:val="center"/>
              <w:rPr>
                <w:sz w:val="24"/>
              </w:rPr>
            </w:pPr>
            <w:r w:rsidRPr="0061644B">
              <w:rPr>
                <w:sz w:val="24"/>
              </w:rPr>
              <w:t>各期限资产占基金资产净值的比例（％）</w:t>
            </w:r>
          </w:p>
        </w:tc>
        <w:tc>
          <w:tcPr>
            <w:tcW w:w="2550" w:type="dxa"/>
            <w:vAlign w:val="center"/>
          </w:tcPr>
          <w:p w:rsidR="004339AD" w:rsidRPr="0061644B" w:rsidRDefault="004339AD" w:rsidP="00792A69">
            <w:pPr>
              <w:spacing w:before="29" w:line="288" w:lineRule="auto"/>
              <w:jc w:val="center"/>
              <w:rPr>
                <w:sz w:val="24"/>
              </w:rPr>
            </w:pPr>
            <w:r w:rsidRPr="0061644B">
              <w:rPr>
                <w:sz w:val="24"/>
              </w:rPr>
              <w:t>各期限负债占基金资产净值的比例（％）</w:t>
            </w:r>
          </w:p>
        </w:tc>
      </w:tr>
      <w:tr w:rsidR="006B4A69" w:rsidRPr="0061644B" w:rsidTr="00F71FAF">
        <w:tc>
          <w:tcPr>
            <w:tcW w:w="980" w:type="dxa"/>
            <w:vAlign w:val="center"/>
          </w:tcPr>
          <w:p w:rsidR="004339AD" w:rsidRPr="0061644B" w:rsidRDefault="004339AD" w:rsidP="00792A69">
            <w:pPr>
              <w:spacing w:before="29" w:line="288" w:lineRule="auto"/>
              <w:jc w:val="center"/>
              <w:rPr>
                <w:sz w:val="24"/>
              </w:rPr>
            </w:pPr>
            <w:r w:rsidRPr="0061644B">
              <w:rPr>
                <w:sz w:val="24"/>
              </w:rPr>
              <w:lastRenderedPageBreak/>
              <w:t>1</w:t>
            </w:r>
          </w:p>
        </w:tc>
        <w:tc>
          <w:tcPr>
            <w:tcW w:w="3139" w:type="dxa"/>
            <w:vAlign w:val="center"/>
          </w:tcPr>
          <w:p w:rsidR="004339AD" w:rsidRPr="0061644B" w:rsidRDefault="004339AD" w:rsidP="00792A69">
            <w:pPr>
              <w:spacing w:before="29" w:line="288" w:lineRule="auto"/>
              <w:rPr>
                <w:sz w:val="24"/>
              </w:rPr>
            </w:pPr>
            <w:r w:rsidRPr="0061644B">
              <w:rPr>
                <w:sz w:val="24"/>
              </w:rPr>
              <w:t>30</w:t>
            </w:r>
            <w:r w:rsidRPr="0061644B">
              <w:rPr>
                <w:sz w:val="24"/>
              </w:rPr>
              <w:t>天以内</w:t>
            </w:r>
          </w:p>
        </w:tc>
        <w:tc>
          <w:tcPr>
            <w:tcW w:w="2550" w:type="dxa"/>
            <w:vAlign w:val="center"/>
          </w:tcPr>
          <w:p w:rsidR="004339AD" w:rsidRPr="0061644B" w:rsidRDefault="004339AD" w:rsidP="00792A69">
            <w:pPr>
              <w:spacing w:before="29" w:line="288" w:lineRule="auto"/>
              <w:jc w:val="right"/>
              <w:rPr>
                <w:sz w:val="24"/>
              </w:rPr>
            </w:pPr>
            <w:r w:rsidRPr="0061644B">
              <w:rPr>
                <w:sz w:val="24"/>
              </w:rPr>
              <w:t>47.08</w:t>
            </w:r>
          </w:p>
        </w:tc>
        <w:tc>
          <w:tcPr>
            <w:tcW w:w="2550" w:type="dxa"/>
            <w:vAlign w:val="center"/>
          </w:tcPr>
          <w:p w:rsidR="004339AD" w:rsidRPr="0061644B" w:rsidRDefault="004339AD" w:rsidP="00792A69">
            <w:pPr>
              <w:spacing w:before="29" w:line="288" w:lineRule="auto"/>
              <w:jc w:val="right"/>
              <w:rPr>
                <w:sz w:val="24"/>
              </w:rPr>
            </w:pPr>
            <w:r w:rsidRPr="0061644B">
              <w:rPr>
                <w:sz w:val="24"/>
              </w:rPr>
              <w:t>17.38</w:t>
            </w:r>
          </w:p>
        </w:tc>
      </w:tr>
      <w:tr w:rsidR="006B4A69" w:rsidRPr="0061644B" w:rsidTr="00F71FAF">
        <w:tc>
          <w:tcPr>
            <w:tcW w:w="980" w:type="dxa"/>
            <w:vAlign w:val="center"/>
          </w:tcPr>
          <w:p w:rsidR="004339AD" w:rsidRPr="0061644B" w:rsidRDefault="004339AD" w:rsidP="00792A69">
            <w:pPr>
              <w:spacing w:before="29" w:line="288" w:lineRule="auto"/>
              <w:jc w:val="center"/>
              <w:rPr>
                <w:sz w:val="24"/>
              </w:rPr>
            </w:pPr>
          </w:p>
        </w:tc>
        <w:tc>
          <w:tcPr>
            <w:tcW w:w="3139" w:type="dxa"/>
            <w:vAlign w:val="center"/>
          </w:tcPr>
          <w:p w:rsidR="004339AD" w:rsidRPr="0061644B" w:rsidRDefault="004339AD" w:rsidP="00792A69">
            <w:pPr>
              <w:spacing w:before="29" w:line="288" w:lineRule="auto"/>
              <w:rPr>
                <w:sz w:val="24"/>
              </w:rPr>
            </w:pPr>
            <w:r w:rsidRPr="0061644B">
              <w:rPr>
                <w:sz w:val="24"/>
              </w:rPr>
              <w:t>其中：剩余存续期超过</w:t>
            </w:r>
            <w:r w:rsidRPr="0061644B">
              <w:rPr>
                <w:sz w:val="24"/>
              </w:rPr>
              <w:t>397</w:t>
            </w:r>
            <w:r w:rsidRPr="0061644B">
              <w:rPr>
                <w:sz w:val="24"/>
              </w:rPr>
              <w:t>天的浮动利率债</w:t>
            </w:r>
          </w:p>
        </w:tc>
        <w:tc>
          <w:tcPr>
            <w:tcW w:w="2550" w:type="dxa"/>
            <w:vAlign w:val="center"/>
          </w:tcPr>
          <w:p w:rsidR="004339AD" w:rsidRPr="0061644B" w:rsidRDefault="004339AD" w:rsidP="00792A69">
            <w:pPr>
              <w:spacing w:before="29" w:line="288" w:lineRule="auto"/>
              <w:jc w:val="right"/>
              <w:rPr>
                <w:sz w:val="24"/>
              </w:rPr>
            </w:pPr>
            <w:r w:rsidRPr="0061644B">
              <w:rPr>
                <w:sz w:val="24"/>
              </w:rPr>
              <w:t>-</w:t>
            </w:r>
          </w:p>
        </w:tc>
        <w:tc>
          <w:tcPr>
            <w:tcW w:w="2550" w:type="dxa"/>
            <w:vAlign w:val="center"/>
          </w:tcPr>
          <w:p w:rsidR="004339AD" w:rsidRPr="0061644B" w:rsidRDefault="004339AD" w:rsidP="00792A69">
            <w:pPr>
              <w:spacing w:before="29" w:line="288" w:lineRule="auto"/>
              <w:jc w:val="right"/>
              <w:rPr>
                <w:sz w:val="24"/>
              </w:rPr>
            </w:pPr>
            <w:r w:rsidRPr="0061644B">
              <w:rPr>
                <w:sz w:val="24"/>
              </w:rPr>
              <w:t>-</w:t>
            </w:r>
          </w:p>
        </w:tc>
      </w:tr>
      <w:tr w:rsidR="006B4A69" w:rsidRPr="0061644B" w:rsidTr="00F71FAF">
        <w:tc>
          <w:tcPr>
            <w:tcW w:w="980" w:type="dxa"/>
            <w:vAlign w:val="center"/>
          </w:tcPr>
          <w:p w:rsidR="004339AD" w:rsidRPr="0061644B" w:rsidRDefault="004339AD" w:rsidP="00792A69">
            <w:pPr>
              <w:spacing w:before="29" w:line="288" w:lineRule="auto"/>
              <w:jc w:val="center"/>
              <w:rPr>
                <w:sz w:val="24"/>
              </w:rPr>
            </w:pPr>
            <w:r w:rsidRPr="0061644B">
              <w:rPr>
                <w:sz w:val="24"/>
              </w:rPr>
              <w:t>2</w:t>
            </w:r>
          </w:p>
        </w:tc>
        <w:tc>
          <w:tcPr>
            <w:tcW w:w="3139" w:type="dxa"/>
            <w:vAlign w:val="center"/>
          </w:tcPr>
          <w:p w:rsidR="004339AD" w:rsidRPr="0061644B" w:rsidRDefault="004339AD" w:rsidP="00792A69">
            <w:pPr>
              <w:spacing w:before="29" w:line="288" w:lineRule="auto"/>
              <w:rPr>
                <w:sz w:val="24"/>
              </w:rPr>
            </w:pPr>
            <w:r w:rsidRPr="0061644B">
              <w:rPr>
                <w:sz w:val="24"/>
              </w:rPr>
              <w:t>30</w:t>
            </w:r>
            <w:r w:rsidRPr="0061644B">
              <w:rPr>
                <w:sz w:val="24"/>
              </w:rPr>
              <w:t>天</w:t>
            </w:r>
            <w:r w:rsidR="00E57A51" w:rsidRPr="0061644B">
              <w:rPr>
                <w:rFonts w:hint="eastAsia"/>
                <w:color w:val="000000"/>
                <w:sz w:val="24"/>
              </w:rPr>
              <w:t>(</w:t>
            </w:r>
            <w:r w:rsidR="00E57A51" w:rsidRPr="0061644B">
              <w:rPr>
                <w:rFonts w:hint="eastAsia"/>
                <w:color w:val="000000"/>
                <w:sz w:val="24"/>
              </w:rPr>
              <w:t>含</w:t>
            </w:r>
            <w:r w:rsidR="00E57A51" w:rsidRPr="0061644B">
              <w:rPr>
                <w:rFonts w:hint="eastAsia"/>
                <w:color w:val="000000"/>
                <w:sz w:val="24"/>
              </w:rPr>
              <w:t>)</w:t>
            </w:r>
            <w:r w:rsidRPr="0061644B">
              <w:rPr>
                <w:sz w:val="24"/>
              </w:rPr>
              <w:t>—60</w:t>
            </w:r>
            <w:r w:rsidRPr="0061644B">
              <w:rPr>
                <w:sz w:val="24"/>
              </w:rPr>
              <w:t>天</w:t>
            </w:r>
          </w:p>
        </w:tc>
        <w:tc>
          <w:tcPr>
            <w:tcW w:w="2550" w:type="dxa"/>
            <w:vAlign w:val="center"/>
          </w:tcPr>
          <w:p w:rsidR="004339AD" w:rsidRPr="0061644B" w:rsidRDefault="004339AD" w:rsidP="00792A69">
            <w:pPr>
              <w:spacing w:before="29" w:line="288" w:lineRule="auto"/>
              <w:jc w:val="right"/>
              <w:rPr>
                <w:sz w:val="24"/>
              </w:rPr>
            </w:pPr>
            <w:r w:rsidRPr="0061644B">
              <w:rPr>
                <w:sz w:val="24"/>
              </w:rPr>
              <w:t>0.88</w:t>
            </w:r>
          </w:p>
        </w:tc>
        <w:tc>
          <w:tcPr>
            <w:tcW w:w="2550" w:type="dxa"/>
            <w:vAlign w:val="center"/>
          </w:tcPr>
          <w:p w:rsidR="004339AD" w:rsidRPr="0061644B" w:rsidRDefault="004339AD" w:rsidP="00792A69">
            <w:pPr>
              <w:spacing w:before="29" w:line="288" w:lineRule="auto"/>
              <w:jc w:val="right"/>
              <w:rPr>
                <w:sz w:val="24"/>
              </w:rPr>
            </w:pPr>
            <w:r w:rsidRPr="0061644B">
              <w:rPr>
                <w:sz w:val="24"/>
              </w:rPr>
              <w:t>-</w:t>
            </w:r>
          </w:p>
        </w:tc>
      </w:tr>
      <w:tr w:rsidR="006B4A69" w:rsidRPr="0061644B" w:rsidTr="00F71FAF">
        <w:tc>
          <w:tcPr>
            <w:tcW w:w="980" w:type="dxa"/>
            <w:vAlign w:val="center"/>
          </w:tcPr>
          <w:p w:rsidR="004339AD" w:rsidRPr="0061644B" w:rsidRDefault="004339AD" w:rsidP="00792A69">
            <w:pPr>
              <w:spacing w:before="29" w:line="288" w:lineRule="auto"/>
              <w:jc w:val="center"/>
              <w:rPr>
                <w:sz w:val="24"/>
              </w:rPr>
            </w:pPr>
          </w:p>
        </w:tc>
        <w:tc>
          <w:tcPr>
            <w:tcW w:w="3139" w:type="dxa"/>
            <w:vAlign w:val="center"/>
          </w:tcPr>
          <w:p w:rsidR="004339AD" w:rsidRPr="0061644B" w:rsidRDefault="004339AD" w:rsidP="00792A69">
            <w:pPr>
              <w:spacing w:before="29" w:line="288" w:lineRule="auto"/>
              <w:rPr>
                <w:sz w:val="24"/>
              </w:rPr>
            </w:pPr>
            <w:r w:rsidRPr="0061644B">
              <w:rPr>
                <w:sz w:val="24"/>
              </w:rPr>
              <w:t>其中：剩余存续期超过</w:t>
            </w:r>
            <w:r w:rsidRPr="0061644B">
              <w:rPr>
                <w:sz w:val="24"/>
              </w:rPr>
              <w:t>397</w:t>
            </w:r>
            <w:r w:rsidRPr="0061644B">
              <w:rPr>
                <w:sz w:val="24"/>
              </w:rPr>
              <w:t>天的浮动利率债</w:t>
            </w:r>
          </w:p>
        </w:tc>
        <w:tc>
          <w:tcPr>
            <w:tcW w:w="2550" w:type="dxa"/>
            <w:vAlign w:val="center"/>
          </w:tcPr>
          <w:p w:rsidR="004339AD" w:rsidRPr="0061644B" w:rsidRDefault="004339AD" w:rsidP="00792A69">
            <w:pPr>
              <w:spacing w:before="29" w:line="288" w:lineRule="auto"/>
              <w:jc w:val="right"/>
              <w:rPr>
                <w:sz w:val="24"/>
              </w:rPr>
            </w:pPr>
            <w:r w:rsidRPr="0061644B">
              <w:rPr>
                <w:sz w:val="24"/>
              </w:rPr>
              <w:t>-</w:t>
            </w:r>
          </w:p>
        </w:tc>
        <w:tc>
          <w:tcPr>
            <w:tcW w:w="2550" w:type="dxa"/>
            <w:vAlign w:val="center"/>
          </w:tcPr>
          <w:p w:rsidR="004339AD" w:rsidRPr="0061644B" w:rsidRDefault="004339AD" w:rsidP="00792A69">
            <w:pPr>
              <w:spacing w:before="29" w:line="288" w:lineRule="auto"/>
              <w:jc w:val="right"/>
              <w:rPr>
                <w:sz w:val="24"/>
              </w:rPr>
            </w:pPr>
            <w:r w:rsidRPr="0061644B">
              <w:rPr>
                <w:sz w:val="24"/>
              </w:rPr>
              <w:t>-</w:t>
            </w:r>
          </w:p>
        </w:tc>
      </w:tr>
      <w:tr w:rsidR="006B4A69" w:rsidRPr="0061644B" w:rsidTr="00F71FAF">
        <w:tc>
          <w:tcPr>
            <w:tcW w:w="980" w:type="dxa"/>
            <w:vAlign w:val="center"/>
          </w:tcPr>
          <w:p w:rsidR="004339AD" w:rsidRPr="0061644B" w:rsidRDefault="004339AD" w:rsidP="00792A69">
            <w:pPr>
              <w:spacing w:before="29" w:line="288" w:lineRule="auto"/>
              <w:jc w:val="center"/>
              <w:rPr>
                <w:sz w:val="24"/>
              </w:rPr>
            </w:pPr>
            <w:r w:rsidRPr="0061644B">
              <w:rPr>
                <w:sz w:val="24"/>
              </w:rPr>
              <w:t>3</w:t>
            </w:r>
          </w:p>
        </w:tc>
        <w:tc>
          <w:tcPr>
            <w:tcW w:w="3139" w:type="dxa"/>
            <w:vAlign w:val="center"/>
          </w:tcPr>
          <w:p w:rsidR="004339AD" w:rsidRPr="0061644B" w:rsidRDefault="004339AD" w:rsidP="00792A69">
            <w:pPr>
              <w:spacing w:before="29" w:line="288" w:lineRule="auto"/>
              <w:rPr>
                <w:sz w:val="24"/>
              </w:rPr>
            </w:pPr>
            <w:r w:rsidRPr="0061644B">
              <w:rPr>
                <w:sz w:val="24"/>
              </w:rPr>
              <w:t>60</w:t>
            </w:r>
            <w:r w:rsidRPr="0061644B">
              <w:rPr>
                <w:sz w:val="24"/>
              </w:rPr>
              <w:t>天</w:t>
            </w:r>
            <w:r w:rsidR="00E57A51" w:rsidRPr="0061644B">
              <w:rPr>
                <w:rFonts w:hint="eastAsia"/>
                <w:color w:val="000000"/>
                <w:sz w:val="24"/>
              </w:rPr>
              <w:t>(</w:t>
            </w:r>
            <w:r w:rsidR="00E57A51" w:rsidRPr="0061644B">
              <w:rPr>
                <w:rFonts w:hint="eastAsia"/>
                <w:color w:val="000000"/>
                <w:sz w:val="24"/>
              </w:rPr>
              <w:t>含</w:t>
            </w:r>
            <w:r w:rsidR="00E57A51" w:rsidRPr="0061644B">
              <w:rPr>
                <w:rFonts w:hint="eastAsia"/>
                <w:color w:val="000000"/>
                <w:sz w:val="24"/>
              </w:rPr>
              <w:t>)</w:t>
            </w:r>
            <w:r w:rsidRPr="0061644B">
              <w:rPr>
                <w:sz w:val="24"/>
              </w:rPr>
              <w:t>—90</w:t>
            </w:r>
            <w:r w:rsidRPr="0061644B">
              <w:rPr>
                <w:sz w:val="24"/>
              </w:rPr>
              <w:t>天</w:t>
            </w:r>
          </w:p>
        </w:tc>
        <w:tc>
          <w:tcPr>
            <w:tcW w:w="2550" w:type="dxa"/>
            <w:vAlign w:val="center"/>
          </w:tcPr>
          <w:p w:rsidR="004339AD" w:rsidRPr="0061644B" w:rsidRDefault="004339AD" w:rsidP="00792A69">
            <w:pPr>
              <w:spacing w:before="29" w:line="288" w:lineRule="auto"/>
              <w:jc w:val="right"/>
              <w:rPr>
                <w:sz w:val="24"/>
              </w:rPr>
            </w:pPr>
            <w:r w:rsidRPr="0061644B">
              <w:rPr>
                <w:sz w:val="24"/>
              </w:rPr>
              <w:t>68.32</w:t>
            </w:r>
          </w:p>
        </w:tc>
        <w:tc>
          <w:tcPr>
            <w:tcW w:w="2550" w:type="dxa"/>
            <w:vAlign w:val="center"/>
          </w:tcPr>
          <w:p w:rsidR="004339AD" w:rsidRPr="0061644B" w:rsidRDefault="004339AD" w:rsidP="00792A69">
            <w:pPr>
              <w:spacing w:before="29" w:line="288" w:lineRule="auto"/>
              <w:jc w:val="right"/>
              <w:rPr>
                <w:sz w:val="24"/>
              </w:rPr>
            </w:pPr>
            <w:r w:rsidRPr="0061644B">
              <w:rPr>
                <w:sz w:val="24"/>
              </w:rPr>
              <w:t>-</w:t>
            </w:r>
          </w:p>
        </w:tc>
      </w:tr>
      <w:tr w:rsidR="006B4A69" w:rsidRPr="0061644B" w:rsidTr="00F71FAF">
        <w:tc>
          <w:tcPr>
            <w:tcW w:w="980" w:type="dxa"/>
            <w:vAlign w:val="center"/>
          </w:tcPr>
          <w:p w:rsidR="004339AD" w:rsidRPr="0061644B" w:rsidRDefault="004339AD" w:rsidP="00792A69">
            <w:pPr>
              <w:spacing w:before="29" w:line="288" w:lineRule="auto"/>
              <w:jc w:val="center"/>
              <w:rPr>
                <w:sz w:val="24"/>
              </w:rPr>
            </w:pPr>
          </w:p>
        </w:tc>
        <w:tc>
          <w:tcPr>
            <w:tcW w:w="3139" w:type="dxa"/>
            <w:vAlign w:val="center"/>
          </w:tcPr>
          <w:p w:rsidR="004339AD" w:rsidRPr="0061644B" w:rsidRDefault="004339AD" w:rsidP="00792A69">
            <w:pPr>
              <w:spacing w:before="29" w:line="288" w:lineRule="auto"/>
              <w:rPr>
                <w:sz w:val="24"/>
              </w:rPr>
            </w:pPr>
            <w:r w:rsidRPr="0061644B">
              <w:rPr>
                <w:sz w:val="24"/>
              </w:rPr>
              <w:t>其中：剩余存续期超过</w:t>
            </w:r>
            <w:r w:rsidRPr="0061644B">
              <w:rPr>
                <w:sz w:val="24"/>
              </w:rPr>
              <w:t>397</w:t>
            </w:r>
            <w:r w:rsidRPr="0061644B">
              <w:rPr>
                <w:sz w:val="24"/>
              </w:rPr>
              <w:t>天的浮动利率债</w:t>
            </w:r>
          </w:p>
        </w:tc>
        <w:tc>
          <w:tcPr>
            <w:tcW w:w="2550" w:type="dxa"/>
            <w:vAlign w:val="center"/>
          </w:tcPr>
          <w:p w:rsidR="004339AD" w:rsidRPr="0061644B" w:rsidRDefault="004339AD" w:rsidP="00792A69">
            <w:pPr>
              <w:spacing w:before="29" w:line="288" w:lineRule="auto"/>
              <w:jc w:val="right"/>
              <w:rPr>
                <w:sz w:val="24"/>
              </w:rPr>
            </w:pPr>
            <w:r w:rsidRPr="0061644B">
              <w:rPr>
                <w:sz w:val="24"/>
              </w:rPr>
              <w:t>-</w:t>
            </w:r>
          </w:p>
        </w:tc>
        <w:tc>
          <w:tcPr>
            <w:tcW w:w="2550" w:type="dxa"/>
            <w:vAlign w:val="center"/>
          </w:tcPr>
          <w:p w:rsidR="004339AD" w:rsidRPr="0061644B" w:rsidRDefault="004339AD" w:rsidP="00792A69">
            <w:pPr>
              <w:spacing w:before="29" w:line="288" w:lineRule="auto"/>
              <w:jc w:val="right"/>
              <w:rPr>
                <w:sz w:val="24"/>
              </w:rPr>
            </w:pPr>
            <w:r w:rsidRPr="0061644B">
              <w:rPr>
                <w:sz w:val="24"/>
              </w:rPr>
              <w:t>-</w:t>
            </w:r>
          </w:p>
        </w:tc>
      </w:tr>
      <w:tr w:rsidR="006B4A69" w:rsidRPr="0061644B" w:rsidTr="00F71FAF">
        <w:tc>
          <w:tcPr>
            <w:tcW w:w="980" w:type="dxa"/>
            <w:vAlign w:val="center"/>
          </w:tcPr>
          <w:p w:rsidR="004339AD" w:rsidRPr="0061644B" w:rsidRDefault="004339AD" w:rsidP="00792A69">
            <w:pPr>
              <w:spacing w:before="29" w:line="288" w:lineRule="auto"/>
              <w:jc w:val="center"/>
              <w:rPr>
                <w:sz w:val="24"/>
              </w:rPr>
            </w:pPr>
            <w:r w:rsidRPr="0061644B">
              <w:rPr>
                <w:sz w:val="24"/>
              </w:rPr>
              <w:t>4</w:t>
            </w:r>
          </w:p>
        </w:tc>
        <w:tc>
          <w:tcPr>
            <w:tcW w:w="3139" w:type="dxa"/>
            <w:vAlign w:val="center"/>
          </w:tcPr>
          <w:p w:rsidR="004339AD" w:rsidRPr="0061644B" w:rsidRDefault="004339AD" w:rsidP="00792A69">
            <w:pPr>
              <w:spacing w:before="29" w:line="288" w:lineRule="auto"/>
              <w:rPr>
                <w:sz w:val="24"/>
              </w:rPr>
            </w:pPr>
            <w:r w:rsidRPr="0061644B">
              <w:rPr>
                <w:sz w:val="24"/>
              </w:rPr>
              <w:t>90</w:t>
            </w:r>
            <w:r w:rsidRPr="0061644B">
              <w:rPr>
                <w:sz w:val="24"/>
              </w:rPr>
              <w:t>天</w:t>
            </w:r>
            <w:r w:rsidR="00E57A51" w:rsidRPr="0061644B">
              <w:rPr>
                <w:rFonts w:hint="eastAsia"/>
                <w:color w:val="000000"/>
                <w:sz w:val="24"/>
              </w:rPr>
              <w:t>(</w:t>
            </w:r>
            <w:r w:rsidR="00E57A51" w:rsidRPr="0061644B">
              <w:rPr>
                <w:rFonts w:hint="eastAsia"/>
                <w:color w:val="000000"/>
                <w:sz w:val="24"/>
              </w:rPr>
              <w:t>含</w:t>
            </w:r>
            <w:r w:rsidR="00E57A51" w:rsidRPr="0061644B">
              <w:rPr>
                <w:rFonts w:hint="eastAsia"/>
                <w:color w:val="000000"/>
                <w:sz w:val="24"/>
              </w:rPr>
              <w:t>)</w:t>
            </w:r>
            <w:r w:rsidR="00B258B8">
              <w:rPr>
                <w:sz w:val="24"/>
              </w:rPr>
              <w:t>—12</w:t>
            </w:r>
            <w:r w:rsidRPr="0061644B">
              <w:rPr>
                <w:sz w:val="24"/>
              </w:rPr>
              <w:t>0</w:t>
            </w:r>
            <w:r w:rsidRPr="0061644B">
              <w:rPr>
                <w:sz w:val="24"/>
              </w:rPr>
              <w:t>天</w:t>
            </w:r>
          </w:p>
        </w:tc>
        <w:tc>
          <w:tcPr>
            <w:tcW w:w="2550" w:type="dxa"/>
            <w:vAlign w:val="center"/>
          </w:tcPr>
          <w:p w:rsidR="004339AD" w:rsidRPr="0061644B" w:rsidRDefault="00B258B8" w:rsidP="00792A69">
            <w:pPr>
              <w:spacing w:before="29" w:line="288" w:lineRule="auto"/>
              <w:jc w:val="right"/>
              <w:rPr>
                <w:sz w:val="24"/>
              </w:rPr>
            </w:pPr>
            <w:r w:rsidRPr="00B258B8">
              <w:rPr>
                <w:sz w:val="24"/>
              </w:rPr>
              <w:t>-</w:t>
            </w:r>
          </w:p>
        </w:tc>
        <w:tc>
          <w:tcPr>
            <w:tcW w:w="2550" w:type="dxa"/>
            <w:vAlign w:val="center"/>
          </w:tcPr>
          <w:p w:rsidR="004339AD" w:rsidRPr="0061644B" w:rsidRDefault="00B258B8" w:rsidP="00792A69">
            <w:pPr>
              <w:spacing w:before="29" w:line="288" w:lineRule="auto"/>
              <w:jc w:val="right"/>
              <w:rPr>
                <w:sz w:val="24"/>
              </w:rPr>
            </w:pPr>
            <w:r w:rsidRPr="00B258B8">
              <w:rPr>
                <w:sz w:val="24"/>
              </w:rPr>
              <w:t>-</w:t>
            </w:r>
          </w:p>
        </w:tc>
      </w:tr>
      <w:tr w:rsidR="006B4A69" w:rsidRPr="0061644B" w:rsidTr="00F71FAF">
        <w:tc>
          <w:tcPr>
            <w:tcW w:w="980" w:type="dxa"/>
            <w:vAlign w:val="center"/>
          </w:tcPr>
          <w:p w:rsidR="004339AD" w:rsidRPr="0061644B" w:rsidRDefault="004339AD" w:rsidP="00792A69">
            <w:pPr>
              <w:spacing w:before="29" w:line="288" w:lineRule="auto"/>
              <w:jc w:val="center"/>
              <w:rPr>
                <w:sz w:val="24"/>
              </w:rPr>
            </w:pPr>
          </w:p>
        </w:tc>
        <w:tc>
          <w:tcPr>
            <w:tcW w:w="3139" w:type="dxa"/>
            <w:vAlign w:val="center"/>
          </w:tcPr>
          <w:p w:rsidR="004339AD" w:rsidRPr="0061644B" w:rsidRDefault="004339AD" w:rsidP="00792A69">
            <w:pPr>
              <w:spacing w:before="29" w:line="288" w:lineRule="auto"/>
              <w:rPr>
                <w:sz w:val="24"/>
              </w:rPr>
            </w:pPr>
            <w:r w:rsidRPr="0061644B">
              <w:rPr>
                <w:sz w:val="24"/>
              </w:rPr>
              <w:t>其中：剩余存续期超过</w:t>
            </w:r>
            <w:r w:rsidRPr="0061644B">
              <w:rPr>
                <w:sz w:val="24"/>
              </w:rPr>
              <w:t>397</w:t>
            </w:r>
            <w:r w:rsidRPr="0061644B">
              <w:rPr>
                <w:sz w:val="24"/>
              </w:rPr>
              <w:t>天的浮动利率债</w:t>
            </w:r>
          </w:p>
        </w:tc>
        <w:tc>
          <w:tcPr>
            <w:tcW w:w="2550" w:type="dxa"/>
            <w:vAlign w:val="center"/>
          </w:tcPr>
          <w:p w:rsidR="004339AD" w:rsidRPr="0061644B" w:rsidRDefault="00B258B8" w:rsidP="00792A69">
            <w:pPr>
              <w:spacing w:before="29" w:line="288" w:lineRule="auto"/>
              <w:jc w:val="right"/>
              <w:rPr>
                <w:sz w:val="24"/>
              </w:rPr>
            </w:pPr>
            <w:r w:rsidRPr="00B258B8">
              <w:rPr>
                <w:sz w:val="24"/>
              </w:rPr>
              <w:t>-</w:t>
            </w:r>
          </w:p>
        </w:tc>
        <w:tc>
          <w:tcPr>
            <w:tcW w:w="2550" w:type="dxa"/>
            <w:vAlign w:val="center"/>
          </w:tcPr>
          <w:p w:rsidR="004339AD" w:rsidRPr="0061644B" w:rsidRDefault="00B258B8" w:rsidP="00792A69">
            <w:pPr>
              <w:spacing w:before="29" w:line="288" w:lineRule="auto"/>
              <w:jc w:val="right"/>
              <w:rPr>
                <w:sz w:val="24"/>
              </w:rPr>
            </w:pPr>
            <w:r w:rsidRPr="00B258B8">
              <w:rPr>
                <w:sz w:val="24"/>
              </w:rPr>
              <w:t>-</w:t>
            </w:r>
          </w:p>
        </w:tc>
      </w:tr>
      <w:tr w:rsidR="00B258B8" w:rsidRPr="0061644B" w:rsidTr="00B258B8">
        <w:tc>
          <w:tcPr>
            <w:tcW w:w="980" w:type="dxa"/>
            <w:vAlign w:val="center"/>
          </w:tcPr>
          <w:p w:rsidR="00B258B8" w:rsidRPr="0061644B" w:rsidRDefault="00B258B8" w:rsidP="00792A69">
            <w:pPr>
              <w:spacing w:before="29" w:line="288" w:lineRule="auto"/>
              <w:jc w:val="center"/>
              <w:rPr>
                <w:sz w:val="24"/>
              </w:rPr>
            </w:pPr>
            <w:r w:rsidRPr="0061644B">
              <w:rPr>
                <w:sz w:val="24"/>
              </w:rPr>
              <w:t>5</w:t>
            </w:r>
          </w:p>
        </w:tc>
        <w:tc>
          <w:tcPr>
            <w:tcW w:w="3139" w:type="dxa"/>
            <w:vAlign w:val="center"/>
          </w:tcPr>
          <w:p w:rsidR="00B258B8" w:rsidRPr="0061644B" w:rsidRDefault="00B258B8" w:rsidP="00792A69">
            <w:pPr>
              <w:spacing w:before="29" w:line="288" w:lineRule="auto"/>
              <w:rPr>
                <w:sz w:val="24"/>
              </w:rPr>
            </w:pPr>
            <w:r>
              <w:rPr>
                <w:sz w:val="24"/>
              </w:rPr>
              <w:t>12</w:t>
            </w:r>
            <w:r w:rsidRPr="0061644B">
              <w:rPr>
                <w:sz w:val="24"/>
              </w:rPr>
              <w:t>0</w:t>
            </w:r>
            <w:r w:rsidRPr="0061644B">
              <w:rPr>
                <w:sz w:val="24"/>
              </w:rPr>
              <w:t>天</w:t>
            </w:r>
            <w:r w:rsidRPr="0061644B">
              <w:rPr>
                <w:rFonts w:hint="eastAsia"/>
                <w:color w:val="000000"/>
                <w:sz w:val="24"/>
              </w:rPr>
              <w:t>(</w:t>
            </w:r>
            <w:r w:rsidRPr="0061644B">
              <w:rPr>
                <w:rFonts w:hint="eastAsia"/>
                <w:color w:val="000000"/>
                <w:sz w:val="24"/>
              </w:rPr>
              <w:t>含</w:t>
            </w:r>
            <w:r w:rsidRPr="0061644B">
              <w:rPr>
                <w:rFonts w:hint="eastAsia"/>
                <w:color w:val="000000"/>
                <w:sz w:val="24"/>
              </w:rPr>
              <w:t>)</w:t>
            </w:r>
            <w:r w:rsidRPr="0061644B">
              <w:rPr>
                <w:sz w:val="24"/>
              </w:rPr>
              <w:t>—397</w:t>
            </w:r>
            <w:r w:rsidRPr="0061644B">
              <w:rPr>
                <w:sz w:val="24"/>
              </w:rPr>
              <w:t>天</w:t>
            </w:r>
            <w:r w:rsidRPr="0061644B">
              <w:rPr>
                <w:rFonts w:hint="eastAsia"/>
                <w:color w:val="000000"/>
                <w:sz w:val="24"/>
              </w:rPr>
              <w:t>（含）</w:t>
            </w:r>
          </w:p>
        </w:tc>
        <w:tc>
          <w:tcPr>
            <w:tcW w:w="2550" w:type="dxa"/>
          </w:tcPr>
          <w:p w:rsidR="00B258B8" w:rsidRPr="00B258B8" w:rsidRDefault="00B258B8" w:rsidP="00B258B8">
            <w:pPr>
              <w:rPr>
                <w:sz w:val="24"/>
              </w:rPr>
            </w:pPr>
            <w:r w:rsidRPr="00B258B8">
              <w:rPr>
                <w:sz w:val="24"/>
              </w:rPr>
              <w:t>0.89</w:t>
            </w:r>
          </w:p>
        </w:tc>
        <w:tc>
          <w:tcPr>
            <w:tcW w:w="2550" w:type="dxa"/>
          </w:tcPr>
          <w:p w:rsidR="00B258B8" w:rsidRPr="00B258B8" w:rsidRDefault="00B258B8" w:rsidP="00B258B8">
            <w:pPr>
              <w:rPr>
                <w:sz w:val="24"/>
              </w:rPr>
            </w:pPr>
            <w:r w:rsidRPr="00B258B8">
              <w:rPr>
                <w:sz w:val="24"/>
              </w:rPr>
              <w:t>-</w:t>
            </w:r>
          </w:p>
        </w:tc>
      </w:tr>
      <w:tr w:rsidR="006B4A69" w:rsidRPr="0061644B" w:rsidTr="00F71FAF">
        <w:tc>
          <w:tcPr>
            <w:tcW w:w="980" w:type="dxa"/>
            <w:vAlign w:val="center"/>
          </w:tcPr>
          <w:p w:rsidR="004339AD" w:rsidRPr="0061644B" w:rsidRDefault="004339AD" w:rsidP="00792A69">
            <w:pPr>
              <w:spacing w:before="29" w:line="288" w:lineRule="auto"/>
              <w:jc w:val="center"/>
              <w:rPr>
                <w:sz w:val="24"/>
              </w:rPr>
            </w:pPr>
          </w:p>
        </w:tc>
        <w:tc>
          <w:tcPr>
            <w:tcW w:w="3139" w:type="dxa"/>
            <w:vAlign w:val="center"/>
          </w:tcPr>
          <w:p w:rsidR="004339AD" w:rsidRPr="0061644B" w:rsidRDefault="004339AD" w:rsidP="00792A69">
            <w:pPr>
              <w:spacing w:before="29" w:line="288" w:lineRule="auto"/>
              <w:rPr>
                <w:sz w:val="24"/>
              </w:rPr>
            </w:pPr>
            <w:r w:rsidRPr="0061644B">
              <w:rPr>
                <w:sz w:val="24"/>
              </w:rPr>
              <w:t>其中：剩余存续期超过</w:t>
            </w:r>
            <w:r w:rsidRPr="0061644B">
              <w:rPr>
                <w:sz w:val="24"/>
              </w:rPr>
              <w:t>397</w:t>
            </w:r>
            <w:r w:rsidRPr="0061644B">
              <w:rPr>
                <w:sz w:val="24"/>
              </w:rPr>
              <w:t>天的浮动利率债</w:t>
            </w:r>
          </w:p>
        </w:tc>
        <w:tc>
          <w:tcPr>
            <w:tcW w:w="2550" w:type="dxa"/>
            <w:vAlign w:val="center"/>
          </w:tcPr>
          <w:p w:rsidR="004339AD" w:rsidRPr="0061644B" w:rsidRDefault="00B258B8" w:rsidP="00792A69">
            <w:pPr>
              <w:spacing w:before="29" w:line="288" w:lineRule="auto"/>
              <w:jc w:val="right"/>
              <w:rPr>
                <w:sz w:val="24"/>
              </w:rPr>
            </w:pPr>
            <w:r w:rsidRPr="00B258B8">
              <w:rPr>
                <w:sz w:val="24"/>
              </w:rPr>
              <w:t>-</w:t>
            </w:r>
          </w:p>
        </w:tc>
        <w:tc>
          <w:tcPr>
            <w:tcW w:w="2550" w:type="dxa"/>
            <w:vAlign w:val="center"/>
          </w:tcPr>
          <w:p w:rsidR="004339AD" w:rsidRPr="0061644B" w:rsidRDefault="00B258B8" w:rsidP="00792A69">
            <w:pPr>
              <w:spacing w:before="29" w:line="288" w:lineRule="auto"/>
              <w:jc w:val="right"/>
              <w:rPr>
                <w:sz w:val="24"/>
              </w:rPr>
            </w:pPr>
            <w:r w:rsidRPr="00B258B8">
              <w:rPr>
                <w:sz w:val="24"/>
              </w:rPr>
              <w:t>-</w:t>
            </w:r>
          </w:p>
        </w:tc>
      </w:tr>
      <w:tr w:rsidR="006B4A69" w:rsidRPr="0061644B" w:rsidTr="00F71FAF">
        <w:tc>
          <w:tcPr>
            <w:tcW w:w="4119" w:type="dxa"/>
            <w:gridSpan w:val="2"/>
            <w:vAlign w:val="center"/>
          </w:tcPr>
          <w:p w:rsidR="001E0231" w:rsidRPr="0061644B" w:rsidRDefault="001E0231" w:rsidP="00792A69">
            <w:pPr>
              <w:spacing w:before="29" w:line="288" w:lineRule="auto"/>
              <w:jc w:val="center"/>
              <w:rPr>
                <w:sz w:val="24"/>
              </w:rPr>
            </w:pPr>
            <w:r w:rsidRPr="0061644B">
              <w:rPr>
                <w:sz w:val="24"/>
              </w:rPr>
              <w:t>合计</w:t>
            </w:r>
          </w:p>
        </w:tc>
        <w:tc>
          <w:tcPr>
            <w:tcW w:w="2550" w:type="dxa"/>
            <w:vAlign w:val="center"/>
          </w:tcPr>
          <w:p w:rsidR="001E0231" w:rsidRPr="0061644B" w:rsidRDefault="001E0231" w:rsidP="00792A69">
            <w:pPr>
              <w:spacing w:before="29" w:line="288" w:lineRule="auto"/>
              <w:jc w:val="right"/>
              <w:rPr>
                <w:sz w:val="24"/>
              </w:rPr>
            </w:pPr>
            <w:r w:rsidRPr="0061644B">
              <w:rPr>
                <w:sz w:val="24"/>
              </w:rPr>
              <w:t>117.17</w:t>
            </w:r>
          </w:p>
        </w:tc>
        <w:tc>
          <w:tcPr>
            <w:tcW w:w="2550" w:type="dxa"/>
            <w:vAlign w:val="center"/>
          </w:tcPr>
          <w:p w:rsidR="001E0231" w:rsidRPr="0061644B" w:rsidRDefault="001E0231" w:rsidP="00792A69">
            <w:pPr>
              <w:spacing w:before="29" w:line="288" w:lineRule="auto"/>
              <w:jc w:val="right"/>
              <w:rPr>
                <w:sz w:val="24"/>
              </w:rPr>
            </w:pPr>
            <w:r w:rsidRPr="0061644B">
              <w:rPr>
                <w:sz w:val="24"/>
              </w:rPr>
              <w:t>17.38</w:t>
            </w:r>
          </w:p>
        </w:tc>
      </w:tr>
    </w:tbl>
    <w:p w:rsidR="00B258B8" w:rsidRPr="0061644B" w:rsidRDefault="00B258B8" w:rsidP="00792A69">
      <w:pPr>
        <w:tabs>
          <w:tab w:val="left" w:pos="426"/>
        </w:tabs>
        <w:spacing w:before="29" w:line="288" w:lineRule="auto"/>
        <w:jc w:val="left"/>
        <w:rPr>
          <w:kern w:val="0"/>
          <w:sz w:val="24"/>
        </w:rPr>
      </w:pPr>
    </w:p>
    <w:p w:rsidR="00B258B8" w:rsidRPr="00B258B8" w:rsidRDefault="00B258B8" w:rsidP="00B258B8">
      <w:pPr>
        <w:pStyle w:val="20"/>
        <w:spacing w:before="0" w:after="0"/>
        <w:rPr>
          <w:rFonts w:ascii="Times New Roman" w:hAnsi="Times New Roman" w:cs="Times New Roman"/>
          <w:kern w:val="0"/>
          <w:szCs w:val="24"/>
        </w:rPr>
      </w:pPr>
      <w:r w:rsidRPr="00B258B8">
        <w:rPr>
          <w:rFonts w:ascii="Times New Roman" w:hAnsi="Times New Roman" w:cs="Times New Roman"/>
          <w:kern w:val="0"/>
          <w:szCs w:val="24"/>
        </w:rPr>
        <w:t>7.4</w:t>
      </w:r>
      <w:r w:rsidRPr="00B258B8">
        <w:rPr>
          <w:rFonts w:ascii="Times New Roman" w:hAnsi="Times New Roman" w:cs="Times New Roman" w:hint="eastAsia"/>
          <w:kern w:val="0"/>
          <w:szCs w:val="24"/>
        </w:rPr>
        <w:t>报告期内投资组合平均剩余存续期超过</w:t>
      </w:r>
      <w:r w:rsidRPr="00B258B8">
        <w:rPr>
          <w:rFonts w:ascii="Times New Roman" w:hAnsi="Times New Roman" w:cs="Times New Roman" w:hint="eastAsia"/>
          <w:kern w:val="0"/>
          <w:szCs w:val="24"/>
        </w:rPr>
        <w:t>240</w:t>
      </w:r>
      <w:r w:rsidRPr="00B258B8">
        <w:rPr>
          <w:rFonts w:ascii="宋体" w:hAnsi="宋体" w:cs="Times New Roman" w:hint="eastAsia"/>
          <w:kern w:val="0"/>
          <w:szCs w:val="24"/>
        </w:rPr>
        <w:t>天情况说明</w:t>
      </w:r>
    </w:p>
    <w:p w:rsidR="00B258B8" w:rsidRPr="00B258B8" w:rsidRDefault="00B258B8" w:rsidP="00B258B8">
      <w:pPr>
        <w:spacing w:line="360" w:lineRule="auto"/>
        <w:ind w:firstLineChars="200" w:firstLine="480"/>
        <w:jc w:val="left"/>
        <w:rPr>
          <w:sz w:val="24"/>
        </w:rPr>
      </w:pPr>
      <w:r w:rsidRPr="00B258B8">
        <w:rPr>
          <w:rFonts w:hint="eastAsia"/>
          <w:sz w:val="24"/>
        </w:rPr>
        <w:t>本基金本报告期内投资组合平均剩余存续期限未超过</w:t>
      </w:r>
      <w:r w:rsidRPr="00B258B8">
        <w:rPr>
          <w:rFonts w:hint="eastAsia"/>
          <w:sz w:val="24"/>
        </w:rPr>
        <w:t>240</w:t>
      </w:r>
      <w:r w:rsidRPr="00B258B8">
        <w:rPr>
          <w:rFonts w:hint="eastAsia"/>
          <w:sz w:val="24"/>
        </w:rPr>
        <w:t>天。</w:t>
      </w:r>
    </w:p>
    <w:p w:rsidR="006D141C" w:rsidRPr="00B258B8" w:rsidRDefault="006D141C" w:rsidP="00792A69">
      <w:pPr>
        <w:spacing w:before="29" w:line="288" w:lineRule="auto"/>
        <w:rPr>
          <w:sz w:val="24"/>
        </w:rPr>
      </w:pPr>
    </w:p>
    <w:p w:rsidR="006D141C" w:rsidRPr="0061644B" w:rsidRDefault="006D141C" w:rsidP="00792A69">
      <w:pPr>
        <w:pStyle w:val="20"/>
        <w:spacing w:before="29" w:after="0" w:line="288" w:lineRule="auto"/>
        <w:rPr>
          <w:rFonts w:ascii="Times New Roman" w:hAnsi="Times New Roman" w:cs="Times New Roman"/>
          <w:kern w:val="0"/>
          <w:szCs w:val="24"/>
        </w:rPr>
      </w:pPr>
      <w:bookmarkStart w:id="25" w:name="_Toc331410106"/>
      <w:bookmarkStart w:id="26" w:name="_Toc234814104"/>
      <w:r w:rsidRPr="0061644B">
        <w:rPr>
          <w:rFonts w:ascii="Times New Roman" w:hAnsi="Times New Roman" w:cs="Times New Roman"/>
          <w:kern w:val="0"/>
          <w:szCs w:val="24"/>
        </w:rPr>
        <w:t>7.5</w:t>
      </w:r>
      <w:r w:rsidRPr="0061644B">
        <w:rPr>
          <w:rFonts w:ascii="Times New Roman" w:hAnsi="Times New Roman" w:cs="Times New Roman"/>
          <w:kern w:val="0"/>
          <w:szCs w:val="24"/>
        </w:rPr>
        <w:t>期末按债券品种分类的债券投资组合</w:t>
      </w:r>
      <w:bookmarkEnd w:id="25"/>
      <w:bookmarkEnd w:id="26"/>
    </w:p>
    <w:p w:rsidR="00260867" w:rsidRPr="0061644B" w:rsidRDefault="00644AB5" w:rsidP="00792A69">
      <w:pPr>
        <w:autoSpaceDE w:val="0"/>
        <w:autoSpaceDN w:val="0"/>
        <w:adjustRightInd w:val="0"/>
        <w:spacing w:before="29" w:line="288" w:lineRule="auto"/>
        <w:ind w:left="15"/>
        <w:jc w:val="right"/>
        <w:rPr>
          <w:kern w:val="0"/>
          <w:sz w:val="24"/>
        </w:rPr>
      </w:pPr>
      <w:r w:rsidRPr="0061644B">
        <w:rPr>
          <w:sz w:val="24"/>
        </w:rPr>
        <w:t>金额单位</w:t>
      </w:r>
      <w:r w:rsidR="006D141C" w:rsidRPr="0061644B">
        <w:rPr>
          <w:sz w:val="24"/>
        </w:rPr>
        <w:t>：人民币元</w:t>
      </w:r>
    </w:p>
    <w:tbl>
      <w:tblPr>
        <w:tblW w:w="92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1259"/>
        <w:gridCol w:w="2933"/>
        <w:gridCol w:w="2653"/>
        <w:gridCol w:w="2374"/>
      </w:tblGrid>
      <w:tr w:rsidR="006B4A69" w:rsidRPr="0061644B" w:rsidTr="005C2E45">
        <w:trPr>
          <w:trHeight w:val="315"/>
        </w:trPr>
        <w:tc>
          <w:tcPr>
            <w:tcW w:w="1259" w:type="dxa"/>
            <w:vAlign w:val="center"/>
          </w:tcPr>
          <w:p w:rsidR="00260867" w:rsidRPr="0061644B" w:rsidRDefault="00260867" w:rsidP="00792A69">
            <w:pPr>
              <w:spacing w:before="29" w:line="288" w:lineRule="auto"/>
              <w:ind w:left="17"/>
              <w:jc w:val="center"/>
              <w:rPr>
                <w:sz w:val="24"/>
              </w:rPr>
            </w:pPr>
            <w:r w:rsidRPr="0061644B">
              <w:rPr>
                <w:sz w:val="24"/>
              </w:rPr>
              <w:t>序号</w:t>
            </w:r>
          </w:p>
        </w:tc>
        <w:tc>
          <w:tcPr>
            <w:tcW w:w="2933" w:type="dxa"/>
            <w:vAlign w:val="center"/>
          </w:tcPr>
          <w:p w:rsidR="00260867" w:rsidRPr="0061644B" w:rsidRDefault="00260867" w:rsidP="00792A69">
            <w:pPr>
              <w:spacing w:before="29" w:line="288" w:lineRule="auto"/>
              <w:ind w:left="17"/>
              <w:jc w:val="center"/>
              <w:rPr>
                <w:sz w:val="24"/>
              </w:rPr>
            </w:pPr>
            <w:r w:rsidRPr="0061644B">
              <w:rPr>
                <w:sz w:val="24"/>
              </w:rPr>
              <w:t>债券品种</w:t>
            </w:r>
          </w:p>
        </w:tc>
        <w:tc>
          <w:tcPr>
            <w:tcW w:w="2653" w:type="dxa"/>
            <w:vAlign w:val="center"/>
          </w:tcPr>
          <w:p w:rsidR="00260867" w:rsidRPr="0061644B" w:rsidRDefault="00C57CC1" w:rsidP="00792A69">
            <w:pPr>
              <w:spacing w:before="29" w:line="288" w:lineRule="auto"/>
              <w:ind w:left="17"/>
              <w:jc w:val="center"/>
              <w:rPr>
                <w:sz w:val="24"/>
              </w:rPr>
            </w:pPr>
            <w:r w:rsidRPr="0061644B">
              <w:rPr>
                <w:sz w:val="24"/>
              </w:rPr>
              <w:t>摊余成本</w:t>
            </w:r>
          </w:p>
        </w:tc>
        <w:tc>
          <w:tcPr>
            <w:tcW w:w="2374" w:type="dxa"/>
            <w:vAlign w:val="center"/>
          </w:tcPr>
          <w:p w:rsidR="00260867" w:rsidRPr="0061644B" w:rsidRDefault="00260867" w:rsidP="00792A69">
            <w:pPr>
              <w:spacing w:before="29" w:line="288" w:lineRule="auto"/>
              <w:ind w:left="17"/>
              <w:jc w:val="center"/>
              <w:rPr>
                <w:sz w:val="24"/>
              </w:rPr>
            </w:pPr>
            <w:r w:rsidRPr="0061644B">
              <w:rPr>
                <w:sz w:val="24"/>
              </w:rPr>
              <w:t>占基金资产净值比例</w:t>
            </w:r>
            <w:r w:rsidR="000812E8" w:rsidRPr="0061644B">
              <w:rPr>
                <w:color w:val="000000"/>
                <w:sz w:val="24"/>
              </w:rPr>
              <w:t>（％）</w:t>
            </w:r>
          </w:p>
        </w:tc>
      </w:tr>
      <w:tr w:rsidR="006B4A69" w:rsidRPr="0061644B" w:rsidTr="005C2E45">
        <w:trPr>
          <w:trHeight w:val="315"/>
        </w:trPr>
        <w:tc>
          <w:tcPr>
            <w:tcW w:w="1259" w:type="dxa"/>
            <w:vAlign w:val="center"/>
          </w:tcPr>
          <w:p w:rsidR="00260867" w:rsidRPr="0061644B" w:rsidRDefault="00260867" w:rsidP="00792A69">
            <w:pPr>
              <w:spacing w:before="29" w:line="288" w:lineRule="auto"/>
              <w:ind w:left="17"/>
              <w:jc w:val="center"/>
              <w:rPr>
                <w:sz w:val="24"/>
              </w:rPr>
            </w:pPr>
            <w:r w:rsidRPr="0061644B">
              <w:rPr>
                <w:sz w:val="24"/>
              </w:rPr>
              <w:t>1</w:t>
            </w:r>
          </w:p>
        </w:tc>
        <w:tc>
          <w:tcPr>
            <w:tcW w:w="2933" w:type="dxa"/>
            <w:vAlign w:val="center"/>
          </w:tcPr>
          <w:p w:rsidR="00260867" w:rsidRPr="0061644B" w:rsidRDefault="00260867" w:rsidP="00792A69">
            <w:pPr>
              <w:spacing w:before="29" w:line="288" w:lineRule="auto"/>
              <w:ind w:left="17"/>
              <w:jc w:val="left"/>
              <w:rPr>
                <w:sz w:val="24"/>
              </w:rPr>
            </w:pPr>
            <w:r w:rsidRPr="0061644B">
              <w:rPr>
                <w:sz w:val="24"/>
              </w:rPr>
              <w:t>国家债券</w:t>
            </w:r>
          </w:p>
        </w:tc>
        <w:tc>
          <w:tcPr>
            <w:tcW w:w="2653" w:type="dxa"/>
            <w:vAlign w:val="center"/>
          </w:tcPr>
          <w:p w:rsidR="00260867" w:rsidRPr="0061644B" w:rsidRDefault="00260867" w:rsidP="00792A69">
            <w:pPr>
              <w:spacing w:before="29" w:line="288" w:lineRule="auto"/>
              <w:ind w:left="17"/>
              <w:jc w:val="right"/>
              <w:rPr>
                <w:sz w:val="24"/>
              </w:rPr>
            </w:pPr>
            <w:r w:rsidRPr="0061644B">
              <w:rPr>
                <w:sz w:val="24"/>
              </w:rPr>
              <w:t>1,985,001.33</w:t>
            </w:r>
          </w:p>
        </w:tc>
        <w:tc>
          <w:tcPr>
            <w:tcW w:w="2374" w:type="dxa"/>
            <w:vAlign w:val="center"/>
          </w:tcPr>
          <w:p w:rsidR="00260867" w:rsidRPr="0061644B" w:rsidRDefault="00260867" w:rsidP="00792A69">
            <w:pPr>
              <w:spacing w:before="29" w:line="288" w:lineRule="auto"/>
              <w:ind w:left="17"/>
              <w:jc w:val="right"/>
              <w:rPr>
                <w:sz w:val="24"/>
              </w:rPr>
            </w:pPr>
            <w:r w:rsidRPr="0061644B">
              <w:rPr>
                <w:sz w:val="24"/>
              </w:rPr>
              <w:t>0.88</w:t>
            </w:r>
          </w:p>
        </w:tc>
      </w:tr>
      <w:tr w:rsidR="006B4A69" w:rsidRPr="0061644B" w:rsidTr="005C2E45">
        <w:trPr>
          <w:trHeight w:val="315"/>
        </w:trPr>
        <w:tc>
          <w:tcPr>
            <w:tcW w:w="1259" w:type="dxa"/>
            <w:vAlign w:val="center"/>
          </w:tcPr>
          <w:p w:rsidR="00260867" w:rsidRPr="0061644B" w:rsidRDefault="00260867" w:rsidP="00792A69">
            <w:pPr>
              <w:spacing w:before="29" w:line="288" w:lineRule="auto"/>
              <w:ind w:left="17"/>
              <w:jc w:val="center"/>
              <w:rPr>
                <w:sz w:val="24"/>
              </w:rPr>
            </w:pPr>
            <w:r w:rsidRPr="0061644B">
              <w:rPr>
                <w:sz w:val="24"/>
              </w:rPr>
              <w:t>2</w:t>
            </w:r>
          </w:p>
        </w:tc>
        <w:tc>
          <w:tcPr>
            <w:tcW w:w="2933" w:type="dxa"/>
            <w:vAlign w:val="center"/>
          </w:tcPr>
          <w:p w:rsidR="00260867" w:rsidRPr="0061644B" w:rsidRDefault="00260867" w:rsidP="00792A69">
            <w:pPr>
              <w:spacing w:before="29" w:line="288" w:lineRule="auto"/>
              <w:ind w:left="17"/>
              <w:jc w:val="left"/>
              <w:rPr>
                <w:sz w:val="24"/>
              </w:rPr>
            </w:pPr>
            <w:r w:rsidRPr="0061644B">
              <w:rPr>
                <w:sz w:val="24"/>
              </w:rPr>
              <w:t>央行票据</w:t>
            </w:r>
          </w:p>
        </w:tc>
        <w:tc>
          <w:tcPr>
            <w:tcW w:w="2653" w:type="dxa"/>
            <w:vAlign w:val="center"/>
          </w:tcPr>
          <w:p w:rsidR="00260867" w:rsidRPr="0061644B" w:rsidRDefault="00260867" w:rsidP="00792A69">
            <w:pPr>
              <w:spacing w:before="29" w:line="288" w:lineRule="auto"/>
              <w:ind w:left="17"/>
              <w:jc w:val="right"/>
              <w:rPr>
                <w:sz w:val="24"/>
              </w:rPr>
            </w:pPr>
            <w:r w:rsidRPr="0061644B">
              <w:rPr>
                <w:sz w:val="24"/>
              </w:rPr>
              <w:t>-</w:t>
            </w:r>
          </w:p>
        </w:tc>
        <w:tc>
          <w:tcPr>
            <w:tcW w:w="2374" w:type="dxa"/>
            <w:vAlign w:val="center"/>
          </w:tcPr>
          <w:p w:rsidR="00260867" w:rsidRPr="0061644B" w:rsidRDefault="00260867" w:rsidP="00792A69">
            <w:pPr>
              <w:spacing w:before="29" w:line="288" w:lineRule="auto"/>
              <w:ind w:left="17"/>
              <w:jc w:val="right"/>
              <w:rPr>
                <w:sz w:val="24"/>
              </w:rPr>
            </w:pPr>
            <w:r w:rsidRPr="0061644B">
              <w:rPr>
                <w:sz w:val="24"/>
              </w:rPr>
              <w:t>-</w:t>
            </w:r>
          </w:p>
        </w:tc>
      </w:tr>
      <w:tr w:rsidR="006B4A69" w:rsidRPr="0061644B" w:rsidTr="005C2E45">
        <w:trPr>
          <w:trHeight w:val="315"/>
        </w:trPr>
        <w:tc>
          <w:tcPr>
            <w:tcW w:w="1259" w:type="dxa"/>
            <w:vAlign w:val="center"/>
          </w:tcPr>
          <w:p w:rsidR="00260867" w:rsidRPr="0061644B" w:rsidRDefault="00260867" w:rsidP="00792A69">
            <w:pPr>
              <w:spacing w:before="29" w:line="288" w:lineRule="auto"/>
              <w:ind w:left="17"/>
              <w:jc w:val="center"/>
              <w:rPr>
                <w:sz w:val="24"/>
              </w:rPr>
            </w:pPr>
            <w:r w:rsidRPr="0061644B">
              <w:rPr>
                <w:sz w:val="24"/>
              </w:rPr>
              <w:t>3</w:t>
            </w:r>
          </w:p>
        </w:tc>
        <w:tc>
          <w:tcPr>
            <w:tcW w:w="2933" w:type="dxa"/>
            <w:vAlign w:val="center"/>
          </w:tcPr>
          <w:p w:rsidR="00260867" w:rsidRPr="0061644B" w:rsidRDefault="00260867" w:rsidP="00792A69">
            <w:pPr>
              <w:spacing w:before="29" w:line="288" w:lineRule="auto"/>
              <w:ind w:left="17"/>
              <w:jc w:val="left"/>
              <w:rPr>
                <w:sz w:val="24"/>
              </w:rPr>
            </w:pPr>
            <w:r w:rsidRPr="0061644B">
              <w:rPr>
                <w:sz w:val="24"/>
              </w:rPr>
              <w:t>金融债券</w:t>
            </w:r>
          </w:p>
        </w:tc>
        <w:tc>
          <w:tcPr>
            <w:tcW w:w="2653" w:type="dxa"/>
            <w:vAlign w:val="center"/>
          </w:tcPr>
          <w:p w:rsidR="00260867" w:rsidRPr="0061644B" w:rsidRDefault="00260867" w:rsidP="00792A69">
            <w:pPr>
              <w:spacing w:before="29" w:line="288" w:lineRule="auto"/>
              <w:ind w:left="17"/>
              <w:jc w:val="right"/>
              <w:rPr>
                <w:sz w:val="24"/>
              </w:rPr>
            </w:pPr>
            <w:r w:rsidRPr="0061644B">
              <w:rPr>
                <w:sz w:val="24"/>
              </w:rPr>
              <w:t>12,000,995.05</w:t>
            </w:r>
          </w:p>
        </w:tc>
        <w:tc>
          <w:tcPr>
            <w:tcW w:w="2374" w:type="dxa"/>
            <w:vAlign w:val="center"/>
          </w:tcPr>
          <w:p w:rsidR="00260867" w:rsidRPr="0061644B" w:rsidRDefault="00260867" w:rsidP="00792A69">
            <w:pPr>
              <w:spacing w:before="29" w:line="288" w:lineRule="auto"/>
              <w:ind w:left="17"/>
              <w:jc w:val="right"/>
              <w:rPr>
                <w:sz w:val="24"/>
              </w:rPr>
            </w:pPr>
            <w:r w:rsidRPr="0061644B">
              <w:rPr>
                <w:sz w:val="24"/>
              </w:rPr>
              <w:t>5.34</w:t>
            </w:r>
          </w:p>
        </w:tc>
      </w:tr>
      <w:tr w:rsidR="006B4A69" w:rsidRPr="0061644B" w:rsidTr="005C2E45">
        <w:trPr>
          <w:trHeight w:val="315"/>
        </w:trPr>
        <w:tc>
          <w:tcPr>
            <w:tcW w:w="1259" w:type="dxa"/>
            <w:vAlign w:val="center"/>
          </w:tcPr>
          <w:p w:rsidR="00260867" w:rsidRPr="0061644B" w:rsidRDefault="00260867" w:rsidP="00792A69">
            <w:pPr>
              <w:spacing w:before="29" w:line="288" w:lineRule="auto"/>
              <w:ind w:left="17"/>
              <w:jc w:val="center"/>
              <w:rPr>
                <w:sz w:val="24"/>
              </w:rPr>
            </w:pPr>
          </w:p>
        </w:tc>
        <w:tc>
          <w:tcPr>
            <w:tcW w:w="2933" w:type="dxa"/>
            <w:vAlign w:val="center"/>
          </w:tcPr>
          <w:p w:rsidR="00260867" w:rsidRPr="0061644B" w:rsidRDefault="00260867" w:rsidP="00792A69">
            <w:pPr>
              <w:spacing w:before="29" w:line="288" w:lineRule="auto"/>
              <w:ind w:left="17"/>
              <w:jc w:val="left"/>
              <w:rPr>
                <w:sz w:val="24"/>
              </w:rPr>
            </w:pPr>
            <w:r w:rsidRPr="0061644B">
              <w:rPr>
                <w:sz w:val="24"/>
              </w:rPr>
              <w:t>其中：政策性金融债</w:t>
            </w:r>
          </w:p>
        </w:tc>
        <w:tc>
          <w:tcPr>
            <w:tcW w:w="2653" w:type="dxa"/>
            <w:vAlign w:val="center"/>
          </w:tcPr>
          <w:p w:rsidR="00260867" w:rsidRPr="0061644B" w:rsidRDefault="00260867" w:rsidP="00792A69">
            <w:pPr>
              <w:spacing w:before="29" w:line="288" w:lineRule="auto"/>
              <w:ind w:left="17"/>
              <w:jc w:val="right"/>
              <w:rPr>
                <w:sz w:val="24"/>
              </w:rPr>
            </w:pPr>
            <w:r w:rsidRPr="0061644B">
              <w:rPr>
                <w:sz w:val="24"/>
              </w:rPr>
              <w:t>12,000,995.05</w:t>
            </w:r>
          </w:p>
        </w:tc>
        <w:tc>
          <w:tcPr>
            <w:tcW w:w="2374" w:type="dxa"/>
            <w:vAlign w:val="center"/>
          </w:tcPr>
          <w:p w:rsidR="00260867" w:rsidRPr="0061644B" w:rsidRDefault="00260867" w:rsidP="00792A69">
            <w:pPr>
              <w:spacing w:before="29" w:line="288" w:lineRule="auto"/>
              <w:ind w:left="17"/>
              <w:jc w:val="right"/>
              <w:rPr>
                <w:sz w:val="24"/>
              </w:rPr>
            </w:pPr>
            <w:r w:rsidRPr="0061644B">
              <w:rPr>
                <w:sz w:val="24"/>
              </w:rPr>
              <w:t>5.34</w:t>
            </w:r>
          </w:p>
        </w:tc>
      </w:tr>
      <w:tr w:rsidR="006B4A69" w:rsidRPr="0061644B" w:rsidTr="005C2E45">
        <w:trPr>
          <w:trHeight w:val="315"/>
        </w:trPr>
        <w:tc>
          <w:tcPr>
            <w:tcW w:w="1259" w:type="dxa"/>
            <w:vAlign w:val="center"/>
          </w:tcPr>
          <w:p w:rsidR="00260867" w:rsidRPr="0061644B" w:rsidRDefault="00260867" w:rsidP="00792A69">
            <w:pPr>
              <w:spacing w:before="29" w:line="288" w:lineRule="auto"/>
              <w:ind w:left="17"/>
              <w:jc w:val="center"/>
              <w:rPr>
                <w:sz w:val="24"/>
              </w:rPr>
            </w:pPr>
            <w:r w:rsidRPr="0061644B">
              <w:rPr>
                <w:sz w:val="24"/>
              </w:rPr>
              <w:t>4</w:t>
            </w:r>
          </w:p>
        </w:tc>
        <w:tc>
          <w:tcPr>
            <w:tcW w:w="2933" w:type="dxa"/>
            <w:vAlign w:val="center"/>
          </w:tcPr>
          <w:p w:rsidR="00260867" w:rsidRPr="0061644B" w:rsidRDefault="00260867" w:rsidP="00792A69">
            <w:pPr>
              <w:spacing w:before="29" w:line="288" w:lineRule="auto"/>
              <w:ind w:left="17"/>
              <w:jc w:val="left"/>
              <w:rPr>
                <w:sz w:val="24"/>
              </w:rPr>
            </w:pPr>
            <w:r w:rsidRPr="0061644B">
              <w:rPr>
                <w:sz w:val="24"/>
              </w:rPr>
              <w:t>企业债券</w:t>
            </w:r>
          </w:p>
        </w:tc>
        <w:tc>
          <w:tcPr>
            <w:tcW w:w="2653" w:type="dxa"/>
            <w:vAlign w:val="center"/>
          </w:tcPr>
          <w:p w:rsidR="00260867" w:rsidRPr="0061644B" w:rsidRDefault="00260867" w:rsidP="00792A69">
            <w:pPr>
              <w:spacing w:before="29" w:line="288" w:lineRule="auto"/>
              <w:ind w:left="17"/>
              <w:jc w:val="right"/>
              <w:rPr>
                <w:sz w:val="24"/>
              </w:rPr>
            </w:pPr>
            <w:r w:rsidRPr="0061644B">
              <w:rPr>
                <w:sz w:val="24"/>
              </w:rPr>
              <w:t>-</w:t>
            </w:r>
          </w:p>
        </w:tc>
        <w:tc>
          <w:tcPr>
            <w:tcW w:w="2374" w:type="dxa"/>
            <w:vAlign w:val="center"/>
          </w:tcPr>
          <w:p w:rsidR="00260867" w:rsidRPr="0061644B" w:rsidRDefault="00260867" w:rsidP="00792A69">
            <w:pPr>
              <w:spacing w:before="29" w:line="288" w:lineRule="auto"/>
              <w:ind w:left="17"/>
              <w:jc w:val="right"/>
              <w:rPr>
                <w:sz w:val="24"/>
              </w:rPr>
            </w:pPr>
            <w:r w:rsidRPr="0061644B">
              <w:rPr>
                <w:sz w:val="24"/>
              </w:rPr>
              <w:t>-</w:t>
            </w:r>
          </w:p>
        </w:tc>
      </w:tr>
      <w:tr w:rsidR="006B4A69" w:rsidRPr="0061644B" w:rsidTr="005C2E45">
        <w:trPr>
          <w:trHeight w:val="315"/>
        </w:trPr>
        <w:tc>
          <w:tcPr>
            <w:tcW w:w="1259" w:type="dxa"/>
            <w:vAlign w:val="center"/>
          </w:tcPr>
          <w:p w:rsidR="00260867" w:rsidRPr="0061644B" w:rsidRDefault="00260867" w:rsidP="00792A69">
            <w:pPr>
              <w:spacing w:before="29" w:line="288" w:lineRule="auto"/>
              <w:ind w:left="17"/>
              <w:jc w:val="center"/>
              <w:rPr>
                <w:sz w:val="24"/>
              </w:rPr>
            </w:pPr>
            <w:r w:rsidRPr="0061644B">
              <w:rPr>
                <w:sz w:val="24"/>
              </w:rPr>
              <w:t>5</w:t>
            </w:r>
          </w:p>
        </w:tc>
        <w:tc>
          <w:tcPr>
            <w:tcW w:w="2933" w:type="dxa"/>
            <w:vAlign w:val="center"/>
          </w:tcPr>
          <w:p w:rsidR="00260867" w:rsidRPr="0061644B" w:rsidRDefault="00260867" w:rsidP="00792A69">
            <w:pPr>
              <w:spacing w:before="29" w:line="288" w:lineRule="auto"/>
              <w:ind w:left="17"/>
              <w:jc w:val="left"/>
              <w:rPr>
                <w:sz w:val="24"/>
              </w:rPr>
            </w:pPr>
            <w:r w:rsidRPr="0061644B">
              <w:rPr>
                <w:sz w:val="24"/>
              </w:rPr>
              <w:t>企业短期融资</w:t>
            </w:r>
            <w:r w:rsidR="00C57CC1" w:rsidRPr="0061644B">
              <w:rPr>
                <w:sz w:val="24"/>
              </w:rPr>
              <w:t>券</w:t>
            </w:r>
          </w:p>
        </w:tc>
        <w:tc>
          <w:tcPr>
            <w:tcW w:w="2653" w:type="dxa"/>
            <w:vAlign w:val="center"/>
          </w:tcPr>
          <w:p w:rsidR="00260867" w:rsidRPr="0061644B" w:rsidRDefault="00260867" w:rsidP="00792A69">
            <w:pPr>
              <w:spacing w:before="29" w:line="288" w:lineRule="auto"/>
              <w:ind w:left="17"/>
              <w:jc w:val="right"/>
              <w:rPr>
                <w:sz w:val="24"/>
              </w:rPr>
            </w:pPr>
            <w:r w:rsidRPr="0061644B">
              <w:rPr>
                <w:sz w:val="24"/>
              </w:rPr>
              <w:t>9,998,914.20</w:t>
            </w:r>
          </w:p>
        </w:tc>
        <w:tc>
          <w:tcPr>
            <w:tcW w:w="2374" w:type="dxa"/>
            <w:vAlign w:val="center"/>
          </w:tcPr>
          <w:p w:rsidR="00260867" w:rsidRPr="0061644B" w:rsidRDefault="00260867" w:rsidP="00792A69">
            <w:pPr>
              <w:spacing w:before="29" w:line="288" w:lineRule="auto"/>
              <w:ind w:left="17"/>
              <w:jc w:val="right"/>
              <w:rPr>
                <w:sz w:val="24"/>
              </w:rPr>
            </w:pPr>
            <w:r w:rsidRPr="0061644B">
              <w:rPr>
                <w:sz w:val="24"/>
              </w:rPr>
              <w:t>4.45</w:t>
            </w:r>
          </w:p>
        </w:tc>
      </w:tr>
      <w:tr w:rsidR="000702AC" w:rsidRPr="0061644B" w:rsidTr="00B258B8">
        <w:trPr>
          <w:trHeight w:val="315"/>
        </w:trPr>
        <w:tc>
          <w:tcPr>
            <w:tcW w:w="1259" w:type="dxa"/>
            <w:shd w:val="clear" w:color="auto" w:fill="auto"/>
            <w:vAlign w:val="center"/>
          </w:tcPr>
          <w:p w:rsidR="000702AC" w:rsidRPr="0061644B" w:rsidRDefault="000702AC" w:rsidP="00B258B8">
            <w:pPr>
              <w:spacing w:before="29" w:line="288" w:lineRule="auto"/>
              <w:ind w:left="17"/>
              <w:jc w:val="center"/>
              <w:rPr>
                <w:sz w:val="24"/>
              </w:rPr>
            </w:pPr>
            <w:r w:rsidRPr="0061644B">
              <w:rPr>
                <w:sz w:val="24"/>
              </w:rPr>
              <w:t>6</w:t>
            </w:r>
          </w:p>
        </w:tc>
        <w:tc>
          <w:tcPr>
            <w:tcW w:w="2933" w:type="dxa"/>
            <w:shd w:val="clear" w:color="auto" w:fill="auto"/>
            <w:vAlign w:val="center"/>
          </w:tcPr>
          <w:p w:rsidR="000702AC" w:rsidRPr="0061644B" w:rsidRDefault="000702AC" w:rsidP="00B258B8">
            <w:pPr>
              <w:spacing w:before="29" w:line="288" w:lineRule="auto"/>
              <w:ind w:left="17"/>
              <w:jc w:val="left"/>
              <w:rPr>
                <w:sz w:val="24"/>
              </w:rPr>
            </w:pPr>
            <w:r w:rsidRPr="0061644B">
              <w:rPr>
                <w:sz w:val="24"/>
              </w:rPr>
              <w:t>中期票据</w:t>
            </w:r>
          </w:p>
        </w:tc>
        <w:tc>
          <w:tcPr>
            <w:tcW w:w="2653" w:type="dxa"/>
            <w:vAlign w:val="center"/>
          </w:tcPr>
          <w:p w:rsidR="000702AC" w:rsidRPr="0061644B" w:rsidRDefault="000702AC" w:rsidP="00B258B8">
            <w:pPr>
              <w:spacing w:before="29" w:line="288" w:lineRule="auto"/>
              <w:ind w:left="17"/>
              <w:jc w:val="right"/>
              <w:rPr>
                <w:sz w:val="24"/>
              </w:rPr>
            </w:pPr>
            <w:r w:rsidRPr="0061644B">
              <w:rPr>
                <w:sz w:val="24"/>
              </w:rPr>
              <w:t>-</w:t>
            </w:r>
          </w:p>
        </w:tc>
        <w:tc>
          <w:tcPr>
            <w:tcW w:w="2374" w:type="dxa"/>
            <w:vAlign w:val="center"/>
          </w:tcPr>
          <w:p w:rsidR="000702AC" w:rsidRPr="0061644B" w:rsidRDefault="000702AC" w:rsidP="00B258B8">
            <w:pPr>
              <w:spacing w:before="29" w:line="288" w:lineRule="auto"/>
              <w:ind w:left="17"/>
              <w:jc w:val="right"/>
              <w:rPr>
                <w:sz w:val="24"/>
              </w:rPr>
            </w:pPr>
            <w:r w:rsidRPr="0061644B">
              <w:rPr>
                <w:sz w:val="24"/>
              </w:rPr>
              <w:t>-</w:t>
            </w:r>
          </w:p>
        </w:tc>
      </w:tr>
      <w:tr w:rsidR="000702AC" w:rsidRPr="0061644B" w:rsidTr="005C2E45">
        <w:trPr>
          <w:trHeight w:val="315"/>
        </w:trPr>
        <w:tc>
          <w:tcPr>
            <w:tcW w:w="1259" w:type="dxa"/>
            <w:shd w:val="clear" w:color="auto" w:fill="auto"/>
            <w:vAlign w:val="center"/>
          </w:tcPr>
          <w:p w:rsidR="000702AC" w:rsidRPr="004B6D45" w:rsidRDefault="000702AC" w:rsidP="000702AC">
            <w:pPr>
              <w:spacing w:before="29" w:line="288" w:lineRule="auto"/>
              <w:ind w:left="17"/>
              <w:jc w:val="center"/>
              <w:rPr>
                <w:color w:val="000000"/>
                <w:sz w:val="24"/>
              </w:rPr>
            </w:pPr>
            <w:r>
              <w:rPr>
                <w:color w:val="000000"/>
                <w:sz w:val="24"/>
              </w:rPr>
              <w:t>7</w:t>
            </w:r>
          </w:p>
        </w:tc>
        <w:tc>
          <w:tcPr>
            <w:tcW w:w="2933" w:type="dxa"/>
            <w:shd w:val="clear" w:color="auto" w:fill="auto"/>
            <w:vAlign w:val="center"/>
          </w:tcPr>
          <w:p w:rsidR="000702AC" w:rsidRPr="004B6D45" w:rsidRDefault="000702AC" w:rsidP="000702AC">
            <w:pPr>
              <w:spacing w:before="29" w:line="288" w:lineRule="auto"/>
              <w:ind w:left="17"/>
              <w:jc w:val="left"/>
              <w:rPr>
                <w:color w:val="000000"/>
                <w:sz w:val="24"/>
              </w:rPr>
            </w:pPr>
            <w:r w:rsidRPr="004B6D45">
              <w:rPr>
                <w:rFonts w:hint="eastAsia"/>
                <w:color w:val="000000"/>
                <w:sz w:val="24"/>
              </w:rPr>
              <w:t>同业存单</w:t>
            </w:r>
          </w:p>
        </w:tc>
        <w:tc>
          <w:tcPr>
            <w:tcW w:w="2653" w:type="dxa"/>
            <w:vAlign w:val="center"/>
          </w:tcPr>
          <w:p w:rsidR="000702AC" w:rsidRPr="004B6D45" w:rsidRDefault="000702AC" w:rsidP="000702AC">
            <w:pPr>
              <w:spacing w:before="29" w:line="288" w:lineRule="auto"/>
              <w:ind w:left="17"/>
              <w:jc w:val="center"/>
              <w:rPr>
                <w:color w:val="000000"/>
                <w:sz w:val="24"/>
              </w:rPr>
            </w:pPr>
            <w:r w:rsidRPr="004B6D45">
              <w:rPr>
                <w:rFonts w:hint="eastAsia"/>
                <w:color w:val="000000"/>
                <w:sz w:val="24"/>
              </w:rPr>
              <w:t>113,982,628.32</w:t>
            </w:r>
          </w:p>
        </w:tc>
        <w:tc>
          <w:tcPr>
            <w:tcW w:w="2374" w:type="dxa"/>
            <w:vAlign w:val="center"/>
          </w:tcPr>
          <w:p w:rsidR="000702AC" w:rsidRPr="004B6D45" w:rsidRDefault="000702AC" w:rsidP="000702AC">
            <w:pPr>
              <w:spacing w:before="29" w:line="288" w:lineRule="auto"/>
              <w:ind w:left="17"/>
              <w:jc w:val="center"/>
              <w:rPr>
                <w:color w:val="000000"/>
                <w:sz w:val="24"/>
              </w:rPr>
            </w:pPr>
            <w:r w:rsidRPr="004B6D45">
              <w:rPr>
                <w:rFonts w:hint="eastAsia"/>
                <w:color w:val="000000"/>
                <w:sz w:val="24"/>
              </w:rPr>
              <w:t>50.74</w:t>
            </w:r>
          </w:p>
        </w:tc>
      </w:tr>
      <w:tr w:rsidR="006B4A69" w:rsidRPr="0061644B" w:rsidTr="005C2E45">
        <w:trPr>
          <w:trHeight w:val="315"/>
        </w:trPr>
        <w:tc>
          <w:tcPr>
            <w:tcW w:w="1259" w:type="dxa"/>
            <w:vAlign w:val="center"/>
          </w:tcPr>
          <w:p w:rsidR="008C40A4" w:rsidRPr="0061644B" w:rsidRDefault="008C40A4" w:rsidP="00792A69">
            <w:pPr>
              <w:spacing w:before="29" w:line="288" w:lineRule="auto"/>
              <w:ind w:left="17"/>
              <w:jc w:val="center"/>
              <w:rPr>
                <w:sz w:val="24"/>
              </w:rPr>
            </w:pPr>
            <w:r w:rsidRPr="0061644B">
              <w:rPr>
                <w:sz w:val="24"/>
              </w:rPr>
              <w:t>8</w:t>
            </w:r>
          </w:p>
        </w:tc>
        <w:tc>
          <w:tcPr>
            <w:tcW w:w="2933" w:type="dxa"/>
            <w:vAlign w:val="center"/>
          </w:tcPr>
          <w:p w:rsidR="008C40A4" w:rsidRPr="0061644B" w:rsidRDefault="008C40A4" w:rsidP="00792A69">
            <w:pPr>
              <w:spacing w:before="29" w:line="288" w:lineRule="auto"/>
              <w:ind w:left="17"/>
              <w:jc w:val="left"/>
              <w:rPr>
                <w:sz w:val="24"/>
              </w:rPr>
            </w:pPr>
            <w:r w:rsidRPr="0061644B">
              <w:rPr>
                <w:sz w:val="24"/>
              </w:rPr>
              <w:t>其他</w:t>
            </w:r>
          </w:p>
        </w:tc>
        <w:tc>
          <w:tcPr>
            <w:tcW w:w="2653" w:type="dxa"/>
            <w:vAlign w:val="center"/>
          </w:tcPr>
          <w:p w:rsidR="008C40A4" w:rsidRPr="0061644B" w:rsidRDefault="008C40A4" w:rsidP="00792A69">
            <w:pPr>
              <w:spacing w:before="29" w:line="288" w:lineRule="auto"/>
              <w:ind w:left="17"/>
              <w:jc w:val="right"/>
              <w:rPr>
                <w:sz w:val="24"/>
              </w:rPr>
            </w:pPr>
            <w:r w:rsidRPr="0061644B">
              <w:rPr>
                <w:sz w:val="24"/>
              </w:rPr>
              <w:t>-</w:t>
            </w:r>
          </w:p>
        </w:tc>
        <w:tc>
          <w:tcPr>
            <w:tcW w:w="2374" w:type="dxa"/>
            <w:vAlign w:val="center"/>
          </w:tcPr>
          <w:p w:rsidR="008C40A4" w:rsidRPr="0061644B" w:rsidRDefault="008C40A4" w:rsidP="00792A69">
            <w:pPr>
              <w:spacing w:before="29" w:line="288" w:lineRule="auto"/>
              <w:ind w:left="17"/>
              <w:jc w:val="right"/>
              <w:rPr>
                <w:sz w:val="24"/>
              </w:rPr>
            </w:pPr>
            <w:r w:rsidRPr="0061644B">
              <w:rPr>
                <w:sz w:val="24"/>
              </w:rPr>
              <w:t>-</w:t>
            </w:r>
          </w:p>
        </w:tc>
      </w:tr>
      <w:tr w:rsidR="006B4A69" w:rsidRPr="0061644B" w:rsidTr="005C2E45">
        <w:trPr>
          <w:trHeight w:val="315"/>
        </w:trPr>
        <w:tc>
          <w:tcPr>
            <w:tcW w:w="1259" w:type="dxa"/>
            <w:vAlign w:val="center"/>
          </w:tcPr>
          <w:p w:rsidR="008C40A4" w:rsidRPr="0061644B" w:rsidRDefault="008C40A4" w:rsidP="00792A69">
            <w:pPr>
              <w:spacing w:before="29" w:line="288" w:lineRule="auto"/>
              <w:ind w:left="17"/>
              <w:jc w:val="center"/>
              <w:rPr>
                <w:sz w:val="24"/>
              </w:rPr>
            </w:pPr>
            <w:r w:rsidRPr="0061644B">
              <w:rPr>
                <w:sz w:val="24"/>
              </w:rPr>
              <w:t>9</w:t>
            </w:r>
          </w:p>
        </w:tc>
        <w:tc>
          <w:tcPr>
            <w:tcW w:w="2933" w:type="dxa"/>
            <w:vAlign w:val="center"/>
          </w:tcPr>
          <w:p w:rsidR="008C40A4" w:rsidRPr="0061644B" w:rsidRDefault="008C40A4" w:rsidP="00792A69">
            <w:pPr>
              <w:spacing w:before="29" w:line="288" w:lineRule="auto"/>
              <w:ind w:left="17"/>
              <w:jc w:val="left"/>
              <w:rPr>
                <w:sz w:val="24"/>
              </w:rPr>
            </w:pPr>
            <w:r w:rsidRPr="0061644B">
              <w:rPr>
                <w:sz w:val="24"/>
              </w:rPr>
              <w:t>合计</w:t>
            </w:r>
          </w:p>
        </w:tc>
        <w:tc>
          <w:tcPr>
            <w:tcW w:w="2653" w:type="dxa"/>
            <w:vAlign w:val="center"/>
          </w:tcPr>
          <w:p w:rsidR="008C40A4" w:rsidRPr="0061644B" w:rsidRDefault="008C40A4" w:rsidP="00792A69">
            <w:pPr>
              <w:spacing w:before="29" w:line="288" w:lineRule="auto"/>
              <w:ind w:left="17"/>
              <w:jc w:val="right"/>
              <w:rPr>
                <w:sz w:val="24"/>
              </w:rPr>
            </w:pPr>
            <w:r w:rsidRPr="0061644B">
              <w:rPr>
                <w:sz w:val="24"/>
              </w:rPr>
              <w:t>137,967,538.90</w:t>
            </w:r>
          </w:p>
        </w:tc>
        <w:tc>
          <w:tcPr>
            <w:tcW w:w="2374" w:type="dxa"/>
            <w:vAlign w:val="center"/>
          </w:tcPr>
          <w:p w:rsidR="008C40A4" w:rsidRPr="0061644B" w:rsidRDefault="008C40A4" w:rsidP="00792A69">
            <w:pPr>
              <w:spacing w:before="29" w:line="288" w:lineRule="auto"/>
              <w:ind w:left="17"/>
              <w:jc w:val="right"/>
              <w:rPr>
                <w:sz w:val="24"/>
              </w:rPr>
            </w:pPr>
            <w:r w:rsidRPr="0061644B">
              <w:rPr>
                <w:sz w:val="24"/>
              </w:rPr>
              <w:t>61.41</w:t>
            </w:r>
          </w:p>
        </w:tc>
      </w:tr>
      <w:tr w:rsidR="006B4A69" w:rsidRPr="0061644B" w:rsidTr="005C2E45">
        <w:trPr>
          <w:trHeight w:val="315"/>
        </w:trPr>
        <w:tc>
          <w:tcPr>
            <w:tcW w:w="1259" w:type="dxa"/>
            <w:vAlign w:val="center"/>
          </w:tcPr>
          <w:p w:rsidR="004C7A02" w:rsidRPr="0061644B" w:rsidRDefault="004C7A02" w:rsidP="00792A69">
            <w:pPr>
              <w:spacing w:before="29" w:line="288" w:lineRule="auto"/>
              <w:jc w:val="center"/>
              <w:rPr>
                <w:sz w:val="24"/>
              </w:rPr>
            </w:pPr>
            <w:r w:rsidRPr="0061644B">
              <w:rPr>
                <w:sz w:val="24"/>
              </w:rPr>
              <w:lastRenderedPageBreak/>
              <w:t>10</w:t>
            </w:r>
          </w:p>
        </w:tc>
        <w:tc>
          <w:tcPr>
            <w:tcW w:w="2933" w:type="dxa"/>
            <w:vAlign w:val="center"/>
          </w:tcPr>
          <w:p w:rsidR="004C7A02" w:rsidRPr="0061644B" w:rsidRDefault="004C7A02" w:rsidP="00792A69">
            <w:pPr>
              <w:spacing w:before="29" w:line="288" w:lineRule="auto"/>
              <w:ind w:leftChars="50" w:left="105"/>
              <w:rPr>
                <w:sz w:val="24"/>
              </w:rPr>
            </w:pPr>
            <w:r w:rsidRPr="0061644B">
              <w:rPr>
                <w:sz w:val="24"/>
              </w:rPr>
              <w:t>剩余存续期超过</w:t>
            </w:r>
            <w:r w:rsidRPr="0061644B">
              <w:rPr>
                <w:sz w:val="24"/>
              </w:rPr>
              <w:t>397</w:t>
            </w:r>
            <w:r w:rsidRPr="0061644B">
              <w:rPr>
                <w:sz w:val="24"/>
              </w:rPr>
              <w:t>天的浮动利率债券</w:t>
            </w:r>
          </w:p>
        </w:tc>
        <w:tc>
          <w:tcPr>
            <w:tcW w:w="2653" w:type="dxa"/>
            <w:vAlign w:val="center"/>
          </w:tcPr>
          <w:p w:rsidR="004C7A02" w:rsidRPr="0061644B" w:rsidRDefault="004C7A02" w:rsidP="00792A69">
            <w:pPr>
              <w:spacing w:before="29" w:line="288" w:lineRule="auto"/>
              <w:jc w:val="right"/>
              <w:rPr>
                <w:sz w:val="24"/>
              </w:rPr>
            </w:pPr>
            <w:r w:rsidRPr="0061644B">
              <w:rPr>
                <w:sz w:val="24"/>
              </w:rPr>
              <w:t>-</w:t>
            </w:r>
          </w:p>
        </w:tc>
        <w:tc>
          <w:tcPr>
            <w:tcW w:w="2374" w:type="dxa"/>
            <w:vAlign w:val="center"/>
          </w:tcPr>
          <w:p w:rsidR="004C7A02" w:rsidRPr="0061644B" w:rsidRDefault="004C7A02" w:rsidP="00792A69">
            <w:pPr>
              <w:spacing w:before="29" w:line="288" w:lineRule="auto"/>
              <w:jc w:val="right"/>
              <w:rPr>
                <w:sz w:val="24"/>
              </w:rPr>
            </w:pPr>
            <w:r w:rsidRPr="0061644B">
              <w:rPr>
                <w:sz w:val="24"/>
              </w:rPr>
              <w:t>-</w:t>
            </w:r>
          </w:p>
        </w:tc>
      </w:tr>
    </w:tbl>
    <w:p w:rsidR="006D141C" w:rsidRPr="006A12B5" w:rsidRDefault="006D141C" w:rsidP="00792A69">
      <w:pPr>
        <w:pStyle w:val="af6"/>
        <w:spacing w:before="29" w:beforeAutospacing="0" w:after="0" w:afterAutospacing="0" w:line="288" w:lineRule="auto"/>
        <w:rPr>
          <w:rFonts w:ascii="Times New Roman" w:hAnsi="Times New Roman"/>
        </w:rPr>
      </w:pPr>
    </w:p>
    <w:p w:rsidR="006D141C" w:rsidRPr="0061644B" w:rsidRDefault="006D141C" w:rsidP="00792A69">
      <w:pPr>
        <w:pStyle w:val="20"/>
        <w:spacing w:before="29" w:after="0" w:line="288" w:lineRule="auto"/>
        <w:rPr>
          <w:rFonts w:ascii="Times New Roman" w:hAnsi="Times New Roman" w:cs="Times New Roman"/>
          <w:kern w:val="0"/>
          <w:szCs w:val="24"/>
        </w:rPr>
      </w:pPr>
      <w:bookmarkStart w:id="27" w:name="_Toc331410107"/>
      <w:r w:rsidRPr="0061644B">
        <w:rPr>
          <w:rFonts w:ascii="Times New Roman" w:hAnsi="Times New Roman" w:cs="Times New Roman"/>
          <w:kern w:val="0"/>
          <w:szCs w:val="24"/>
        </w:rPr>
        <w:t>7.6</w:t>
      </w:r>
      <w:bookmarkEnd w:id="27"/>
      <w:r w:rsidR="003A0E36" w:rsidRPr="0061644B">
        <w:rPr>
          <w:rFonts w:ascii="Times New Roman" w:hAnsi="Times New Roman" w:cs="Times New Roman"/>
          <w:kern w:val="0"/>
          <w:szCs w:val="24"/>
        </w:rPr>
        <w:t>期末按摊余成本占基金资产净值比例大小</w:t>
      </w:r>
      <w:r w:rsidR="00AF58F7">
        <w:rPr>
          <w:rFonts w:ascii="Times New Roman" w:hAnsi="Times New Roman" w:cs="Times New Roman"/>
          <w:kern w:val="0"/>
          <w:szCs w:val="24"/>
        </w:rPr>
        <w:t>排序</w:t>
      </w:r>
      <w:r w:rsidR="003A0E36" w:rsidRPr="0061644B">
        <w:rPr>
          <w:rFonts w:ascii="Times New Roman" w:hAnsi="Times New Roman" w:cs="Times New Roman"/>
          <w:kern w:val="0"/>
          <w:szCs w:val="24"/>
        </w:rPr>
        <w:t>的前十名债券投资明细</w:t>
      </w:r>
    </w:p>
    <w:p w:rsidR="006D141C" w:rsidRPr="0061644B" w:rsidRDefault="00644AB5" w:rsidP="00792A69">
      <w:pPr>
        <w:autoSpaceDE w:val="0"/>
        <w:autoSpaceDN w:val="0"/>
        <w:adjustRightInd w:val="0"/>
        <w:spacing w:before="29" w:line="288" w:lineRule="auto"/>
        <w:ind w:left="15"/>
        <w:jc w:val="right"/>
        <w:rPr>
          <w:sz w:val="24"/>
        </w:rPr>
      </w:pPr>
      <w:r w:rsidRPr="0061644B">
        <w:rPr>
          <w:sz w:val="24"/>
        </w:rPr>
        <w:t>金额单位</w:t>
      </w:r>
      <w:r w:rsidR="006D141C" w:rsidRPr="0061644B">
        <w:rPr>
          <w:sz w:val="24"/>
        </w:rPr>
        <w:t>：人民币元</w:t>
      </w:r>
    </w:p>
    <w:tbl>
      <w:tblPr>
        <w:tblW w:w="92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78"/>
        <w:gridCol w:w="1348"/>
        <w:gridCol w:w="1787"/>
        <w:gridCol w:w="1756"/>
        <w:gridCol w:w="2008"/>
        <w:gridCol w:w="1542"/>
      </w:tblGrid>
      <w:tr w:rsidR="006B4A69" w:rsidRPr="0061644B" w:rsidTr="005816EE">
        <w:trPr>
          <w:trHeight w:val="286"/>
        </w:trPr>
        <w:tc>
          <w:tcPr>
            <w:tcW w:w="778" w:type="dxa"/>
            <w:vAlign w:val="center"/>
          </w:tcPr>
          <w:p w:rsidR="00481742" w:rsidRPr="0061644B" w:rsidRDefault="00481742" w:rsidP="00792A69">
            <w:pPr>
              <w:spacing w:before="29" w:line="288" w:lineRule="auto"/>
              <w:jc w:val="center"/>
              <w:rPr>
                <w:sz w:val="24"/>
              </w:rPr>
            </w:pPr>
            <w:r w:rsidRPr="0061644B">
              <w:rPr>
                <w:sz w:val="24"/>
              </w:rPr>
              <w:t>序号</w:t>
            </w:r>
          </w:p>
        </w:tc>
        <w:tc>
          <w:tcPr>
            <w:tcW w:w="1348" w:type="dxa"/>
            <w:vAlign w:val="center"/>
          </w:tcPr>
          <w:p w:rsidR="00481742" w:rsidRPr="0061644B" w:rsidRDefault="00481742" w:rsidP="00792A69">
            <w:pPr>
              <w:spacing w:before="29" w:line="288" w:lineRule="auto"/>
              <w:jc w:val="center"/>
              <w:rPr>
                <w:sz w:val="24"/>
              </w:rPr>
            </w:pPr>
            <w:r w:rsidRPr="0061644B">
              <w:rPr>
                <w:sz w:val="24"/>
              </w:rPr>
              <w:t>债券代码</w:t>
            </w:r>
          </w:p>
        </w:tc>
        <w:tc>
          <w:tcPr>
            <w:tcW w:w="1787" w:type="dxa"/>
            <w:tcMar>
              <w:top w:w="15" w:type="dxa"/>
              <w:left w:w="15" w:type="dxa"/>
              <w:bottom w:w="0" w:type="dxa"/>
              <w:right w:w="15" w:type="dxa"/>
            </w:tcMar>
            <w:vAlign w:val="center"/>
          </w:tcPr>
          <w:p w:rsidR="00481742" w:rsidRPr="0061644B" w:rsidRDefault="00481742" w:rsidP="00792A69">
            <w:pPr>
              <w:spacing w:before="29" w:line="288" w:lineRule="auto"/>
              <w:jc w:val="center"/>
              <w:rPr>
                <w:sz w:val="24"/>
              </w:rPr>
            </w:pPr>
            <w:r w:rsidRPr="0061644B">
              <w:rPr>
                <w:sz w:val="24"/>
              </w:rPr>
              <w:t>债券名称</w:t>
            </w:r>
          </w:p>
        </w:tc>
        <w:tc>
          <w:tcPr>
            <w:tcW w:w="1756" w:type="dxa"/>
            <w:tcMar>
              <w:top w:w="15" w:type="dxa"/>
              <w:left w:w="15" w:type="dxa"/>
              <w:bottom w:w="0" w:type="dxa"/>
              <w:right w:w="15" w:type="dxa"/>
            </w:tcMar>
            <w:vAlign w:val="center"/>
          </w:tcPr>
          <w:p w:rsidR="00481742" w:rsidRPr="0061644B" w:rsidRDefault="00481742" w:rsidP="00792A69">
            <w:pPr>
              <w:spacing w:before="29" w:line="288" w:lineRule="auto"/>
              <w:jc w:val="center"/>
              <w:rPr>
                <w:sz w:val="24"/>
              </w:rPr>
            </w:pPr>
            <w:r w:rsidRPr="0061644B">
              <w:rPr>
                <w:kern w:val="0"/>
                <w:sz w:val="24"/>
              </w:rPr>
              <w:t>债券数量</w:t>
            </w:r>
            <w:r w:rsidR="006F47CA" w:rsidRPr="0061644B">
              <w:rPr>
                <w:color w:val="000000"/>
                <w:sz w:val="24"/>
              </w:rPr>
              <w:t>（张）</w:t>
            </w:r>
          </w:p>
        </w:tc>
        <w:tc>
          <w:tcPr>
            <w:tcW w:w="2008" w:type="dxa"/>
            <w:tcMar>
              <w:top w:w="15" w:type="dxa"/>
              <w:left w:w="15" w:type="dxa"/>
              <w:bottom w:w="0" w:type="dxa"/>
              <w:right w:w="15" w:type="dxa"/>
            </w:tcMar>
            <w:vAlign w:val="center"/>
          </w:tcPr>
          <w:p w:rsidR="00481742" w:rsidRPr="0061644B" w:rsidRDefault="00481742" w:rsidP="00792A69">
            <w:pPr>
              <w:spacing w:before="29" w:line="288" w:lineRule="auto"/>
              <w:jc w:val="center"/>
              <w:rPr>
                <w:sz w:val="24"/>
              </w:rPr>
            </w:pPr>
            <w:r w:rsidRPr="0061644B">
              <w:rPr>
                <w:sz w:val="24"/>
              </w:rPr>
              <w:t>摊余成本</w:t>
            </w:r>
          </w:p>
        </w:tc>
        <w:tc>
          <w:tcPr>
            <w:tcW w:w="1542" w:type="dxa"/>
            <w:tcMar>
              <w:top w:w="15" w:type="dxa"/>
              <w:left w:w="15" w:type="dxa"/>
              <w:bottom w:w="0" w:type="dxa"/>
              <w:right w:w="15" w:type="dxa"/>
            </w:tcMar>
            <w:vAlign w:val="center"/>
          </w:tcPr>
          <w:p w:rsidR="00481742" w:rsidRPr="0061644B" w:rsidRDefault="006F47CA" w:rsidP="00792A69">
            <w:pPr>
              <w:spacing w:before="29" w:line="288" w:lineRule="auto"/>
              <w:jc w:val="center"/>
              <w:rPr>
                <w:sz w:val="24"/>
              </w:rPr>
            </w:pPr>
            <w:r w:rsidRPr="0061644B">
              <w:rPr>
                <w:color w:val="000000"/>
                <w:sz w:val="24"/>
              </w:rPr>
              <w:t>占基金资产净值比例</w:t>
            </w:r>
            <w:r w:rsidR="00481742" w:rsidRPr="0061644B">
              <w:rPr>
                <w:sz w:val="24"/>
              </w:rPr>
              <w:t>（％）</w:t>
            </w:r>
          </w:p>
        </w:tc>
      </w:tr>
      <w:tr w:rsidR="001124D8">
        <w:tc>
          <w:tcPr>
            <w:tcW w:w="778" w:type="dxa"/>
            <w:vAlign w:val="center"/>
          </w:tcPr>
          <w:p w:rsidR="001124D8" w:rsidRDefault="00C50050">
            <w:pPr>
              <w:jc w:val="center"/>
            </w:pPr>
            <w:r>
              <w:rPr>
                <w:sz w:val="24"/>
              </w:rPr>
              <w:t>1</w:t>
            </w:r>
          </w:p>
        </w:tc>
        <w:tc>
          <w:tcPr>
            <w:tcW w:w="1348" w:type="dxa"/>
            <w:vAlign w:val="center"/>
          </w:tcPr>
          <w:p w:rsidR="001124D8" w:rsidRDefault="00C50050">
            <w:pPr>
              <w:jc w:val="center"/>
            </w:pPr>
            <w:r>
              <w:rPr>
                <w:sz w:val="24"/>
              </w:rPr>
              <w:t>111714261</w:t>
            </w:r>
          </w:p>
        </w:tc>
        <w:tc>
          <w:tcPr>
            <w:tcW w:w="1787" w:type="dxa"/>
            <w:vAlign w:val="center"/>
          </w:tcPr>
          <w:p w:rsidR="001124D8" w:rsidRDefault="00C50050">
            <w:pPr>
              <w:jc w:val="center"/>
            </w:pPr>
            <w:r>
              <w:rPr>
                <w:sz w:val="24"/>
              </w:rPr>
              <w:t>17</w:t>
            </w:r>
            <w:r>
              <w:rPr>
                <w:sz w:val="24"/>
              </w:rPr>
              <w:t>江苏银行</w:t>
            </w:r>
            <w:r>
              <w:rPr>
                <w:sz w:val="24"/>
              </w:rPr>
              <w:t>CD261</w:t>
            </w:r>
          </w:p>
        </w:tc>
        <w:tc>
          <w:tcPr>
            <w:tcW w:w="1756" w:type="dxa"/>
            <w:vAlign w:val="center"/>
          </w:tcPr>
          <w:p w:rsidR="001124D8" w:rsidRDefault="00C50050">
            <w:pPr>
              <w:jc w:val="center"/>
            </w:pPr>
            <w:r>
              <w:rPr>
                <w:sz w:val="24"/>
              </w:rPr>
              <w:t>300,000</w:t>
            </w:r>
          </w:p>
        </w:tc>
        <w:tc>
          <w:tcPr>
            <w:tcW w:w="2008" w:type="dxa"/>
            <w:vAlign w:val="center"/>
          </w:tcPr>
          <w:p w:rsidR="001124D8" w:rsidRDefault="00C50050">
            <w:pPr>
              <w:jc w:val="center"/>
            </w:pPr>
            <w:r>
              <w:rPr>
                <w:sz w:val="24"/>
              </w:rPr>
              <w:t>29,735,785.63</w:t>
            </w:r>
          </w:p>
        </w:tc>
        <w:tc>
          <w:tcPr>
            <w:tcW w:w="1542" w:type="dxa"/>
            <w:vAlign w:val="center"/>
          </w:tcPr>
          <w:p w:rsidR="001124D8" w:rsidRDefault="00C50050">
            <w:pPr>
              <w:jc w:val="center"/>
            </w:pPr>
            <w:r>
              <w:rPr>
                <w:sz w:val="24"/>
              </w:rPr>
              <w:t>13.24</w:t>
            </w:r>
          </w:p>
        </w:tc>
      </w:tr>
      <w:tr w:rsidR="001124D8">
        <w:tc>
          <w:tcPr>
            <w:tcW w:w="778" w:type="dxa"/>
            <w:vAlign w:val="center"/>
          </w:tcPr>
          <w:p w:rsidR="001124D8" w:rsidRDefault="00C50050">
            <w:pPr>
              <w:jc w:val="center"/>
            </w:pPr>
            <w:r>
              <w:rPr>
                <w:sz w:val="24"/>
              </w:rPr>
              <w:t>2</w:t>
            </w:r>
          </w:p>
        </w:tc>
        <w:tc>
          <w:tcPr>
            <w:tcW w:w="1348" w:type="dxa"/>
            <w:vAlign w:val="center"/>
          </w:tcPr>
          <w:p w:rsidR="001124D8" w:rsidRDefault="00C50050">
            <w:pPr>
              <w:jc w:val="center"/>
            </w:pPr>
            <w:r>
              <w:rPr>
                <w:sz w:val="24"/>
              </w:rPr>
              <w:t>111815270</w:t>
            </w:r>
          </w:p>
        </w:tc>
        <w:tc>
          <w:tcPr>
            <w:tcW w:w="1787" w:type="dxa"/>
            <w:vAlign w:val="center"/>
          </w:tcPr>
          <w:p w:rsidR="001124D8" w:rsidRDefault="00C50050">
            <w:pPr>
              <w:jc w:val="center"/>
            </w:pPr>
            <w:r>
              <w:rPr>
                <w:sz w:val="24"/>
              </w:rPr>
              <w:t>18</w:t>
            </w:r>
            <w:r>
              <w:rPr>
                <w:sz w:val="24"/>
              </w:rPr>
              <w:t>民生银行</w:t>
            </w:r>
            <w:r>
              <w:rPr>
                <w:sz w:val="24"/>
              </w:rPr>
              <w:t>CD270</w:t>
            </w:r>
          </w:p>
        </w:tc>
        <w:tc>
          <w:tcPr>
            <w:tcW w:w="1756" w:type="dxa"/>
            <w:vAlign w:val="center"/>
          </w:tcPr>
          <w:p w:rsidR="001124D8" w:rsidRDefault="00C50050">
            <w:pPr>
              <w:jc w:val="center"/>
            </w:pPr>
            <w:r>
              <w:rPr>
                <w:sz w:val="24"/>
              </w:rPr>
              <w:t>200,000</w:t>
            </w:r>
          </w:p>
        </w:tc>
        <w:tc>
          <w:tcPr>
            <w:tcW w:w="2008" w:type="dxa"/>
            <w:vAlign w:val="center"/>
          </w:tcPr>
          <w:p w:rsidR="001124D8" w:rsidRDefault="00C50050">
            <w:pPr>
              <w:jc w:val="center"/>
            </w:pPr>
            <w:r>
              <w:rPr>
                <w:sz w:val="24"/>
              </w:rPr>
              <w:t>19,826,647.72</w:t>
            </w:r>
          </w:p>
        </w:tc>
        <w:tc>
          <w:tcPr>
            <w:tcW w:w="1542" w:type="dxa"/>
            <w:vAlign w:val="center"/>
          </w:tcPr>
          <w:p w:rsidR="001124D8" w:rsidRDefault="00C50050">
            <w:pPr>
              <w:jc w:val="center"/>
            </w:pPr>
            <w:r>
              <w:rPr>
                <w:sz w:val="24"/>
              </w:rPr>
              <w:t>8.83</w:t>
            </w:r>
          </w:p>
        </w:tc>
      </w:tr>
      <w:tr w:rsidR="001124D8">
        <w:tc>
          <w:tcPr>
            <w:tcW w:w="778" w:type="dxa"/>
            <w:vAlign w:val="center"/>
          </w:tcPr>
          <w:p w:rsidR="001124D8" w:rsidRDefault="00C50050">
            <w:pPr>
              <w:jc w:val="center"/>
            </w:pPr>
            <w:r>
              <w:rPr>
                <w:sz w:val="24"/>
              </w:rPr>
              <w:t>3</w:t>
            </w:r>
          </w:p>
        </w:tc>
        <w:tc>
          <w:tcPr>
            <w:tcW w:w="1348" w:type="dxa"/>
            <w:vAlign w:val="center"/>
          </w:tcPr>
          <w:p w:rsidR="001124D8" w:rsidRDefault="00C50050">
            <w:pPr>
              <w:jc w:val="center"/>
            </w:pPr>
            <w:r>
              <w:rPr>
                <w:sz w:val="24"/>
              </w:rPr>
              <w:t>111811173</w:t>
            </w:r>
          </w:p>
        </w:tc>
        <w:tc>
          <w:tcPr>
            <w:tcW w:w="1787" w:type="dxa"/>
            <w:vAlign w:val="center"/>
          </w:tcPr>
          <w:p w:rsidR="001124D8" w:rsidRDefault="00C50050">
            <w:pPr>
              <w:jc w:val="center"/>
            </w:pPr>
            <w:r>
              <w:rPr>
                <w:sz w:val="24"/>
              </w:rPr>
              <w:t>18</w:t>
            </w:r>
            <w:r>
              <w:rPr>
                <w:sz w:val="24"/>
              </w:rPr>
              <w:t>平安银行</w:t>
            </w:r>
            <w:r>
              <w:rPr>
                <w:sz w:val="24"/>
              </w:rPr>
              <w:t>CD173</w:t>
            </w:r>
          </w:p>
        </w:tc>
        <w:tc>
          <w:tcPr>
            <w:tcW w:w="1756" w:type="dxa"/>
            <w:vAlign w:val="center"/>
          </w:tcPr>
          <w:p w:rsidR="001124D8" w:rsidRDefault="00C50050">
            <w:pPr>
              <w:jc w:val="center"/>
            </w:pPr>
            <w:r>
              <w:rPr>
                <w:sz w:val="24"/>
              </w:rPr>
              <w:t>200,000</w:t>
            </w:r>
          </w:p>
        </w:tc>
        <w:tc>
          <w:tcPr>
            <w:tcW w:w="2008" w:type="dxa"/>
            <w:vAlign w:val="center"/>
          </w:tcPr>
          <w:p w:rsidR="001124D8" w:rsidRDefault="00C50050">
            <w:pPr>
              <w:jc w:val="center"/>
            </w:pPr>
            <w:r>
              <w:rPr>
                <w:sz w:val="24"/>
              </w:rPr>
              <w:t>19,808,756.88</w:t>
            </w:r>
          </w:p>
        </w:tc>
        <w:tc>
          <w:tcPr>
            <w:tcW w:w="1542" w:type="dxa"/>
            <w:vAlign w:val="center"/>
          </w:tcPr>
          <w:p w:rsidR="001124D8" w:rsidRDefault="00C50050">
            <w:pPr>
              <w:jc w:val="center"/>
            </w:pPr>
            <w:r>
              <w:rPr>
                <w:sz w:val="24"/>
              </w:rPr>
              <w:t>8.82</w:t>
            </w:r>
          </w:p>
        </w:tc>
      </w:tr>
      <w:tr w:rsidR="001124D8">
        <w:tc>
          <w:tcPr>
            <w:tcW w:w="778" w:type="dxa"/>
            <w:vAlign w:val="center"/>
          </w:tcPr>
          <w:p w:rsidR="001124D8" w:rsidRDefault="00C50050">
            <w:pPr>
              <w:jc w:val="center"/>
            </w:pPr>
            <w:r>
              <w:rPr>
                <w:sz w:val="24"/>
              </w:rPr>
              <w:t>4</w:t>
            </w:r>
          </w:p>
        </w:tc>
        <w:tc>
          <w:tcPr>
            <w:tcW w:w="1348" w:type="dxa"/>
            <w:vAlign w:val="center"/>
          </w:tcPr>
          <w:p w:rsidR="001124D8" w:rsidRDefault="00C50050">
            <w:pPr>
              <w:jc w:val="center"/>
            </w:pPr>
            <w:r>
              <w:rPr>
                <w:sz w:val="24"/>
              </w:rPr>
              <w:t>111719289</w:t>
            </w:r>
          </w:p>
        </w:tc>
        <w:tc>
          <w:tcPr>
            <w:tcW w:w="1787" w:type="dxa"/>
            <w:vAlign w:val="center"/>
          </w:tcPr>
          <w:p w:rsidR="001124D8" w:rsidRDefault="00C50050">
            <w:pPr>
              <w:jc w:val="center"/>
            </w:pPr>
            <w:r>
              <w:rPr>
                <w:sz w:val="24"/>
              </w:rPr>
              <w:t>17</w:t>
            </w:r>
            <w:r>
              <w:rPr>
                <w:sz w:val="24"/>
              </w:rPr>
              <w:t>恒丰银行</w:t>
            </w:r>
            <w:r>
              <w:rPr>
                <w:sz w:val="24"/>
              </w:rPr>
              <w:t>CD289</w:t>
            </w:r>
          </w:p>
        </w:tc>
        <w:tc>
          <w:tcPr>
            <w:tcW w:w="1756" w:type="dxa"/>
            <w:vAlign w:val="center"/>
          </w:tcPr>
          <w:p w:rsidR="001124D8" w:rsidRDefault="00C50050">
            <w:pPr>
              <w:jc w:val="center"/>
            </w:pPr>
            <w:r>
              <w:rPr>
                <w:sz w:val="24"/>
              </w:rPr>
              <w:t>150,000</w:t>
            </w:r>
          </w:p>
        </w:tc>
        <w:tc>
          <w:tcPr>
            <w:tcW w:w="2008" w:type="dxa"/>
            <w:vAlign w:val="center"/>
          </w:tcPr>
          <w:p w:rsidR="001124D8" w:rsidRDefault="00C50050">
            <w:pPr>
              <w:jc w:val="center"/>
            </w:pPr>
            <w:r>
              <w:rPr>
                <w:sz w:val="24"/>
              </w:rPr>
              <w:t>14,876,130.33</w:t>
            </w:r>
          </w:p>
        </w:tc>
        <w:tc>
          <w:tcPr>
            <w:tcW w:w="1542" w:type="dxa"/>
            <w:vAlign w:val="center"/>
          </w:tcPr>
          <w:p w:rsidR="001124D8" w:rsidRDefault="00C50050">
            <w:pPr>
              <w:jc w:val="center"/>
            </w:pPr>
            <w:r>
              <w:rPr>
                <w:sz w:val="24"/>
              </w:rPr>
              <w:t>6.62</w:t>
            </w:r>
          </w:p>
        </w:tc>
      </w:tr>
      <w:tr w:rsidR="001124D8">
        <w:tc>
          <w:tcPr>
            <w:tcW w:w="778" w:type="dxa"/>
            <w:vAlign w:val="center"/>
          </w:tcPr>
          <w:p w:rsidR="001124D8" w:rsidRDefault="00C50050">
            <w:pPr>
              <w:jc w:val="center"/>
            </w:pPr>
            <w:r>
              <w:rPr>
                <w:sz w:val="24"/>
              </w:rPr>
              <w:t>5</w:t>
            </w:r>
          </w:p>
        </w:tc>
        <w:tc>
          <w:tcPr>
            <w:tcW w:w="1348" w:type="dxa"/>
            <w:vAlign w:val="center"/>
          </w:tcPr>
          <w:p w:rsidR="001124D8" w:rsidRDefault="00C50050">
            <w:pPr>
              <w:jc w:val="center"/>
            </w:pPr>
            <w:r>
              <w:rPr>
                <w:sz w:val="24"/>
              </w:rPr>
              <w:t>170207</w:t>
            </w:r>
          </w:p>
        </w:tc>
        <w:tc>
          <w:tcPr>
            <w:tcW w:w="1787" w:type="dxa"/>
            <w:vAlign w:val="center"/>
          </w:tcPr>
          <w:p w:rsidR="001124D8" w:rsidRDefault="00C50050">
            <w:pPr>
              <w:jc w:val="center"/>
            </w:pPr>
            <w:r>
              <w:rPr>
                <w:sz w:val="24"/>
              </w:rPr>
              <w:t>17</w:t>
            </w:r>
            <w:r>
              <w:rPr>
                <w:sz w:val="24"/>
              </w:rPr>
              <w:t>国开</w:t>
            </w:r>
            <w:r>
              <w:rPr>
                <w:sz w:val="24"/>
              </w:rPr>
              <w:t>07</w:t>
            </w:r>
          </w:p>
        </w:tc>
        <w:tc>
          <w:tcPr>
            <w:tcW w:w="1756" w:type="dxa"/>
            <w:vAlign w:val="center"/>
          </w:tcPr>
          <w:p w:rsidR="001124D8" w:rsidRDefault="00C50050">
            <w:pPr>
              <w:jc w:val="center"/>
            </w:pPr>
            <w:r>
              <w:rPr>
                <w:sz w:val="24"/>
              </w:rPr>
              <w:t>100,000</w:t>
            </w:r>
          </w:p>
        </w:tc>
        <w:tc>
          <w:tcPr>
            <w:tcW w:w="2008" w:type="dxa"/>
            <w:vAlign w:val="center"/>
          </w:tcPr>
          <w:p w:rsidR="001124D8" w:rsidRDefault="00C50050">
            <w:pPr>
              <w:jc w:val="center"/>
            </w:pPr>
            <w:r>
              <w:rPr>
                <w:sz w:val="24"/>
              </w:rPr>
              <w:t>10,000,411.60</w:t>
            </w:r>
          </w:p>
        </w:tc>
        <w:tc>
          <w:tcPr>
            <w:tcW w:w="1542" w:type="dxa"/>
            <w:vAlign w:val="center"/>
          </w:tcPr>
          <w:p w:rsidR="001124D8" w:rsidRDefault="00C50050">
            <w:pPr>
              <w:jc w:val="center"/>
            </w:pPr>
            <w:r>
              <w:rPr>
                <w:sz w:val="24"/>
              </w:rPr>
              <w:t>4.45</w:t>
            </w:r>
          </w:p>
        </w:tc>
      </w:tr>
      <w:tr w:rsidR="001124D8">
        <w:tc>
          <w:tcPr>
            <w:tcW w:w="778" w:type="dxa"/>
            <w:vAlign w:val="center"/>
          </w:tcPr>
          <w:p w:rsidR="001124D8" w:rsidRDefault="00C50050">
            <w:pPr>
              <w:jc w:val="center"/>
            </w:pPr>
            <w:r>
              <w:rPr>
                <w:sz w:val="24"/>
              </w:rPr>
              <w:t>6</w:t>
            </w:r>
          </w:p>
        </w:tc>
        <w:tc>
          <w:tcPr>
            <w:tcW w:w="1348" w:type="dxa"/>
            <w:vAlign w:val="center"/>
          </w:tcPr>
          <w:p w:rsidR="001124D8" w:rsidRDefault="00C50050">
            <w:pPr>
              <w:jc w:val="center"/>
            </w:pPr>
            <w:r>
              <w:rPr>
                <w:sz w:val="24"/>
              </w:rPr>
              <w:t>071800020</w:t>
            </w:r>
          </w:p>
        </w:tc>
        <w:tc>
          <w:tcPr>
            <w:tcW w:w="1787" w:type="dxa"/>
            <w:vAlign w:val="center"/>
          </w:tcPr>
          <w:p w:rsidR="001124D8" w:rsidRDefault="00C50050">
            <w:pPr>
              <w:jc w:val="center"/>
            </w:pPr>
            <w:r>
              <w:rPr>
                <w:sz w:val="24"/>
              </w:rPr>
              <w:t>18</w:t>
            </w:r>
            <w:r>
              <w:rPr>
                <w:sz w:val="24"/>
              </w:rPr>
              <w:t>国元证券</w:t>
            </w:r>
            <w:r>
              <w:rPr>
                <w:sz w:val="24"/>
              </w:rPr>
              <w:t>CP001</w:t>
            </w:r>
          </w:p>
        </w:tc>
        <w:tc>
          <w:tcPr>
            <w:tcW w:w="1756" w:type="dxa"/>
            <w:vAlign w:val="center"/>
          </w:tcPr>
          <w:p w:rsidR="001124D8" w:rsidRDefault="00C50050">
            <w:pPr>
              <w:jc w:val="center"/>
            </w:pPr>
            <w:r>
              <w:rPr>
                <w:sz w:val="24"/>
              </w:rPr>
              <w:t>100,000</w:t>
            </w:r>
          </w:p>
        </w:tc>
        <w:tc>
          <w:tcPr>
            <w:tcW w:w="2008" w:type="dxa"/>
            <w:vAlign w:val="center"/>
          </w:tcPr>
          <w:p w:rsidR="001124D8" w:rsidRDefault="00C50050">
            <w:pPr>
              <w:jc w:val="center"/>
            </w:pPr>
            <w:r>
              <w:rPr>
                <w:sz w:val="24"/>
              </w:rPr>
              <w:t>9,998,914.20</w:t>
            </w:r>
          </w:p>
        </w:tc>
        <w:tc>
          <w:tcPr>
            <w:tcW w:w="1542" w:type="dxa"/>
            <w:vAlign w:val="center"/>
          </w:tcPr>
          <w:p w:rsidR="001124D8" w:rsidRDefault="00C50050">
            <w:pPr>
              <w:jc w:val="center"/>
            </w:pPr>
            <w:r>
              <w:rPr>
                <w:sz w:val="24"/>
              </w:rPr>
              <w:t>4.45</w:t>
            </w:r>
          </w:p>
        </w:tc>
      </w:tr>
      <w:tr w:rsidR="001124D8">
        <w:tc>
          <w:tcPr>
            <w:tcW w:w="778" w:type="dxa"/>
            <w:vAlign w:val="center"/>
          </w:tcPr>
          <w:p w:rsidR="001124D8" w:rsidRDefault="00C50050">
            <w:pPr>
              <w:jc w:val="center"/>
            </w:pPr>
            <w:r>
              <w:rPr>
                <w:sz w:val="24"/>
              </w:rPr>
              <w:t>7</w:t>
            </w:r>
          </w:p>
        </w:tc>
        <w:tc>
          <w:tcPr>
            <w:tcW w:w="1348" w:type="dxa"/>
            <w:vAlign w:val="center"/>
          </w:tcPr>
          <w:p w:rsidR="001124D8" w:rsidRDefault="00C50050">
            <w:pPr>
              <w:jc w:val="center"/>
            </w:pPr>
            <w:r>
              <w:rPr>
                <w:sz w:val="24"/>
              </w:rPr>
              <w:t>111809075</w:t>
            </w:r>
          </w:p>
        </w:tc>
        <w:tc>
          <w:tcPr>
            <w:tcW w:w="1787" w:type="dxa"/>
            <w:vAlign w:val="center"/>
          </w:tcPr>
          <w:p w:rsidR="001124D8" w:rsidRDefault="00C50050">
            <w:pPr>
              <w:jc w:val="center"/>
            </w:pPr>
            <w:r>
              <w:rPr>
                <w:sz w:val="24"/>
              </w:rPr>
              <w:t>18</w:t>
            </w:r>
            <w:r>
              <w:rPr>
                <w:sz w:val="24"/>
              </w:rPr>
              <w:t>浦发银行</w:t>
            </w:r>
            <w:r>
              <w:rPr>
                <w:sz w:val="24"/>
              </w:rPr>
              <w:t>CD075</w:t>
            </w:r>
          </w:p>
        </w:tc>
        <w:tc>
          <w:tcPr>
            <w:tcW w:w="1756" w:type="dxa"/>
            <w:vAlign w:val="center"/>
          </w:tcPr>
          <w:p w:rsidR="001124D8" w:rsidRDefault="00C50050">
            <w:pPr>
              <w:jc w:val="center"/>
            </w:pPr>
            <w:r>
              <w:rPr>
                <w:sz w:val="24"/>
              </w:rPr>
              <w:t>100,000</w:t>
            </w:r>
          </w:p>
        </w:tc>
        <w:tc>
          <w:tcPr>
            <w:tcW w:w="2008" w:type="dxa"/>
            <w:vAlign w:val="center"/>
          </w:tcPr>
          <w:p w:rsidR="001124D8" w:rsidRDefault="00C50050">
            <w:pPr>
              <w:jc w:val="center"/>
            </w:pPr>
            <w:r>
              <w:rPr>
                <w:sz w:val="24"/>
              </w:rPr>
              <w:t>9,912,015.87</w:t>
            </w:r>
          </w:p>
        </w:tc>
        <w:tc>
          <w:tcPr>
            <w:tcW w:w="1542" w:type="dxa"/>
            <w:vAlign w:val="center"/>
          </w:tcPr>
          <w:p w:rsidR="001124D8" w:rsidRDefault="00C50050">
            <w:pPr>
              <w:jc w:val="center"/>
            </w:pPr>
            <w:r>
              <w:rPr>
                <w:sz w:val="24"/>
              </w:rPr>
              <w:t>4.41</w:t>
            </w:r>
          </w:p>
        </w:tc>
      </w:tr>
      <w:tr w:rsidR="001124D8">
        <w:tc>
          <w:tcPr>
            <w:tcW w:w="778" w:type="dxa"/>
            <w:vAlign w:val="center"/>
          </w:tcPr>
          <w:p w:rsidR="001124D8" w:rsidRDefault="00C50050">
            <w:pPr>
              <w:jc w:val="center"/>
            </w:pPr>
            <w:r>
              <w:rPr>
                <w:sz w:val="24"/>
              </w:rPr>
              <w:t>8</w:t>
            </w:r>
          </w:p>
        </w:tc>
        <w:tc>
          <w:tcPr>
            <w:tcW w:w="1348" w:type="dxa"/>
            <w:vAlign w:val="center"/>
          </w:tcPr>
          <w:p w:rsidR="001124D8" w:rsidRDefault="00C50050">
            <w:pPr>
              <w:jc w:val="center"/>
            </w:pPr>
            <w:r>
              <w:rPr>
                <w:sz w:val="24"/>
              </w:rPr>
              <w:t>111818080</w:t>
            </w:r>
          </w:p>
        </w:tc>
        <w:tc>
          <w:tcPr>
            <w:tcW w:w="1787" w:type="dxa"/>
            <w:vAlign w:val="center"/>
          </w:tcPr>
          <w:p w:rsidR="001124D8" w:rsidRDefault="00C50050">
            <w:pPr>
              <w:jc w:val="center"/>
            </w:pPr>
            <w:r>
              <w:rPr>
                <w:sz w:val="24"/>
              </w:rPr>
              <w:t>18</w:t>
            </w:r>
            <w:r>
              <w:rPr>
                <w:sz w:val="24"/>
              </w:rPr>
              <w:t>华夏银行</w:t>
            </w:r>
            <w:r>
              <w:rPr>
                <w:sz w:val="24"/>
              </w:rPr>
              <w:t>CD080</w:t>
            </w:r>
          </w:p>
        </w:tc>
        <w:tc>
          <w:tcPr>
            <w:tcW w:w="1756" w:type="dxa"/>
            <w:vAlign w:val="center"/>
          </w:tcPr>
          <w:p w:rsidR="001124D8" w:rsidRDefault="00C50050">
            <w:pPr>
              <w:jc w:val="center"/>
            </w:pPr>
            <w:r>
              <w:rPr>
                <w:sz w:val="24"/>
              </w:rPr>
              <w:t>100,000</w:t>
            </w:r>
          </w:p>
        </w:tc>
        <w:tc>
          <w:tcPr>
            <w:tcW w:w="2008" w:type="dxa"/>
            <w:vAlign w:val="center"/>
          </w:tcPr>
          <w:p w:rsidR="001124D8" w:rsidRDefault="00C50050">
            <w:pPr>
              <w:jc w:val="center"/>
            </w:pPr>
            <w:r>
              <w:rPr>
                <w:sz w:val="24"/>
              </w:rPr>
              <w:t>9,912,015.87</w:t>
            </w:r>
          </w:p>
        </w:tc>
        <w:tc>
          <w:tcPr>
            <w:tcW w:w="1542" w:type="dxa"/>
            <w:vAlign w:val="center"/>
          </w:tcPr>
          <w:p w:rsidR="001124D8" w:rsidRDefault="00C50050">
            <w:pPr>
              <w:jc w:val="center"/>
            </w:pPr>
            <w:r>
              <w:rPr>
                <w:sz w:val="24"/>
              </w:rPr>
              <w:t>4.41</w:t>
            </w:r>
          </w:p>
        </w:tc>
      </w:tr>
      <w:tr w:rsidR="001124D8">
        <w:tc>
          <w:tcPr>
            <w:tcW w:w="778" w:type="dxa"/>
            <w:vAlign w:val="center"/>
          </w:tcPr>
          <w:p w:rsidR="001124D8" w:rsidRDefault="00C50050">
            <w:pPr>
              <w:jc w:val="center"/>
            </w:pPr>
            <w:r>
              <w:rPr>
                <w:sz w:val="24"/>
              </w:rPr>
              <w:t>9</w:t>
            </w:r>
          </w:p>
        </w:tc>
        <w:tc>
          <w:tcPr>
            <w:tcW w:w="1348" w:type="dxa"/>
            <w:vAlign w:val="center"/>
          </w:tcPr>
          <w:p w:rsidR="001124D8" w:rsidRDefault="00C50050">
            <w:pPr>
              <w:jc w:val="center"/>
            </w:pPr>
            <w:r>
              <w:rPr>
                <w:sz w:val="24"/>
              </w:rPr>
              <w:t>111819245</w:t>
            </w:r>
          </w:p>
        </w:tc>
        <w:tc>
          <w:tcPr>
            <w:tcW w:w="1787" w:type="dxa"/>
            <w:vAlign w:val="center"/>
          </w:tcPr>
          <w:p w:rsidR="001124D8" w:rsidRDefault="00C50050">
            <w:pPr>
              <w:jc w:val="center"/>
            </w:pPr>
            <w:r>
              <w:rPr>
                <w:sz w:val="24"/>
              </w:rPr>
              <w:t>18</w:t>
            </w:r>
            <w:r>
              <w:rPr>
                <w:sz w:val="24"/>
              </w:rPr>
              <w:t>恒丰银行</w:t>
            </w:r>
            <w:r>
              <w:rPr>
                <w:sz w:val="24"/>
              </w:rPr>
              <w:t>CD245</w:t>
            </w:r>
          </w:p>
        </w:tc>
        <w:tc>
          <w:tcPr>
            <w:tcW w:w="1756" w:type="dxa"/>
            <w:vAlign w:val="center"/>
          </w:tcPr>
          <w:p w:rsidR="001124D8" w:rsidRDefault="00C50050">
            <w:pPr>
              <w:jc w:val="center"/>
            </w:pPr>
            <w:r>
              <w:rPr>
                <w:sz w:val="24"/>
              </w:rPr>
              <w:t>100,000</w:t>
            </w:r>
          </w:p>
        </w:tc>
        <w:tc>
          <w:tcPr>
            <w:tcW w:w="2008" w:type="dxa"/>
            <w:vAlign w:val="center"/>
          </w:tcPr>
          <w:p w:rsidR="001124D8" w:rsidRDefault="00C50050">
            <w:pPr>
              <w:jc w:val="center"/>
            </w:pPr>
            <w:r>
              <w:rPr>
                <w:sz w:val="24"/>
              </w:rPr>
              <w:t>9,911,276.02</w:t>
            </w:r>
          </w:p>
        </w:tc>
        <w:tc>
          <w:tcPr>
            <w:tcW w:w="1542" w:type="dxa"/>
            <w:vAlign w:val="center"/>
          </w:tcPr>
          <w:p w:rsidR="001124D8" w:rsidRDefault="00C50050">
            <w:pPr>
              <w:jc w:val="center"/>
            </w:pPr>
            <w:r>
              <w:rPr>
                <w:sz w:val="24"/>
              </w:rPr>
              <w:t>4.41</w:t>
            </w:r>
          </w:p>
        </w:tc>
      </w:tr>
      <w:tr w:rsidR="001124D8">
        <w:tc>
          <w:tcPr>
            <w:tcW w:w="778" w:type="dxa"/>
            <w:vAlign w:val="center"/>
          </w:tcPr>
          <w:p w:rsidR="001124D8" w:rsidRDefault="00C50050">
            <w:pPr>
              <w:jc w:val="center"/>
            </w:pPr>
            <w:r>
              <w:rPr>
                <w:sz w:val="24"/>
              </w:rPr>
              <w:t>10</w:t>
            </w:r>
          </w:p>
        </w:tc>
        <w:tc>
          <w:tcPr>
            <w:tcW w:w="1348" w:type="dxa"/>
            <w:vAlign w:val="center"/>
          </w:tcPr>
          <w:p w:rsidR="001124D8" w:rsidRDefault="00C50050">
            <w:pPr>
              <w:jc w:val="center"/>
            </w:pPr>
            <w:r>
              <w:rPr>
                <w:sz w:val="24"/>
              </w:rPr>
              <w:t>018005</w:t>
            </w:r>
          </w:p>
        </w:tc>
        <w:tc>
          <w:tcPr>
            <w:tcW w:w="1787" w:type="dxa"/>
            <w:vAlign w:val="center"/>
          </w:tcPr>
          <w:p w:rsidR="001124D8" w:rsidRDefault="00C50050">
            <w:pPr>
              <w:jc w:val="center"/>
            </w:pPr>
            <w:r>
              <w:rPr>
                <w:sz w:val="24"/>
              </w:rPr>
              <w:t>国开</w:t>
            </w:r>
            <w:r>
              <w:rPr>
                <w:sz w:val="24"/>
              </w:rPr>
              <w:t>1701</w:t>
            </w:r>
          </w:p>
        </w:tc>
        <w:tc>
          <w:tcPr>
            <w:tcW w:w="1756" w:type="dxa"/>
            <w:vAlign w:val="center"/>
          </w:tcPr>
          <w:p w:rsidR="001124D8" w:rsidRDefault="00C50050">
            <w:pPr>
              <w:jc w:val="center"/>
            </w:pPr>
            <w:r>
              <w:rPr>
                <w:sz w:val="24"/>
              </w:rPr>
              <w:t>20,000</w:t>
            </w:r>
          </w:p>
        </w:tc>
        <w:tc>
          <w:tcPr>
            <w:tcW w:w="2008" w:type="dxa"/>
            <w:vAlign w:val="center"/>
          </w:tcPr>
          <w:p w:rsidR="001124D8" w:rsidRDefault="00C50050">
            <w:pPr>
              <w:jc w:val="center"/>
            </w:pPr>
            <w:r>
              <w:rPr>
                <w:sz w:val="24"/>
              </w:rPr>
              <w:t>2,000,583.45</w:t>
            </w:r>
          </w:p>
        </w:tc>
        <w:tc>
          <w:tcPr>
            <w:tcW w:w="1542" w:type="dxa"/>
            <w:vAlign w:val="center"/>
          </w:tcPr>
          <w:p w:rsidR="001124D8" w:rsidRDefault="00C50050">
            <w:pPr>
              <w:jc w:val="center"/>
            </w:pPr>
            <w:r>
              <w:rPr>
                <w:sz w:val="24"/>
              </w:rPr>
              <w:t>0.89</w:t>
            </w:r>
          </w:p>
        </w:tc>
      </w:tr>
    </w:tbl>
    <w:p w:rsidR="006D141C" w:rsidRPr="0061644B" w:rsidRDefault="006D141C" w:rsidP="00792A69">
      <w:pPr>
        <w:pStyle w:val="af6"/>
        <w:spacing w:before="29" w:beforeAutospacing="0" w:after="0" w:afterAutospacing="0" w:line="288" w:lineRule="auto"/>
        <w:rPr>
          <w:rFonts w:ascii="Times New Roman" w:hAnsi="Times New Roman"/>
        </w:rPr>
      </w:pPr>
    </w:p>
    <w:p w:rsidR="006D141C" w:rsidRPr="0061644B" w:rsidRDefault="006D141C" w:rsidP="00792A69">
      <w:pPr>
        <w:pStyle w:val="20"/>
        <w:spacing w:before="29" w:after="0" w:line="288" w:lineRule="auto"/>
        <w:rPr>
          <w:rFonts w:ascii="Times New Roman" w:hAnsi="Times New Roman" w:cs="Times New Roman"/>
          <w:kern w:val="0"/>
          <w:szCs w:val="24"/>
        </w:rPr>
      </w:pPr>
      <w:bookmarkStart w:id="28" w:name="_Toc331410108"/>
      <w:r w:rsidRPr="0061644B">
        <w:rPr>
          <w:rFonts w:ascii="Times New Roman" w:hAnsi="Times New Roman" w:cs="Times New Roman"/>
          <w:kern w:val="0"/>
          <w:szCs w:val="24"/>
        </w:rPr>
        <w:t>7.7</w:t>
      </w:r>
      <w:bookmarkEnd w:id="28"/>
      <w:r w:rsidR="007A380E" w:rsidRPr="0061644B">
        <w:rPr>
          <w:rFonts w:ascii="Times New Roman" w:hAnsi="Times New Roman" w:cs="Times New Roman"/>
          <w:kern w:val="0"/>
          <w:szCs w:val="24"/>
        </w:rPr>
        <w:t>“</w:t>
      </w:r>
      <w:r w:rsidR="007A380E" w:rsidRPr="0061644B">
        <w:rPr>
          <w:rFonts w:ascii="Times New Roman" w:hAnsi="Times New Roman" w:cs="Times New Roman"/>
          <w:kern w:val="0"/>
          <w:szCs w:val="24"/>
        </w:rPr>
        <w:t>影子定价</w:t>
      </w:r>
      <w:r w:rsidR="007A380E" w:rsidRPr="0061644B">
        <w:rPr>
          <w:rFonts w:ascii="Times New Roman" w:hAnsi="Times New Roman" w:cs="Times New Roman"/>
          <w:kern w:val="0"/>
          <w:szCs w:val="24"/>
        </w:rPr>
        <w:t>”</w:t>
      </w:r>
      <w:r w:rsidR="007A380E" w:rsidRPr="0061644B">
        <w:rPr>
          <w:rFonts w:ascii="Times New Roman" w:hAnsi="Times New Roman" w:cs="Times New Roman"/>
          <w:kern w:val="0"/>
          <w:szCs w:val="24"/>
        </w:rPr>
        <w:t>与</w:t>
      </w:r>
      <w:r w:rsidR="007A380E" w:rsidRPr="0061644B">
        <w:rPr>
          <w:rFonts w:ascii="Times New Roman" w:hAnsi="Times New Roman" w:cs="Times New Roman"/>
          <w:kern w:val="0"/>
          <w:szCs w:val="24"/>
        </w:rPr>
        <w:t>“</w:t>
      </w:r>
      <w:r w:rsidR="007A380E" w:rsidRPr="0061644B">
        <w:rPr>
          <w:rFonts w:ascii="Times New Roman" w:hAnsi="Times New Roman" w:cs="Times New Roman"/>
          <w:kern w:val="0"/>
          <w:szCs w:val="24"/>
        </w:rPr>
        <w:t>摊余成本法</w:t>
      </w:r>
      <w:r w:rsidR="007A380E" w:rsidRPr="0061644B">
        <w:rPr>
          <w:rFonts w:ascii="Times New Roman" w:hAnsi="Times New Roman" w:cs="Times New Roman"/>
          <w:kern w:val="0"/>
          <w:szCs w:val="24"/>
        </w:rPr>
        <w:t>”</w:t>
      </w:r>
      <w:r w:rsidR="007A380E" w:rsidRPr="0061644B">
        <w:rPr>
          <w:rFonts w:ascii="Times New Roman" w:hAnsi="Times New Roman" w:cs="Times New Roman"/>
          <w:kern w:val="0"/>
          <w:szCs w:val="24"/>
        </w:rPr>
        <w:t>确定的基金资产净值的偏离</w:t>
      </w:r>
    </w:p>
    <w:tbl>
      <w:tblPr>
        <w:tblW w:w="92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953"/>
        <w:gridCol w:w="3266"/>
      </w:tblGrid>
      <w:tr w:rsidR="006B4A69" w:rsidRPr="0061644B" w:rsidTr="002D287E">
        <w:trPr>
          <w:trHeight w:val="285"/>
        </w:trPr>
        <w:tc>
          <w:tcPr>
            <w:tcW w:w="6042" w:type="dxa"/>
            <w:tcMar>
              <w:top w:w="15" w:type="dxa"/>
              <w:left w:w="15" w:type="dxa"/>
              <w:bottom w:w="0" w:type="dxa"/>
              <w:right w:w="15" w:type="dxa"/>
            </w:tcMar>
          </w:tcPr>
          <w:p w:rsidR="007A380E" w:rsidRPr="0061644B" w:rsidRDefault="007A380E" w:rsidP="00792A69">
            <w:pPr>
              <w:spacing w:before="29" w:line="288" w:lineRule="auto"/>
              <w:jc w:val="center"/>
              <w:rPr>
                <w:sz w:val="24"/>
              </w:rPr>
            </w:pPr>
            <w:r w:rsidRPr="0061644B">
              <w:rPr>
                <w:sz w:val="24"/>
              </w:rPr>
              <w:t>项目</w:t>
            </w:r>
          </w:p>
        </w:tc>
        <w:tc>
          <w:tcPr>
            <w:tcW w:w="3314" w:type="dxa"/>
            <w:tcMar>
              <w:top w:w="15" w:type="dxa"/>
              <w:left w:w="15" w:type="dxa"/>
              <w:bottom w:w="0" w:type="dxa"/>
              <w:right w:w="15" w:type="dxa"/>
            </w:tcMar>
          </w:tcPr>
          <w:p w:rsidR="007A380E" w:rsidRPr="0061644B" w:rsidRDefault="007A380E" w:rsidP="00792A69">
            <w:pPr>
              <w:spacing w:before="29" w:line="288" w:lineRule="auto"/>
              <w:jc w:val="center"/>
              <w:rPr>
                <w:sz w:val="24"/>
              </w:rPr>
            </w:pPr>
            <w:r w:rsidRPr="0061644B">
              <w:rPr>
                <w:sz w:val="24"/>
              </w:rPr>
              <w:t>偏离情况</w:t>
            </w:r>
          </w:p>
        </w:tc>
      </w:tr>
      <w:tr w:rsidR="006B4A69" w:rsidRPr="0061644B" w:rsidTr="002D287E">
        <w:trPr>
          <w:trHeight w:val="312"/>
        </w:trPr>
        <w:tc>
          <w:tcPr>
            <w:tcW w:w="6042" w:type="dxa"/>
            <w:tcMar>
              <w:top w:w="15" w:type="dxa"/>
              <w:left w:w="15" w:type="dxa"/>
              <w:bottom w:w="0" w:type="dxa"/>
              <w:right w:w="15" w:type="dxa"/>
            </w:tcMar>
          </w:tcPr>
          <w:p w:rsidR="007A380E" w:rsidRPr="0061644B" w:rsidRDefault="007A380E" w:rsidP="00792A69">
            <w:pPr>
              <w:spacing w:before="29" w:line="288" w:lineRule="auto"/>
              <w:rPr>
                <w:sz w:val="24"/>
              </w:rPr>
            </w:pPr>
            <w:r w:rsidRPr="0061644B">
              <w:rPr>
                <w:sz w:val="24"/>
              </w:rPr>
              <w:t>报告期内偏离度的绝对值在</w:t>
            </w:r>
            <w:r w:rsidRPr="0061644B">
              <w:rPr>
                <w:sz w:val="24"/>
              </w:rPr>
              <w:t>0.25(</w:t>
            </w:r>
            <w:r w:rsidRPr="0061644B">
              <w:rPr>
                <w:sz w:val="24"/>
              </w:rPr>
              <w:t>含</w:t>
            </w:r>
            <w:r w:rsidRPr="0061644B">
              <w:rPr>
                <w:sz w:val="24"/>
              </w:rPr>
              <w:t>)-0.5%</w:t>
            </w:r>
            <w:r w:rsidRPr="0061644B">
              <w:rPr>
                <w:sz w:val="24"/>
              </w:rPr>
              <w:t>间的次数</w:t>
            </w:r>
          </w:p>
        </w:tc>
        <w:tc>
          <w:tcPr>
            <w:tcW w:w="3314" w:type="dxa"/>
            <w:tcMar>
              <w:top w:w="15" w:type="dxa"/>
              <w:left w:w="15" w:type="dxa"/>
              <w:bottom w:w="0" w:type="dxa"/>
              <w:right w:w="15" w:type="dxa"/>
            </w:tcMar>
            <w:vAlign w:val="center"/>
          </w:tcPr>
          <w:p w:rsidR="007A380E" w:rsidRPr="0061644B" w:rsidRDefault="007A380E" w:rsidP="00792A69">
            <w:pPr>
              <w:spacing w:before="29" w:line="288" w:lineRule="auto"/>
              <w:jc w:val="right"/>
              <w:rPr>
                <w:sz w:val="24"/>
              </w:rPr>
            </w:pPr>
            <w:r w:rsidRPr="0061644B">
              <w:rPr>
                <w:sz w:val="24"/>
              </w:rPr>
              <w:t>0</w:t>
            </w:r>
          </w:p>
        </w:tc>
      </w:tr>
      <w:tr w:rsidR="006B4A69" w:rsidRPr="0061644B" w:rsidTr="002D287E">
        <w:trPr>
          <w:trHeight w:val="285"/>
        </w:trPr>
        <w:tc>
          <w:tcPr>
            <w:tcW w:w="6042" w:type="dxa"/>
            <w:tcMar>
              <w:top w:w="15" w:type="dxa"/>
              <w:left w:w="15" w:type="dxa"/>
              <w:bottom w:w="0" w:type="dxa"/>
              <w:right w:w="15" w:type="dxa"/>
            </w:tcMar>
          </w:tcPr>
          <w:p w:rsidR="007A380E" w:rsidRPr="0061644B" w:rsidRDefault="007A380E" w:rsidP="00792A69">
            <w:pPr>
              <w:spacing w:before="29" w:line="288" w:lineRule="auto"/>
              <w:rPr>
                <w:sz w:val="24"/>
              </w:rPr>
            </w:pPr>
            <w:r w:rsidRPr="0061644B">
              <w:rPr>
                <w:sz w:val="24"/>
              </w:rPr>
              <w:t>报告期内偏离度的最高值</w:t>
            </w:r>
          </w:p>
        </w:tc>
        <w:tc>
          <w:tcPr>
            <w:tcW w:w="3314" w:type="dxa"/>
            <w:tcMar>
              <w:top w:w="15" w:type="dxa"/>
              <w:left w:w="15" w:type="dxa"/>
              <w:bottom w:w="0" w:type="dxa"/>
              <w:right w:w="15" w:type="dxa"/>
            </w:tcMar>
            <w:vAlign w:val="center"/>
          </w:tcPr>
          <w:p w:rsidR="007A380E" w:rsidRPr="0061644B" w:rsidRDefault="007A380E" w:rsidP="00792A69">
            <w:pPr>
              <w:spacing w:before="29" w:line="288" w:lineRule="auto"/>
              <w:jc w:val="right"/>
              <w:rPr>
                <w:sz w:val="24"/>
              </w:rPr>
            </w:pPr>
            <w:r w:rsidRPr="0061644B">
              <w:rPr>
                <w:sz w:val="24"/>
              </w:rPr>
              <w:t>0.1608%</w:t>
            </w:r>
          </w:p>
        </w:tc>
      </w:tr>
      <w:tr w:rsidR="006B4A69" w:rsidRPr="0061644B" w:rsidTr="002D287E">
        <w:trPr>
          <w:trHeight w:val="285"/>
        </w:trPr>
        <w:tc>
          <w:tcPr>
            <w:tcW w:w="6042" w:type="dxa"/>
            <w:tcMar>
              <w:top w:w="15" w:type="dxa"/>
              <w:left w:w="15" w:type="dxa"/>
              <w:bottom w:w="0" w:type="dxa"/>
              <w:right w:w="15" w:type="dxa"/>
            </w:tcMar>
          </w:tcPr>
          <w:p w:rsidR="007A380E" w:rsidRPr="0061644B" w:rsidRDefault="007A380E" w:rsidP="00792A69">
            <w:pPr>
              <w:spacing w:before="29" w:line="288" w:lineRule="auto"/>
              <w:rPr>
                <w:sz w:val="24"/>
              </w:rPr>
            </w:pPr>
            <w:r w:rsidRPr="0061644B">
              <w:rPr>
                <w:sz w:val="24"/>
              </w:rPr>
              <w:t>报告期内偏离度的最低值</w:t>
            </w:r>
          </w:p>
        </w:tc>
        <w:tc>
          <w:tcPr>
            <w:tcW w:w="3314" w:type="dxa"/>
            <w:tcMar>
              <w:top w:w="15" w:type="dxa"/>
              <w:left w:w="15" w:type="dxa"/>
              <w:bottom w:w="0" w:type="dxa"/>
              <w:right w:w="15" w:type="dxa"/>
            </w:tcMar>
            <w:vAlign w:val="center"/>
          </w:tcPr>
          <w:p w:rsidR="007A380E" w:rsidRPr="0061644B" w:rsidRDefault="007A380E" w:rsidP="00792A69">
            <w:pPr>
              <w:spacing w:before="29" w:line="288" w:lineRule="auto"/>
              <w:jc w:val="right"/>
              <w:rPr>
                <w:sz w:val="24"/>
              </w:rPr>
            </w:pPr>
            <w:r w:rsidRPr="0061644B">
              <w:rPr>
                <w:sz w:val="24"/>
              </w:rPr>
              <w:t>-0.0036%</w:t>
            </w:r>
          </w:p>
        </w:tc>
      </w:tr>
      <w:tr w:rsidR="006B4A69" w:rsidRPr="0061644B" w:rsidTr="002D287E">
        <w:trPr>
          <w:trHeight w:val="314"/>
        </w:trPr>
        <w:tc>
          <w:tcPr>
            <w:tcW w:w="6042" w:type="dxa"/>
            <w:tcMar>
              <w:top w:w="15" w:type="dxa"/>
              <w:left w:w="15" w:type="dxa"/>
              <w:bottom w:w="0" w:type="dxa"/>
              <w:right w:w="15" w:type="dxa"/>
            </w:tcMar>
          </w:tcPr>
          <w:p w:rsidR="007A380E" w:rsidRPr="0061644B" w:rsidRDefault="002A1220" w:rsidP="00792A69">
            <w:pPr>
              <w:spacing w:before="29" w:line="288" w:lineRule="auto"/>
              <w:rPr>
                <w:sz w:val="24"/>
              </w:rPr>
            </w:pPr>
            <w:r w:rsidRPr="0061644B">
              <w:rPr>
                <w:sz w:val="24"/>
              </w:rPr>
              <w:t>报告期内每个交易日偏离度的绝对值的简单平均值</w:t>
            </w:r>
          </w:p>
        </w:tc>
        <w:tc>
          <w:tcPr>
            <w:tcW w:w="3314" w:type="dxa"/>
            <w:tcMar>
              <w:top w:w="15" w:type="dxa"/>
              <w:left w:w="15" w:type="dxa"/>
              <w:bottom w:w="0" w:type="dxa"/>
              <w:right w:w="15" w:type="dxa"/>
            </w:tcMar>
            <w:vAlign w:val="center"/>
          </w:tcPr>
          <w:p w:rsidR="007A380E" w:rsidRPr="0061644B" w:rsidRDefault="007A380E" w:rsidP="00792A69">
            <w:pPr>
              <w:spacing w:before="29" w:line="288" w:lineRule="auto"/>
              <w:jc w:val="right"/>
              <w:rPr>
                <w:sz w:val="24"/>
              </w:rPr>
            </w:pPr>
            <w:r w:rsidRPr="0061644B">
              <w:rPr>
                <w:sz w:val="24"/>
              </w:rPr>
              <w:t>0.0398%</w:t>
            </w:r>
          </w:p>
        </w:tc>
      </w:tr>
    </w:tbl>
    <w:p w:rsidR="00B258B8" w:rsidRDefault="00B258B8" w:rsidP="00792A69">
      <w:pPr>
        <w:tabs>
          <w:tab w:val="left" w:pos="426"/>
        </w:tabs>
        <w:spacing w:before="29" w:line="288" w:lineRule="auto"/>
        <w:jc w:val="left"/>
        <w:rPr>
          <w:kern w:val="0"/>
          <w:sz w:val="24"/>
        </w:rPr>
      </w:pPr>
    </w:p>
    <w:p w:rsidR="00B258B8" w:rsidRPr="00B258B8" w:rsidRDefault="00B258B8" w:rsidP="00B258B8">
      <w:pPr>
        <w:spacing w:line="360" w:lineRule="auto"/>
        <w:rPr>
          <w:rFonts w:ascii="宋体" w:hAnsi="宋体" w:cs="Arial"/>
          <w:b/>
          <w:bCs/>
          <w:color w:val="000000"/>
          <w:kern w:val="0"/>
          <w:sz w:val="24"/>
        </w:rPr>
      </w:pPr>
      <w:r w:rsidRPr="00B258B8">
        <w:rPr>
          <w:rFonts w:ascii="宋体" w:hAnsi="宋体" w:hint="eastAsia"/>
          <w:b/>
          <w:bCs/>
          <w:color w:val="000000"/>
          <w:sz w:val="24"/>
        </w:rPr>
        <w:t>报告期内负偏离度的绝对值达到0.25%情况说明</w:t>
      </w:r>
    </w:p>
    <w:p w:rsidR="00B258B8" w:rsidRDefault="00B258B8" w:rsidP="00B258B8">
      <w:pPr>
        <w:autoSpaceDE w:val="0"/>
        <w:autoSpaceDN w:val="0"/>
        <w:adjustRightInd w:val="0"/>
        <w:spacing w:line="360" w:lineRule="auto"/>
        <w:ind w:firstLineChars="100" w:firstLine="240"/>
        <w:jc w:val="left"/>
        <w:rPr>
          <w:sz w:val="24"/>
        </w:rPr>
      </w:pPr>
      <w:r w:rsidRPr="00B258B8">
        <w:rPr>
          <w:rFonts w:hint="eastAsia"/>
          <w:sz w:val="24"/>
        </w:rPr>
        <w:t>本基金本报告期内未存在负偏离度的绝对值达到</w:t>
      </w:r>
      <w:r w:rsidRPr="00B258B8">
        <w:rPr>
          <w:rFonts w:hint="eastAsia"/>
          <w:sz w:val="24"/>
        </w:rPr>
        <w:t>0.25%</w:t>
      </w:r>
      <w:r w:rsidRPr="00B258B8">
        <w:rPr>
          <w:rFonts w:hint="eastAsia"/>
          <w:sz w:val="24"/>
        </w:rPr>
        <w:t>的情况。</w:t>
      </w:r>
    </w:p>
    <w:p w:rsidR="00B258B8" w:rsidRPr="00B258B8" w:rsidRDefault="00B258B8" w:rsidP="00B258B8">
      <w:pPr>
        <w:autoSpaceDE w:val="0"/>
        <w:autoSpaceDN w:val="0"/>
        <w:adjustRightInd w:val="0"/>
        <w:spacing w:line="360" w:lineRule="auto"/>
        <w:ind w:firstLineChars="100" w:firstLine="240"/>
        <w:jc w:val="left"/>
        <w:rPr>
          <w:sz w:val="24"/>
        </w:rPr>
      </w:pPr>
    </w:p>
    <w:p w:rsidR="00B258B8" w:rsidRPr="00B258B8" w:rsidRDefault="00B258B8" w:rsidP="00B258B8">
      <w:pPr>
        <w:spacing w:line="360" w:lineRule="auto"/>
        <w:rPr>
          <w:rFonts w:ascii="宋体" w:hAnsi="宋体" w:cs="Arial"/>
          <w:b/>
          <w:bCs/>
          <w:color w:val="000000"/>
          <w:kern w:val="0"/>
          <w:sz w:val="24"/>
        </w:rPr>
      </w:pPr>
      <w:r w:rsidRPr="00B258B8">
        <w:rPr>
          <w:rFonts w:ascii="宋体" w:hAnsi="宋体" w:hint="eastAsia"/>
          <w:b/>
          <w:bCs/>
          <w:color w:val="000000"/>
          <w:sz w:val="24"/>
        </w:rPr>
        <w:t>报告期内正偏离度的绝对值达到0.5%情况说明</w:t>
      </w:r>
    </w:p>
    <w:p w:rsidR="00B258B8" w:rsidRPr="00B258B8" w:rsidRDefault="00B258B8" w:rsidP="00B258B8">
      <w:pPr>
        <w:autoSpaceDE w:val="0"/>
        <w:autoSpaceDN w:val="0"/>
        <w:adjustRightInd w:val="0"/>
        <w:spacing w:line="360" w:lineRule="auto"/>
        <w:ind w:firstLineChars="100" w:firstLine="240"/>
        <w:jc w:val="left"/>
        <w:rPr>
          <w:sz w:val="24"/>
        </w:rPr>
      </w:pPr>
      <w:r w:rsidRPr="00B258B8">
        <w:rPr>
          <w:rFonts w:hint="eastAsia"/>
          <w:sz w:val="24"/>
        </w:rPr>
        <w:t>本基金本报告期内未存在正偏离度的绝对值达到</w:t>
      </w:r>
      <w:r w:rsidRPr="00B258B8">
        <w:rPr>
          <w:rFonts w:hint="eastAsia"/>
          <w:sz w:val="24"/>
        </w:rPr>
        <w:t>0.5%</w:t>
      </w:r>
      <w:r w:rsidRPr="00B258B8">
        <w:rPr>
          <w:rFonts w:hint="eastAsia"/>
          <w:sz w:val="24"/>
        </w:rPr>
        <w:t>的情况。</w:t>
      </w:r>
    </w:p>
    <w:p w:rsidR="006D141C" w:rsidRPr="0061644B" w:rsidRDefault="006D141C" w:rsidP="00792A69">
      <w:pPr>
        <w:pStyle w:val="af6"/>
        <w:spacing w:before="29" w:beforeAutospacing="0" w:after="0" w:afterAutospacing="0" w:line="288" w:lineRule="auto"/>
        <w:rPr>
          <w:rFonts w:ascii="Times New Roman" w:hAnsi="Times New Roman"/>
        </w:rPr>
      </w:pPr>
    </w:p>
    <w:p w:rsidR="006D141C" w:rsidRPr="0061644B" w:rsidRDefault="006D141C" w:rsidP="00792A69">
      <w:pPr>
        <w:pStyle w:val="20"/>
        <w:spacing w:before="29" w:after="0" w:line="288" w:lineRule="auto"/>
        <w:rPr>
          <w:rFonts w:ascii="Times New Roman" w:hAnsi="Times New Roman" w:cs="Times New Roman"/>
          <w:kern w:val="0"/>
          <w:szCs w:val="24"/>
        </w:rPr>
      </w:pPr>
      <w:bookmarkStart w:id="29" w:name="_Toc331410109"/>
      <w:r w:rsidRPr="0061644B">
        <w:rPr>
          <w:rFonts w:ascii="Times New Roman" w:hAnsi="Times New Roman" w:cs="Times New Roman"/>
          <w:kern w:val="0"/>
          <w:szCs w:val="24"/>
        </w:rPr>
        <w:t>7.8</w:t>
      </w:r>
      <w:bookmarkEnd w:id="29"/>
      <w:r w:rsidR="00CA137F" w:rsidRPr="0061644B">
        <w:rPr>
          <w:rFonts w:ascii="Times New Roman" w:hAnsi="Times New Roman" w:cs="Times New Roman"/>
          <w:szCs w:val="24"/>
        </w:rPr>
        <w:t>期末按公允价值占基金资产净值比例大小</w:t>
      </w:r>
      <w:r w:rsidR="00AF58F7">
        <w:rPr>
          <w:rFonts w:ascii="Times New Roman" w:hAnsi="Times New Roman" w:cs="Times New Roman"/>
          <w:szCs w:val="24"/>
        </w:rPr>
        <w:t>排序</w:t>
      </w:r>
      <w:r w:rsidR="00CA137F" w:rsidRPr="0061644B">
        <w:rPr>
          <w:rFonts w:ascii="Times New Roman" w:hAnsi="Times New Roman" w:cs="Times New Roman"/>
          <w:szCs w:val="24"/>
        </w:rPr>
        <w:t>的前十名</w:t>
      </w:r>
      <w:r w:rsidR="000176E8" w:rsidRPr="0061644B">
        <w:rPr>
          <w:rFonts w:ascii="Times New Roman" w:hAnsi="Times New Roman" w:cs="Times New Roman"/>
          <w:szCs w:val="24"/>
        </w:rPr>
        <w:t>资产支持证券投资明细</w:t>
      </w:r>
    </w:p>
    <w:p w:rsidR="006D141C" w:rsidRDefault="006D141C" w:rsidP="00792A69">
      <w:pPr>
        <w:tabs>
          <w:tab w:val="left" w:pos="426"/>
        </w:tabs>
        <w:spacing w:before="29" w:line="288" w:lineRule="auto"/>
        <w:jc w:val="left"/>
        <w:rPr>
          <w:kern w:val="0"/>
          <w:sz w:val="24"/>
        </w:rPr>
      </w:pPr>
      <w:r w:rsidRPr="0061644B">
        <w:rPr>
          <w:kern w:val="0"/>
          <w:sz w:val="24"/>
        </w:rPr>
        <w:t>本基金本报告期末未持有资产支持证券。</w:t>
      </w:r>
    </w:p>
    <w:p w:rsidR="00A05707" w:rsidRPr="0061644B" w:rsidRDefault="00A05707" w:rsidP="00792A69">
      <w:pPr>
        <w:tabs>
          <w:tab w:val="left" w:pos="426"/>
        </w:tabs>
        <w:spacing w:before="29" w:line="288" w:lineRule="auto"/>
        <w:jc w:val="left"/>
        <w:rPr>
          <w:kern w:val="0"/>
          <w:sz w:val="24"/>
        </w:rPr>
      </w:pPr>
    </w:p>
    <w:p w:rsidR="009654AD" w:rsidRPr="009654AD" w:rsidRDefault="009654AD" w:rsidP="009654AD">
      <w:pPr>
        <w:pStyle w:val="20"/>
        <w:spacing w:before="29" w:after="0" w:line="288" w:lineRule="auto"/>
        <w:rPr>
          <w:rFonts w:ascii="Times New Roman" w:hAnsi="Times New Roman" w:cs="Times New Roman"/>
          <w:szCs w:val="24"/>
        </w:rPr>
      </w:pPr>
      <w:r w:rsidRPr="009654AD">
        <w:rPr>
          <w:rFonts w:ascii="Times New Roman" w:hAnsi="Times New Roman" w:cs="Times New Roman"/>
          <w:szCs w:val="24"/>
        </w:rPr>
        <w:t xml:space="preserve">7.9 </w:t>
      </w:r>
      <w:r w:rsidRPr="009654AD">
        <w:rPr>
          <w:rFonts w:ascii="Times New Roman" w:hAnsi="Times New Roman" w:cs="Times New Roman"/>
          <w:szCs w:val="24"/>
        </w:rPr>
        <w:t>投资组合报告附注</w:t>
      </w:r>
    </w:p>
    <w:p w:rsidR="009654AD" w:rsidRPr="009654AD" w:rsidRDefault="009654AD" w:rsidP="009654AD">
      <w:pPr>
        <w:spacing w:before="29" w:line="288" w:lineRule="auto"/>
        <w:rPr>
          <w:b/>
          <w:sz w:val="24"/>
        </w:rPr>
      </w:pPr>
      <w:r w:rsidRPr="009654AD">
        <w:rPr>
          <w:b/>
          <w:sz w:val="24"/>
        </w:rPr>
        <w:t>7.9.1</w:t>
      </w:r>
      <w:r w:rsidRPr="009654AD">
        <w:rPr>
          <w:b/>
          <w:sz w:val="24"/>
        </w:rPr>
        <w:t>基金计价方法说明</w:t>
      </w:r>
    </w:p>
    <w:p w:rsidR="009654AD" w:rsidRPr="00A368D5" w:rsidRDefault="009654AD" w:rsidP="00A368D5">
      <w:pPr>
        <w:spacing w:before="29" w:line="288" w:lineRule="auto"/>
        <w:ind w:firstLineChars="200" w:firstLine="480"/>
        <w:rPr>
          <w:color w:val="000000"/>
          <w:sz w:val="24"/>
        </w:rPr>
      </w:pPr>
      <w:r w:rsidRPr="00A368D5">
        <w:rPr>
          <w:color w:val="000000"/>
          <w:sz w:val="24"/>
        </w:rPr>
        <w:t>本基金采用摊余成本法计价，即计价对象以买入成本列示，按票面利率或商定利率并考虑其买入时的溢价与折价，在其剩余期限内按照实际利率和摊余成本逐日摊销计算损益。</w:t>
      </w:r>
    </w:p>
    <w:p w:rsidR="009654AD" w:rsidRPr="00C46283" w:rsidRDefault="009654AD" w:rsidP="009654AD">
      <w:pPr>
        <w:spacing w:line="288" w:lineRule="auto"/>
        <w:ind w:firstLine="420"/>
        <w:rPr>
          <w:rFonts w:eastAsiaTheme="minorEastAsia"/>
          <w:b/>
          <w:szCs w:val="21"/>
        </w:rPr>
      </w:pPr>
    </w:p>
    <w:p w:rsidR="009654AD" w:rsidRPr="009654AD" w:rsidRDefault="009654AD" w:rsidP="00A05707">
      <w:pPr>
        <w:spacing w:line="360" w:lineRule="auto"/>
        <w:rPr>
          <w:bCs/>
          <w:sz w:val="24"/>
        </w:rPr>
      </w:pPr>
      <w:r w:rsidRPr="002801CE">
        <w:rPr>
          <w:b/>
          <w:sz w:val="24"/>
        </w:rPr>
        <w:t>7.9.2</w:t>
      </w:r>
      <w:r w:rsidRPr="002801CE">
        <w:rPr>
          <w:sz w:val="24"/>
        </w:rPr>
        <w:t>报告期内本基金投资的前十名证券的发行主体除</w:t>
      </w:r>
      <w:r w:rsidRPr="002801CE">
        <w:rPr>
          <w:sz w:val="24"/>
        </w:rPr>
        <w:t>18</w:t>
      </w:r>
      <w:r w:rsidRPr="002801CE">
        <w:rPr>
          <w:sz w:val="24"/>
        </w:rPr>
        <w:t>浦发银行</w:t>
      </w:r>
      <w:r w:rsidRPr="002801CE">
        <w:rPr>
          <w:sz w:val="24"/>
        </w:rPr>
        <w:t>CD075</w:t>
      </w:r>
      <w:r w:rsidRPr="002801CE">
        <w:rPr>
          <w:sz w:val="24"/>
        </w:rPr>
        <w:t>（证券代码：</w:t>
      </w:r>
      <w:r w:rsidRPr="002801CE">
        <w:rPr>
          <w:sz w:val="24"/>
        </w:rPr>
        <w:t>111809075</w:t>
      </w:r>
      <w:r w:rsidRPr="002801CE">
        <w:rPr>
          <w:sz w:val="24"/>
        </w:rPr>
        <w:t>）外，未出现被监管部门立案调查，或在报告编制日前一年内受到公开谴责、处罚的情形。</w:t>
      </w:r>
    </w:p>
    <w:p w:rsidR="001124D8" w:rsidRDefault="00C50050">
      <w:pPr>
        <w:spacing w:line="360" w:lineRule="auto"/>
        <w:rPr>
          <w:bCs/>
          <w:sz w:val="24"/>
        </w:rPr>
      </w:pPr>
      <w:r>
        <w:rPr>
          <w:sz w:val="24"/>
        </w:rPr>
        <w:t>报告期内本基金投资的前十名证券之一</w:t>
      </w:r>
      <w:r>
        <w:rPr>
          <w:sz w:val="24"/>
        </w:rPr>
        <w:t>18</w:t>
      </w:r>
      <w:r>
        <w:rPr>
          <w:sz w:val="24"/>
        </w:rPr>
        <w:t>浦发银行</w:t>
      </w:r>
      <w:r>
        <w:rPr>
          <w:sz w:val="24"/>
        </w:rPr>
        <w:t>CD075</w:t>
      </w:r>
      <w:r>
        <w:rPr>
          <w:sz w:val="24"/>
        </w:rPr>
        <w:t>（证券代码：</w:t>
      </w:r>
      <w:r>
        <w:rPr>
          <w:sz w:val="24"/>
        </w:rPr>
        <w:t>111809075</w:t>
      </w:r>
      <w:r>
        <w:rPr>
          <w:sz w:val="24"/>
        </w:rPr>
        <w:t>）的发行主体浦发银行于</w:t>
      </w:r>
      <w:r>
        <w:rPr>
          <w:sz w:val="24"/>
        </w:rPr>
        <w:t>2018</w:t>
      </w:r>
      <w:r>
        <w:rPr>
          <w:sz w:val="24"/>
        </w:rPr>
        <w:t>年</w:t>
      </w:r>
      <w:r>
        <w:rPr>
          <w:sz w:val="24"/>
        </w:rPr>
        <w:t>1</w:t>
      </w:r>
      <w:r>
        <w:rPr>
          <w:sz w:val="24"/>
        </w:rPr>
        <w:t>月</w:t>
      </w:r>
      <w:r>
        <w:rPr>
          <w:sz w:val="24"/>
        </w:rPr>
        <w:t>20</w:t>
      </w:r>
      <w:r>
        <w:rPr>
          <w:sz w:val="24"/>
        </w:rPr>
        <w:t>日公告，公司收到中国银行业监督管理委员会四川监管局（以下简称</w:t>
      </w:r>
      <w:r>
        <w:rPr>
          <w:sz w:val="24"/>
        </w:rPr>
        <w:t>“</w:t>
      </w:r>
      <w:r>
        <w:rPr>
          <w:sz w:val="24"/>
        </w:rPr>
        <w:t>银监会四川监管局</w:t>
      </w:r>
      <w:r>
        <w:rPr>
          <w:sz w:val="24"/>
        </w:rPr>
        <w:t>”</w:t>
      </w:r>
      <w:r>
        <w:rPr>
          <w:sz w:val="24"/>
        </w:rPr>
        <w:t>）行政处罚决定书（川银监罚字【</w:t>
      </w:r>
      <w:r>
        <w:rPr>
          <w:sz w:val="24"/>
        </w:rPr>
        <w:t>2018</w:t>
      </w:r>
      <w:r>
        <w:rPr>
          <w:sz w:val="24"/>
        </w:rPr>
        <w:t>】</w:t>
      </w:r>
      <w:r>
        <w:rPr>
          <w:sz w:val="24"/>
        </w:rPr>
        <w:t>2</w:t>
      </w:r>
      <w:r>
        <w:rPr>
          <w:sz w:val="24"/>
        </w:rPr>
        <w:t>号）</w:t>
      </w:r>
      <w:r>
        <w:rPr>
          <w:sz w:val="24"/>
        </w:rPr>
        <w:t>,</w:t>
      </w:r>
      <w:r>
        <w:rPr>
          <w:sz w:val="24"/>
        </w:rPr>
        <w:t>对成都分行内控管理严重失效</w:t>
      </w:r>
      <w:r>
        <w:rPr>
          <w:sz w:val="24"/>
        </w:rPr>
        <w:t>,</w:t>
      </w:r>
      <w:r>
        <w:rPr>
          <w:sz w:val="24"/>
        </w:rPr>
        <w:t>授信管理违规，违规办理信贷业务等严重违反审慎经营规则的违规行为依法查处，执行罚款</w:t>
      </w:r>
      <w:r>
        <w:rPr>
          <w:sz w:val="24"/>
        </w:rPr>
        <w:t>46,175</w:t>
      </w:r>
      <w:r>
        <w:rPr>
          <w:sz w:val="24"/>
        </w:rPr>
        <w:t>万元人民币。</w:t>
      </w:r>
    </w:p>
    <w:p w:rsidR="001124D8" w:rsidRDefault="00C50050">
      <w:pPr>
        <w:spacing w:line="360" w:lineRule="auto"/>
        <w:rPr>
          <w:bCs/>
          <w:sz w:val="24"/>
        </w:rPr>
      </w:pPr>
      <w:r>
        <w:rPr>
          <w:sz w:val="24"/>
        </w:rPr>
        <w:t>本基金管理人对该证券投资决策程序的说明如下：本基金管理人对证券投资特别是重仓个券的投资有严格的投资决策流程控制。本基金在对该证券的投资也严格执行投资决策流程。在对该证券的选择上，严格执行公司个券审核流程。在对该证券的持有过程中研究员密切关注债券发行主体动向。在上述处罚发生时及时分析其对投资决策的影响，经过分析认为此事件对债券发行主体财务状况、经营成果和现金流量未产生重大的实质性影响，所以不影响对该债券基本面和投资价值的判断。</w:t>
      </w:r>
    </w:p>
    <w:p w:rsidR="009654AD" w:rsidRPr="0061644B" w:rsidRDefault="009654AD" w:rsidP="00792A69">
      <w:pPr>
        <w:spacing w:before="29" w:line="288" w:lineRule="auto"/>
        <w:ind w:firstLine="420"/>
        <w:rPr>
          <w:bCs/>
          <w:sz w:val="24"/>
        </w:rPr>
      </w:pPr>
    </w:p>
    <w:p w:rsidR="001C2813" w:rsidRPr="0061644B" w:rsidRDefault="001C2813" w:rsidP="00792A69">
      <w:pPr>
        <w:spacing w:before="29" w:line="288" w:lineRule="auto"/>
        <w:rPr>
          <w:b/>
          <w:sz w:val="24"/>
        </w:rPr>
      </w:pPr>
      <w:r w:rsidRPr="0061644B">
        <w:rPr>
          <w:b/>
          <w:sz w:val="24"/>
        </w:rPr>
        <w:t>7.9.3</w:t>
      </w:r>
      <w:r w:rsidRPr="0061644B">
        <w:rPr>
          <w:b/>
          <w:sz w:val="24"/>
        </w:rPr>
        <w:t>期末其他各项资产构成</w:t>
      </w:r>
    </w:p>
    <w:p w:rsidR="006D141C" w:rsidRPr="0061644B" w:rsidRDefault="005B4215" w:rsidP="00792A69">
      <w:pPr>
        <w:autoSpaceDE w:val="0"/>
        <w:autoSpaceDN w:val="0"/>
        <w:adjustRightInd w:val="0"/>
        <w:spacing w:before="29" w:line="288" w:lineRule="auto"/>
        <w:ind w:left="15"/>
        <w:jc w:val="right"/>
        <w:rPr>
          <w:kern w:val="0"/>
          <w:sz w:val="24"/>
        </w:rPr>
      </w:pPr>
      <w:r w:rsidRPr="0061644B">
        <w:rPr>
          <w:sz w:val="24"/>
        </w:rPr>
        <w:t>单位：人民币元</w:t>
      </w:r>
    </w:p>
    <w:tbl>
      <w:tblPr>
        <w:tblW w:w="92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4"/>
        <w:gridCol w:w="4217"/>
        <w:gridCol w:w="4218"/>
      </w:tblGrid>
      <w:tr w:rsidR="006B4A69" w:rsidRPr="0061644B" w:rsidTr="002D287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序号</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名称</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金额</w:t>
            </w:r>
          </w:p>
        </w:tc>
      </w:tr>
      <w:tr w:rsidR="006B4A69" w:rsidRPr="0061644B" w:rsidTr="002D287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1</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Chars="50" w:left="105"/>
              <w:rPr>
                <w:sz w:val="24"/>
              </w:rPr>
            </w:pPr>
            <w:r w:rsidRPr="0061644B">
              <w:rPr>
                <w:sz w:val="24"/>
              </w:rPr>
              <w:t>存出保证金</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autoSpaceDE w:val="0"/>
              <w:autoSpaceDN w:val="0"/>
              <w:adjustRightInd w:val="0"/>
              <w:spacing w:before="29" w:line="288" w:lineRule="auto"/>
              <w:ind w:left="15"/>
              <w:jc w:val="right"/>
              <w:rPr>
                <w:sz w:val="24"/>
              </w:rPr>
            </w:pPr>
            <w:r w:rsidRPr="0061644B">
              <w:rPr>
                <w:sz w:val="24"/>
              </w:rPr>
              <w:t>326.69</w:t>
            </w:r>
          </w:p>
        </w:tc>
      </w:tr>
      <w:tr w:rsidR="006B4A69" w:rsidRPr="0061644B" w:rsidTr="002D287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2</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Chars="50" w:left="105"/>
              <w:rPr>
                <w:sz w:val="24"/>
              </w:rPr>
            </w:pPr>
            <w:r w:rsidRPr="0061644B">
              <w:rPr>
                <w:sz w:val="24"/>
              </w:rPr>
              <w:t>应收证券清算款</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autoSpaceDE w:val="0"/>
              <w:autoSpaceDN w:val="0"/>
              <w:adjustRightInd w:val="0"/>
              <w:spacing w:before="29" w:line="288" w:lineRule="auto"/>
              <w:ind w:left="15"/>
              <w:jc w:val="right"/>
              <w:rPr>
                <w:sz w:val="24"/>
              </w:rPr>
            </w:pPr>
            <w:r w:rsidRPr="0061644B">
              <w:rPr>
                <w:sz w:val="24"/>
              </w:rPr>
              <w:t>-</w:t>
            </w:r>
          </w:p>
        </w:tc>
      </w:tr>
      <w:tr w:rsidR="006B4A69" w:rsidRPr="0061644B" w:rsidTr="002D287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1C2813" w:rsidP="00792A69">
            <w:pPr>
              <w:spacing w:before="29" w:line="288" w:lineRule="auto"/>
              <w:jc w:val="center"/>
              <w:rPr>
                <w:sz w:val="24"/>
              </w:rPr>
            </w:pPr>
            <w:r w:rsidRPr="0061644B">
              <w:rPr>
                <w:sz w:val="24"/>
              </w:rPr>
              <w:t>3</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Chars="50" w:left="105"/>
              <w:rPr>
                <w:sz w:val="24"/>
              </w:rPr>
            </w:pPr>
            <w:r w:rsidRPr="0061644B">
              <w:rPr>
                <w:sz w:val="24"/>
              </w:rPr>
              <w:t>应收利息</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autoSpaceDE w:val="0"/>
              <w:autoSpaceDN w:val="0"/>
              <w:adjustRightInd w:val="0"/>
              <w:spacing w:before="29" w:line="288" w:lineRule="auto"/>
              <w:ind w:left="15"/>
              <w:jc w:val="right"/>
              <w:rPr>
                <w:sz w:val="24"/>
              </w:rPr>
            </w:pPr>
            <w:r w:rsidRPr="0061644B">
              <w:rPr>
                <w:sz w:val="24"/>
              </w:rPr>
              <w:t>692,829.40</w:t>
            </w:r>
          </w:p>
        </w:tc>
      </w:tr>
      <w:tr w:rsidR="006B4A69" w:rsidRPr="0061644B" w:rsidTr="002D287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1C2813" w:rsidP="00792A69">
            <w:pPr>
              <w:spacing w:before="29" w:line="288" w:lineRule="auto"/>
              <w:jc w:val="center"/>
              <w:rPr>
                <w:sz w:val="24"/>
              </w:rPr>
            </w:pPr>
            <w:r w:rsidRPr="0061644B">
              <w:rPr>
                <w:sz w:val="24"/>
              </w:rPr>
              <w:t>4</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Chars="50" w:left="105"/>
              <w:rPr>
                <w:sz w:val="24"/>
              </w:rPr>
            </w:pPr>
            <w:r w:rsidRPr="0061644B">
              <w:rPr>
                <w:sz w:val="24"/>
              </w:rPr>
              <w:t>应收申购款</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autoSpaceDE w:val="0"/>
              <w:autoSpaceDN w:val="0"/>
              <w:adjustRightInd w:val="0"/>
              <w:spacing w:before="29" w:line="288" w:lineRule="auto"/>
              <w:ind w:left="15"/>
              <w:jc w:val="right"/>
              <w:rPr>
                <w:sz w:val="24"/>
              </w:rPr>
            </w:pPr>
            <w:r w:rsidRPr="0061644B">
              <w:rPr>
                <w:sz w:val="24"/>
              </w:rPr>
              <w:t>100.00</w:t>
            </w:r>
          </w:p>
        </w:tc>
      </w:tr>
      <w:tr w:rsidR="006B4A69" w:rsidRPr="0061644B" w:rsidTr="002D287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1C2813" w:rsidP="00792A69">
            <w:pPr>
              <w:spacing w:before="29" w:line="288" w:lineRule="auto"/>
              <w:jc w:val="center"/>
              <w:rPr>
                <w:sz w:val="24"/>
              </w:rPr>
            </w:pPr>
            <w:r w:rsidRPr="0061644B">
              <w:rPr>
                <w:sz w:val="24"/>
              </w:rPr>
              <w:t>5</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Chars="50" w:left="105"/>
              <w:rPr>
                <w:sz w:val="24"/>
              </w:rPr>
            </w:pPr>
            <w:r w:rsidRPr="0061644B">
              <w:rPr>
                <w:sz w:val="24"/>
              </w:rPr>
              <w:t>其他应收款</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autoSpaceDE w:val="0"/>
              <w:autoSpaceDN w:val="0"/>
              <w:adjustRightInd w:val="0"/>
              <w:spacing w:before="29" w:line="288" w:lineRule="auto"/>
              <w:ind w:left="15"/>
              <w:jc w:val="right"/>
              <w:rPr>
                <w:sz w:val="24"/>
              </w:rPr>
            </w:pPr>
            <w:r w:rsidRPr="0061644B">
              <w:rPr>
                <w:sz w:val="24"/>
              </w:rPr>
              <w:t>-</w:t>
            </w:r>
          </w:p>
        </w:tc>
      </w:tr>
      <w:tr w:rsidR="006B4A69" w:rsidRPr="0061644B" w:rsidTr="002D287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1C2813" w:rsidP="00792A69">
            <w:pPr>
              <w:spacing w:before="29" w:line="288" w:lineRule="auto"/>
              <w:jc w:val="center"/>
              <w:rPr>
                <w:sz w:val="24"/>
              </w:rPr>
            </w:pPr>
            <w:r w:rsidRPr="0061644B">
              <w:rPr>
                <w:sz w:val="24"/>
              </w:rPr>
              <w:lastRenderedPageBreak/>
              <w:t>6</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Chars="50" w:left="105"/>
              <w:rPr>
                <w:sz w:val="24"/>
              </w:rPr>
            </w:pPr>
            <w:r w:rsidRPr="0061644B">
              <w:rPr>
                <w:sz w:val="24"/>
              </w:rPr>
              <w:t>待摊费用</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autoSpaceDE w:val="0"/>
              <w:autoSpaceDN w:val="0"/>
              <w:adjustRightInd w:val="0"/>
              <w:spacing w:before="29" w:line="288" w:lineRule="auto"/>
              <w:ind w:left="15"/>
              <w:jc w:val="right"/>
              <w:rPr>
                <w:sz w:val="24"/>
              </w:rPr>
            </w:pPr>
            <w:r w:rsidRPr="0061644B">
              <w:rPr>
                <w:sz w:val="24"/>
              </w:rPr>
              <w:t>-</w:t>
            </w:r>
          </w:p>
        </w:tc>
      </w:tr>
      <w:tr w:rsidR="006B4A69" w:rsidRPr="0061644B" w:rsidTr="002D287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autoSpaceDE w:val="0"/>
              <w:autoSpaceDN w:val="0"/>
              <w:adjustRightInd w:val="0"/>
              <w:spacing w:before="29" w:line="288" w:lineRule="auto"/>
              <w:ind w:left="15"/>
              <w:jc w:val="center"/>
              <w:rPr>
                <w:sz w:val="24"/>
              </w:rPr>
            </w:pPr>
            <w:r w:rsidRPr="0061644B">
              <w:rPr>
                <w:sz w:val="24"/>
              </w:rPr>
              <w:t>7</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Chars="50" w:left="105"/>
              <w:rPr>
                <w:sz w:val="24"/>
              </w:rPr>
            </w:pPr>
            <w:r w:rsidRPr="0061644B">
              <w:rPr>
                <w:sz w:val="24"/>
              </w:rPr>
              <w:t>其他</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autoSpaceDE w:val="0"/>
              <w:autoSpaceDN w:val="0"/>
              <w:adjustRightInd w:val="0"/>
              <w:spacing w:before="29" w:line="288" w:lineRule="auto"/>
              <w:ind w:left="15"/>
              <w:jc w:val="right"/>
              <w:rPr>
                <w:sz w:val="24"/>
              </w:rPr>
            </w:pPr>
            <w:r w:rsidRPr="0061644B">
              <w:rPr>
                <w:sz w:val="24"/>
              </w:rPr>
              <w:t>-</w:t>
            </w:r>
          </w:p>
        </w:tc>
      </w:tr>
      <w:tr w:rsidR="006B4A69" w:rsidRPr="0061644B" w:rsidTr="002D287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autoSpaceDE w:val="0"/>
              <w:autoSpaceDN w:val="0"/>
              <w:adjustRightInd w:val="0"/>
              <w:spacing w:before="29" w:line="288" w:lineRule="auto"/>
              <w:ind w:left="15"/>
              <w:jc w:val="center"/>
              <w:rPr>
                <w:sz w:val="24"/>
              </w:rPr>
            </w:pPr>
            <w:r w:rsidRPr="0061644B">
              <w:rPr>
                <w:sz w:val="24"/>
              </w:rPr>
              <w:t>8</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Chars="50" w:left="105"/>
              <w:rPr>
                <w:sz w:val="24"/>
              </w:rPr>
            </w:pPr>
            <w:r w:rsidRPr="0061644B">
              <w:rPr>
                <w:sz w:val="24"/>
              </w:rPr>
              <w:t>合计</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autoSpaceDE w:val="0"/>
              <w:autoSpaceDN w:val="0"/>
              <w:adjustRightInd w:val="0"/>
              <w:spacing w:before="29" w:line="288" w:lineRule="auto"/>
              <w:ind w:left="15"/>
              <w:jc w:val="right"/>
              <w:rPr>
                <w:sz w:val="24"/>
              </w:rPr>
            </w:pPr>
            <w:r w:rsidRPr="0061644B">
              <w:rPr>
                <w:sz w:val="24"/>
              </w:rPr>
              <w:t>693,256.09</w:t>
            </w:r>
          </w:p>
        </w:tc>
      </w:tr>
    </w:tbl>
    <w:p w:rsidR="006D141C" w:rsidRPr="0061644B" w:rsidRDefault="006D141C" w:rsidP="00792A69">
      <w:pPr>
        <w:pStyle w:val="af6"/>
        <w:spacing w:before="29" w:beforeAutospacing="0" w:after="0" w:afterAutospacing="0" w:line="288" w:lineRule="auto"/>
        <w:rPr>
          <w:rFonts w:ascii="Times New Roman" w:hAnsi="Times New Roman"/>
        </w:rPr>
      </w:pPr>
    </w:p>
    <w:p w:rsidR="006D141C" w:rsidRPr="0061644B" w:rsidRDefault="006D141C" w:rsidP="00792A69">
      <w:pPr>
        <w:spacing w:before="29" w:line="288" w:lineRule="auto"/>
        <w:rPr>
          <w:b/>
          <w:sz w:val="24"/>
        </w:rPr>
      </w:pPr>
      <w:r w:rsidRPr="0061644B">
        <w:rPr>
          <w:b/>
          <w:sz w:val="24"/>
        </w:rPr>
        <w:t>7.9.4</w:t>
      </w:r>
      <w:r w:rsidR="00EC034B" w:rsidRPr="0061644B">
        <w:rPr>
          <w:b/>
          <w:sz w:val="24"/>
        </w:rPr>
        <w:t>其他需说明的重要事项</w:t>
      </w:r>
    </w:p>
    <w:p w:rsidR="006D141C" w:rsidRDefault="006D141C" w:rsidP="00792A69">
      <w:pPr>
        <w:spacing w:before="29" w:line="288" w:lineRule="auto"/>
        <w:ind w:firstLineChars="200" w:firstLine="480"/>
        <w:rPr>
          <w:color w:val="000000"/>
          <w:sz w:val="24"/>
        </w:rPr>
      </w:pPr>
      <w:r w:rsidRPr="0061644B">
        <w:rPr>
          <w:color w:val="000000"/>
          <w:sz w:val="24"/>
        </w:rPr>
        <w:t>由于四舍五入的原因，分项之和与合计项之间可能存在尾差。</w:t>
      </w:r>
    </w:p>
    <w:p w:rsidR="00700854" w:rsidRPr="0061644B" w:rsidRDefault="00700854" w:rsidP="00792A69">
      <w:pPr>
        <w:spacing w:before="29" w:line="288" w:lineRule="auto"/>
        <w:ind w:firstLineChars="200" w:firstLine="480"/>
        <w:rPr>
          <w:color w:val="000000"/>
          <w:sz w:val="24"/>
        </w:rPr>
      </w:pPr>
    </w:p>
    <w:p w:rsidR="006D141C" w:rsidRPr="0061644B" w:rsidRDefault="002620BD" w:rsidP="00B54CAD">
      <w:pPr>
        <w:pStyle w:val="1"/>
        <w:keepNext/>
        <w:keepLines/>
        <w:widowControl w:val="0"/>
        <w:spacing w:beforeLines="100" w:before="312" w:afterLines="100" w:after="312" w:line="288" w:lineRule="auto"/>
        <w:jc w:val="center"/>
        <w:rPr>
          <w:b/>
          <w:bCs/>
          <w:szCs w:val="24"/>
          <w:lang w:val="en-US"/>
        </w:rPr>
      </w:pPr>
      <w:bookmarkStart w:id="30" w:name="_Toc331410111"/>
      <w:bookmarkStart w:id="31" w:name="_Toc225500050"/>
      <w:r w:rsidRPr="0061644B">
        <w:rPr>
          <w:b/>
          <w:bCs/>
          <w:szCs w:val="24"/>
          <w:lang w:val="en-US"/>
        </w:rPr>
        <w:t>8</w:t>
      </w:r>
      <w:r w:rsidR="006D141C" w:rsidRPr="0061644B">
        <w:rPr>
          <w:b/>
          <w:bCs/>
          <w:szCs w:val="24"/>
          <w:lang w:val="en-US"/>
        </w:rPr>
        <w:t>基金份额持有人信息</w:t>
      </w:r>
      <w:bookmarkEnd w:id="30"/>
      <w:bookmarkEnd w:id="31"/>
    </w:p>
    <w:p w:rsidR="008531F2" w:rsidRPr="0061644B" w:rsidRDefault="008531F2" w:rsidP="00792A69">
      <w:pPr>
        <w:pStyle w:val="20"/>
        <w:spacing w:before="29" w:after="0" w:line="288" w:lineRule="auto"/>
        <w:rPr>
          <w:rFonts w:ascii="Times New Roman" w:hAnsi="Times New Roman" w:cs="Times New Roman"/>
          <w:kern w:val="0"/>
          <w:szCs w:val="24"/>
        </w:rPr>
      </w:pPr>
      <w:bookmarkStart w:id="32" w:name="_Toc331410112"/>
      <w:bookmarkStart w:id="33" w:name="_Toc225500051"/>
      <w:r w:rsidRPr="0061644B">
        <w:rPr>
          <w:rFonts w:ascii="Times New Roman" w:hAnsi="Times New Roman" w:cs="Times New Roman"/>
          <w:kern w:val="0"/>
          <w:szCs w:val="24"/>
        </w:rPr>
        <w:t xml:space="preserve">8.1 </w:t>
      </w:r>
      <w:r w:rsidRPr="0061644B">
        <w:rPr>
          <w:rFonts w:ascii="Times New Roman" w:hAnsi="Times New Roman" w:cs="Times New Roman"/>
          <w:kern w:val="0"/>
          <w:szCs w:val="24"/>
        </w:rPr>
        <w:t>期末基金份额持有人户数及持有人结构</w:t>
      </w:r>
      <w:bookmarkEnd w:id="32"/>
      <w:bookmarkEnd w:id="33"/>
    </w:p>
    <w:p w:rsidR="002E74C6" w:rsidRPr="000C331C" w:rsidRDefault="002E74C6" w:rsidP="002E74C6">
      <w:pPr>
        <w:autoSpaceDE w:val="0"/>
        <w:autoSpaceDN w:val="0"/>
        <w:adjustRightInd w:val="0"/>
        <w:spacing w:before="29" w:line="288" w:lineRule="auto"/>
        <w:ind w:left="15"/>
        <w:jc w:val="right"/>
        <w:rPr>
          <w:sz w:val="24"/>
        </w:rPr>
      </w:pPr>
      <w:r w:rsidRPr="000C331C">
        <w:rPr>
          <w:sz w:val="24"/>
        </w:rPr>
        <w:t>份额单位：份</w:t>
      </w:r>
    </w:p>
    <w:p w:rsidR="002E74C6" w:rsidRPr="00CB464C" w:rsidRDefault="002E74C6" w:rsidP="002E74C6">
      <w:pPr>
        <w:autoSpaceDE w:val="0"/>
        <w:autoSpaceDN w:val="0"/>
        <w:adjustRightInd w:val="0"/>
        <w:spacing w:line="360" w:lineRule="auto"/>
        <w:jc w:val="left"/>
        <w:rPr>
          <w:rFonts w:eastAsiaTheme="minorEastAsia"/>
          <w:color w:val="000000"/>
          <w:szCs w:val="21"/>
        </w:rPr>
      </w:pPr>
    </w:p>
    <w:tbl>
      <w:tblPr>
        <w:tblW w:w="5000" w:type="pct"/>
        <w:jc w:val="center"/>
        <w:tblLook w:val="00A0" w:firstRow="1" w:lastRow="0" w:firstColumn="1" w:lastColumn="0" w:noHBand="0" w:noVBand="0"/>
      </w:tblPr>
      <w:tblGrid>
        <w:gridCol w:w="1540"/>
        <w:gridCol w:w="926"/>
        <w:gridCol w:w="1596"/>
        <w:gridCol w:w="1716"/>
        <w:gridCol w:w="1076"/>
        <w:gridCol w:w="1476"/>
        <w:gridCol w:w="956"/>
      </w:tblGrid>
      <w:tr w:rsidR="002E74C6" w:rsidRPr="00CB464C" w:rsidTr="00B258B8">
        <w:trPr>
          <w:jc w:val="center"/>
        </w:trPr>
        <w:tc>
          <w:tcPr>
            <w:tcW w:w="964" w:type="pct"/>
            <w:vMerge w:val="restar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sz w:val="24"/>
              </w:rPr>
            </w:pPr>
            <w:r w:rsidRPr="00495552">
              <w:rPr>
                <w:sz w:val="24"/>
              </w:rPr>
              <w:t>份额级别</w:t>
            </w:r>
          </w:p>
        </w:tc>
        <w:tc>
          <w:tcPr>
            <w:tcW w:w="633" w:type="pct"/>
            <w:vMerge w:val="restar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sz w:val="24"/>
              </w:rPr>
            </w:pPr>
            <w:r w:rsidRPr="00495552">
              <w:rPr>
                <w:sz w:val="24"/>
              </w:rPr>
              <w:t>持有人户数</w:t>
            </w:r>
            <w:r w:rsidRPr="00495552">
              <w:rPr>
                <w:sz w:val="24"/>
              </w:rPr>
              <w:t>(</w:t>
            </w:r>
            <w:r w:rsidRPr="00495552">
              <w:rPr>
                <w:sz w:val="24"/>
              </w:rPr>
              <w:t>户</w:t>
            </w:r>
            <w:r w:rsidRPr="00495552">
              <w:rPr>
                <w:sz w:val="24"/>
              </w:rP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sz w:val="24"/>
              </w:rPr>
            </w:pPr>
            <w:r w:rsidRPr="00495552">
              <w:rPr>
                <w:sz w:val="24"/>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hideMark/>
          </w:tcPr>
          <w:p w:rsidR="002E74C6" w:rsidRPr="00495552" w:rsidRDefault="002E74C6" w:rsidP="00B258B8">
            <w:pPr>
              <w:spacing w:before="29" w:line="288" w:lineRule="auto"/>
              <w:jc w:val="center"/>
              <w:rPr>
                <w:sz w:val="24"/>
              </w:rPr>
            </w:pPr>
            <w:r w:rsidRPr="00495552">
              <w:rPr>
                <w:sz w:val="24"/>
              </w:rPr>
              <w:t>持有人结构</w:t>
            </w:r>
          </w:p>
        </w:tc>
      </w:tr>
      <w:tr w:rsidR="002E74C6" w:rsidRPr="00CB464C" w:rsidTr="00B258B8">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sz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sz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sz w:val="24"/>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sz w:val="24"/>
              </w:rPr>
            </w:pPr>
            <w:r w:rsidRPr="00495552">
              <w:rPr>
                <w:sz w:val="24"/>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sz w:val="24"/>
              </w:rPr>
            </w:pPr>
            <w:r w:rsidRPr="00495552">
              <w:rPr>
                <w:sz w:val="24"/>
              </w:rPr>
              <w:t>个人投资者</w:t>
            </w:r>
          </w:p>
        </w:tc>
      </w:tr>
      <w:tr w:rsidR="002E74C6" w:rsidRPr="00CB464C" w:rsidTr="00B258B8">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sz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sz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sz w:val="24"/>
              </w:rPr>
            </w:pPr>
          </w:p>
        </w:tc>
        <w:tc>
          <w:tcPr>
            <w:tcW w:w="826"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sz w:val="24"/>
              </w:rPr>
            </w:pPr>
            <w:r w:rsidRPr="00495552">
              <w:rPr>
                <w:sz w:val="24"/>
              </w:rPr>
              <w:t>持有份额</w:t>
            </w:r>
          </w:p>
        </w:tc>
        <w:tc>
          <w:tcPr>
            <w:tcW w:w="531"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sz w:val="24"/>
              </w:rPr>
            </w:pPr>
            <w:r w:rsidRPr="00495552">
              <w:rPr>
                <w:sz w:val="24"/>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sz w:val="24"/>
              </w:rPr>
            </w:pPr>
            <w:r w:rsidRPr="00495552">
              <w:rPr>
                <w:sz w:val="24"/>
              </w:rPr>
              <w:t>持有份额</w:t>
            </w:r>
          </w:p>
        </w:tc>
        <w:tc>
          <w:tcPr>
            <w:tcW w:w="515" w:type="pct"/>
            <w:tcBorders>
              <w:top w:val="single" w:sz="8" w:space="0" w:color="000000"/>
              <w:left w:val="single" w:sz="8" w:space="0" w:color="000000"/>
              <w:bottom w:val="single" w:sz="8" w:space="0" w:color="000000"/>
              <w:right w:val="single" w:sz="4" w:space="0" w:color="auto"/>
            </w:tcBorders>
            <w:vAlign w:val="center"/>
            <w:hideMark/>
          </w:tcPr>
          <w:p w:rsidR="002E74C6" w:rsidRPr="00495552" w:rsidRDefault="002E74C6" w:rsidP="00B258B8">
            <w:pPr>
              <w:spacing w:before="29" w:line="288" w:lineRule="auto"/>
              <w:jc w:val="center"/>
              <w:rPr>
                <w:sz w:val="24"/>
              </w:rPr>
            </w:pPr>
            <w:r w:rsidRPr="00495552">
              <w:rPr>
                <w:sz w:val="24"/>
              </w:rPr>
              <w:t>占总份额比例</w:t>
            </w:r>
          </w:p>
        </w:tc>
      </w:tr>
      <w:tr w:rsidR="002E74C6" w:rsidRPr="00CB464C" w:rsidTr="00B258B8">
        <w:trPr>
          <w:jc w:val="center"/>
        </w:trPr>
        <w:tc>
          <w:tcPr>
            <w:tcW w:w="964" w:type="pct"/>
            <w:tcBorders>
              <w:top w:val="nil"/>
              <w:left w:val="single" w:sz="8" w:space="0" w:color="000000"/>
              <w:bottom w:val="single" w:sz="8" w:space="0" w:color="000000"/>
              <w:right w:val="single" w:sz="8" w:space="0" w:color="000000"/>
            </w:tcBorders>
            <w:hideMark/>
          </w:tcPr>
          <w:p w:rsidR="002E74C6" w:rsidRPr="00495552" w:rsidRDefault="002E74C6" w:rsidP="00B258B8">
            <w:pPr>
              <w:spacing w:before="29" w:line="288" w:lineRule="auto"/>
              <w:jc w:val="center"/>
              <w:rPr>
                <w:bCs/>
                <w:sz w:val="24"/>
              </w:rPr>
            </w:pPr>
            <w:r w:rsidRPr="00495552">
              <w:rPr>
                <w:bCs/>
                <w:sz w:val="24"/>
              </w:rPr>
              <w:t>交银天运宝货币</w:t>
            </w:r>
            <w:r w:rsidRPr="00495552">
              <w:rPr>
                <w:bCs/>
                <w:sz w:val="24"/>
              </w:rPr>
              <w:t>A</w:t>
            </w:r>
          </w:p>
        </w:tc>
        <w:tc>
          <w:tcPr>
            <w:tcW w:w="633"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bCs/>
                <w:sz w:val="24"/>
              </w:rPr>
            </w:pPr>
            <w:r w:rsidRPr="00495552">
              <w:rPr>
                <w:bCs/>
                <w:sz w:val="24"/>
              </w:rPr>
              <w:t>221</w:t>
            </w:r>
          </w:p>
        </w:tc>
        <w:tc>
          <w:tcPr>
            <w:tcW w:w="688"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right"/>
              <w:rPr>
                <w:bCs/>
                <w:sz w:val="24"/>
              </w:rPr>
            </w:pPr>
            <w:r w:rsidRPr="00495552">
              <w:rPr>
                <w:bCs/>
                <w:sz w:val="24"/>
              </w:rPr>
              <w:t>56,765.52</w:t>
            </w:r>
          </w:p>
        </w:tc>
        <w:tc>
          <w:tcPr>
            <w:tcW w:w="826"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right"/>
              <w:rPr>
                <w:bCs/>
                <w:sz w:val="24"/>
              </w:rPr>
            </w:pPr>
            <w:r w:rsidRPr="00495552">
              <w:rPr>
                <w:bCs/>
                <w:sz w:val="24"/>
              </w:rPr>
              <w:t>3,005,226.88</w:t>
            </w:r>
          </w:p>
        </w:tc>
        <w:tc>
          <w:tcPr>
            <w:tcW w:w="531"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right"/>
              <w:rPr>
                <w:bCs/>
                <w:sz w:val="24"/>
              </w:rPr>
            </w:pPr>
            <w:r w:rsidRPr="00495552">
              <w:rPr>
                <w:bCs/>
                <w:sz w:val="24"/>
              </w:rPr>
              <w:t>23.96%</w:t>
            </w:r>
          </w:p>
        </w:tc>
        <w:tc>
          <w:tcPr>
            <w:tcW w:w="843"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right"/>
              <w:rPr>
                <w:bCs/>
                <w:sz w:val="24"/>
              </w:rPr>
            </w:pPr>
            <w:r w:rsidRPr="00495552">
              <w:rPr>
                <w:bCs/>
                <w:sz w:val="24"/>
              </w:rPr>
              <w:t>9,539,953.79</w:t>
            </w:r>
          </w:p>
        </w:tc>
        <w:tc>
          <w:tcPr>
            <w:tcW w:w="515" w:type="pct"/>
            <w:tcBorders>
              <w:top w:val="single" w:sz="8" w:space="0" w:color="000000"/>
              <w:left w:val="single" w:sz="8" w:space="0" w:color="000000"/>
              <w:bottom w:val="single" w:sz="8" w:space="0" w:color="000000"/>
              <w:right w:val="single" w:sz="4" w:space="0" w:color="auto"/>
            </w:tcBorders>
            <w:vAlign w:val="center"/>
            <w:hideMark/>
          </w:tcPr>
          <w:p w:rsidR="002E74C6" w:rsidRPr="00495552" w:rsidRDefault="002E74C6" w:rsidP="00B258B8">
            <w:pPr>
              <w:spacing w:before="29" w:line="288" w:lineRule="auto"/>
              <w:jc w:val="right"/>
              <w:rPr>
                <w:bCs/>
                <w:sz w:val="24"/>
              </w:rPr>
            </w:pPr>
            <w:r w:rsidRPr="00495552">
              <w:rPr>
                <w:bCs/>
                <w:sz w:val="24"/>
              </w:rPr>
              <w:t>76.04%</w:t>
            </w:r>
          </w:p>
        </w:tc>
      </w:tr>
      <w:tr w:rsidR="002E74C6" w:rsidRPr="00CB464C" w:rsidTr="00B258B8">
        <w:trPr>
          <w:jc w:val="center"/>
        </w:trPr>
        <w:tc>
          <w:tcPr>
            <w:tcW w:w="964" w:type="pct"/>
            <w:tcBorders>
              <w:top w:val="nil"/>
              <w:left w:val="single" w:sz="8" w:space="0" w:color="000000"/>
              <w:bottom w:val="single" w:sz="8" w:space="0" w:color="000000"/>
              <w:right w:val="single" w:sz="8" w:space="0" w:color="000000"/>
            </w:tcBorders>
            <w:hideMark/>
          </w:tcPr>
          <w:p w:rsidR="002E74C6" w:rsidRPr="00495552" w:rsidRDefault="002E74C6" w:rsidP="00B258B8">
            <w:pPr>
              <w:spacing w:before="29" w:line="288" w:lineRule="auto"/>
              <w:jc w:val="center"/>
              <w:rPr>
                <w:bCs/>
                <w:sz w:val="24"/>
              </w:rPr>
            </w:pPr>
            <w:r w:rsidRPr="00495552">
              <w:rPr>
                <w:bCs/>
                <w:sz w:val="24"/>
              </w:rPr>
              <w:t>交银天运宝货币</w:t>
            </w:r>
            <w:r w:rsidRPr="00495552">
              <w:rPr>
                <w:bCs/>
                <w:sz w:val="24"/>
              </w:rPr>
              <w:t>E</w:t>
            </w:r>
          </w:p>
        </w:tc>
        <w:tc>
          <w:tcPr>
            <w:tcW w:w="633"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bCs/>
                <w:sz w:val="24"/>
              </w:rPr>
            </w:pPr>
            <w:r w:rsidRPr="00495552">
              <w:rPr>
                <w:bCs/>
                <w:sz w:val="24"/>
              </w:rPr>
              <w:t>20</w:t>
            </w:r>
          </w:p>
        </w:tc>
        <w:tc>
          <w:tcPr>
            <w:tcW w:w="688"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right"/>
              <w:rPr>
                <w:bCs/>
                <w:sz w:val="24"/>
              </w:rPr>
            </w:pPr>
            <w:r w:rsidRPr="00495552">
              <w:rPr>
                <w:bCs/>
                <w:sz w:val="24"/>
              </w:rPr>
              <w:t>10,605,304.87</w:t>
            </w:r>
          </w:p>
        </w:tc>
        <w:tc>
          <w:tcPr>
            <w:tcW w:w="826"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right"/>
              <w:rPr>
                <w:bCs/>
                <w:sz w:val="24"/>
              </w:rPr>
            </w:pPr>
            <w:r w:rsidRPr="00495552">
              <w:rPr>
                <w:bCs/>
                <w:sz w:val="24"/>
              </w:rPr>
              <w:t>212,106,097.33</w:t>
            </w:r>
          </w:p>
        </w:tc>
        <w:tc>
          <w:tcPr>
            <w:tcW w:w="531"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right"/>
              <w:rPr>
                <w:bCs/>
                <w:sz w:val="24"/>
              </w:rPr>
            </w:pPr>
            <w:r w:rsidRPr="00495552">
              <w:rPr>
                <w:bCs/>
                <w:sz w:val="24"/>
              </w:rPr>
              <w:t>100.00%</w:t>
            </w:r>
          </w:p>
        </w:tc>
        <w:tc>
          <w:tcPr>
            <w:tcW w:w="843"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right"/>
              <w:rPr>
                <w:bCs/>
                <w:sz w:val="24"/>
              </w:rPr>
            </w:pPr>
            <w:r w:rsidRPr="00495552">
              <w:rPr>
                <w:bCs/>
                <w:sz w:val="24"/>
              </w:rPr>
              <w:t>-</w:t>
            </w:r>
          </w:p>
        </w:tc>
        <w:tc>
          <w:tcPr>
            <w:tcW w:w="515" w:type="pct"/>
            <w:tcBorders>
              <w:top w:val="single" w:sz="8" w:space="0" w:color="000000"/>
              <w:left w:val="single" w:sz="8" w:space="0" w:color="000000"/>
              <w:bottom w:val="single" w:sz="8" w:space="0" w:color="000000"/>
              <w:right w:val="single" w:sz="4" w:space="0" w:color="auto"/>
            </w:tcBorders>
            <w:vAlign w:val="center"/>
            <w:hideMark/>
          </w:tcPr>
          <w:p w:rsidR="002E74C6" w:rsidRPr="00495552" w:rsidRDefault="002E74C6" w:rsidP="00B258B8">
            <w:pPr>
              <w:spacing w:before="29" w:line="288" w:lineRule="auto"/>
              <w:jc w:val="right"/>
              <w:rPr>
                <w:bCs/>
                <w:sz w:val="24"/>
              </w:rPr>
            </w:pPr>
            <w:r w:rsidRPr="00495552">
              <w:rPr>
                <w:bCs/>
                <w:sz w:val="24"/>
              </w:rPr>
              <w:t>-</w:t>
            </w:r>
          </w:p>
        </w:tc>
      </w:tr>
      <w:tr w:rsidR="002E74C6" w:rsidRPr="00CB464C" w:rsidTr="00B258B8">
        <w:trPr>
          <w:jc w:val="center"/>
        </w:trPr>
        <w:tc>
          <w:tcPr>
            <w:tcW w:w="964" w:type="pct"/>
            <w:tcBorders>
              <w:top w:val="single" w:sz="8" w:space="0" w:color="000000"/>
              <w:left w:val="single" w:sz="8" w:space="0" w:color="000000"/>
              <w:bottom w:val="single" w:sz="8" w:space="0" w:color="000000"/>
              <w:right w:val="single" w:sz="8" w:space="0" w:color="000000"/>
            </w:tcBorders>
            <w:hideMark/>
          </w:tcPr>
          <w:p w:rsidR="002E74C6" w:rsidRPr="00495552" w:rsidRDefault="002E74C6" w:rsidP="00B258B8">
            <w:pPr>
              <w:spacing w:before="29" w:line="288" w:lineRule="auto"/>
              <w:jc w:val="center"/>
              <w:rPr>
                <w:bCs/>
                <w:sz w:val="24"/>
              </w:rPr>
            </w:pPr>
            <w:r w:rsidRPr="00495552">
              <w:rPr>
                <w:bCs/>
                <w:sz w:val="24"/>
              </w:rPr>
              <w:t>合计</w:t>
            </w:r>
          </w:p>
        </w:tc>
        <w:tc>
          <w:tcPr>
            <w:tcW w:w="633"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bCs/>
                <w:sz w:val="24"/>
              </w:rPr>
            </w:pPr>
            <w:r w:rsidRPr="00495552">
              <w:rPr>
                <w:bCs/>
                <w:sz w:val="24"/>
              </w:rPr>
              <w:t>241</w:t>
            </w:r>
          </w:p>
        </w:tc>
        <w:tc>
          <w:tcPr>
            <w:tcW w:w="688"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right"/>
              <w:rPr>
                <w:bCs/>
                <w:sz w:val="24"/>
              </w:rPr>
            </w:pPr>
            <w:r w:rsidRPr="00495552">
              <w:rPr>
                <w:bCs/>
                <w:sz w:val="24"/>
              </w:rPr>
              <w:t>932,162.98</w:t>
            </w:r>
          </w:p>
        </w:tc>
        <w:tc>
          <w:tcPr>
            <w:tcW w:w="826"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right"/>
              <w:rPr>
                <w:bCs/>
                <w:sz w:val="24"/>
              </w:rPr>
            </w:pPr>
            <w:r w:rsidRPr="00495552">
              <w:rPr>
                <w:bCs/>
                <w:sz w:val="24"/>
              </w:rPr>
              <w:t>215,111,324.21</w:t>
            </w:r>
          </w:p>
        </w:tc>
        <w:tc>
          <w:tcPr>
            <w:tcW w:w="531"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right"/>
              <w:rPr>
                <w:bCs/>
                <w:sz w:val="24"/>
              </w:rPr>
            </w:pPr>
            <w:r w:rsidRPr="00495552">
              <w:rPr>
                <w:bCs/>
                <w:sz w:val="24"/>
              </w:rPr>
              <w:t>95.75%</w:t>
            </w:r>
          </w:p>
        </w:tc>
        <w:tc>
          <w:tcPr>
            <w:tcW w:w="843"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right"/>
              <w:rPr>
                <w:bCs/>
                <w:sz w:val="24"/>
              </w:rPr>
            </w:pPr>
            <w:r w:rsidRPr="00495552">
              <w:rPr>
                <w:bCs/>
                <w:sz w:val="24"/>
              </w:rPr>
              <w:t>9,539,953.79</w:t>
            </w:r>
          </w:p>
        </w:tc>
        <w:tc>
          <w:tcPr>
            <w:tcW w:w="515" w:type="pct"/>
            <w:tcBorders>
              <w:top w:val="single" w:sz="8" w:space="0" w:color="000000"/>
              <w:left w:val="single" w:sz="8" w:space="0" w:color="000000"/>
              <w:bottom w:val="single" w:sz="8" w:space="0" w:color="000000"/>
              <w:right w:val="single" w:sz="4" w:space="0" w:color="auto"/>
            </w:tcBorders>
            <w:vAlign w:val="center"/>
            <w:hideMark/>
          </w:tcPr>
          <w:p w:rsidR="002E74C6" w:rsidRPr="00495552" w:rsidRDefault="002E74C6" w:rsidP="00B258B8">
            <w:pPr>
              <w:spacing w:before="29" w:line="288" w:lineRule="auto"/>
              <w:jc w:val="right"/>
              <w:rPr>
                <w:bCs/>
                <w:sz w:val="24"/>
              </w:rPr>
            </w:pPr>
            <w:r w:rsidRPr="00495552">
              <w:rPr>
                <w:bCs/>
                <w:sz w:val="24"/>
              </w:rPr>
              <w:t>4.25%</w:t>
            </w:r>
          </w:p>
        </w:tc>
      </w:tr>
    </w:tbl>
    <w:p w:rsidR="008531F2" w:rsidRPr="002E74C6" w:rsidRDefault="008531F2" w:rsidP="00792A69">
      <w:pPr>
        <w:spacing w:before="29" w:line="288" w:lineRule="auto"/>
        <w:rPr>
          <w:sz w:val="24"/>
        </w:rPr>
      </w:pPr>
    </w:p>
    <w:p w:rsidR="004A72D3" w:rsidRDefault="004A72D3" w:rsidP="00792A69">
      <w:pPr>
        <w:tabs>
          <w:tab w:val="left" w:pos="426"/>
        </w:tabs>
        <w:spacing w:before="29" w:line="288" w:lineRule="auto"/>
        <w:jc w:val="left"/>
        <w:rPr>
          <w:kern w:val="0"/>
          <w:sz w:val="24"/>
        </w:rPr>
      </w:pPr>
    </w:p>
    <w:p w:rsidR="0027759A" w:rsidRPr="005C0F38" w:rsidRDefault="00C50050" w:rsidP="0027759A">
      <w:pPr>
        <w:pStyle w:val="20"/>
        <w:spacing w:beforeLines="100" w:before="312" w:after="0"/>
        <w:rPr>
          <w:rFonts w:ascii="Times New Roman" w:eastAsiaTheme="minorEastAsia" w:hAnsi="Times New Roman"/>
          <w:color w:val="000000" w:themeColor="text1"/>
          <w:kern w:val="0"/>
          <w:sz w:val="21"/>
          <w:szCs w:val="21"/>
        </w:rPr>
      </w:pPr>
      <w:bookmarkStart w:id="34" w:name="OLE_LINK147"/>
      <w:bookmarkStart w:id="35" w:name="OLE_LINK148"/>
      <w:bookmarkStart w:id="36" w:name="OLE_LINK149"/>
      <w:bookmarkStart w:id="37" w:name="OLE_LINK160"/>
      <w:r>
        <w:rPr>
          <w:rFonts w:ascii="Times New Roman" w:eastAsiaTheme="minorEastAsia" w:hAnsi="Times New Roman"/>
          <w:color w:val="000000" w:themeColor="text1"/>
          <w:kern w:val="0"/>
          <w:sz w:val="21"/>
          <w:szCs w:val="21"/>
        </w:rPr>
        <w:t>8.2</w:t>
      </w:r>
      <w:r w:rsidR="0027759A" w:rsidRPr="005C0F38">
        <w:rPr>
          <w:rFonts w:ascii="Times New Roman" w:eastAsiaTheme="minorEastAsia" w:hAnsi="Times New Roman"/>
          <w:color w:val="000000" w:themeColor="text1"/>
          <w:kern w:val="0"/>
          <w:sz w:val="21"/>
          <w:szCs w:val="21"/>
        </w:rPr>
        <w:t xml:space="preserve"> </w:t>
      </w:r>
      <w:r w:rsidR="0027759A" w:rsidRPr="005C0F38">
        <w:rPr>
          <w:rFonts w:ascii="Times New Roman" w:eastAsiaTheme="minorEastAsia" w:hAnsi="Times New Roman" w:hint="eastAsia"/>
          <w:color w:val="000000" w:themeColor="text1"/>
          <w:kern w:val="0"/>
          <w:sz w:val="21"/>
          <w:szCs w:val="21"/>
        </w:rPr>
        <w:t>期末货币市场基金前十名份额持有人情况</w:t>
      </w:r>
    </w:p>
    <w:tbl>
      <w:tblPr>
        <w:tblStyle w:val="af7"/>
        <w:tblW w:w="9639" w:type="dxa"/>
        <w:tblInd w:w="108" w:type="dxa"/>
        <w:tblLayout w:type="fixed"/>
        <w:tblLook w:val="04A0" w:firstRow="1" w:lastRow="0" w:firstColumn="1" w:lastColumn="0" w:noHBand="0" w:noVBand="1"/>
      </w:tblPr>
      <w:tblGrid>
        <w:gridCol w:w="1560"/>
        <w:gridCol w:w="2835"/>
        <w:gridCol w:w="2551"/>
        <w:gridCol w:w="2693"/>
      </w:tblGrid>
      <w:tr w:rsidR="0027759A" w:rsidRPr="005C0F38" w:rsidTr="00B251C4">
        <w:tc>
          <w:tcPr>
            <w:tcW w:w="1560" w:type="dxa"/>
            <w:vAlign w:val="center"/>
          </w:tcPr>
          <w:p w:rsidR="0027759A" w:rsidRPr="005C0F38" w:rsidRDefault="0027759A" w:rsidP="00B251C4">
            <w:pPr>
              <w:spacing w:line="276" w:lineRule="auto"/>
              <w:jc w:val="center"/>
              <w:rPr>
                <w:rFonts w:eastAsiaTheme="minorEastAsia"/>
                <w:szCs w:val="21"/>
              </w:rPr>
            </w:pPr>
            <w:r w:rsidRPr="005C0F38">
              <w:rPr>
                <w:rFonts w:eastAsiaTheme="minorEastAsia"/>
                <w:szCs w:val="21"/>
              </w:rPr>
              <w:t>序号</w:t>
            </w:r>
          </w:p>
        </w:tc>
        <w:tc>
          <w:tcPr>
            <w:tcW w:w="2835" w:type="dxa"/>
            <w:vAlign w:val="center"/>
          </w:tcPr>
          <w:p w:rsidR="0027759A" w:rsidRPr="005C0F38" w:rsidRDefault="0027759A" w:rsidP="00B251C4">
            <w:pPr>
              <w:spacing w:line="276" w:lineRule="auto"/>
              <w:jc w:val="center"/>
              <w:rPr>
                <w:rFonts w:eastAsiaTheme="minorEastAsia"/>
                <w:szCs w:val="21"/>
              </w:rPr>
            </w:pPr>
            <w:r w:rsidRPr="005C0F38">
              <w:rPr>
                <w:rFonts w:eastAsiaTheme="minorEastAsia"/>
                <w:szCs w:val="21"/>
              </w:rPr>
              <w:t>持有人类别</w:t>
            </w:r>
          </w:p>
        </w:tc>
        <w:tc>
          <w:tcPr>
            <w:tcW w:w="2551" w:type="dxa"/>
            <w:vAlign w:val="center"/>
          </w:tcPr>
          <w:p w:rsidR="0027759A" w:rsidRPr="005C0F38" w:rsidRDefault="0027759A" w:rsidP="00B251C4">
            <w:pPr>
              <w:spacing w:line="276" w:lineRule="auto"/>
              <w:jc w:val="center"/>
              <w:rPr>
                <w:rFonts w:asciiTheme="minorEastAsia" w:eastAsiaTheme="minorEastAsia" w:hAnsiTheme="minorEastAsia"/>
                <w:szCs w:val="21"/>
              </w:rPr>
            </w:pPr>
            <w:r w:rsidRPr="005C0F38">
              <w:rPr>
                <w:rFonts w:asciiTheme="minorEastAsia" w:eastAsiaTheme="minorEastAsia" w:hAnsiTheme="minorEastAsia"/>
                <w:szCs w:val="21"/>
              </w:rPr>
              <w:t>持有份额（份）</w:t>
            </w:r>
          </w:p>
        </w:tc>
        <w:tc>
          <w:tcPr>
            <w:tcW w:w="2693" w:type="dxa"/>
            <w:vAlign w:val="center"/>
          </w:tcPr>
          <w:p w:rsidR="0027759A" w:rsidRPr="005C0F38" w:rsidRDefault="0027759A" w:rsidP="00B251C4">
            <w:pPr>
              <w:spacing w:line="276" w:lineRule="auto"/>
              <w:jc w:val="center"/>
              <w:rPr>
                <w:rFonts w:asciiTheme="minorEastAsia" w:eastAsiaTheme="minorEastAsia" w:hAnsiTheme="minorEastAsia"/>
                <w:szCs w:val="21"/>
              </w:rPr>
            </w:pPr>
            <w:r w:rsidRPr="005C0F38">
              <w:rPr>
                <w:rFonts w:asciiTheme="minorEastAsia" w:eastAsiaTheme="minorEastAsia" w:hAnsiTheme="minorEastAsia"/>
                <w:szCs w:val="21"/>
              </w:rPr>
              <w:t>占总份额比例</w:t>
            </w:r>
          </w:p>
        </w:tc>
      </w:tr>
      <w:tr w:rsidR="001124D8">
        <w:tc>
          <w:tcPr>
            <w:tcW w:w="1560" w:type="dxa"/>
            <w:vAlign w:val="center"/>
          </w:tcPr>
          <w:p w:rsidR="001124D8" w:rsidRDefault="00C50050">
            <w:pPr>
              <w:jc w:val="center"/>
            </w:pPr>
            <w:r>
              <w:rPr>
                <w:rFonts w:eastAsiaTheme="minorEastAsia"/>
                <w:color w:val="000000" w:themeColor="text1"/>
                <w:szCs w:val="21"/>
              </w:rPr>
              <w:t>1</w:t>
            </w:r>
          </w:p>
        </w:tc>
        <w:tc>
          <w:tcPr>
            <w:tcW w:w="2835" w:type="dxa"/>
            <w:vAlign w:val="center"/>
          </w:tcPr>
          <w:p w:rsidR="001124D8" w:rsidRDefault="00C50050">
            <w:pPr>
              <w:jc w:val="right"/>
            </w:pPr>
            <w:r>
              <w:rPr>
                <w:rFonts w:eastAsiaTheme="minorEastAsia"/>
                <w:color w:val="000000" w:themeColor="text1"/>
                <w:szCs w:val="21"/>
              </w:rPr>
              <w:t>基金类机构</w:t>
            </w:r>
          </w:p>
        </w:tc>
        <w:tc>
          <w:tcPr>
            <w:tcW w:w="2551" w:type="dxa"/>
            <w:vAlign w:val="center"/>
          </w:tcPr>
          <w:p w:rsidR="001124D8" w:rsidRDefault="00C50050">
            <w:pPr>
              <w:jc w:val="right"/>
            </w:pPr>
            <w:r>
              <w:rPr>
                <w:rFonts w:eastAsiaTheme="minorEastAsia"/>
                <w:color w:val="000000" w:themeColor="text1"/>
                <w:szCs w:val="21"/>
              </w:rPr>
              <w:t>80,122,446.96</w:t>
            </w:r>
          </w:p>
        </w:tc>
        <w:tc>
          <w:tcPr>
            <w:tcW w:w="2693" w:type="dxa"/>
            <w:vAlign w:val="center"/>
          </w:tcPr>
          <w:p w:rsidR="001124D8" w:rsidRDefault="00C50050">
            <w:pPr>
              <w:jc w:val="right"/>
            </w:pPr>
            <w:r>
              <w:rPr>
                <w:rFonts w:eastAsiaTheme="minorEastAsia"/>
                <w:color w:val="000000" w:themeColor="text1"/>
                <w:szCs w:val="21"/>
              </w:rPr>
              <w:t>35.67%</w:t>
            </w:r>
          </w:p>
        </w:tc>
      </w:tr>
      <w:tr w:rsidR="001124D8">
        <w:tc>
          <w:tcPr>
            <w:tcW w:w="1560" w:type="dxa"/>
            <w:vAlign w:val="center"/>
          </w:tcPr>
          <w:p w:rsidR="001124D8" w:rsidRDefault="00C50050">
            <w:pPr>
              <w:jc w:val="center"/>
            </w:pPr>
            <w:r>
              <w:rPr>
                <w:rFonts w:eastAsiaTheme="minorEastAsia"/>
                <w:color w:val="000000" w:themeColor="text1"/>
                <w:szCs w:val="21"/>
              </w:rPr>
              <w:t>2</w:t>
            </w:r>
          </w:p>
        </w:tc>
        <w:tc>
          <w:tcPr>
            <w:tcW w:w="2835" w:type="dxa"/>
            <w:vAlign w:val="center"/>
          </w:tcPr>
          <w:p w:rsidR="001124D8" w:rsidRDefault="00C50050">
            <w:pPr>
              <w:jc w:val="right"/>
            </w:pPr>
            <w:r>
              <w:rPr>
                <w:rFonts w:eastAsiaTheme="minorEastAsia"/>
                <w:color w:val="000000" w:themeColor="text1"/>
                <w:szCs w:val="21"/>
              </w:rPr>
              <w:t>银行类机构</w:t>
            </w:r>
          </w:p>
        </w:tc>
        <w:tc>
          <w:tcPr>
            <w:tcW w:w="2551" w:type="dxa"/>
            <w:vAlign w:val="center"/>
          </w:tcPr>
          <w:p w:rsidR="001124D8" w:rsidRDefault="00C50050">
            <w:pPr>
              <w:jc w:val="right"/>
            </w:pPr>
            <w:r>
              <w:rPr>
                <w:rFonts w:eastAsiaTheme="minorEastAsia"/>
                <w:color w:val="000000" w:themeColor="text1"/>
                <w:szCs w:val="21"/>
              </w:rPr>
              <w:t>50,984,412.90</w:t>
            </w:r>
          </w:p>
        </w:tc>
        <w:tc>
          <w:tcPr>
            <w:tcW w:w="2693" w:type="dxa"/>
            <w:vAlign w:val="center"/>
          </w:tcPr>
          <w:p w:rsidR="001124D8" w:rsidRDefault="00C50050">
            <w:pPr>
              <w:jc w:val="right"/>
            </w:pPr>
            <w:r>
              <w:rPr>
                <w:rFonts w:eastAsiaTheme="minorEastAsia"/>
                <w:color w:val="000000" w:themeColor="text1"/>
                <w:szCs w:val="21"/>
              </w:rPr>
              <w:t>22.69%</w:t>
            </w:r>
          </w:p>
        </w:tc>
      </w:tr>
      <w:tr w:rsidR="001124D8">
        <w:tc>
          <w:tcPr>
            <w:tcW w:w="1560" w:type="dxa"/>
            <w:vAlign w:val="center"/>
          </w:tcPr>
          <w:p w:rsidR="001124D8" w:rsidRDefault="00C50050">
            <w:pPr>
              <w:jc w:val="center"/>
            </w:pPr>
            <w:r>
              <w:rPr>
                <w:rFonts w:eastAsiaTheme="minorEastAsia"/>
                <w:color w:val="000000" w:themeColor="text1"/>
                <w:szCs w:val="21"/>
              </w:rPr>
              <w:t>3</w:t>
            </w:r>
          </w:p>
        </w:tc>
        <w:tc>
          <w:tcPr>
            <w:tcW w:w="2835" w:type="dxa"/>
            <w:vAlign w:val="center"/>
          </w:tcPr>
          <w:p w:rsidR="001124D8" w:rsidRDefault="00C50050">
            <w:pPr>
              <w:jc w:val="right"/>
            </w:pPr>
            <w:r>
              <w:rPr>
                <w:rFonts w:eastAsiaTheme="minorEastAsia"/>
                <w:color w:val="000000" w:themeColor="text1"/>
                <w:szCs w:val="21"/>
              </w:rPr>
              <w:t>其他机构</w:t>
            </w:r>
          </w:p>
        </w:tc>
        <w:tc>
          <w:tcPr>
            <w:tcW w:w="2551" w:type="dxa"/>
            <w:vAlign w:val="center"/>
          </w:tcPr>
          <w:p w:rsidR="001124D8" w:rsidRDefault="00C50050">
            <w:pPr>
              <w:jc w:val="right"/>
            </w:pPr>
            <w:r>
              <w:rPr>
                <w:rFonts w:eastAsiaTheme="minorEastAsia"/>
                <w:color w:val="000000" w:themeColor="text1"/>
                <w:szCs w:val="21"/>
              </w:rPr>
              <w:t>40,909,432.65</w:t>
            </w:r>
          </w:p>
        </w:tc>
        <w:tc>
          <w:tcPr>
            <w:tcW w:w="2693" w:type="dxa"/>
            <w:vAlign w:val="center"/>
          </w:tcPr>
          <w:p w:rsidR="001124D8" w:rsidRDefault="00C50050">
            <w:pPr>
              <w:jc w:val="right"/>
            </w:pPr>
            <w:r>
              <w:rPr>
                <w:rFonts w:eastAsiaTheme="minorEastAsia"/>
                <w:color w:val="000000" w:themeColor="text1"/>
                <w:szCs w:val="21"/>
              </w:rPr>
              <w:t>18.21%</w:t>
            </w:r>
          </w:p>
        </w:tc>
      </w:tr>
      <w:tr w:rsidR="001124D8">
        <w:tc>
          <w:tcPr>
            <w:tcW w:w="1560" w:type="dxa"/>
            <w:vAlign w:val="center"/>
          </w:tcPr>
          <w:p w:rsidR="001124D8" w:rsidRDefault="00C50050">
            <w:pPr>
              <w:jc w:val="center"/>
            </w:pPr>
            <w:r>
              <w:rPr>
                <w:rFonts w:eastAsiaTheme="minorEastAsia"/>
                <w:color w:val="000000" w:themeColor="text1"/>
                <w:szCs w:val="21"/>
              </w:rPr>
              <w:t>4</w:t>
            </w:r>
          </w:p>
        </w:tc>
        <w:tc>
          <w:tcPr>
            <w:tcW w:w="2835" w:type="dxa"/>
            <w:vAlign w:val="center"/>
          </w:tcPr>
          <w:p w:rsidR="001124D8" w:rsidRDefault="00C50050">
            <w:pPr>
              <w:jc w:val="right"/>
            </w:pPr>
            <w:r>
              <w:rPr>
                <w:rFonts w:eastAsiaTheme="minorEastAsia"/>
                <w:color w:val="000000" w:themeColor="text1"/>
                <w:szCs w:val="21"/>
              </w:rPr>
              <w:t>券商类机构</w:t>
            </w:r>
          </w:p>
        </w:tc>
        <w:tc>
          <w:tcPr>
            <w:tcW w:w="2551" w:type="dxa"/>
            <w:vAlign w:val="center"/>
          </w:tcPr>
          <w:p w:rsidR="001124D8" w:rsidRDefault="00C50050">
            <w:pPr>
              <w:jc w:val="right"/>
            </w:pPr>
            <w:r>
              <w:rPr>
                <w:rFonts w:eastAsiaTheme="minorEastAsia"/>
                <w:color w:val="000000" w:themeColor="text1"/>
                <w:szCs w:val="21"/>
              </w:rPr>
              <w:t>40,061,223.42</w:t>
            </w:r>
          </w:p>
        </w:tc>
        <w:tc>
          <w:tcPr>
            <w:tcW w:w="2693" w:type="dxa"/>
            <w:vAlign w:val="center"/>
          </w:tcPr>
          <w:p w:rsidR="001124D8" w:rsidRDefault="00C50050">
            <w:pPr>
              <w:jc w:val="right"/>
            </w:pPr>
            <w:r>
              <w:rPr>
                <w:rFonts w:eastAsiaTheme="minorEastAsia"/>
                <w:color w:val="000000" w:themeColor="text1"/>
                <w:szCs w:val="21"/>
              </w:rPr>
              <w:t>17.84%</w:t>
            </w:r>
          </w:p>
        </w:tc>
      </w:tr>
      <w:tr w:rsidR="001124D8">
        <w:tc>
          <w:tcPr>
            <w:tcW w:w="1560" w:type="dxa"/>
            <w:vAlign w:val="center"/>
          </w:tcPr>
          <w:p w:rsidR="001124D8" w:rsidRDefault="00C50050">
            <w:pPr>
              <w:jc w:val="center"/>
            </w:pPr>
            <w:r>
              <w:rPr>
                <w:rFonts w:eastAsiaTheme="minorEastAsia"/>
                <w:color w:val="000000" w:themeColor="text1"/>
                <w:szCs w:val="21"/>
              </w:rPr>
              <w:t>5</w:t>
            </w:r>
          </w:p>
        </w:tc>
        <w:tc>
          <w:tcPr>
            <w:tcW w:w="2835" w:type="dxa"/>
            <w:vAlign w:val="center"/>
          </w:tcPr>
          <w:p w:rsidR="001124D8" w:rsidRDefault="00C50050">
            <w:pPr>
              <w:jc w:val="right"/>
            </w:pPr>
            <w:r>
              <w:rPr>
                <w:rFonts w:eastAsiaTheme="minorEastAsia"/>
                <w:color w:val="000000" w:themeColor="text1"/>
                <w:szCs w:val="21"/>
              </w:rPr>
              <w:t>基金类机构</w:t>
            </w:r>
          </w:p>
        </w:tc>
        <w:tc>
          <w:tcPr>
            <w:tcW w:w="2551" w:type="dxa"/>
            <w:vAlign w:val="center"/>
          </w:tcPr>
          <w:p w:rsidR="001124D8" w:rsidRDefault="00C50050">
            <w:pPr>
              <w:jc w:val="right"/>
            </w:pPr>
            <w:r>
              <w:rPr>
                <w:rFonts w:eastAsiaTheme="minorEastAsia"/>
                <w:color w:val="000000" w:themeColor="text1"/>
                <w:szCs w:val="21"/>
              </w:rPr>
              <w:t>3,004,845.08</w:t>
            </w:r>
          </w:p>
        </w:tc>
        <w:tc>
          <w:tcPr>
            <w:tcW w:w="2693" w:type="dxa"/>
            <w:vAlign w:val="center"/>
          </w:tcPr>
          <w:p w:rsidR="001124D8" w:rsidRDefault="00C50050">
            <w:pPr>
              <w:jc w:val="right"/>
            </w:pPr>
            <w:r>
              <w:rPr>
                <w:rFonts w:eastAsiaTheme="minorEastAsia"/>
                <w:color w:val="000000" w:themeColor="text1"/>
                <w:szCs w:val="21"/>
              </w:rPr>
              <w:t>1.34%</w:t>
            </w:r>
          </w:p>
        </w:tc>
      </w:tr>
      <w:tr w:rsidR="001124D8">
        <w:tc>
          <w:tcPr>
            <w:tcW w:w="1560" w:type="dxa"/>
            <w:vAlign w:val="center"/>
          </w:tcPr>
          <w:p w:rsidR="001124D8" w:rsidRDefault="00C50050">
            <w:pPr>
              <w:jc w:val="center"/>
            </w:pPr>
            <w:r>
              <w:rPr>
                <w:rFonts w:eastAsiaTheme="minorEastAsia"/>
                <w:color w:val="000000" w:themeColor="text1"/>
                <w:szCs w:val="21"/>
              </w:rPr>
              <w:t>6</w:t>
            </w:r>
          </w:p>
        </w:tc>
        <w:tc>
          <w:tcPr>
            <w:tcW w:w="2835" w:type="dxa"/>
            <w:vAlign w:val="center"/>
          </w:tcPr>
          <w:p w:rsidR="001124D8" w:rsidRDefault="00C50050">
            <w:pPr>
              <w:jc w:val="right"/>
            </w:pPr>
            <w:r>
              <w:rPr>
                <w:rFonts w:eastAsiaTheme="minorEastAsia"/>
                <w:color w:val="000000" w:themeColor="text1"/>
                <w:szCs w:val="21"/>
              </w:rPr>
              <w:t>个人</w:t>
            </w:r>
          </w:p>
        </w:tc>
        <w:tc>
          <w:tcPr>
            <w:tcW w:w="2551" w:type="dxa"/>
            <w:vAlign w:val="center"/>
          </w:tcPr>
          <w:p w:rsidR="001124D8" w:rsidRDefault="00C50050">
            <w:pPr>
              <w:jc w:val="right"/>
            </w:pPr>
            <w:r>
              <w:rPr>
                <w:rFonts w:eastAsiaTheme="minorEastAsia"/>
                <w:color w:val="000000" w:themeColor="text1"/>
                <w:szCs w:val="21"/>
              </w:rPr>
              <w:t>1,665,164.99</w:t>
            </w:r>
          </w:p>
        </w:tc>
        <w:tc>
          <w:tcPr>
            <w:tcW w:w="2693" w:type="dxa"/>
            <w:vAlign w:val="center"/>
          </w:tcPr>
          <w:p w:rsidR="001124D8" w:rsidRDefault="00C50050">
            <w:pPr>
              <w:jc w:val="right"/>
            </w:pPr>
            <w:r>
              <w:rPr>
                <w:rFonts w:eastAsiaTheme="minorEastAsia"/>
                <w:color w:val="000000" w:themeColor="text1"/>
                <w:szCs w:val="21"/>
              </w:rPr>
              <w:t>0.74%</w:t>
            </w:r>
          </w:p>
        </w:tc>
      </w:tr>
      <w:tr w:rsidR="001124D8">
        <w:tc>
          <w:tcPr>
            <w:tcW w:w="1560" w:type="dxa"/>
            <w:vAlign w:val="center"/>
          </w:tcPr>
          <w:p w:rsidR="001124D8" w:rsidRDefault="00C50050">
            <w:pPr>
              <w:jc w:val="center"/>
            </w:pPr>
            <w:r>
              <w:rPr>
                <w:rFonts w:eastAsiaTheme="minorEastAsia"/>
                <w:color w:val="000000" w:themeColor="text1"/>
                <w:szCs w:val="21"/>
              </w:rPr>
              <w:t>7</w:t>
            </w:r>
          </w:p>
        </w:tc>
        <w:tc>
          <w:tcPr>
            <w:tcW w:w="2835" w:type="dxa"/>
            <w:vAlign w:val="center"/>
          </w:tcPr>
          <w:p w:rsidR="001124D8" w:rsidRDefault="00C50050">
            <w:pPr>
              <w:jc w:val="right"/>
            </w:pPr>
            <w:r>
              <w:rPr>
                <w:rFonts w:eastAsiaTheme="minorEastAsia"/>
                <w:color w:val="000000" w:themeColor="text1"/>
                <w:szCs w:val="21"/>
              </w:rPr>
              <w:t>个人</w:t>
            </w:r>
          </w:p>
        </w:tc>
        <w:tc>
          <w:tcPr>
            <w:tcW w:w="2551" w:type="dxa"/>
            <w:vAlign w:val="center"/>
          </w:tcPr>
          <w:p w:rsidR="001124D8" w:rsidRDefault="00C50050">
            <w:pPr>
              <w:jc w:val="right"/>
            </w:pPr>
            <w:r>
              <w:rPr>
                <w:rFonts w:eastAsiaTheme="minorEastAsia"/>
                <w:color w:val="000000" w:themeColor="text1"/>
                <w:szCs w:val="21"/>
              </w:rPr>
              <w:t>1,001,526.28</w:t>
            </w:r>
          </w:p>
        </w:tc>
        <w:tc>
          <w:tcPr>
            <w:tcW w:w="2693" w:type="dxa"/>
            <w:vAlign w:val="center"/>
          </w:tcPr>
          <w:p w:rsidR="001124D8" w:rsidRDefault="00C50050">
            <w:pPr>
              <w:jc w:val="right"/>
            </w:pPr>
            <w:r>
              <w:rPr>
                <w:rFonts w:eastAsiaTheme="minorEastAsia"/>
                <w:color w:val="000000" w:themeColor="text1"/>
                <w:szCs w:val="21"/>
              </w:rPr>
              <w:t>0.45%</w:t>
            </w:r>
          </w:p>
        </w:tc>
      </w:tr>
      <w:tr w:rsidR="001124D8">
        <w:tc>
          <w:tcPr>
            <w:tcW w:w="1560" w:type="dxa"/>
            <w:vAlign w:val="center"/>
          </w:tcPr>
          <w:p w:rsidR="001124D8" w:rsidRDefault="00C50050">
            <w:pPr>
              <w:jc w:val="center"/>
            </w:pPr>
            <w:r>
              <w:rPr>
                <w:rFonts w:eastAsiaTheme="minorEastAsia"/>
                <w:color w:val="000000" w:themeColor="text1"/>
                <w:szCs w:val="21"/>
              </w:rPr>
              <w:t>8</w:t>
            </w:r>
          </w:p>
        </w:tc>
        <w:tc>
          <w:tcPr>
            <w:tcW w:w="2835" w:type="dxa"/>
            <w:vAlign w:val="center"/>
          </w:tcPr>
          <w:p w:rsidR="001124D8" w:rsidRDefault="00C50050">
            <w:pPr>
              <w:jc w:val="right"/>
            </w:pPr>
            <w:r>
              <w:rPr>
                <w:rFonts w:eastAsiaTheme="minorEastAsia"/>
                <w:color w:val="000000" w:themeColor="text1"/>
                <w:szCs w:val="21"/>
              </w:rPr>
              <w:t>个人</w:t>
            </w:r>
          </w:p>
        </w:tc>
        <w:tc>
          <w:tcPr>
            <w:tcW w:w="2551" w:type="dxa"/>
            <w:vAlign w:val="center"/>
          </w:tcPr>
          <w:p w:rsidR="001124D8" w:rsidRDefault="00C50050">
            <w:pPr>
              <w:jc w:val="right"/>
            </w:pPr>
            <w:r>
              <w:rPr>
                <w:rFonts w:eastAsiaTheme="minorEastAsia"/>
                <w:color w:val="000000" w:themeColor="text1"/>
                <w:szCs w:val="21"/>
              </w:rPr>
              <w:t>702,528.97</w:t>
            </w:r>
          </w:p>
        </w:tc>
        <w:tc>
          <w:tcPr>
            <w:tcW w:w="2693" w:type="dxa"/>
            <w:vAlign w:val="center"/>
          </w:tcPr>
          <w:p w:rsidR="001124D8" w:rsidRDefault="00C50050">
            <w:pPr>
              <w:jc w:val="right"/>
            </w:pPr>
            <w:r>
              <w:rPr>
                <w:rFonts w:eastAsiaTheme="minorEastAsia"/>
                <w:color w:val="000000" w:themeColor="text1"/>
                <w:szCs w:val="21"/>
              </w:rPr>
              <w:t>0.31%</w:t>
            </w:r>
          </w:p>
        </w:tc>
      </w:tr>
      <w:tr w:rsidR="001124D8">
        <w:tc>
          <w:tcPr>
            <w:tcW w:w="1560" w:type="dxa"/>
            <w:vAlign w:val="center"/>
          </w:tcPr>
          <w:p w:rsidR="001124D8" w:rsidRDefault="00C50050">
            <w:pPr>
              <w:jc w:val="center"/>
            </w:pPr>
            <w:r>
              <w:rPr>
                <w:rFonts w:eastAsiaTheme="minorEastAsia"/>
                <w:color w:val="000000" w:themeColor="text1"/>
                <w:szCs w:val="21"/>
              </w:rPr>
              <w:t>9</w:t>
            </w:r>
          </w:p>
        </w:tc>
        <w:tc>
          <w:tcPr>
            <w:tcW w:w="2835" w:type="dxa"/>
            <w:vAlign w:val="center"/>
          </w:tcPr>
          <w:p w:rsidR="001124D8" w:rsidRDefault="00C50050">
            <w:pPr>
              <w:jc w:val="right"/>
            </w:pPr>
            <w:r>
              <w:rPr>
                <w:rFonts w:eastAsiaTheme="minorEastAsia"/>
                <w:color w:val="000000" w:themeColor="text1"/>
                <w:szCs w:val="21"/>
              </w:rPr>
              <w:t>个人</w:t>
            </w:r>
          </w:p>
        </w:tc>
        <w:tc>
          <w:tcPr>
            <w:tcW w:w="2551" w:type="dxa"/>
            <w:vAlign w:val="center"/>
          </w:tcPr>
          <w:p w:rsidR="001124D8" w:rsidRDefault="00C50050">
            <w:pPr>
              <w:jc w:val="right"/>
            </w:pPr>
            <w:r>
              <w:rPr>
                <w:rFonts w:eastAsiaTheme="minorEastAsia"/>
                <w:color w:val="000000" w:themeColor="text1"/>
                <w:szCs w:val="21"/>
              </w:rPr>
              <w:t>500,520.84</w:t>
            </w:r>
          </w:p>
        </w:tc>
        <w:tc>
          <w:tcPr>
            <w:tcW w:w="2693" w:type="dxa"/>
            <w:vAlign w:val="center"/>
          </w:tcPr>
          <w:p w:rsidR="001124D8" w:rsidRDefault="00C50050">
            <w:pPr>
              <w:jc w:val="right"/>
            </w:pPr>
            <w:r>
              <w:rPr>
                <w:rFonts w:eastAsiaTheme="minorEastAsia"/>
                <w:color w:val="000000" w:themeColor="text1"/>
                <w:szCs w:val="21"/>
              </w:rPr>
              <w:t>0.22%</w:t>
            </w:r>
          </w:p>
        </w:tc>
      </w:tr>
      <w:tr w:rsidR="001124D8">
        <w:tc>
          <w:tcPr>
            <w:tcW w:w="1560" w:type="dxa"/>
            <w:vAlign w:val="center"/>
          </w:tcPr>
          <w:p w:rsidR="001124D8" w:rsidRDefault="00C50050">
            <w:pPr>
              <w:jc w:val="center"/>
            </w:pPr>
            <w:r>
              <w:rPr>
                <w:rFonts w:eastAsiaTheme="minorEastAsia"/>
                <w:color w:val="000000" w:themeColor="text1"/>
                <w:szCs w:val="21"/>
              </w:rPr>
              <w:t>10</w:t>
            </w:r>
          </w:p>
        </w:tc>
        <w:tc>
          <w:tcPr>
            <w:tcW w:w="2835" w:type="dxa"/>
            <w:vAlign w:val="center"/>
          </w:tcPr>
          <w:p w:rsidR="001124D8" w:rsidRDefault="00C50050">
            <w:pPr>
              <w:jc w:val="right"/>
            </w:pPr>
            <w:r>
              <w:rPr>
                <w:rFonts w:eastAsiaTheme="minorEastAsia"/>
                <w:color w:val="000000" w:themeColor="text1"/>
                <w:szCs w:val="21"/>
              </w:rPr>
              <w:t>个人</w:t>
            </w:r>
          </w:p>
        </w:tc>
        <w:tc>
          <w:tcPr>
            <w:tcW w:w="2551" w:type="dxa"/>
            <w:vAlign w:val="center"/>
          </w:tcPr>
          <w:p w:rsidR="001124D8" w:rsidRDefault="00C50050">
            <w:pPr>
              <w:jc w:val="right"/>
            </w:pPr>
            <w:r>
              <w:rPr>
                <w:rFonts w:eastAsiaTheme="minorEastAsia"/>
                <w:color w:val="000000" w:themeColor="text1"/>
                <w:szCs w:val="21"/>
              </w:rPr>
              <w:t>409,385.57</w:t>
            </w:r>
          </w:p>
        </w:tc>
        <w:tc>
          <w:tcPr>
            <w:tcW w:w="2693" w:type="dxa"/>
            <w:vAlign w:val="center"/>
          </w:tcPr>
          <w:p w:rsidR="001124D8" w:rsidRDefault="00C50050">
            <w:pPr>
              <w:jc w:val="right"/>
            </w:pPr>
            <w:r>
              <w:rPr>
                <w:rFonts w:eastAsiaTheme="minorEastAsia"/>
                <w:color w:val="000000" w:themeColor="text1"/>
                <w:szCs w:val="21"/>
              </w:rPr>
              <w:t>0.18%</w:t>
            </w:r>
          </w:p>
        </w:tc>
      </w:tr>
    </w:tbl>
    <w:p w:rsidR="00C50050" w:rsidRPr="0061644B" w:rsidRDefault="00C50050" w:rsidP="00C50050">
      <w:pPr>
        <w:pStyle w:val="20"/>
        <w:spacing w:before="29" w:after="0" w:line="288" w:lineRule="auto"/>
        <w:rPr>
          <w:rFonts w:ascii="Times New Roman" w:hAnsi="Times New Roman" w:cs="Times New Roman"/>
          <w:kern w:val="0"/>
          <w:szCs w:val="24"/>
        </w:rPr>
      </w:pPr>
      <w:bookmarkStart w:id="38" w:name="_Toc331410113"/>
      <w:bookmarkEnd w:id="34"/>
      <w:bookmarkEnd w:id="35"/>
      <w:bookmarkEnd w:id="36"/>
      <w:bookmarkEnd w:id="37"/>
      <w:r w:rsidRPr="0061644B">
        <w:rPr>
          <w:rFonts w:ascii="Times New Roman" w:hAnsi="Times New Roman" w:cs="Times New Roman"/>
          <w:kern w:val="0"/>
          <w:szCs w:val="24"/>
        </w:rPr>
        <w:lastRenderedPageBreak/>
        <w:t>8.</w:t>
      </w:r>
      <w:r>
        <w:rPr>
          <w:rFonts w:ascii="Times New Roman" w:hAnsi="Times New Roman" w:cs="Times New Roman"/>
          <w:kern w:val="0"/>
          <w:szCs w:val="24"/>
        </w:rPr>
        <w:t>3</w:t>
      </w:r>
      <w:r w:rsidRPr="0061644B">
        <w:rPr>
          <w:rFonts w:ascii="Times New Roman" w:hAnsi="Times New Roman" w:cs="Times New Roman"/>
          <w:kern w:val="0"/>
          <w:szCs w:val="24"/>
        </w:rPr>
        <w:t>期末基金管理人的从业人员持有本基金的情况</w:t>
      </w:r>
      <w:bookmarkEnd w:id="38"/>
    </w:p>
    <w:tbl>
      <w:tblPr>
        <w:tblStyle w:val="af7"/>
        <w:tblW w:w="8998" w:type="dxa"/>
        <w:tblInd w:w="108" w:type="dxa"/>
        <w:tblLayout w:type="fixed"/>
        <w:tblLook w:val="04A0" w:firstRow="1" w:lastRow="0" w:firstColumn="1" w:lastColumn="0" w:noHBand="0" w:noVBand="1"/>
      </w:tblPr>
      <w:tblGrid>
        <w:gridCol w:w="1560"/>
        <w:gridCol w:w="2693"/>
        <w:gridCol w:w="2977"/>
        <w:gridCol w:w="1768"/>
      </w:tblGrid>
      <w:tr w:rsidR="00C50050" w:rsidRPr="0061644B" w:rsidTr="003E6662">
        <w:tc>
          <w:tcPr>
            <w:tcW w:w="1560" w:type="dxa"/>
            <w:vAlign w:val="center"/>
          </w:tcPr>
          <w:p w:rsidR="00C50050" w:rsidRPr="0061644B" w:rsidRDefault="00C50050" w:rsidP="003E6662">
            <w:pPr>
              <w:pStyle w:val="a0"/>
              <w:spacing w:before="29" w:line="288" w:lineRule="auto"/>
              <w:ind w:firstLineChars="0" w:firstLine="0"/>
              <w:rPr>
                <w:sz w:val="24"/>
              </w:rPr>
            </w:pPr>
            <w:r w:rsidRPr="0061644B">
              <w:rPr>
                <w:kern w:val="0"/>
                <w:sz w:val="24"/>
              </w:rPr>
              <w:t>项目</w:t>
            </w:r>
          </w:p>
        </w:tc>
        <w:tc>
          <w:tcPr>
            <w:tcW w:w="2693" w:type="dxa"/>
            <w:vAlign w:val="center"/>
          </w:tcPr>
          <w:p w:rsidR="00C50050" w:rsidRPr="0061644B" w:rsidRDefault="00C50050" w:rsidP="003E6662">
            <w:pPr>
              <w:pStyle w:val="a0"/>
              <w:spacing w:before="29" w:line="288" w:lineRule="auto"/>
              <w:ind w:firstLineChars="0" w:firstLine="0"/>
              <w:rPr>
                <w:sz w:val="24"/>
              </w:rPr>
            </w:pPr>
            <w:r w:rsidRPr="0061644B">
              <w:rPr>
                <w:kern w:val="0"/>
                <w:sz w:val="24"/>
              </w:rPr>
              <w:t>份额级别</w:t>
            </w:r>
          </w:p>
        </w:tc>
        <w:tc>
          <w:tcPr>
            <w:tcW w:w="2977" w:type="dxa"/>
            <w:vAlign w:val="center"/>
          </w:tcPr>
          <w:p w:rsidR="00C50050" w:rsidRPr="0061644B" w:rsidRDefault="00C50050" w:rsidP="003E6662">
            <w:pPr>
              <w:pStyle w:val="a0"/>
              <w:spacing w:before="29" w:line="288" w:lineRule="auto"/>
              <w:ind w:firstLineChars="0" w:firstLine="0"/>
              <w:rPr>
                <w:sz w:val="24"/>
              </w:rPr>
            </w:pPr>
            <w:r w:rsidRPr="0061644B">
              <w:rPr>
                <w:kern w:val="0"/>
                <w:sz w:val="24"/>
              </w:rPr>
              <w:t>持有份额总数（份）</w:t>
            </w:r>
          </w:p>
        </w:tc>
        <w:tc>
          <w:tcPr>
            <w:tcW w:w="1768" w:type="dxa"/>
            <w:vAlign w:val="center"/>
          </w:tcPr>
          <w:p w:rsidR="00C50050" w:rsidRPr="0061644B" w:rsidRDefault="00C50050" w:rsidP="003E6662">
            <w:pPr>
              <w:pStyle w:val="a0"/>
              <w:spacing w:before="29" w:line="288" w:lineRule="auto"/>
              <w:ind w:firstLineChars="0" w:firstLine="0"/>
              <w:jc w:val="center"/>
              <w:rPr>
                <w:sz w:val="24"/>
              </w:rPr>
            </w:pPr>
            <w:r w:rsidRPr="0061644B">
              <w:rPr>
                <w:sz w:val="24"/>
              </w:rPr>
              <w:t>占基金总份额比例</w:t>
            </w:r>
          </w:p>
        </w:tc>
      </w:tr>
      <w:tr w:rsidR="00C50050" w:rsidRPr="0061644B" w:rsidTr="003E6662">
        <w:tc>
          <w:tcPr>
            <w:tcW w:w="1560" w:type="dxa"/>
            <w:vMerge w:val="restart"/>
            <w:vAlign w:val="center"/>
          </w:tcPr>
          <w:p w:rsidR="00C50050" w:rsidRPr="0061644B" w:rsidRDefault="00C50050" w:rsidP="003E6662">
            <w:pPr>
              <w:spacing w:before="29" w:line="288" w:lineRule="auto"/>
              <w:rPr>
                <w:sz w:val="24"/>
              </w:rPr>
            </w:pPr>
            <w:r w:rsidRPr="0061644B">
              <w:rPr>
                <w:sz w:val="24"/>
              </w:rPr>
              <w:t>基金管理人所有从业人员持有本基金</w:t>
            </w:r>
          </w:p>
        </w:tc>
        <w:tc>
          <w:tcPr>
            <w:tcW w:w="2693" w:type="dxa"/>
            <w:vAlign w:val="center"/>
          </w:tcPr>
          <w:p w:rsidR="00C50050" w:rsidRPr="0061644B" w:rsidRDefault="00C50050" w:rsidP="003E6662">
            <w:pPr>
              <w:spacing w:before="29" w:line="288" w:lineRule="auto"/>
              <w:jc w:val="right"/>
              <w:rPr>
                <w:kern w:val="0"/>
                <w:sz w:val="24"/>
              </w:rPr>
            </w:pPr>
            <w:r w:rsidRPr="0061644B">
              <w:rPr>
                <w:sz w:val="24"/>
              </w:rPr>
              <w:t>交银天运宝货币</w:t>
            </w:r>
            <w:r w:rsidRPr="0061644B">
              <w:rPr>
                <w:sz w:val="24"/>
              </w:rPr>
              <w:t>A</w:t>
            </w:r>
          </w:p>
        </w:tc>
        <w:tc>
          <w:tcPr>
            <w:tcW w:w="2977" w:type="dxa"/>
            <w:vAlign w:val="center"/>
          </w:tcPr>
          <w:p w:rsidR="00C50050" w:rsidRPr="0061644B" w:rsidRDefault="00C50050" w:rsidP="003E6662">
            <w:pPr>
              <w:widowControl/>
              <w:spacing w:before="29" w:line="288" w:lineRule="auto"/>
              <w:jc w:val="right"/>
              <w:rPr>
                <w:kern w:val="0"/>
                <w:sz w:val="24"/>
              </w:rPr>
            </w:pPr>
            <w:r w:rsidRPr="0061644B">
              <w:rPr>
                <w:kern w:val="0"/>
                <w:sz w:val="24"/>
              </w:rPr>
              <w:t>20,843.84</w:t>
            </w:r>
          </w:p>
        </w:tc>
        <w:tc>
          <w:tcPr>
            <w:tcW w:w="1768" w:type="dxa"/>
            <w:vAlign w:val="center"/>
          </w:tcPr>
          <w:p w:rsidR="00C50050" w:rsidRPr="0061644B" w:rsidRDefault="00C50050" w:rsidP="003E6662">
            <w:pPr>
              <w:widowControl/>
              <w:spacing w:before="29" w:line="288" w:lineRule="auto"/>
              <w:jc w:val="right"/>
              <w:rPr>
                <w:kern w:val="0"/>
                <w:sz w:val="24"/>
              </w:rPr>
            </w:pPr>
            <w:r w:rsidRPr="0061644B">
              <w:rPr>
                <w:kern w:val="0"/>
                <w:sz w:val="24"/>
              </w:rPr>
              <w:t>0.17%</w:t>
            </w:r>
          </w:p>
        </w:tc>
      </w:tr>
      <w:tr w:rsidR="00C50050" w:rsidRPr="0061644B" w:rsidTr="003E6662">
        <w:tc>
          <w:tcPr>
            <w:tcW w:w="1560" w:type="dxa"/>
            <w:vMerge/>
            <w:vAlign w:val="center"/>
          </w:tcPr>
          <w:p w:rsidR="00C50050" w:rsidRPr="0061644B" w:rsidRDefault="00C50050" w:rsidP="003E6662">
            <w:pPr>
              <w:pStyle w:val="a0"/>
              <w:spacing w:before="29" w:line="288" w:lineRule="auto"/>
              <w:ind w:firstLineChars="0" w:firstLine="0"/>
              <w:rPr>
                <w:sz w:val="24"/>
              </w:rPr>
            </w:pPr>
          </w:p>
        </w:tc>
        <w:tc>
          <w:tcPr>
            <w:tcW w:w="2693" w:type="dxa"/>
            <w:vAlign w:val="center"/>
          </w:tcPr>
          <w:p w:rsidR="00C50050" w:rsidRPr="0061644B" w:rsidRDefault="00C50050" w:rsidP="003E6662">
            <w:pPr>
              <w:spacing w:before="29" w:line="288" w:lineRule="auto"/>
              <w:jc w:val="right"/>
              <w:rPr>
                <w:kern w:val="0"/>
                <w:sz w:val="24"/>
              </w:rPr>
            </w:pPr>
            <w:r w:rsidRPr="0061644B">
              <w:rPr>
                <w:sz w:val="24"/>
              </w:rPr>
              <w:t>交银天运宝货币</w:t>
            </w:r>
            <w:r w:rsidRPr="0061644B">
              <w:rPr>
                <w:sz w:val="24"/>
              </w:rPr>
              <w:t>E</w:t>
            </w:r>
          </w:p>
        </w:tc>
        <w:tc>
          <w:tcPr>
            <w:tcW w:w="2977" w:type="dxa"/>
            <w:vAlign w:val="center"/>
          </w:tcPr>
          <w:p w:rsidR="00C50050" w:rsidRPr="0061644B" w:rsidRDefault="00C50050" w:rsidP="003E6662">
            <w:pPr>
              <w:widowControl/>
              <w:spacing w:before="29" w:line="288" w:lineRule="auto"/>
              <w:jc w:val="right"/>
              <w:rPr>
                <w:kern w:val="0"/>
                <w:sz w:val="24"/>
              </w:rPr>
            </w:pPr>
            <w:r w:rsidRPr="0061644B">
              <w:rPr>
                <w:kern w:val="0"/>
                <w:sz w:val="24"/>
              </w:rPr>
              <w:t>-</w:t>
            </w:r>
          </w:p>
        </w:tc>
        <w:tc>
          <w:tcPr>
            <w:tcW w:w="1768" w:type="dxa"/>
            <w:vAlign w:val="center"/>
          </w:tcPr>
          <w:p w:rsidR="00C50050" w:rsidRPr="0061644B" w:rsidRDefault="00C50050" w:rsidP="003E6662">
            <w:pPr>
              <w:widowControl/>
              <w:spacing w:before="29" w:line="288" w:lineRule="auto"/>
              <w:jc w:val="right"/>
              <w:rPr>
                <w:kern w:val="0"/>
                <w:sz w:val="24"/>
              </w:rPr>
            </w:pPr>
            <w:r w:rsidRPr="0061644B">
              <w:rPr>
                <w:kern w:val="0"/>
                <w:sz w:val="24"/>
              </w:rPr>
              <w:t>-</w:t>
            </w:r>
          </w:p>
        </w:tc>
      </w:tr>
      <w:tr w:rsidR="00C50050" w:rsidRPr="0061644B" w:rsidTr="003E6662">
        <w:tc>
          <w:tcPr>
            <w:tcW w:w="1560" w:type="dxa"/>
            <w:vMerge/>
            <w:vAlign w:val="center"/>
          </w:tcPr>
          <w:p w:rsidR="00C50050" w:rsidRPr="0061644B" w:rsidRDefault="00C50050" w:rsidP="003E6662">
            <w:pPr>
              <w:pStyle w:val="a0"/>
              <w:spacing w:before="29" w:line="288" w:lineRule="auto"/>
              <w:ind w:firstLineChars="0" w:firstLine="0"/>
              <w:rPr>
                <w:sz w:val="24"/>
              </w:rPr>
            </w:pPr>
          </w:p>
        </w:tc>
        <w:tc>
          <w:tcPr>
            <w:tcW w:w="2693" w:type="dxa"/>
            <w:vAlign w:val="center"/>
          </w:tcPr>
          <w:p w:rsidR="00C50050" w:rsidRPr="0061644B" w:rsidRDefault="00C50050" w:rsidP="003E6662">
            <w:pPr>
              <w:widowControl/>
              <w:spacing w:before="29" w:line="288" w:lineRule="auto"/>
              <w:jc w:val="center"/>
              <w:rPr>
                <w:kern w:val="0"/>
                <w:sz w:val="24"/>
              </w:rPr>
            </w:pPr>
            <w:r w:rsidRPr="0061644B">
              <w:rPr>
                <w:kern w:val="0"/>
                <w:sz w:val="24"/>
              </w:rPr>
              <w:t>合计</w:t>
            </w:r>
          </w:p>
        </w:tc>
        <w:tc>
          <w:tcPr>
            <w:tcW w:w="2977" w:type="dxa"/>
            <w:vAlign w:val="center"/>
          </w:tcPr>
          <w:p w:rsidR="00C50050" w:rsidRPr="0061644B" w:rsidRDefault="00C50050" w:rsidP="003E6662">
            <w:pPr>
              <w:widowControl/>
              <w:spacing w:before="29" w:line="288" w:lineRule="auto"/>
              <w:jc w:val="right"/>
              <w:rPr>
                <w:kern w:val="0"/>
                <w:sz w:val="24"/>
              </w:rPr>
            </w:pPr>
            <w:r w:rsidRPr="0061644B">
              <w:rPr>
                <w:kern w:val="0"/>
                <w:sz w:val="24"/>
              </w:rPr>
              <w:t>20,843.84</w:t>
            </w:r>
          </w:p>
        </w:tc>
        <w:tc>
          <w:tcPr>
            <w:tcW w:w="1768" w:type="dxa"/>
            <w:vAlign w:val="center"/>
          </w:tcPr>
          <w:p w:rsidR="00C50050" w:rsidRPr="0061644B" w:rsidRDefault="00C50050" w:rsidP="003E6662">
            <w:pPr>
              <w:widowControl/>
              <w:spacing w:before="29" w:line="288" w:lineRule="auto"/>
              <w:jc w:val="right"/>
              <w:rPr>
                <w:kern w:val="0"/>
                <w:sz w:val="24"/>
              </w:rPr>
            </w:pPr>
            <w:r w:rsidRPr="0061644B">
              <w:rPr>
                <w:kern w:val="0"/>
                <w:sz w:val="24"/>
              </w:rPr>
              <w:t>0.01%</w:t>
            </w:r>
          </w:p>
        </w:tc>
      </w:tr>
    </w:tbl>
    <w:p w:rsidR="0027759A" w:rsidRPr="0027759A" w:rsidRDefault="0027759A" w:rsidP="00792A69">
      <w:pPr>
        <w:tabs>
          <w:tab w:val="left" w:pos="426"/>
        </w:tabs>
        <w:spacing w:before="29" w:line="288" w:lineRule="auto"/>
        <w:jc w:val="left"/>
        <w:rPr>
          <w:kern w:val="0"/>
          <w:sz w:val="24"/>
        </w:rPr>
      </w:pPr>
    </w:p>
    <w:p w:rsidR="004A72D3" w:rsidRPr="000128A0" w:rsidRDefault="004A72D3" w:rsidP="004A72D3">
      <w:pPr>
        <w:pStyle w:val="20"/>
        <w:spacing w:before="29" w:after="0" w:line="288" w:lineRule="auto"/>
        <w:rPr>
          <w:rFonts w:ascii="Times New Roman" w:hAnsi="Times New Roman" w:cs="Times New Roman"/>
          <w:kern w:val="0"/>
          <w:szCs w:val="24"/>
        </w:rPr>
      </w:pPr>
      <w:r w:rsidRPr="000128A0">
        <w:rPr>
          <w:rFonts w:ascii="Times New Roman" w:hAnsi="Times New Roman" w:cs="Times New Roman"/>
          <w:kern w:val="0"/>
          <w:szCs w:val="24"/>
        </w:rPr>
        <w:t>8.4</w:t>
      </w:r>
      <w:r w:rsidRPr="000128A0">
        <w:rPr>
          <w:rFonts w:ascii="Times New Roman" w:hAnsi="Times New Roman" w:cs="Times New Roman" w:hint="eastAsia"/>
          <w:kern w:val="0"/>
          <w:szCs w:val="24"/>
        </w:rPr>
        <w:t>期末基金管理人的从业人员持有本开放式基金份额总量区间的情况</w:t>
      </w:r>
    </w:p>
    <w:tbl>
      <w:tblPr>
        <w:tblW w:w="94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548"/>
        <w:gridCol w:w="3514"/>
        <w:gridCol w:w="3436"/>
      </w:tblGrid>
      <w:tr w:rsidR="004A72D3" w:rsidRPr="009D5CCC" w:rsidTr="00981E93">
        <w:trPr>
          <w:trHeight w:val="285"/>
        </w:trPr>
        <w:tc>
          <w:tcPr>
            <w:tcW w:w="2548" w:type="dxa"/>
            <w:shd w:val="clear" w:color="auto" w:fill="auto"/>
            <w:tcMar>
              <w:top w:w="0" w:type="dxa"/>
              <w:left w:w="108" w:type="dxa"/>
              <w:bottom w:w="0" w:type="dxa"/>
              <w:right w:w="108" w:type="dxa"/>
            </w:tcMar>
            <w:vAlign w:val="center"/>
            <w:hideMark/>
          </w:tcPr>
          <w:p w:rsidR="004A72D3" w:rsidRPr="000128A0" w:rsidRDefault="004A72D3" w:rsidP="00B258B8">
            <w:pPr>
              <w:pStyle w:val="a0"/>
              <w:spacing w:before="29" w:line="288" w:lineRule="auto"/>
              <w:ind w:firstLineChars="0" w:firstLine="0"/>
              <w:rPr>
                <w:kern w:val="0"/>
                <w:sz w:val="24"/>
              </w:rPr>
            </w:pPr>
            <w:r w:rsidRPr="000128A0">
              <w:rPr>
                <w:rFonts w:hint="eastAsia"/>
                <w:kern w:val="0"/>
                <w:sz w:val="24"/>
              </w:rPr>
              <w:t>项目</w:t>
            </w:r>
          </w:p>
        </w:tc>
        <w:tc>
          <w:tcPr>
            <w:tcW w:w="3514" w:type="dxa"/>
            <w:shd w:val="clear" w:color="auto" w:fill="auto"/>
            <w:tcMar>
              <w:top w:w="0" w:type="dxa"/>
              <w:left w:w="108" w:type="dxa"/>
              <w:bottom w:w="0" w:type="dxa"/>
              <w:right w:w="108" w:type="dxa"/>
            </w:tcMar>
            <w:vAlign w:val="center"/>
            <w:hideMark/>
          </w:tcPr>
          <w:p w:rsidR="004A72D3" w:rsidRPr="000128A0" w:rsidRDefault="004A72D3" w:rsidP="00B258B8">
            <w:pPr>
              <w:pStyle w:val="a0"/>
              <w:spacing w:before="29" w:line="288" w:lineRule="auto"/>
              <w:ind w:firstLineChars="0" w:firstLine="0"/>
              <w:rPr>
                <w:kern w:val="0"/>
                <w:sz w:val="24"/>
              </w:rPr>
            </w:pPr>
            <w:r w:rsidRPr="000128A0">
              <w:rPr>
                <w:rFonts w:hint="eastAsia"/>
                <w:kern w:val="0"/>
                <w:sz w:val="24"/>
              </w:rPr>
              <w:t>份额级别</w:t>
            </w:r>
          </w:p>
        </w:tc>
        <w:tc>
          <w:tcPr>
            <w:tcW w:w="3436" w:type="dxa"/>
            <w:shd w:val="clear" w:color="auto" w:fill="auto"/>
            <w:tcMar>
              <w:top w:w="0" w:type="dxa"/>
              <w:left w:w="108" w:type="dxa"/>
              <w:bottom w:w="0" w:type="dxa"/>
              <w:right w:w="108" w:type="dxa"/>
            </w:tcMar>
            <w:vAlign w:val="center"/>
            <w:hideMark/>
          </w:tcPr>
          <w:p w:rsidR="004A72D3" w:rsidRPr="000128A0" w:rsidRDefault="004A72D3" w:rsidP="00B258B8">
            <w:pPr>
              <w:pStyle w:val="a0"/>
              <w:spacing w:before="29" w:line="288" w:lineRule="auto"/>
              <w:ind w:firstLineChars="0" w:firstLine="0"/>
              <w:rPr>
                <w:kern w:val="0"/>
                <w:sz w:val="24"/>
              </w:rPr>
            </w:pPr>
            <w:r w:rsidRPr="000128A0">
              <w:rPr>
                <w:rFonts w:hint="eastAsia"/>
                <w:kern w:val="0"/>
                <w:sz w:val="24"/>
              </w:rPr>
              <w:t>持有基金份额总量的数量区间（万份）</w:t>
            </w:r>
          </w:p>
        </w:tc>
      </w:tr>
      <w:tr w:rsidR="004A72D3" w:rsidRPr="009D5CCC" w:rsidTr="00981E93">
        <w:trPr>
          <w:trHeight w:val="285"/>
        </w:trPr>
        <w:tc>
          <w:tcPr>
            <w:tcW w:w="2548" w:type="dxa"/>
            <w:vMerge w:val="restart"/>
            <w:shd w:val="clear" w:color="auto" w:fill="auto"/>
            <w:tcMar>
              <w:top w:w="0" w:type="dxa"/>
              <w:left w:w="108" w:type="dxa"/>
              <w:bottom w:w="0" w:type="dxa"/>
              <w:right w:w="108" w:type="dxa"/>
            </w:tcMar>
            <w:vAlign w:val="center"/>
            <w:hideMark/>
          </w:tcPr>
          <w:p w:rsidR="004A72D3" w:rsidRPr="009D5CCC" w:rsidRDefault="004A72D3" w:rsidP="00B258B8">
            <w:pPr>
              <w:spacing w:before="29" w:line="288" w:lineRule="auto"/>
              <w:jc w:val="left"/>
              <w:rPr>
                <w:kern w:val="0"/>
                <w:szCs w:val="21"/>
              </w:rPr>
            </w:pPr>
            <w:r w:rsidRPr="000128A0">
              <w:rPr>
                <w:rFonts w:hint="eastAsia"/>
                <w:sz w:val="24"/>
              </w:rPr>
              <w:t>本公司高级管理人员、基金投资和研究部门负责人持有本开放式基金</w:t>
            </w:r>
          </w:p>
        </w:tc>
        <w:tc>
          <w:tcPr>
            <w:tcW w:w="3514" w:type="dxa"/>
            <w:shd w:val="clear" w:color="auto" w:fill="auto"/>
            <w:tcMar>
              <w:top w:w="0" w:type="dxa"/>
              <w:left w:w="108" w:type="dxa"/>
              <w:bottom w:w="0" w:type="dxa"/>
              <w:right w:w="108" w:type="dxa"/>
            </w:tcMar>
            <w:vAlign w:val="center"/>
            <w:hideMark/>
          </w:tcPr>
          <w:p w:rsidR="004A72D3" w:rsidRPr="000128A0" w:rsidRDefault="004A72D3" w:rsidP="00981E93">
            <w:pPr>
              <w:spacing w:before="29" w:line="288" w:lineRule="auto"/>
              <w:jc w:val="left"/>
              <w:rPr>
                <w:sz w:val="24"/>
              </w:rPr>
            </w:pPr>
            <w:r w:rsidRPr="000128A0">
              <w:rPr>
                <w:rFonts w:hint="eastAsia"/>
                <w:sz w:val="24"/>
              </w:rPr>
              <w:t>交银天运宝货币</w:t>
            </w:r>
            <w:r w:rsidRPr="000128A0">
              <w:rPr>
                <w:rFonts w:hint="eastAsia"/>
                <w:sz w:val="24"/>
              </w:rPr>
              <w:t>A</w:t>
            </w:r>
          </w:p>
        </w:tc>
        <w:tc>
          <w:tcPr>
            <w:tcW w:w="3436" w:type="dxa"/>
            <w:shd w:val="clear" w:color="auto" w:fill="auto"/>
            <w:tcMar>
              <w:top w:w="0" w:type="dxa"/>
              <w:left w:w="108" w:type="dxa"/>
              <w:bottom w:w="0" w:type="dxa"/>
              <w:right w:w="108" w:type="dxa"/>
            </w:tcMar>
            <w:vAlign w:val="center"/>
            <w:hideMark/>
          </w:tcPr>
          <w:p w:rsidR="004A72D3" w:rsidRPr="000128A0" w:rsidRDefault="004A72D3" w:rsidP="00B258B8">
            <w:pPr>
              <w:spacing w:before="29" w:line="288" w:lineRule="auto"/>
              <w:jc w:val="right"/>
              <w:rPr>
                <w:sz w:val="24"/>
              </w:rPr>
            </w:pPr>
            <w:r w:rsidRPr="000128A0">
              <w:rPr>
                <w:sz w:val="24"/>
              </w:rPr>
              <w:t>0~10</w:t>
            </w:r>
          </w:p>
        </w:tc>
      </w:tr>
      <w:tr w:rsidR="004A72D3" w:rsidRPr="009D5CCC" w:rsidTr="00981E93">
        <w:trPr>
          <w:trHeight w:val="285"/>
        </w:trPr>
        <w:tc>
          <w:tcPr>
            <w:tcW w:w="2548" w:type="dxa"/>
            <w:vMerge/>
            <w:shd w:val="clear" w:color="auto" w:fill="auto"/>
            <w:vAlign w:val="center"/>
            <w:hideMark/>
          </w:tcPr>
          <w:p w:rsidR="004A72D3" w:rsidRPr="009D5CCC" w:rsidRDefault="004A72D3" w:rsidP="00B258B8">
            <w:pPr>
              <w:widowControl/>
              <w:jc w:val="left"/>
              <w:rPr>
                <w:kern w:val="0"/>
                <w:szCs w:val="21"/>
              </w:rPr>
            </w:pPr>
          </w:p>
        </w:tc>
        <w:tc>
          <w:tcPr>
            <w:tcW w:w="3514" w:type="dxa"/>
            <w:shd w:val="clear" w:color="auto" w:fill="auto"/>
            <w:tcMar>
              <w:top w:w="0" w:type="dxa"/>
              <w:left w:w="108" w:type="dxa"/>
              <w:bottom w:w="0" w:type="dxa"/>
              <w:right w:w="108" w:type="dxa"/>
            </w:tcMar>
            <w:vAlign w:val="center"/>
            <w:hideMark/>
          </w:tcPr>
          <w:p w:rsidR="004A72D3" w:rsidRPr="000128A0" w:rsidRDefault="004A72D3" w:rsidP="00981E93">
            <w:pPr>
              <w:spacing w:before="29" w:line="288" w:lineRule="auto"/>
              <w:jc w:val="left"/>
              <w:rPr>
                <w:sz w:val="24"/>
              </w:rPr>
            </w:pPr>
            <w:r w:rsidRPr="000128A0">
              <w:rPr>
                <w:rFonts w:hint="eastAsia"/>
                <w:sz w:val="24"/>
              </w:rPr>
              <w:t>交银天运宝货币</w:t>
            </w:r>
            <w:r w:rsidRPr="000128A0">
              <w:rPr>
                <w:rFonts w:hint="eastAsia"/>
                <w:sz w:val="24"/>
              </w:rPr>
              <w:t>E</w:t>
            </w:r>
          </w:p>
        </w:tc>
        <w:tc>
          <w:tcPr>
            <w:tcW w:w="3436" w:type="dxa"/>
            <w:shd w:val="clear" w:color="auto" w:fill="auto"/>
            <w:tcMar>
              <w:top w:w="0" w:type="dxa"/>
              <w:left w:w="108" w:type="dxa"/>
              <w:bottom w:w="0" w:type="dxa"/>
              <w:right w:w="108" w:type="dxa"/>
            </w:tcMar>
            <w:vAlign w:val="center"/>
            <w:hideMark/>
          </w:tcPr>
          <w:p w:rsidR="004A72D3" w:rsidRPr="000128A0" w:rsidRDefault="004A72D3" w:rsidP="00B258B8">
            <w:pPr>
              <w:spacing w:before="29" w:line="288" w:lineRule="auto"/>
              <w:jc w:val="right"/>
              <w:rPr>
                <w:sz w:val="24"/>
              </w:rPr>
            </w:pPr>
            <w:r w:rsidRPr="000128A0">
              <w:rPr>
                <w:sz w:val="24"/>
              </w:rPr>
              <w:t>0</w:t>
            </w:r>
          </w:p>
        </w:tc>
      </w:tr>
      <w:tr w:rsidR="004A72D3" w:rsidRPr="009D5CCC" w:rsidTr="00981E93">
        <w:trPr>
          <w:trHeight w:val="285"/>
        </w:trPr>
        <w:tc>
          <w:tcPr>
            <w:tcW w:w="2548" w:type="dxa"/>
            <w:vMerge/>
            <w:shd w:val="clear" w:color="auto" w:fill="auto"/>
            <w:vAlign w:val="center"/>
            <w:hideMark/>
          </w:tcPr>
          <w:p w:rsidR="004A72D3" w:rsidRPr="009D5CCC" w:rsidRDefault="004A72D3" w:rsidP="00B258B8">
            <w:pPr>
              <w:widowControl/>
              <w:jc w:val="left"/>
              <w:rPr>
                <w:kern w:val="0"/>
                <w:szCs w:val="21"/>
              </w:rPr>
            </w:pPr>
          </w:p>
        </w:tc>
        <w:tc>
          <w:tcPr>
            <w:tcW w:w="3514" w:type="dxa"/>
            <w:shd w:val="clear" w:color="auto" w:fill="auto"/>
            <w:tcMar>
              <w:top w:w="0" w:type="dxa"/>
              <w:left w:w="108" w:type="dxa"/>
              <w:bottom w:w="0" w:type="dxa"/>
              <w:right w:w="108" w:type="dxa"/>
            </w:tcMar>
            <w:vAlign w:val="center"/>
            <w:hideMark/>
          </w:tcPr>
          <w:p w:rsidR="004A72D3" w:rsidRPr="000128A0" w:rsidRDefault="004A72D3" w:rsidP="00981E93">
            <w:pPr>
              <w:spacing w:before="29" w:line="288" w:lineRule="auto"/>
              <w:jc w:val="center"/>
              <w:rPr>
                <w:sz w:val="24"/>
              </w:rPr>
            </w:pPr>
            <w:r w:rsidRPr="000128A0">
              <w:rPr>
                <w:rFonts w:hint="eastAsia"/>
                <w:sz w:val="24"/>
              </w:rPr>
              <w:t>合计</w:t>
            </w:r>
          </w:p>
        </w:tc>
        <w:tc>
          <w:tcPr>
            <w:tcW w:w="3436" w:type="dxa"/>
            <w:shd w:val="clear" w:color="auto" w:fill="auto"/>
            <w:tcMar>
              <w:top w:w="0" w:type="dxa"/>
              <w:left w:w="108" w:type="dxa"/>
              <w:bottom w:w="0" w:type="dxa"/>
              <w:right w:w="108" w:type="dxa"/>
            </w:tcMar>
            <w:vAlign w:val="center"/>
            <w:hideMark/>
          </w:tcPr>
          <w:p w:rsidR="004A72D3" w:rsidRPr="000128A0" w:rsidRDefault="004A72D3" w:rsidP="00B258B8">
            <w:pPr>
              <w:spacing w:before="29" w:line="288" w:lineRule="auto"/>
              <w:jc w:val="right"/>
              <w:rPr>
                <w:sz w:val="24"/>
              </w:rPr>
            </w:pPr>
            <w:r w:rsidRPr="000128A0">
              <w:rPr>
                <w:sz w:val="24"/>
              </w:rPr>
              <w:t>0~10</w:t>
            </w:r>
          </w:p>
        </w:tc>
      </w:tr>
      <w:tr w:rsidR="004A72D3" w:rsidRPr="009D5CCC" w:rsidTr="00981E93">
        <w:trPr>
          <w:trHeight w:val="285"/>
        </w:trPr>
        <w:tc>
          <w:tcPr>
            <w:tcW w:w="2548" w:type="dxa"/>
            <w:vMerge w:val="restart"/>
            <w:shd w:val="clear" w:color="auto" w:fill="auto"/>
            <w:tcMar>
              <w:top w:w="0" w:type="dxa"/>
              <w:left w:w="108" w:type="dxa"/>
              <w:bottom w:w="0" w:type="dxa"/>
              <w:right w:w="108" w:type="dxa"/>
            </w:tcMar>
            <w:vAlign w:val="center"/>
            <w:hideMark/>
          </w:tcPr>
          <w:p w:rsidR="004A72D3" w:rsidRPr="009D5CCC" w:rsidRDefault="004A72D3" w:rsidP="00B258B8">
            <w:pPr>
              <w:spacing w:before="29" w:line="288" w:lineRule="auto"/>
              <w:jc w:val="left"/>
              <w:rPr>
                <w:kern w:val="0"/>
                <w:szCs w:val="21"/>
              </w:rPr>
            </w:pPr>
            <w:r w:rsidRPr="000128A0">
              <w:rPr>
                <w:rFonts w:hint="eastAsia"/>
                <w:sz w:val="24"/>
              </w:rPr>
              <w:t>本基金基金经理持有本开放式基金</w:t>
            </w:r>
          </w:p>
        </w:tc>
        <w:tc>
          <w:tcPr>
            <w:tcW w:w="3514" w:type="dxa"/>
            <w:shd w:val="clear" w:color="auto" w:fill="auto"/>
            <w:tcMar>
              <w:top w:w="0" w:type="dxa"/>
              <w:left w:w="108" w:type="dxa"/>
              <w:bottom w:w="0" w:type="dxa"/>
              <w:right w:w="108" w:type="dxa"/>
            </w:tcMar>
            <w:vAlign w:val="center"/>
            <w:hideMark/>
          </w:tcPr>
          <w:p w:rsidR="004A72D3" w:rsidRPr="000128A0" w:rsidRDefault="004A72D3" w:rsidP="00981E93">
            <w:pPr>
              <w:spacing w:before="29" w:line="288" w:lineRule="auto"/>
              <w:jc w:val="left"/>
              <w:rPr>
                <w:sz w:val="24"/>
              </w:rPr>
            </w:pPr>
            <w:r w:rsidRPr="000128A0">
              <w:rPr>
                <w:rFonts w:hint="eastAsia"/>
                <w:sz w:val="24"/>
              </w:rPr>
              <w:t>交银天运宝货币</w:t>
            </w:r>
            <w:r w:rsidRPr="000128A0">
              <w:rPr>
                <w:rFonts w:hint="eastAsia"/>
                <w:sz w:val="24"/>
              </w:rPr>
              <w:t>A</w:t>
            </w:r>
          </w:p>
        </w:tc>
        <w:tc>
          <w:tcPr>
            <w:tcW w:w="3436" w:type="dxa"/>
            <w:shd w:val="clear" w:color="auto" w:fill="auto"/>
            <w:tcMar>
              <w:top w:w="0" w:type="dxa"/>
              <w:left w:w="108" w:type="dxa"/>
              <w:bottom w:w="0" w:type="dxa"/>
              <w:right w:w="108" w:type="dxa"/>
            </w:tcMar>
            <w:vAlign w:val="center"/>
            <w:hideMark/>
          </w:tcPr>
          <w:p w:rsidR="004A72D3" w:rsidRPr="000128A0" w:rsidRDefault="004A72D3" w:rsidP="00B258B8">
            <w:pPr>
              <w:spacing w:before="29" w:line="288" w:lineRule="auto"/>
              <w:jc w:val="right"/>
              <w:rPr>
                <w:sz w:val="24"/>
              </w:rPr>
            </w:pPr>
            <w:r w:rsidRPr="000128A0">
              <w:rPr>
                <w:sz w:val="24"/>
              </w:rPr>
              <w:t>0</w:t>
            </w:r>
          </w:p>
        </w:tc>
      </w:tr>
      <w:tr w:rsidR="004A72D3" w:rsidRPr="009D5CCC" w:rsidTr="00981E93">
        <w:trPr>
          <w:trHeight w:val="525"/>
        </w:trPr>
        <w:tc>
          <w:tcPr>
            <w:tcW w:w="2548" w:type="dxa"/>
            <w:vMerge/>
            <w:shd w:val="clear" w:color="auto" w:fill="auto"/>
            <w:vAlign w:val="center"/>
            <w:hideMark/>
          </w:tcPr>
          <w:p w:rsidR="004A72D3" w:rsidRPr="009D5CCC" w:rsidRDefault="004A72D3" w:rsidP="00B258B8">
            <w:pPr>
              <w:widowControl/>
              <w:jc w:val="left"/>
              <w:rPr>
                <w:kern w:val="0"/>
                <w:szCs w:val="21"/>
              </w:rPr>
            </w:pPr>
          </w:p>
        </w:tc>
        <w:tc>
          <w:tcPr>
            <w:tcW w:w="3514" w:type="dxa"/>
            <w:shd w:val="clear" w:color="auto" w:fill="auto"/>
            <w:tcMar>
              <w:top w:w="0" w:type="dxa"/>
              <w:left w:w="108" w:type="dxa"/>
              <w:bottom w:w="0" w:type="dxa"/>
              <w:right w:w="108" w:type="dxa"/>
            </w:tcMar>
            <w:vAlign w:val="center"/>
            <w:hideMark/>
          </w:tcPr>
          <w:p w:rsidR="004A72D3" w:rsidRPr="000128A0" w:rsidRDefault="004A72D3" w:rsidP="00981E93">
            <w:pPr>
              <w:spacing w:before="29" w:line="288" w:lineRule="auto"/>
              <w:jc w:val="left"/>
              <w:rPr>
                <w:sz w:val="24"/>
              </w:rPr>
            </w:pPr>
            <w:r w:rsidRPr="000128A0">
              <w:rPr>
                <w:rFonts w:hint="eastAsia"/>
                <w:sz w:val="24"/>
              </w:rPr>
              <w:t>交银天运宝货币</w:t>
            </w:r>
            <w:r w:rsidRPr="000128A0">
              <w:rPr>
                <w:rFonts w:hint="eastAsia"/>
                <w:sz w:val="24"/>
              </w:rPr>
              <w:t>E</w:t>
            </w:r>
          </w:p>
        </w:tc>
        <w:tc>
          <w:tcPr>
            <w:tcW w:w="3436" w:type="dxa"/>
            <w:shd w:val="clear" w:color="auto" w:fill="auto"/>
            <w:tcMar>
              <w:top w:w="0" w:type="dxa"/>
              <w:left w:w="108" w:type="dxa"/>
              <w:bottom w:w="0" w:type="dxa"/>
              <w:right w:w="108" w:type="dxa"/>
            </w:tcMar>
            <w:vAlign w:val="center"/>
            <w:hideMark/>
          </w:tcPr>
          <w:p w:rsidR="004A72D3" w:rsidRPr="000128A0" w:rsidRDefault="004A72D3" w:rsidP="00B258B8">
            <w:pPr>
              <w:spacing w:before="29" w:line="288" w:lineRule="auto"/>
              <w:jc w:val="right"/>
              <w:rPr>
                <w:sz w:val="24"/>
              </w:rPr>
            </w:pPr>
            <w:r w:rsidRPr="000128A0">
              <w:rPr>
                <w:sz w:val="24"/>
              </w:rPr>
              <w:t>0</w:t>
            </w:r>
          </w:p>
        </w:tc>
      </w:tr>
      <w:tr w:rsidR="004A72D3" w:rsidRPr="009D5CCC" w:rsidTr="00981E93">
        <w:trPr>
          <w:trHeight w:val="653"/>
        </w:trPr>
        <w:tc>
          <w:tcPr>
            <w:tcW w:w="2548" w:type="dxa"/>
            <w:vMerge/>
            <w:shd w:val="clear" w:color="auto" w:fill="auto"/>
            <w:vAlign w:val="center"/>
            <w:hideMark/>
          </w:tcPr>
          <w:p w:rsidR="004A72D3" w:rsidRPr="009D5CCC" w:rsidRDefault="004A72D3" w:rsidP="00B258B8">
            <w:pPr>
              <w:widowControl/>
              <w:jc w:val="left"/>
              <w:rPr>
                <w:kern w:val="0"/>
                <w:szCs w:val="21"/>
              </w:rPr>
            </w:pPr>
          </w:p>
        </w:tc>
        <w:tc>
          <w:tcPr>
            <w:tcW w:w="3514" w:type="dxa"/>
            <w:shd w:val="clear" w:color="auto" w:fill="auto"/>
            <w:tcMar>
              <w:top w:w="0" w:type="dxa"/>
              <w:left w:w="108" w:type="dxa"/>
              <w:bottom w:w="0" w:type="dxa"/>
              <w:right w:w="108" w:type="dxa"/>
            </w:tcMar>
            <w:vAlign w:val="center"/>
            <w:hideMark/>
          </w:tcPr>
          <w:p w:rsidR="004A72D3" w:rsidRPr="000128A0" w:rsidRDefault="004A72D3" w:rsidP="00981E93">
            <w:pPr>
              <w:spacing w:before="29" w:line="288" w:lineRule="auto"/>
              <w:jc w:val="center"/>
              <w:rPr>
                <w:sz w:val="24"/>
              </w:rPr>
            </w:pPr>
            <w:r w:rsidRPr="000128A0">
              <w:rPr>
                <w:rFonts w:hint="eastAsia"/>
                <w:sz w:val="24"/>
              </w:rPr>
              <w:t>合计</w:t>
            </w:r>
          </w:p>
        </w:tc>
        <w:tc>
          <w:tcPr>
            <w:tcW w:w="3436" w:type="dxa"/>
            <w:shd w:val="clear" w:color="auto" w:fill="auto"/>
            <w:tcMar>
              <w:top w:w="0" w:type="dxa"/>
              <w:left w:w="108" w:type="dxa"/>
              <w:bottom w:w="0" w:type="dxa"/>
              <w:right w:w="108" w:type="dxa"/>
            </w:tcMar>
            <w:vAlign w:val="center"/>
            <w:hideMark/>
          </w:tcPr>
          <w:p w:rsidR="004A72D3" w:rsidRPr="000128A0" w:rsidRDefault="004A72D3" w:rsidP="00B258B8">
            <w:pPr>
              <w:spacing w:before="29" w:line="288" w:lineRule="auto"/>
              <w:jc w:val="right"/>
              <w:rPr>
                <w:sz w:val="24"/>
              </w:rPr>
            </w:pPr>
            <w:r w:rsidRPr="000128A0">
              <w:rPr>
                <w:sz w:val="24"/>
              </w:rPr>
              <w:t>0</w:t>
            </w:r>
          </w:p>
        </w:tc>
      </w:tr>
    </w:tbl>
    <w:p w:rsidR="006D141C" w:rsidRPr="004A72D3" w:rsidRDefault="006D141C" w:rsidP="00792A69">
      <w:pPr>
        <w:spacing w:before="29" w:line="288" w:lineRule="auto"/>
        <w:rPr>
          <w:sz w:val="24"/>
        </w:rPr>
      </w:pPr>
    </w:p>
    <w:p w:rsidR="006D141C" w:rsidRPr="0061644B" w:rsidRDefault="00FC67A5" w:rsidP="00B54CAD">
      <w:pPr>
        <w:pStyle w:val="1"/>
        <w:keepNext/>
        <w:keepLines/>
        <w:widowControl w:val="0"/>
        <w:spacing w:beforeLines="100" w:before="312" w:afterLines="100" w:after="312" w:line="288" w:lineRule="auto"/>
        <w:jc w:val="center"/>
        <w:rPr>
          <w:b/>
          <w:bCs/>
          <w:szCs w:val="24"/>
          <w:lang w:val="en-US"/>
        </w:rPr>
      </w:pPr>
      <w:bookmarkStart w:id="39" w:name="_Toc331410115"/>
      <w:bookmarkStart w:id="40" w:name="_Toc225500053"/>
      <w:r w:rsidRPr="0061644B">
        <w:rPr>
          <w:b/>
          <w:bCs/>
          <w:szCs w:val="24"/>
          <w:lang w:val="en-US"/>
        </w:rPr>
        <w:t>9</w:t>
      </w:r>
      <w:r w:rsidR="006D141C" w:rsidRPr="0061644B">
        <w:rPr>
          <w:b/>
          <w:bCs/>
          <w:szCs w:val="24"/>
          <w:lang w:val="en-US"/>
        </w:rPr>
        <w:t>开放式基金份额变动</w:t>
      </w:r>
      <w:bookmarkEnd w:id="39"/>
      <w:bookmarkEnd w:id="40"/>
    </w:p>
    <w:p w:rsidR="003F6F2B" w:rsidRPr="0061644B" w:rsidRDefault="003F6F2B" w:rsidP="00792A69">
      <w:pPr>
        <w:spacing w:before="29" w:line="288" w:lineRule="auto"/>
        <w:jc w:val="right"/>
        <w:rPr>
          <w:sz w:val="24"/>
        </w:rPr>
      </w:pPr>
      <w:r w:rsidRPr="0061644B">
        <w:rPr>
          <w:sz w:val="24"/>
        </w:rPr>
        <w:t>单位：份</w:t>
      </w:r>
    </w:p>
    <w:tbl>
      <w:tblPr>
        <w:tblStyle w:val="af7"/>
        <w:tblW w:w="8998" w:type="dxa"/>
        <w:tblInd w:w="108" w:type="dxa"/>
        <w:tblLayout w:type="fixed"/>
        <w:tblLook w:val="04A0" w:firstRow="1" w:lastRow="0" w:firstColumn="1" w:lastColumn="0" w:noHBand="0" w:noVBand="1"/>
      </w:tblPr>
      <w:tblGrid>
        <w:gridCol w:w="3187"/>
        <w:gridCol w:w="2905"/>
        <w:gridCol w:w="2906"/>
      </w:tblGrid>
      <w:tr w:rsidR="00A80CD3" w:rsidRPr="0061644B" w:rsidTr="007304C1">
        <w:tc>
          <w:tcPr>
            <w:tcW w:w="1771"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center"/>
              <w:rPr>
                <w:sz w:val="24"/>
              </w:rPr>
            </w:pPr>
            <w:r w:rsidRPr="0061644B">
              <w:rPr>
                <w:sz w:val="24"/>
              </w:rPr>
              <w:t>项目</w:t>
            </w:r>
          </w:p>
        </w:tc>
        <w:tc>
          <w:tcPr>
            <w:tcW w:w="1614"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center"/>
              <w:rPr>
                <w:sz w:val="24"/>
              </w:rPr>
            </w:pPr>
            <w:r w:rsidRPr="0061644B">
              <w:rPr>
                <w:sz w:val="24"/>
              </w:rPr>
              <w:t>交银天运宝货币</w:t>
            </w:r>
            <w:r w:rsidRPr="0061644B">
              <w:rPr>
                <w:sz w:val="24"/>
              </w:rPr>
              <w:t>A</w:t>
            </w:r>
          </w:p>
        </w:tc>
        <w:tc>
          <w:tcPr>
            <w:tcW w:w="1615"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center"/>
              <w:rPr>
                <w:sz w:val="24"/>
              </w:rPr>
            </w:pPr>
            <w:r w:rsidRPr="0061644B">
              <w:rPr>
                <w:sz w:val="24"/>
              </w:rPr>
              <w:t>交银天运宝货币</w:t>
            </w:r>
            <w:r w:rsidRPr="0061644B">
              <w:rPr>
                <w:sz w:val="24"/>
              </w:rPr>
              <w:t>E</w:t>
            </w:r>
          </w:p>
        </w:tc>
      </w:tr>
      <w:tr w:rsidR="00A80CD3" w:rsidRPr="0061644B" w:rsidTr="007304C1">
        <w:tc>
          <w:tcPr>
            <w:tcW w:w="1771" w:type="pct"/>
            <w:tcBorders>
              <w:top w:val="single" w:sz="4" w:space="0" w:color="auto"/>
              <w:left w:val="single" w:sz="4" w:space="0" w:color="auto"/>
              <w:bottom w:val="single" w:sz="4" w:space="0" w:color="auto"/>
              <w:right w:val="single" w:sz="4" w:space="0" w:color="auto"/>
            </w:tcBorders>
            <w:vAlign w:val="center"/>
            <w:hideMark/>
          </w:tcPr>
          <w:p w:rsidR="00A80CD3" w:rsidRPr="0061644B" w:rsidRDefault="00A80CD3" w:rsidP="00792A69">
            <w:pPr>
              <w:spacing w:before="29" w:line="288" w:lineRule="auto"/>
              <w:rPr>
                <w:sz w:val="24"/>
              </w:rPr>
            </w:pPr>
            <w:r w:rsidRPr="0061644B">
              <w:rPr>
                <w:sz w:val="24"/>
              </w:rPr>
              <w:t>基金合同生效日（</w:t>
            </w:r>
            <w:r w:rsidRPr="0061644B">
              <w:rPr>
                <w:sz w:val="24"/>
              </w:rPr>
              <w:t>2017</w:t>
            </w:r>
            <w:r w:rsidRPr="0061644B">
              <w:rPr>
                <w:sz w:val="24"/>
              </w:rPr>
              <w:t>年</w:t>
            </w:r>
            <w:r w:rsidRPr="0061644B">
              <w:rPr>
                <w:sz w:val="24"/>
              </w:rPr>
              <w:t>12</w:t>
            </w:r>
            <w:r w:rsidRPr="0061644B">
              <w:rPr>
                <w:sz w:val="24"/>
              </w:rPr>
              <w:t>月</w:t>
            </w:r>
            <w:r w:rsidRPr="0061644B">
              <w:rPr>
                <w:sz w:val="24"/>
              </w:rPr>
              <w:t>29</w:t>
            </w:r>
            <w:r w:rsidRPr="0061644B">
              <w:rPr>
                <w:sz w:val="24"/>
              </w:rPr>
              <w:t>日）基金份额总额</w:t>
            </w:r>
          </w:p>
        </w:tc>
        <w:tc>
          <w:tcPr>
            <w:tcW w:w="1614"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right"/>
              <w:rPr>
                <w:sz w:val="24"/>
              </w:rPr>
            </w:pPr>
            <w:r w:rsidRPr="0061644B">
              <w:rPr>
                <w:sz w:val="24"/>
              </w:rPr>
              <w:t>18,573.23</w:t>
            </w:r>
          </w:p>
        </w:tc>
        <w:tc>
          <w:tcPr>
            <w:tcW w:w="1615"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right"/>
              <w:rPr>
                <w:sz w:val="24"/>
              </w:rPr>
            </w:pPr>
            <w:r w:rsidRPr="0061644B">
              <w:rPr>
                <w:sz w:val="24"/>
              </w:rPr>
              <w:t>220,009,900.00</w:t>
            </w:r>
          </w:p>
        </w:tc>
      </w:tr>
      <w:tr w:rsidR="00A80CD3" w:rsidRPr="0061644B" w:rsidTr="007304C1">
        <w:tc>
          <w:tcPr>
            <w:tcW w:w="1771" w:type="pct"/>
            <w:tcBorders>
              <w:top w:val="single" w:sz="4" w:space="0" w:color="auto"/>
              <w:left w:val="single" w:sz="4" w:space="0" w:color="auto"/>
              <w:bottom w:val="single" w:sz="4" w:space="0" w:color="auto"/>
              <w:right w:val="single" w:sz="4" w:space="0" w:color="auto"/>
            </w:tcBorders>
            <w:vAlign w:val="center"/>
            <w:hideMark/>
          </w:tcPr>
          <w:p w:rsidR="00A80CD3" w:rsidRPr="0061644B" w:rsidRDefault="00A80CD3" w:rsidP="00792A69">
            <w:pPr>
              <w:spacing w:before="29" w:line="288" w:lineRule="auto"/>
              <w:rPr>
                <w:sz w:val="24"/>
              </w:rPr>
            </w:pPr>
            <w:r w:rsidRPr="0061644B">
              <w:rPr>
                <w:sz w:val="24"/>
              </w:rPr>
              <w:t>本报告期期初基金份额总额</w:t>
            </w:r>
          </w:p>
        </w:tc>
        <w:tc>
          <w:tcPr>
            <w:tcW w:w="1614"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right"/>
              <w:rPr>
                <w:sz w:val="24"/>
              </w:rPr>
            </w:pPr>
            <w:r w:rsidRPr="0061644B">
              <w:rPr>
                <w:sz w:val="24"/>
              </w:rPr>
              <w:t>18,592.20</w:t>
            </w:r>
          </w:p>
        </w:tc>
        <w:tc>
          <w:tcPr>
            <w:tcW w:w="1615"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right"/>
              <w:rPr>
                <w:sz w:val="24"/>
              </w:rPr>
            </w:pPr>
            <w:r w:rsidRPr="0061644B">
              <w:rPr>
                <w:sz w:val="24"/>
              </w:rPr>
              <w:t>220,236,037.83</w:t>
            </w:r>
          </w:p>
        </w:tc>
      </w:tr>
      <w:tr w:rsidR="00A80CD3" w:rsidRPr="0061644B" w:rsidTr="007304C1">
        <w:tc>
          <w:tcPr>
            <w:tcW w:w="1771" w:type="pct"/>
            <w:tcBorders>
              <w:top w:val="single" w:sz="4" w:space="0" w:color="auto"/>
              <w:left w:val="single" w:sz="4" w:space="0" w:color="auto"/>
              <w:bottom w:val="single" w:sz="4" w:space="0" w:color="auto"/>
              <w:right w:val="single" w:sz="4" w:space="0" w:color="auto"/>
            </w:tcBorders>
            <w:vAlign w:val="center"/>
            <w:hideMark/>
          </w:tcPr>
          <w:p w:rsidR="00A80CD3" w:rsidRPr="0061644B" w:rsidRDefault="00A80CD3" w:rsidP="00792A69">
            <w:pPr>
              <w:spacing w:before="29" w:line="288" w:lineRule="auto"/>
              <w:rPr>
                <w:sz w:val="24"/>
              </w:rPr>
            </w:pPr>
            <w:r w:rsidRPr="0061644B">
              <w:rPr>
                <w:sz w:val="24"/>
              </w:rPr>
              <w:t>本报告期基金总申购份额</w:t>
            </w:r>
          </w:p>
        </w:tc>
        <w:tc>
          <w:tcPr>
            <w:tcW w:w="1614"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right"/>
              <w:rPr>
                <w:sz w:val="24"/>
              </w:rPr>
            </w:pPr>
            <w:r w:rsidRPr="0061644B">
              <w:rPr>
                <w:sz w:val="24"/>
              </w:rPr>
              <w:t>20,692,194.46</w:t>
            </w:r>
          </w:p>
        </w:tc>
        <w:tc>
          <w:tcPr>
            <w:tcW w:w="1615"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right"/>
              <w:rPr>
                <w:sz w:val="24"/>
              </w:rPr>
            </w:pPr>
            <w:r w:rsidRPr="0061644B">
              <w:rPr>
                <w:sz w:val="24"/>
              </w:rPr>
              <w:t>172,509,903.48</w:t>
            </w:r>
          </w:p>
        </w:tc>
      </w:tr>
      <w:tr w:rsidR="00A80CD3" w:rsidRPr="0061644B" w:rsidTr="007304C1">
        <w:tc>
          <w:tcPr>
            <w:tcW w:w="1771" w:type="pct"/>
            <w:tcBorders>
              <w:top w:val="single" w:sz="4" w:space="0" w:color="auto"/>
              <w:left w:val="single" w:sz="4" w:space="0" w:color="auto"/>
              <w:bottom w:val="single" w:sz="4" w:space="0" w:color="auto"/>
              <w:right w:val="single" w:sz="4" w:space="0" w:color="auto"/>
            </w:tcBorders>
            <w:vAlign w:val="center"/>
            <w:hideMark/>
          </w:tcPr>
          <w:p w:rsidR="00A80CD3" w:rsidRPr="0061644B" w:rsidRDefault="00A80CD3" w:rsidP="00792A69">
            <w:pPr>
              <w:spacing w:before="29" w:line="288" w:lineRule="auto"/>
              <w:rPr>
                <w:sz w:val="24"/>
              </w:rPr>
            </w:pPr>
            <w:r w:rsidRPr="0061644B">
              <w:rPr>
                <w:sz w:val="24"/>
              </w:rPr>
              <w:t>减：本报告期基金总赎回份额</w:t>
            </w:r>
          </w:p>
        </w:tc>
        <w:tc>
          <w:tcPr>
            <w:tcW w:w="1614"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right"/>
              <w:rPr>
                <w:sz w:val="24"/>
              </w:rPr>
            </w:pPr>
            <w:r w:rsidRPr="0061644B">
              <w:rPr>
                <w:sz w:val="24"/>
              </w:rPr>
              <w:t>8,165,605.99</w:t>
            </w:r>
          </w:p>
        </w:tc>
        <w:tc>
          <w:tcPr>
            <w:tcW w:w="1615"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right"/>
              <w:rPr>
                <w:sz w:val="24"/>
              </w:rPr>
            </w:pPr>
            <w:r w:rsidRPr="0061644B">
              <w:rPr>
                <w:sz w:val="24"/>
              </w:rPr>
              <w:t>180,639,843.98</w:t>
            </w:r>
          </w:p>
        </w:tc>
      </w:tr>
      <w:tr w:rsidR="00A80CD3" w:rsidRPr="0061644B" w:rsidTr="007304C1">
        <w:tc>
          <w:tcPr>
            <w:tcW w:w="1771" w:type="pct"/>
            <w:tcBorders>
              <w:top w:val="single" w:sz="4" w:space="0" w:color="auto"/>
              <w:left w:val="single" w:sz="4" w:space="0" w:color="auto"/>
              <w:bottom w:val="single" w:sz="4" w:space="0" w:color="auto"/>
              <w:right w:val="single" w:sz="4" w:space="0" w:color="auto"/>
            </w:tcBorders>
            <w:vAlign w:val="center"/>
            <w:hideMark/>
          </w:tcPr>
          <w:p w:rsidR="00A80CD3" w:rsidRPr="0061644B" w:rsidRDefault="00A80CD3" w:rsidP="00792A69">
            <w:pPr>
              <w:spacing w:before="29" w:line="288" w:lineRule="auto"/>
              <w:rPr>
                <w:sz w:val="24"/>
              </w:rPr>
            </w:pPr>
            <w:r w:rsidRPr="0061644B">
              <w:rPr>
                <w:sz w:val="24"/>
              </w:rPr>
              <w:t>本报告期基金拆分变动份额</w:t>
            </w:r>
          </w:p>
        </w:tc>
        <w:tc>
          <w:tcPr>
            <w:tcW w:w="1614"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right"/>
              <w:rPr>
                <w:sz w:val="24"/>
              </w:rPr>
            </w:pPr>
            <w:r w:rsidRPr="0061644B">
              <w:rPr>
                <w:sz w:val="24"/>
              </w:rPr>
              <w:t>-</w:t>
            </w:r>
          </w:p>
        </w:tc>
        <w:tc>
          <w:tcPr>
            <w:tcW w:w="1615"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right"/>
              <w:rPr>
                <w:sz w:val="24"/>
              </w:rPr>
            </w:pPr>
            <w:r w:rsidRPr="0061644B">
              <w:rPr>
                <w:sz w:val="24"/>
              </w:rPr>
              <w:t>-</w:t>
            </w:r>
          </w:p>
        </w:tc>
      </w:tr>
      <w:tr w:rsidR="00A80CD3" w:rsidRPr="0061644B" w:rsidTr="007304C1">
        <w:tc>
          <w:tcPr>
            <w:tcW w:w="1771" w:type="pct"/>
            <w:tcBorders>
              <w:top w:val="single" w:sz="4" w:space="0" w:color="auto"/>
              <w:left w:val="single" w:sz="4" w:space="0" w:color="auto"/>
              <w:bottom w:val="single" w:sz="4" w:space="0" w:color="auto"/>
              <w:right w:val="single" w:sz="4" w:space="0" w:color="auto"/>
            </w:tcBorders>
            <w:vAlign w:val="center"/>
            <w:hideMark/>
          </w:tcPr>
          <w:p w:rsidR="00A80CD3" w:rsidRPr="0061644B" w:rsidRDefault="00A80CD3" w:rsidP="00792A69">
            <w:pPr>
              <w:spacing w:before="29" w:line="288" w:lineRule="auto"/>
              <w:rPr>
                <w:sz w:val="24"/>
              </w:rPr>
            </w:pPr>
            <w:r w:rsidRPr="0061644B">
              <w:rPr>
                <w:sz w:val="24"/>
              </w:rPr>
              <w:t>本报告期期末基金份额总额</w:t>
            </w:r>
          </w:p>
        </w:tc>
        <w:tc>
          <w:tcPr>
            <w:tcW w:w="1614"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right"/>
              <w:rPr>
                <w:sz w:val="24"/>
              </w:rPr>
            </w:pPr>
            <w:r w:rsidRPr="0061644B">
              <w:rPr>
                <w:sz w:val="24"/>
              </w:rPr>
              <w:t>12,545,180.67</w:t>
            </w:r>
          </w:p>
        </w:tc>
        <w:tc>
          <w:tcPr>
            <w:tcW w:w="1615"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right"/>
              <w:rPr>
                <w:sz w:val="24"/>
              </w:rPr>
            </w:pPr>
            <w:r w:rsidRPr="0061644B">
              <w:rPr>
                <w:sz w:val="24"/>
              </w:rPr>
              <w:t>212,106,097.33</w:t>
            </w:r>
          </w:p>
        </w:tc>
      </w:tr>
    </w:tbl>
    <w:p w:rsidR="001124D8" w:rsidRDefault="00C50050">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3F6F2B" w:rsidRPr="0061644B" w:rsidRDefault="003F6F2B" w:rsidP="00792A69">
      <w:pPr>
        <w:tabs>
          <w:tab w:val="left" w:pos="426"/>
        </w:tabs>
        <w:spacing w:before="29" w:line="288" w:lineRule="auto"/>
        <w:jc w:val="left"/>
        <w:rPr>
          <w:kern w:val="0"/>
          <w:sz w:val="24"/>
        </w:rPr>
      </w:pPr>
      <w:r w:rsidRPr="0061644B">
        <w:rPr>
          <w:kern w:val="0"/>
          <w:sz w:val="24"/>
        </w:rPr>
        <w:t>2</w:t>
      </w:r>
      <w:r w:rsidRPr="0061644B">
        <w:rPr>
          <w:kern w:val="0"/>
          <w:sz w:val="24"/>
        </w:rPr>
        <w:t>、如果本报告期间发生转换出业务，则总赎回份额中包含该业务。</w:t>
      </w:r>
    </w:p>
    <w:p w:rsidR="00F41287" w:rsidRPr="0061644B" w:rsidRDefault="00F41287" w:rsidP="00792A69">
      <w:pPr>
        <w:tabs>
          <w:tab w:val="left" w:pos="426"/>
        </w:tabs>
        <w:spacing w:before="29" w:line="288" w:lineRule="auto"/>
        <w:jc w:val="left"/>
        <w:rPr>
          <w:kern w:val="0"/>
          <w:sz w:val="24"/>
        </w:rPr>
      </w:pPr>
    </w:p>
    <w:p w:rsidR="006D141C" w:rsidRPr="00B54CAD" w:rsidRDefault="006D141C" w:rsidP="00B54CAD">
      <w:pPr>
        <w:pStyle w:val="1"/>
        <w:keepNext/>
        <w:keepLines/>
        <w:widowControl w:val="0"/>
        <w:spacing w:beforeLines="100" w:before="312" w:afterLines="100" w:after="312" w:line="288" w:lineRule="auto"/>
        <w:jc w:val="center"/>
        <w:rPr>
          <w:b/>
          <w:bCs/>
          <w:szCs w:val="24"/>
          <w:lang w:val="en-US"/>
        </w:rPr>
      </w:pPr>
      <w:bookmarkStart w:id="41" w:name="_Toc331410116"/>
      <w:bookmarkStart w:id="42" w:name="_Toc225500054"/>
      <w:r w:rsidRPr="00B54CAD">
        <w:rPr>
          <w:b/>
          <w:bCs/>
          <w:szCs w:val="24"/>
          <w:lang w:val="en-US"/>
        </w:rPr>
        <w:lastRenderedPageBreak/>
        <w:t>10</w:t>
      </w:r>
      <w:r w:rsidRPr="00B54CAD">
        <w:rPr>
          <w:b/>
          <w:bCs/>
          <w:szCs w:val="24"/>
          <w:lang w:val="en-US"/>
        </w:rPr>
        <w:t>重大事件揭示</w:t>
      </w:r>
      <w:bookmarkEnd w:id="41"/>
      <w:bookmarkEnd w:id="42"/>
    </w:p>
    <w:p w:rsidR="00B54CAD" w:rsidRPr="00B54CAD" w:rsidRDefault="005324DD" w:rsidP="00B54CAD">
      <w:pPr>
        <w:pStyle w:val="20"/>
        <w:spacing w:before="29" w:after="0" w:line="288" w:lineRule="auto"/>
        <w:rPr>
          <w:rFonts w:ascii="Times New Roman" w:hAnsi="Times New Roman"/>
          <w:kern w:val="0"/>
          <w:szCs w:val="24"/>
        </w:rPr>
      </w:pPr>
      <w:bookmarkStart w:id="43" w:name="_Toc374438161"/>
      <w:bookmarkStart w:id="44" w:name="_Toc361324894"/>
      <w:bookmarkStart w:id="45" w:name="OLE_LINK179"/>
      <w:bookmarkStart w:id="46" w:name="OLE_LINK178"/>
      <w:bookmarkStart w:id="47" w:name="OLE_LINK174"/>
      <w:bookmarkStart w:id="48" w:name="OLE_LINK165"/>
      <w:bookmarkStart w:id="49" w:name="OLE_LINK145"/>
      <w:bookmarkStart w:id="50" w:name="OLE_LINK135"/>
      <w:bookmarkStart w:id="51" w:name="OLE_LINK84"/>
      <w:bookmarkStart w:id="52" w:name="OLE_LINK75"/>
      <w:bookmarkStart w:id="53" w:name="OLE_LINK59"/>
      <w:bookmarkStart w:id="54" w:name="OLE_LINK34"/>
      <w:bookmarkStart w:id="55" w:name="OLE_LINK33"/>
      <w:bookmarkStart w:id="56" w:name="OLE_LINK28"/>
      <w:bookmarkStart w:id="57" w:name="OLE_LINK170"/>
      <w:bookmarkStart w:id="58" w:name="OLE_LINK159"/>
      <w:bookmarkStart w:id="59" w:name="OLE_LINK143"/>
      <w:bookmarkStart w:id="60" w:name="OLE_LINK130"/>
      <w:bookmarkStart w:id="61" w:name="OLE_LINK102"/>
      <w:bookmarkStart w:id="62" w:name="OLE_LINK101"/>
      <w:bookmarkStart w:id="63" w:name="OLE_LINK72"/>
      <w:bookmarkStart w:id="64" w:name="OLE_LINK50"/>
      <w:bookmarkStart w:id="65" w:name="OLE_LINK49"/>
      <w:r>
        <w:rPr>
          <w:rFonts w:ascii="Times New Roman" w:hAnsi="Times New Roman"/>
          <w:kern w:val="0"/>
          <w:szCs w:val="24"/>
        </w:rPr>
        <w:t>10.1</w:t>
      </w:r>
      <w:r w:rsidR="00B54CAD" w:rsidRPr="00B54CAD">
        <w:rPr>
          <w:rFonts w:ascii="Times New Roman" w:hAnsi="Times New Roman" w:hint="eastAsia"/>
          <w:kern w:val="0"/>
          <w:szCs w:val="24"/>
        </w:rPr>
        <w:t>基金份额持有人大会决议</w:t>
      </w:r>
      <w:bookmarkEnd w:id="43"/>
      <w:bookmarkEnd w:id="44"/>
    </w:p>
    <w:p w:rsidR="00B54CAD" w:rsidRPr="00B54CAD" w:rsidRDefault="00B54CAD" w:rsidP="00B54CAD">
      <w:pPr>
        <w:tabs>
          <w:tab w:val="left" w:pos="426"/>
        </w:tabs>
        <w:spacing w:before="29" w:line="288" w:lineRule="auto"/>
        <w:jc w:val="left"/>
        <w:rPr>
          <w:kern w:val="0"/>
          <w:sz w:val="24"/>
        </w:rPr>
      </w:pPr>
      <w:r w:rsidRPr="00B54CAD">
        <w:rPr>
          <w:kern w:val="0"/>
          <w:sz w:val="24"/>
        </w:rPr>
        <w:t>本基金本报告期内未召开基金份额持有人大会。</w:t>
      </w:r>
    </w:p>
    <w:p w:rsidR="00B54CAD" w:rsidRPr="00B54CAD" w:rsidRDefault="00B54CAD" w:rsidP="00B54CAD">
      <w:pPr>
        <w:tabs>
          <w:tab w:val="left" w:pos="426"/>
        </w:tabs>
        <w:spacing w:before="29" w:line="288" w:lineRule="auto"/>
        <w:jc w:val="left"/>
        <w:rPr>
          <w:kern w:val="0"/>
          <w:sz w:val="24"/>
        </w:rPr>
      </w:pPr>
    </w:p>
    <w:p w:rsidR="00B54CAD" w:rsidRPr="00B54CAD" w:rsidRDefault="005324DD" w:rsidP="00B54CAD">
      <w:pPr>
        <w:pStyle w:val="20"/>
        <w:spacing w:before="29" w:after="0" w:line="288" w:lineRule="auto"/>
        <w:rPr>
          <w:rFonts w:ascii="Times New Roman" w:hAnsi="Times New Roman"/>
          <w:kern w:val="0"/>
          <w:szCs w:val="24"/>
        </w:rPr>
      </w:pPr>
      <w:bookmarkStart w:id="66" w:name="_Toc374438162"/>
      <w:bookmarkStart w:id="67" w:name="_Toc361324895"/>
      <w:r>
        <w:rPr>
          <w:rFonts w:ascii="Times New Roman" w:hAnsi="Times New Roman"/>
          <w:kern w:val="0"/>
          <w:szCs w:val="24"/>
        </w:rPr>
        <w:t>10.2</w:t>
      </w:r>
      <w:r w:rsidR="00B54CAD" w:rsidRPr="00B54CAD">
        <w:rPr>
          <w:rFonts w:ascii="Times New Roman" w:hAnsi="Times New Roman" w:hint="eastAsia"/>
          <w:kern w:val="0"/>
          <w:szCs w:val="24"/>
        </w:rPr>
        <w:t>基金管理人、基金托管人的专门基金托管部门的重大人事变动</w:t>
      </w:r>
      <w:bookmarkEnd w:id="66"/>
      <w:bookmarkEnd w:id="67"/>
    </w:p>
    <w:p w:rsidR="001124D8" w:rsidRDefault="00C50050">
      <w:pPr>
        <w:tabs>
          <w:tab w:val="left" w:pos="426"/>
        </w:tabs>
        <w:spacing w:before="29" w:line="288" w:lineRule="auto"/>
        <w:jc w:val="left"/>
        <w:rPr>
          <w:kern w:val="0"/>
          <w:sz w:val="24"/>
        </w:rPr>
      </w:pPr>
      <w:r>
        <w:rPr>
          <w:kern w:val="0"/>
          <w:sz w:val="24"/>
        </w:rPr>
        <w:t>1</w:t>
      </w:r>
      <w:r>
        <w:rPr>
          <w:kern w:val="0"/>
          <w:sz w:val="24"/>
        </w:rPr>
        <w:t>、基金管理人的重大人事变动：</w:t>
      </w:r>
      <w:r>
        <w:rPr>
          <w:kern w:val="0"/>
          <w:sz w:val="24"/>
        </w:rPr>
        <w:t>2018</w:t>
      </w:r>
      <w:r>
        <w:rPr>
          <w:kern w:val="0"/>
          <w:sz w:val="24"/>
        </w:rPr>
        <w:t>年</w:t>
      </w:r>
      <w:r>
        <w:rPr>
          <w:kern w:val="0"/>
          <w:sz w:val="24"/>
        </w:rPr>
        <w:t>6</w:t>
      </w:r>
      <w:r>
        <w:rPr>
          <w:kern w:val="0"/>
          <w:sz w:val="24"/>
        </w:rPr>
        <w:t>月</w:t>
      </w:r>
      <w:r>
        <w:rPr>
          <w:kern w:val="0"/>
          <w:sz w:val="24"/>
        </w:rPr>
        <w:t>30</w:t>
      </w:r>
      <w:r>
        <w:rPr>
          <w:kern w:val="0"/>
          <w:sz w:val="24"/>
        </w:rPr>
        <w:t>日本基金管理人发布公告，经公司第四届董事会第三十二次会议审议通过，同意苏奋先生辞去公司督察长职务，并决定由公司总经理阮红女士代为履行公司督察长职务。期后变动（如有）敬请关注基金管理人发布的相关公告。</w:t>
      </w:r>
      <w:r>
        <w:rPr>
          <w:kern w:val="0"/>
          <w:sz w:val="24"/>
        </w:rPr>
        <w:t xml:space="preserve"> </w:t>
      </w:r>
    </w:p>
    <w:p w:rsidR="00B54CAD" w:rsidRPr="00B54CAD" w:rsidRDefault="00B54CAD" w:rsidP="00B54CAD">
      <w:pPr>
        <w:tabs>
          <w:tab w:val="left" w:pos="426"/>
        </w:tabs>
        <w:spacing w:before="29" w:line="288" w:lineRule="auto"/>
        <w:jc w:val="left"/>
        <w:rPr>
          <w:kern w:val="0"/>
          <w:sz w:val="24"/>
        </w:rPr>
      </w:pPr>
      <w:r w:rsidRPr="00B54CAD">
        <w:rPr>
          <w:kern w:val="0"/>
          <w:sz w:val="24"/>
        </w:rPr>
        <w:t>2</w:t>
      </w:r>
      <w:r w:rsidRPr="00B54CAD">
        <w:rPr>
          <w:kern w:val="0"/>
          <w:sz w:val="24"/>
        </w:rPr>
        <w:t>、基金托管人的基金托管部门的重大人事变动：本基金托管人的专门基金托管部门本报告期内未发生重大人事变动。</w:t>
      </w:r>
    </w:p>
    <w:p w:rsidR="00B54CAD" w:rsidRPr="00B54CAD" w:rsidRDefault="00B54CAD" w:rsidP="00B54CAD">
      <w:pPr>
        <w:tabs>
          <w:tab w:val="left" w:pos="426"/>
        </w:tabs>
        <w:spacing w:before="29" w:line="288" w:lineRule="auto"/>
        <w:jc w:val="left"/>
        <w:rPr>
          <w:kern w:val="0"/>
          <w:sz w:val="24"/>
        </w:rPr>
      </w:pPr>
    </w:p>
    <w:p w:rsidR="00B54CAD" w:rsidRPr="00B54CAD" w:rsidRDefault="005324DD" w:rsidP="00B54CAD">
      <w:pPr>
        <w:pStyle w:val="20"/>
        <w:spacing w:before="29" w:after="0" w:line="288" w:lineRule="auto"/>
        <w:rPr>
          <w:rFonts w:ascii="Times New Roman" w:hAnsi="Times New Roman"/>
          <w:kern w:val="0"/>
          <w:szCs w:val="24"/>
        </w:rPr>
      </w:pPr>
      <w:bookmarkStart w:id="68" w:name="_Toc374438163"/>
      <w:bookmarkStart w:id="69" w:name="_Toc361324896"/>
      <w:r>
        <w:rPr>
          <w:rFonts w:ascii="Times New Roman" w:hAnsi="Times New Roman"/>
          <w:kern w:val="0"/>
          <w:szCs w:val="24"/>
        </w:rPr>
        <w:t>10.3</w:t>
      </w:r>
      <w:r w:rsidR="00B54CAD" w:rsidRPr="00B54CAD">
        <w:rPr>
          <w:rFonts w:ascii="Times New Roman" w:hAnsi="Times New Roman" w:hint="eastAsia"/>
          <w:kern w:val="0"/>
          <w:szCs w:val="24"/>
        </w:rPr>
        <w:t>涉及基金管理人、基金财产、基金托管业务的诉讼</w:t>
      </w:r>
      <w:bookmarkEnd w:id="68"/>
      <w:bookmarkEnd w:id="69"/>
    </w:p>
    <w:p w:rsidR="00B54CAD" w:rsidRPr="00B54CAD" w:rsidRDefault="00B54CAD" w:rsidP="00B54CAD">
      <w:pPr>
        <w:tabs>
          <w:tab w:val="left" w:pos="426"/>
        </w:tabs>
        <w:spacing w:before="29" w:line="288" w:lineRule="auto"/>
        <w:jc w:val="left"/>
        <w:rPr>
          <w:kern w:val="0"/>
          <w:sz w:val="24"/>
        </w:rPr>
      </w:pPr>
      <w:r w:rsidRPr="00B54CAD">
        <w:rPr>
          <w:kern w:val="0"/>
          <w:sz w:val="24"/>
        </w:rPr>
        <w:t>本报告期内未发生涉及本基金管理人、基金财产、基金托管业务的诉讼事项。</w:t>
      </w:r>
    </w:p>
    <w:p w:rsidR="00B54CAD" w:rsidRPr="00B54CAD" w:rsidRDefault="00B54CAD" w:rsidP="00B54CAD">
      <w:pPr>
        <w:tabs>
          <w:tab w:val="left" w:pos="426"/>
        </w:tabs>
        <w:spacing w:before="29" w:line="288" w:lineRule="auto"/>
        <w:jc w:val="left"/>
        <w:rPr>
          <w:kern w:val="0"/>
          <w:sz w:val="24"/>
        </w:rPr>
      </w:pPr>
    </w:p>
    <w:p w:rsidR="00B54CAD" w:rsidRPr="00B54CAD" w:rsidRDefault="005324DD" w:rsidP="00B54CAD">
      <w:pPr>
        <w:pStyle w:val="20"/>
        <w:spacing w:before="29" w:after="0" w:line="288" w:lineRule="auto"/>
        <w:rPr>
          <w:rFonts w:ascii="Times New Roman" w:hAnsi="Times New Roman"/>
          <w:kern w:val="0"/>
          <w:szCs w:val="24"/>
        </w:rPr>
      </w:pPr>
      <w:bookmarkStart w:id="70" w:name="_Toc374438164"/>
      <w:bookmarkStart w:id="71" w:name="_Toc361324897"/>
      <w:r>
        <w:rPr>
          <w:rFonts w:ascii="Times New Roman" w:hAnsi="Times New Roman"/>
          <w:kern w:val="0"/>
          <w:szCs w:val="24"/>
        </w:rPr>
        <w:t>10.4</w:t>
      </w:r>
      <w:bookmarkStart w:id="72" w:name="_GoBack"/>
      <w:bookmarkEnd w:id="72"/>
      <w:r w:rsidR="00B54CAD" w:rsidRPr="00B54CAD">
        <w:rPr>
          <w:rFonts w:ascii="Times New Roman" w:hAnsi="Times New Roman" w:hint="eastAsia"/>
          <w:kern w:val="0"/>
          <w:szCs w:val="24"/>
        </w:rPr>
        <w:t>基金投资策略的改变</w:t>
      </w:r>
      <w:bookmarkEnd w:id="70"/>
      <w:bookmarkEnd w:id="71"/>
    </w:p>
    <w:p w:rsidR="00B54CAD" w:rsidRPr="00B54CAD" w:rsidRDefault="00B54CAD" w:rsidP="00B54CAD">
      <w:pPr>
        <w:tabs>
          <w:tab w:val="left" w:pos="426"/>
        </w:tabs>
        <w:spacing w:before="29" w:line="288" w:lineRule="auto"/>
        <w:jc w:val="left"/>
        <w:rPr>
          <w:kern w:val="0"/>
          <w:sz w:val="24"/>
        </w:rPr>
      </w:pPr>
      <w:r w:rsidRPr="00B54CAD">
        <w:rPr>
          <w:kern w:val="0"/>
          <w:sz w:val="24"/>
        </w:rPr>
        <w:t>本基金本报告期内投资策略未发生改变。</w:t>
      </w:r>
    </w:p>
    <w:p w:rsidR="00B54CAD" w:rsidRPr="00B54CAD" w:rsidRDefault="00B54CAD" w:rsidP="00B54CAD">
      <w:pPr>
        <w:tabs>
          <w:tab w:val="left" w:pos="426"/>
        </w:tabs>
        <w:spacing w:before="29" w:line="288" w:lineRule="auto"/>
        <w:jc w:val="left"/>
        <w:rPr>
          <w:kern w:val="0"/>
          <w:sz w:val="24"/>
        </w:rPr>
      </w:pPr>
    </w:p>
    <w:p w:rsidR="00B54CAD" w:rsidRPr="00B54CAD" w:rsidRDefault="00B54CAD" w:rsidP="00B54CAD">
      <w:pPr>
        <w:pStyle w:val="20"/>
        <w:spacing w:before="29" w:after="0" w:line="288" w:lineRule="auto"/>
        <w:rPr>
          <w:rFonts w:ascii="Times New Roman" w:hAnsi="Times New Roman"/>
          <w:kern w:val="0"/>
          <w:szCs w:val="24"/>
        </w:rPr>
      </w:pPr>
      <w:r w:rsidRPr="00B54CAD">
        <w:rPr>
          <w:rFonts w:ascii="Times New Roman" w:hAnsi="Times New Roman"/>
          <w:kern w:val="0"/>
          <w:szCs w:val="24"/>
        </w:rPr>
        <w:t>10.5</w:t>
      </w:r>
      <w:r w:rsidRPr="00B54CAD">
        <w:rPr>
          <w:rFonts w:ascii="Times New Roman" w:hAnsi="Times New Roman" w:hint="eastAsia"/>
          <w:kern w:val="0"/>
          <w:szCs w:val="24"/>
        </w:rPr>
        <w:t>本报告期持有的基金发生的重大影响事件</w:t>
      </w:r>
    </w:p>
    <w:p w:rsidR="00B54CAD" w:rsidRPr="00B54CAD" w:rsidRDefault="00B54CAD" w:rsidP="00B54CAD">
      <w:pPr>
        <w:tabs>
          <w:tab w:val="left" w:pos="426"/>
        </w:tabs>
        <w:spacing w:before="29" w:line="288" w:lineRule="auto"/>
        <w:jc w:val="left"/>
        <w:rPr>
          <w:kern w:val="0"/>
          <w:sz w:val="24"/>
        </w:rPr>
      </w:pPr>
      <w:r w:rsidRPr="00B54CAD">
        <w:rPr>
          <w:kern w:val="0"/>
          <w:sz w:val="24"/>
        </w:rPr>
        <w:t>无。</w:t>
      </w:r>
    </w:p>
    <w:p w:rsidR="00B54CAD" w:rsidRPr="00B54CAD" w:rsidRDefault="00B54CAD" w:rsidP="00B54CAD">
      <w:pPr>
        <w:tabs>
          <w:tab w:val="left" w:pos="426"/>
        </w:tabs>
        <w:spacing w:before="29" w:line="288" w:lineRule="auto"/>
        <w:jc w:val="left"/>
        <w:rPr>
          <w:kern w:val="0"/>
          <w:sz w:val="24"/>
        </w:rPr>
      </w:pPr>
    </w:p>
    <w:p w:rsidR="00B54CAD" w:rsidRPr="00B54CAD" w:rsidRDefault="00B54CAD" w:rsidP="00B54CAD">
      <w:pPr>
        <w:pStyle w:val="20"/>
        <w:spacing w:before="29" w:after="0" w:line="288" w:lineRule="auto"/>
        <w:rPr>
          <w:rFonts w:ascii="Times New Roman" w:hAnsi="Times New Roman"/>
          <w:kern w:val="0"/>
          <w:szCs w:val="24"/>
        </w:rPr>
      </w:pPr>
      <w:bookmarkStart w:id="73" w:name="_Toc409100103"/>
      <w:bookmarkStart w:id="74" w:name="_Toc409100466"/>
      <w:r w:rsidRPr="00B54CAD">
        <w:rPr>
          <w:rFonts w:ascii="Times New Roman" w:hAnsi="Times New Roman"/>
          <w:kern w:val="0"/>
          <w:szCs w:val="24"/>
        </w:rPr>
        <w:t>10.6</w:t>
      </w:r>
      <w:r w:rsidRPr="00B54CAD">
        <w:rPr>
          <w:rFonts w:ascii="Times New Roman" w:hAnsi="Times New Roman" w:hint="eastAsia"/>
          <w:kern w:val="0"/>
          <w:szCs w:val="24"/>
        </w:rPr>
        <w:t>为基金进行审计的会计师事务所情况</w:t>
      </w:r>
      <w:bookmarkEnd w:id="73"/>
      <w:bookmarkEnd w:id="74"/>
    </w:p>
    <w:p w:rsidR="00B54CAD" w:rsidRPr="00B54CAD" w:rsidRDefault="00B54CAD" w:rsidP="00B54CAD">
      <w:pPr>
        <w:tabs>
          <w:tab w:val="left" w:pos="426"/>
        </w:tabs>
        <w:spacing w:before="29" w:line="288" w:lineRule="auto"/>
        <w:jc w:val="left"/>
        <w:rPr>
          <w:kern w:val="0"/>
          <w:sz w:val="24"/>
        </w:rPr>
      </w:pPr>
      <w:bookmarkStart w:id="75" w:name="OLE_LINK3"/>
      <w:r w:rsidRPr="00B54CAD">
        <w:rPr>
          <w:kern w:val="0"/>
          <w:sz w:val="24"/>
        </w:rPr>
        <w:t>本基金自基金合同生效日起聘请普华永道中天会计师事务所</w:t>
      </w:r>
      <w:r w:rsidRPr="00B54CAD">
        <w:rPr>
          <w:kern w:val="0"/>
          <w:sz w:val="24"/>
        </w:rPr>
        <w:t xml:space="preserve"> (</w:t>
      </w:r>
      <w:r w:rsidRPr="00B54CAD">
        <w:rPr>
          <w:kern w:val="0"/>
          <w:sz w:val="24"/>
        </w:rPr>
        <w:t>特殊普通合伙</w:t>
      </w:r>
      <w:r w:rsidRPr="00B54CAD">
        <w:rPr>
          <w:kern w:val="0"/>
          <w:sz w:val="24"/>
        </w:rPr>
        <w:t>)</w:t>
      </w:r>
      <w:r w:rsidRPr="00B54CAD">
        <w:rPr>
          <w:kern w:val="0"/>
          <w:sz w:val="24"/>
        </w:rPr>
        <w:t>为本基金提供审计服务。</w:t>
      </w:r>
    </w:p>
    <w:p w:rsidR="00B54CAD" w:rsidRPr="00B54CAD" w:rsidRDefault="00B54CAD" w:rsidP="00B54CAD">
      <w:pPr>
        <w:tabs>
          <w:tab w:val="left" w:pos="426"/>
        </w:tabs>
        <w:spacing w:before="29" w:line="288" w:lineRule="auto"/>
        <w:jc w:val="left"/>
        <w:rPr>
          <w:kern w:val="0"/>
          <w:sz w:val="24"/>
        </w:rPr>
      </w:pPr>
    </w:p>
    <w:p w:rsidR="00B54CAD" w:rsidRPr="00B54CAD" w:rsidRDefault="00B54CAD" w:rsidP="00B54CAD">
      <w:pPr>
        <w:pStyle w:val="20"/>
        <w:spacing w:before="29" w:after="0" w:line="288" w:lineRule="auto"/>
        <w:rPr>
          <w:rFonts w:ascii="Times New Roman" w:hAnsi="Times New Roman"/>
          <w:kern w:val="0"/>
          <w:szCs w:val="24"/>
        </w:rPr>
      </w:pPr>
      <w:bookmarkStart w:id="76" w:name="_Toc361324899"/>
      <w:bookmarkStart w:id="77" w:name="_Toc409100467"/>
      <w:bookmarkStart w:id="78" w:name="_Toc409100104"/>
      <w:bookmarkEnd w:id="75"/>
      <w:r w:rsidRPr="00B54CAD">
        <w:rPr>
          <w:rFonts w:ascii="Times New Roman" w:hAnsi="Times New Roman"/>
          <w:kern w:val="0"/>
          <w:szCs w:val="24"/>
        </w:rPr>
        <w:t>10.7</w:t>
      </w:r>
      <w:r w:rsidRPr="00B54CAD">
        <w:rPr>
          <w:rFonts w:ascii="Times New Roman" w:hAnsi="Times New Roman" w:hint="eastAsia"/>
          <w:kern w:val="0"/>
          <w:szCs w:val="24"/>
        </w:rPr>
        <w:t>管理人、托管人及其高级管理人员受稽查或处罚等情况</w:t>
      </w:r>
      <w:bookmarkEnd w:id="76"/>
      <w:bookmarkEnd w:id="77"/>
      <w:bookmarkEnd w:id="78"/>
    </w:p>
    <w:p w:rsidR="001124D8" w:rsidRDefault="00C50050">
      <w:pPr>
        <w:tabs>
          <w:tab w:val="left" w:pos="426"/>
        </w:tabs>
        <w:spacing w:before="29" w:line="288" w:lineRule="auto"/>
        <w:jc w:val="left"/>
        <w:rPr>
          <w:kern w:val="0"/>
          <w:sz w:val="24"/>
        </w:rPr>
      </w:pPr>
      <w:r>
        <w:rPr>
          <w:kern w:val="0"/>
          <w:sz w:val="24"/>
        </w:rPr>
        <w:t>1</w:t>
      </w:r>
      <w:r>
        <w:rPr>
          <w:kern w:val="0"/>
          <w:sz w:val="24"/>
        </w:rPr>
        <w:t>、管理人及其高级管理人员受稽查或处罚等情况</w:t>
      </w:r>
    </w:p>
    <w:p w:rsidR="001124D8" w:rsidRDefault="00C50050">
      <w:pPr>
        <w:tabs>
          <w:tab w:val="left" w:pos="426"/>
        </w:tabs>
        <w:spacing w:before="29" w:line="288" w:lineRule="auto"/>
        <w:jc w:val="left"/>
        <w:rPr>
          <w:kern w:val="0"/>
          <w:sz w:val="24"/>
        </w:rPr>
      </w:pPr>
      <w:r>
        <w:rPr>
          <w:kern w:val="0"/>
          <w:sz w:val="24"/>
        </w:rPr>
        <w:t>基金管理人及其高级管理人员本报告期内未受监管部门稽查或处罚。</w:t>
      </w:r>
    </w:p>
    <w:p w:rsidR="001124D8" w:rsidRDefault="00C50050">
      <w:pPr>
        <w:tabs>
          <w:tab w:val="left" w:pos="426"/>
        </w:tabs>
        <w:spacing w:before="29" w:line="288" w:lineRule="auto"/>
        <w:jc w:val="left"/>
        <w:rPr>
          <w:kern w:val="0"/>
          <w:sz w:val="24"/>
        </w:rPr>
      </w:pPr>
      <w:r>
        <w:rPr>
          <w:kern w:val="0"/>
          <w:sz w:val="24"/>
        </w:rPr>
        <w:t>2</w:t>
      </w:r>
      <w:r>
        <w:rPr>
          <w:kern w:val="0"/>
          <w:sz w:val="24"/>
        </w:rPr>
        <w:t>、托管人及其高级管理人员受稽查或处罚等情况</w:t>
      </w:r>
    </w:p>
    <w:p w:rsidR="00B54CAD" w:rsidRPr="00B54CAD" w:rsidRDefault="00B54CAD" w:rsidP="00B54CAD">
      <w:pPr>
        <w:tabs>
          <w:tab w:val="left" w:pos="426"/>
        </w:tabs>
        <w:spacing w:before="29" w:line="288" w:lineRule="auto"/>
        <w:jc w:val="left"/>
        <w:rPr>
          <w:kern w:val="0"/>
          <w:sz w:val="24"/>
        </w:rPr>
      </w:pPr>
      <w:r w:rsidRPr="00B54CAD">
        <w:rPr>
          <w:kern w:val="0"/>
          <w:sz w:val="24"/>
        </w:rPr>
        <w:t>基金托管人及其高级管理人员本报告期内未受监管部门稽查或处罚。</w:t>
      </w:r>
    </w:p>
    <w:p w:rsidR="00B54CAD" w:rsidRPr="00B54CAD" w:rsidRDefault="00B54CAD" w:rsidP="00B54CAD">
      <w:pPr>
        <w:tabs>
          <w:tab w:val="left" w:pos="426"/>
        </w:tabs>
        <w:spacing w:before="29" w:line="288" w:lineRule="auto"/>
        <w:jc w:val="left"/>
        <w:rPr>
          <w:kern w:val="0"/>
          <w:sz w:val="24"/>
        </w:rPr>
      </w:pPr>
    </w:p>
    <w:p w:rsidR="00B54CAD" w:rsidRPr="00B54CAD" w:rsidRDefault="00B54CAD" w:rsidP="00B54CAD">
      <w:pPr>
        <w:pStyle w:val="20"/>
        <w:spacing w:before="29" w:after="0" w:line="288" w:lineRule="auto"/>
        <w:rPr>
          <w:rFonts w:ascii="Times New Roman" w:hAnsi="Times New Roman"/>
          <w:kern w:val="0"/>
          <w:szCs w:val="24"/>
        </w:rPr>
      </w:pPr>
      <w:bookmarkStart w:id="79" w:name="_Toc409100105"/>
      <w:bookmarkStart w:id="80" w:name="_Toc409100468"/>
      <w:bookmarkStart w:id="81" w:name="_Toc361324900"/>
      <w:r w:rsidRPr="00B54CAD">
        <w:rPr>
          <w:rFonts w:ascii="Times New Roman" w:hAnsi="Times New Roman"/>
          <w:kern w:val="0"/>
          <w:szCs w:val="24"/>
        </w:rPr>
        <w:t>10.8</w:t>
      </w:r>
      <w:r w:rsidRPr="00B54CAD">
        <w:rPr>
          <w:rFonts w:ascii="Times New Roman" w:hAnsi="Times New Roman" w:hint="eastAsia"/>
          <w:kern w:val="0"/>
          <w:szCs w:val="24"/>
        </w:rPr>
        <w:t>基金租用证券公司交易单元的有关情况</w:t>
      </w:r>
      <w:bookmarkEnd w:id="79"/>
      <w:bookmarkEnd w:id="80"/>
      <w:bookmarkEnd w:id="81"/>
    </w:p>
    <w:p w:rsidR="00B54CAD" w:rsidRPr="00B54CAD" w:rsidRDefault="00B54CAD" w:rsidP="00B54CAD">
      <w:pPr>
        <w:tabs>
          <w:tab w:val="left" w:pos="426"/>
        </w:tabs>
        <w:spacing w:before="29" w:line="288" w:lineRule="auto"/>
        <w:jc w:val="left"/>
        <w:rPr>
          <w:b/>
          <w:kern w:val="0"/>
          <w:sz w:val="24"/>
        </w:rPr>
      </w:pPr>
      <w:bookmarkStart w:id="82" w:name="_Toc249760070"/>
      <w:r w:rsidRPr="00B54CAD">
        <w:rPr>
          <w:b/>
          <w:kern w:val="0"/>
          <w:sz w:val="24"/>
        </w:rPr>
        <w:t>10.8.1</w:t>
      </w:r>
      <w:r w:rsidRPr="00B54CAD">
        <w:rPr>
          <w:rFonts w:hint="eastAsia"/>
          <w:b/>
          <w:kern w:val="0"/>
          <w:sz w:val="24"/>
        </w:rPr>
        <w:t>基金租用证券公司交易单元进行股票投资及佣金支付情况</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82"/>
    </w:p>
    <w:p w:rsidR="006D141C" w:rsidRPr="00B54CAD" w:rsidRDefault="006D141C" w:rsidP="00792A69">
      <w:pPr>
        <w:pStyle w:val="a0"/>
        <w:spacing w:before="29" w:line="288" w:lineRule="auto"/>
        <w:ind w:firstLineChars="2600" w:firstLine="6240"/>
        <w:jc w:val="right"/>
        <w:rPr>
          <w:sz w:val="24"/>
        </w:rPr>
      </w:pPr>
      <w:r w:rsidRPr="00B54CAD">
        <w:rPr>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779"/>
        <w:gridCol w:w="1800"/>
        <w:gridCol w:w="1080"/>
        <w:gridCol w:w="1620"/>
        <w:gridCol w:w="1080"/>
        <w:gridCol w:w="1080"/>
      </w:tblGrid>
      <w:tr w:rsidR="006B4A69" w:rsidRPr="00B54CAD" w:rsidTr="007304C1">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B54CAD" w:rsidRDefault="006D141C" w:rsidP="00792A69">
            <w:pPr>
              <w:spacing w:before="29" w:line="288" w:lineRule="auto"/>
              <w:jc w:val="center"/>
              <w:rPr>
                <w:sz w:val="24"/>
              </w:rPr>
            </w:pPr>
            <w:bookmarkStart w:id="83" w:name="_Toc249760071"/>
            <w:r w:rsidRPr="00B54CAD">
              <w:rPr>
                <w:sz w:val="24"/>
              </w:rPr>
              <w:lastRenderedPageBreak/>
              <w:t>券商名称</w:t>
            </w:r>
          </w:p>
          <w:p w:rsidR="00C70D3A" w:rsidRPr="00B54CAD" w:rsidRDefault="00C70D3A" w:rsidP="00792A69">
            <w:pPr>
              <w:spacing w:before="29" w:line="288" w:lineRule="auto"/>
              <w:jc w:val="center"/>
              <w:rPr>
                <w:sz w:val="24"/>
              </w:rPr>
            </w:pPr>
          </w:p>
        </w:tc>
        <w:tc>
          <w:tcPr>
            <w:tcW w:w="780"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B54CAD" w:rsidRDefault="006D141C" w:rsidP="00792A69">
            <w:pPr>
              <w:spacing w:before="29" w:line="288" w:lineRule="auto"/>
              <w:jc w:val="center"/>
              <w:rPr>
                <w:sz w:val="24"/>
              </w:rPr>
            </w:pPr>
            <w:r w:rsidRPr="00B54CAD">
              <w:rPr>
                <w:sz w:val="24"/>
              </w:rPr>
              <w:t>交易单元数量</w:t>
            </w:r>
          </w:p>
        </w:tc>
        <w:tc>
          <w:tcPr>
            <w:tcW w:w="2880"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B54CAD" w:rsidRDefault="006D141C" w:rsidP="00792A69">
            <w:pPr>
              <w:spacing w:before="29" w:line="288" w:lineRule="auto"/>
              <w:jc w:val="center"/>
              <w:rPr>
                <w:sz w:val="24"/>
              </w:rPr>
            </w:pPr>
            <w:r w:rsidRPr="00B54CAD">
              <w:rPr>
                <w:sz w:val="24"/>
              </w:rPr>
              <w:t>股票交易</w:t>
            </w:r>
          </w:p>
        </w:tc>
        <w:tc>
          <w:tcPr>
            <w:tcW w:w="2700"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B54CAD" w:rsidRDefault="006D141C" w:rsidP="00792A69">
            <w:pPr>
              <w:spacing w:before="29" w:line="288" w:lineRule="auto"/>
              <w:jc w:val="center"/>
              <w:rPr>
                <w:sz w:val="24"/>
              </w:rPr>
            </w:pPr>
            <w:r w:rsidRPr="00B54CAD">
              <w:rPr>
                <w:sz w:val="24"/>
              </w:rPr>
              <w:t>应支付该券商的佣金</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B54CAD" w:rsidRDefault="006D141C" w:rsidP="00792A69">
            <w:pPr>
              <w:spacing w:before="29" w:line="288" w:lineRule="auto"/>
              <w:jc w:val="center"/>
              <w:rPr>
                <w:kern w:val="0"/>
                <w:sz w:val="24"/>
              </w:rPr>
            </w:pPr>
            <w:r w:rsidRPr="00B54CAD">
              <w:rPr>
                <w:kern w:val="0"/>
                <w:sz w:val="24"/>
              </w:rPr>
              <w:t>备注</w:t>
            </w:r>
          </w:p>
        </w:tc>
      </w:tr>
      <w:tr w:rsidR="006B4A69" w:rsidRPr="00B54CAD" w:rsidTr="007304C1">
        <w:tc>
          <w:tcPr>
            <w:tcW w:w="9000" w:type="dxa"/>
            <w:vMerge/>
            <w:tcBorders>
              <w:top w:val="single" w:sz="4" w:space="0" w:color="000000"/>
              <w:left w:val="single" w:sz="4" w:space="0" w:color="000000"/>
              <w:bottom w:val="single" w:sz="4" w:space="0" w:color="000000"/>
              <w:right w:val="single" w:sz="4" w:space="0" w:color="000000"/>
            </w:tcBorders>
            <w:vAlign w:val="center"/>
            <w:hideMark/>
          </w:tcPr>
          <w:p w:rsidR="006D141C" w:rsidRPr="00B54CAD" w:rsidRDefault="006D141C" w:rsidP="00792A69">
            <w:pPr>
              <w:widowControl/>
              <w:spacing w:before="29" w:line="288" w:lineRule="auto"/>
              <w:jc w:val="left"/>
              <w:rPr>
                <w:sz w:val="24"/>
              </w:rPr>
            </w:pPr>
          </w:p>
        </w:tc>
        <w:tc>
          <w:tcPr>
            <w:tcW w:w="780" w:type="dxa"/>
            <w:vMerge/>
            <w:tcBorders>
              <w:top w:val="single" w:sz="4" w:space="0" w:color="000000"/>
              <w:left w:val="single" w:sz="4" w:space="0" w:color="000000"/>
              <w:bottom w:val="single" w:sz="4" w:space="0" w:color="000000"/>
              <w:right w:val="single" w:sz="4" w:space="0" w:color="000000"/>
            </w:tcBorders>
            <w:vAlign w:val="center"/>
            <w:hideMark/>
          </w:tcPr>
          <w:p w:rsidR="006D141C" w:rsidRPr="00B54CAD" w:rsidRDefault="006D141C" w:rsidP="00792A69">
            <w:pPr>
              <w:widowControl/>
              <w:spacing w:before="29" w:line="288" w:lineRule="auto"/>
              <w:jc w:val="left"/>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6D141C" w:rsidRPr="00B54CAD" w:rsidRDefault="006D141C" w:rsidP="00792A69">
            <w:pPr>
              <w:spacing w:before="29" w:line="288" w:lineRule="auto"/>
              <w:jc w:val="center"/>
              <w:rPr>
                <w:sz w:val="24"/>
              </w:rPr>
            </w:pPr>
            <w:r w:rsidRPr="00B54CAD">
              <w:rPr>
                <w:sz w:val="24"/>
              </w:rPr>
              <w:t>成交金额</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B54CAD" w:rsidRDefault="006D141C" w:rsidP="00792A69">
            <w:pPr>
              <w:spacing w:before="29" w:line="288" w:lineRule="auto"/>
              <w:jc w:val="center"/>
              <w:rPr>
                <w:sz w:val="24"/>
              </w:rPr>
            </w:pPr>
            <w:r w:rsidRPr="00B54CAD">
              <w:rPr>
                <w:sz w:val="24"/>
              </w:rPr>
              <w:t>占当期股票成交总额的比例</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6D141C" w:rsidRPr="00B54CAD" w:rsidRDefault="006D141C" w:rsidP="00792A69">
            <w:pPr>
              <w:spacing w:before="29" w:line="288" w:lineRule="auto"/>
              <w:jc w:val="center"/>
              <w:rPr>
                <w:kern w:val="0"/>
                <w:sz w:val="24"/>
              </w:rPr>
            </w:pPr>
            <w:r w:rsidRPr="00B54CAD">
              <w:rPr>
                <w:kern w:val="0"/>
                <w:sz w:val="24"/>
              </w:rPr>
              <w:t>佣金</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B54CAD" w:rsidRDefault="006D141C" w:rsidP="00792A69">
            <w:pPr>
              <w:spacing w:before="29" w:line="288" w:lineRule="auto"/>
              <w:jc w:val="center"/>
              <w:rPr>
                <w:sz w:val="24"/>
              </w:rPr>
            </w:pPr>
            <w:r w:rsidRPr="00B54CAD">
              <w:rPr>
                <w:sz w:val="24"/>
              </w:rPr>
              <w:t>占当期佣金总量的比例</w:t>
            </w: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6D141C" w:rsidRPr="00B54CAD" w:rsidRDefault="006D141C" w:rsidP="00792A69">
            <w:pPr>
              <w:widowControl/>
              <w:spacing w:before="29" w:line="288" w:lineRule="auto"/>
              <w:jc w:val="left"/>
              <w:rPr>
                <w:kern w:val="0"/>
                <w:sz w:val="24"/>
              </w:rPr>
            </w:pPr>
          </w:p>
        </w:tc>
      </w:tr>
      <w:tr w:rsidR="001124D8">
        <w:tc>
          <w:tcPr>
            <w:tcW w:w="1559" w:type="dxa"/>
            <w:vAlign w:val="center"/>
          </w:tcPr>
          <w:p w:rsidR="001124D8" w:rsidRDefault="00C50050">
            <w:pPr>
              <w:jc w:val="center"/>
            </w:pPr>
            <w:r>
              <w:rPr>
                <w:sz w:val="24"/>
              </w:rPr>
              <w:t>长江证券股份有限公司</w:t>
            </w:r>
          </w:p>
        </w:tc>
        <w:tc>
          <w:tcPr>
            <w:tcW w:w="779" w:type="dxa"/>
            <w:vAlign w:val="center"/>
          </w:tcPr>
          <w:p w:rsidR="001124D8" w:rsidRDefault="00C50050">
            <w:pPr>
              <w:jc w:val="right"/>
            </w:pPr>
            <w:r>
              <w:rPr>
                <w:sz w:val="24"/>
              </w:rPr>
              <w:t>2</w:t>
            </w:r>
          </w:p>
        </w:tc>
        <w:tc>
          <w:tcPr>
            <w:tcW w:w="1800" w:type="dxa"/>
            <w:vAlign w:val="center"/>
          </w:tcPr>
          <w:p w:rsidR="001124D8" w:rsidRDefault="00C50050">
            <w:pPr>
              <w:jc w:val="right"/>
            </w:pPr>
            <w:r>
              <w:rPr>
                <w:sz w:val="24"/>
              </w:rPr>
              <w:t>-</w:t>
            </w:r>
          </w:p>
        </w:tc>
        <w:tc>
          <w:tcPr>
            <w:tcW w:w="1080" w:type="dxa"/>
            <w:vAlign w:val="center"/>
          </w:tcPr>
          <w:p w:rsidR="001124D8" w:rsidRDefault="00C50050">
            <w:pPr>
              <w:jc w:val="right"/>
            </w:pPr>
            <w:r>
              <w:rPr>
                <w:sz w:val="24"/>
              </w:rPr>
              <w:t>-</w:t>
            </w:r>
          </w:p>
        </w:tc>
        <w:tc>
          <w:tcPr>
            <w:tcW w:w="1620" w:type="dxa"/>
            <w:vAlign w:val="center"/>
          </w:tcPr>
          <w:p w:rsidR="001124D8" w:rsidRDefault="00C50050">
            <w:pPr>
              <w:jc w:val="right"/>
            </w:pPr>
            <w:r>
              <w:rPr>
                <w:sz w:val="24"/>
              </w:rPr>
              <w:t>-</w:t>
            </w:r>
          </w:p>
        </w:tc>
        <w:tc>
          <w:tcPr>
            <w:tcW w:w="1080" w:type="dxa"/>
            <w:vAlign w:val="center"/>
          </w:tcPr>
          <w:p w:rsidR="001124D8" w:rsidRDefault="00C50050">
            <w:pPr>
              <w:jc w:val="right"/>
            </w:pPr>
            <w:r>
              <w:rPr>
                <w:sz w:val="24"/>
              </w:rPr>
              <w:t>-</w:t>
            </w:r>
          </w:p>
        </w:tc>
        <w:tc>
          <w:tcPr>
            <w:tcW w:w="1080" w:type="dxa"/>
            <w:vAlign w:val="center"/>
          </w:tcPr>
          <w:p w:rsidR="001124D8" w:rsidRDefault="00C50050">
            <w:pPr>
              <w:jc w:val="left"/>
            </w:pPr>
            <w:r>
              <w:rPr>
                <w:sz w:val="24"/>
              </w:rPr>
              <w:t>-</w:t>
            </w:r>
          </w:p>
        </w:tc>
      </w:tr>
    </w:tbl>
    <w:p w:rsidR="006D141C" w:rsidRPr="00B54CAD" w:rsidRDefault="006D141C" w:rsidP="00792A69">
      <w:pPr>
        <w:spacing w:before="29" w:line="288" w:lineRule="auto"/>
        <w:rPr>
          <w:sz w:val="24"/>
        </w:rPr>
      </w:pPr>
    </w:p>
    <w:p w:rsidR="00B54CAD" w:rsidRPr="00B54CAD" w:rsidRDefault="00B54CAD" w:rsidP="00B54CAD">
      <w:pPr>
        <w:pStyle w:val="20"/>
        <w:spacing w:before="29" w:after="0" w:line="288" w:lineRule="auto"/>
        <w:rPr>
          <w:rFonts w:ascii="Times New Roman" w:hAnsi="Times New Roman"/>
          <w:kern w:val="0"/>
          <w:szCs w:val="24"/>
        </w:rPr>
      </w:pPr>
      <w:bookmarkStart w:id="84" w:name="OLE_LINK177"/>
      <w:bookmarkStart w:id="85" w:name="OLE_LINK176"/>
      <w:bookmarkStart w:id="86" w:name="OLE_LINK175"/>
      <w:bookmarkStart w:id="87" w:name="OLE_LINK156"/>
      <w:bookmarkStart w:id="88" w:name="OLE_LINK146"/>
      <w:bookmarkStart w:id="89" w:name="OLE_LINK108"/>
      <w:bookmarkStart w:id="90" w:name="OLE_LINK37"/>
      <w:bookmarkStart w:id="91" w:name="OLE_LINK36"/>
      <w:bookmarkStart w:id="92" w:name="OLE_LINK35"/>
      <w:bookmarkStart w:id="93" w:name="OLE_LINK32"/>
      <w:bookmarkStart w:id="94" w:name="OLE_LINK31"/>
      <w:bookmarkStart w:id="95" w:name="OLE_LINK30"/>
      <w:bookmarkStart w:id="96" w:name="OLE_LINK29"/>
      <w:bookmarkStart w:id="97" w:name="_Toc249707408"/>
      <w:bookmarkEnd w:id="83"/>
      <w:r w:rsidRPr="00B54CAD">
        <w:rPr>
          <w:rFonts w:ascii="Times New Roman" w:hAnsi="Times New Roman"/>
          <w:kern w:val="0"/>
          <w:szCs w:val="24"/>
        </w:rPr>
        <w:t xml:space="preserve">10.8.2 </w:t>
      </w:r>
      <w:r w:rsidRPr="00B54CAD">
        <w:rPr>
          <w:rFonts w:ascii="Times New Roman" w:hAnsi="Times New Roman" w:hint="eastAsia"/>
          <w:kern w:val="0"/>
          <w:szCs w:val="24"/>
        </w:rPr>
        <w:t>基金租用证券公司交易单元进行其他证券投资的情况</w:t>
      </w:r>
      <w:bookmarkEnd w:id="84"/>
      <w:bookmarkEnd w:id="85"/>
      <w:bookmarkEnd w:id="86"/>
      <w:bookmarkEnd w:id="87"/>
      <w:bookmarkEnd w:id="88"/>
      <w:bookmarkEnd w:id="89"/>
      <w:bookmarkEnd w:id="90"/>
      <w:bookmarkEnd w:id="91"/>
      <w:bookmarkEnd w:id="92"/>
      <w:bookmarkEnd w:id="93"/>
      <w:bookmarkEnd w:id="94"/>
      <w:bookmarkEnd w:id="95"/>
      <w:bookmarkEnd w:id="96"/>
    </w:p>
    <w:p w:rsidR="006D141C" w:rsidRPr="0061644B" w:rsidRDefault="00644AB5" w:rsidP="00792A69">
      <w:pPr>
        <w:spacing w:before="29" w:line="288" w:lineRule="auto"/>
        <w:ind w:firstLine="420"/>
        <w:jc w:val="right"/>
        <w:rPr>
          <w:sz w:val="24"/>
        </w:rPr>
      </w:pPr>
      <w:r w:rsidRPr="0061644B">
        <w:rPr>
          <w:sz w:val="24"/>
        </w:rPr>
        <w:t>金额单位</w:t>
      </w:r>
      <w:r w:rsidR="006D141C" w:rsidRPr="0061644B">
        <w:rPr>
          <w:kern w:val="0"/>
          <w:sz w:val="24"/>
        </w:rPr>
        <w:t>：</w:t>
      </w:r>
      <w:r w:rsidR="006D141C" w:rsidRPr="0061644B">
        <w:rPr>
          <w:kern w:val="0"/>
          <w:sz w:val="24"/>
          <w:lang w:val="zh-CN"/>
        </w:rPr>
        <w:t>人民币元</w:t>
      </w:r>
      <w:bookmarkEnd w:id="9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1319"/>
        <w:gridCol w:w="1080"/>
        <w:gridCol w:w="1080"/>
        <w:gridCol w:w="1260"/>
        <w:gridCol w:w="1260"/>
        <w:gridCol w:w="1440"/>
      </w:tblGrid>
      <w:tr w:rsidR="006B4A69" w:rsidRPr="0061644B" w:rsidTr="007304C1">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4C5ABF" w:rsidRPr="0061644B" w:rsidRDefault="006D141C" w:rsidP="00792A69">
            <w:pPr>
              <w:spacing w:before="29" w:line="288" w:lineRule="auto"/>
              <w:jc w:val="center"/>
              <w:rPr>
                <w:sz w:val="24"/>
              </w:rPr>
            </w:pPr>
            <w:r w:rsidRPr="0061644B">
              <w:rPr>
                <w:sz w:val="24"/>
              </w:rPr>
              <w:t>券商名称</w:t>
            </w:r>
          </w:p>
          <w:p w:rsidR="00C70D3A" w:rsidRPr="0061644B" w:rsidRDefault="00C70D3A" w:rsidP="00792A69">
            <w:pPr>
              <w:spacing w:before="29" w:line="288" w:lineRule="auto"/>
              <w:jc w:val="center"/>
              <w:rPr>
                <w:sz w:val="24"/>
              </w:rPr>
            </w:pPr>
          </w:p>
        </w:tc>
        <w:tc>
          <w:tcPr>
            <w:tcW w:w="2400"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债券交易</w:t>
            </w:r>
          </w:p>
        </w:tc>
        <w:tc>
          <w:tcPr>
            <w:tcW w:w="2340"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回购交易</w:t>
            </w:r>
          </w:p>
        </w:tc>
        <w:tc>
          <w:tcPr>
            <w:tcW w:w="2700"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权证交易</w:t>
            </w:r>
          </w:p>
        </w:tc>
      </w:tr>
      <w:tr w:rsidR="006B4A69" w:rsidRPr="0061644B" w:rsidTr="007304C1">
        <w:trPr>
          <w:trHeight w:val="1389"/>
        </w:trPr>
        <w:tc>
          <w:tcPr>
            <w:tcW w:w="9000" w:type="dxa"/>
            <w:vMerge/>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widowControl/>
              <w:spacing w:before="29" w:line="288" w:lineRule="auto"/>
              <w:jc w:val="left"/>
              <w:rPr>
                <w:kern w:val="0"/>
                <w:sz w:val="24"/>
              </w:rPr>
            </w:pP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成交金额</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占当期债券成交总额的比例</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成交金额</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占当期回购成交总额的比例</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成交金额</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占当期权证成交总额的比例</w:t>
            </w:r>
          </w:p>
        </w:tc>
      </w:tr>
      <w:tr w:rsidR="001124D8">
        <w:tc>
          <w:tcPr>
            <w:tcW w:w="1559" w:type="dxa"/>
            <w:vAlign w:val="center"/>
          </w:tcPr>
          <w:p w:rsidR="001124D8" w:rsidRDefault="00C50050">
            <w:pPr>
              <w:jc w:val="left"/>
            </w:pPr>
            <w:r>
              <w:rPr>
                <w:sz w:val="24"/>
              </w:rPr>
              <w:t>长江证券股份有限公司</w:t>
            </w:r>
          </w:p>
        </w:tc>
        <w:tc>
          <w:tcPr>
            <w:tcW w:w="1319" w:type="dxa"/>
            <w:vAlign w:val="center"/>
          </w:tcPr>
          <w:p w:rsidR="001124D8" w:rsidRDefault="00C50050">
            <w:pPr>
              <w:jc w:val="right"/>
            </w:pPr>
            <w:r>
              <w:rPr>
                <w:sz w:val="24"/>
              </w:rPr>
              <w:t>11,586,747.64</w:t>
            </w:r>
          </w:p>
        </w:tc>
        <w:tc>
          <w:tcPr>
            <w:tcW w:w="1080" w:type="dxa"/>
            <w:vAlign w:val="center"/>
          </w:tcPr>
          <w:p w:rsidR="001124D8" w:rsidRDefault="00C50050">
            <w:pPr>
              <w:jc w:val="right"/>
            </w:pPr>
            <w:r>
              <w:rPr>
                <w:sz w:val="24"/>
              </w:rPr>
              <w:t>100.00%</w:t>
            </w:r>
          </w:p>
        </w:tc>
        <w:tc>
          <w:tcPr>
            <w:tcW w:w="1080" w:type="dxa"/>
            <w:vAlign w:val="center"/>
          </w:tcPr>
          <w:p w:rsidR="001124D8" w:rsidRDefault="00C50050">
            <w:pPr>
              <w:jc w:val="right"/>
            </w:pPr>
            <w:r>
              <w:rPr>
                <w:sz w:val="24"/>
              </w:rPr>
              <w:t>943,000,000.00</w:t>
            </w:r>
          </w:p>
        </w:tc>
        <w:tc>
          <w:tcPr>
            <w:tcW w:w="1260" w:type="dxa"/>
            <w:vAlign w:val="center"/>
          </w:tcPr>
          <w:p w:rsidR="001124D8" w:rsidRDefault="00C50050">
            <w:pPr>
              <w:jc w:val="right"/>
            </w:pPr>
            <w:r>
              <w:rPr>
                <w:sz w:val="24"/>
              </w:rPr>
              <w:t>100.00%</w:t>
            </w:r>
          </w:p>
        </w:tc>
        <w:tc>
          <w:tcPr>
            <w:tcW w:w="1260" w:type="dxa"/>
            <w:vAlign w:val="center"/>
          </w:tcPr>
          <w:p w:rsidR="001124D8" w:rsidRDefault="00C50050">
            <w:pPr>
              <w:jc w:val="right"/>
            </w:pPr>
            <w:r>
              <w:rPr>
                <w:sz w:val="24"/>
              </w:rPr>
              <w:t>-</w:t>
            </w:r>
          </w:p>
        </w:tc>
        <w:tc>
          <w:tcPr>
            <w:tcW w:w="1440" w:type="dxa"/>
            <w:vAlign w:val="center"/>
          </w:tcPr>
          <w:p w:rsidR="001124D8" w:rsidRDefault="00C50050">
            <w:pPr>
              <w:jc w:val="right"/>
            </w:pPr>
            <w:r>
              <w:rPr>
                <w:sz w:val="24"/>
              </w:rPr>
              <w:t>-</w:t>
            </w:r>
          </w:p>
        </w:tc>
      </w:tr>
    </w:tbl>
    <w:p w:rsidR="001124D8" w:rsidRDefault="00C50050">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、报告期内，本基金交易单元未发生变化；</w:t>
      </w:r>
    </w:p>
    <w:p w:rsidR="001124D8" w:rsidRDefault="00C50050">
      <w:pPr>
        <w:tabs>
          <w:tab w:val="left" w:pos="426"/>
        </w:tabs>
        <w:spacing w:before="29" w:line="288" w:lineRule="auto"/>
        <w:jc w:val="left"/>
        <w:rPr>
          <w:kern w:val="0"/>
          <w:sz w:val="24"/>
        </w:rPr>
      </w:pPr>
      <w:r>
        <w:rPr>
          <w:kern w:val="0"/>
          <w:sz w:val="24"/>
        </w:rPr>
        <w:t>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6D141C" w:rsidRPr="0061644B" w:rsidRDefault="006D141C" w:rsidP="00792A69">
      <w:pPr>
        <w:tabs>
          <w:tab w:val="left" w:pos="426"/>
        </w:tabs>
        <w:spacing w:before="29" w:line="288" w:lineRule="auto"/>
        <w:jc w:val="left"/>
        <w:rPr>
          <w:kern w:val="0"/>
          <w:sz w:val="24"/>
        </w:rPr>
      </w:pPr>
      <w:r w:rsidRPr="0061644B">
        <w:rPr>
          <w:kern w:val="0"/>
          <w:sz w:val="24"/>
        </w:rPr>
        <w:t>3</w:t>
      </w:r>
      <w:r w:rsidRPr="0061644B">
        <w:rPr>
          <w:kern w:val="0"/>
          <w:sz w:val="24"/>
        </w:rPr>
        <w:t>、租用证券公司交易单元的程序：首先根据租用证券公司交易单元的选择标准进行综合评价，然后根据评价选择基金交易单元。研究部提交方案，并上报公司批准。</w:t>
      </w:r>
    </w:p>
    <w:p w:rsidR="006D141C" w:rsidRPr="0061644B" w:rsidRDefault="006D141C" w:rsidP="00792A69">
      <w:pPr>
        <w:spacing w:before="29" w:line="288" w:lineRule="auto"/>
        <w:rPr>
          <w:sz w:val="24"/>
        </w:rPr>
      </w:pPr>
    </w:p>
    <w:p w:rsidR="0065332B" w:rsidRPr="0061644B" w:rsidRDefault="0065332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szCs w:val="24"/>
        </w:rPr>
        <w:t>10.9</w:t>
      </w:r>
      <w:r w:rsidRPr="0061644B">
        <w:rPr>
          <w:rFonts w:ascii="Times New Roman" w:hAnsi="Times New Roman" w:cs="Times New Roman"/>
          <w:kern w:val="0"/>
          <w:szCs w:val="24"/>
        </w:rPr>
        <w:t>偏离度绝对值超过</w:t>
      </w:r>
      <w:r w:rsidRPr="0061644B">
        <w:rPr>
          <w:rFonts w:ascii="Times New Roman" w:hAnsi="Times New Roman" w:cs="Times New Roman"/>
          <w:kern w:val="0"/>
          <w:szCs w:val="24"/>
        </w:rPr>
        <w:t>0.5%</w:t>
      </w:r>
      <w:r w:rsidRPr="0061644B">
        <w:rPr>
          <w:rFonts w:ascii="Times New Roman" w:hAnsi="Times New Roman" w:cs="Times New Roman"/>
          <w:kern w:val="0"/>
          <w:szCs w:val="24"/>
        </w:rPr>
        <w:t>的情况</w:t>
      </w:r>
    </w:p>
    <w:p w:rsidR="0065332B" w:rsidRDefault="00ED3706" w:rsidP="00792A69">
      <w:pPr>
        <w:tabs>
          <w:tab w:val="left" w:pos="426"/>
        </w:tabs>
        <w:spacing w:before="29" w:line="288" w:lineRule="auto"/>
        <w:jc w:val="left"/>
        <w:rPr>
          <w:kern w:val="0"/>
          <w:sz w:val="24"/>
        </w:rPr>
      </w:pPr>
      <w:r w:rsidRPr="0061644B">
        <w:rPr>
          <w:kern w:val="0"/>
          <w:sz w:val="24"/>
        </w:rPr>
        <w:t>本基金本报告期内不存在偏离度绝对值超过</w:t>
      </w:r>
      <w:r w:rsidRPr="0061644B">
        <w:rPr>
          <w:kern w:val="0"/>
          <w:sz w:val="24"/>
        </w:rPr>
        <w:t>0.5%</w:t>
      </w:r>
      <w:r w:rsidRPr="0061644B">
        <w:rPr>
          <w:kern w:val="0"/>
          <w:sz w:val="24"/>
        </w:rPr>
        <w:t>的情况。</w:t>
      </w:r>
    </w:p>
    <w:p w:rsidR="004F6F06" w:rsidRPr="0061644B" w:rsidRDefault="004F6F06" w:rsidP="00792A69">
      <w:pPr>
        <w:tabs>
          <w:tab w:val="left" w:pos="426"/>
        </w:tabs>
        <w:spacing w:before="29" w:line="288" w:lineRule="auto"/>
        <w:jc w:val="left"/>
        <w:rPr>
          <w:kern w:val="0"/>
          <w:sz w:val="24"/>
        </w:rPr>
      </w:pPr>
    </w:p>
    <w:p w:rsidR="005D3C9D" w:rsidRPr="00B206A1" w:rsidRDefault="005D3C9D" w:rsidP="00B54CAD">
      <w:pPr>
        <w:pStyle w:val="1"/>
        <w:keepNext/>
        <w:keepLines/>
        <w:widowControl w:val="0"/>
        <w:spacing w:beforeLines="100" w:before="312" w:afterLines="100" w:after="312" w:line="360" w:lineRule="auto"/>
        <w:jc w:val="center"/>
        <w:rPr>
          <w:rFonts w:eastAsiaTheme="minorEastAsia"/>
          <w:b/>
          <w:bCs/>
          <w:sz w:val="21"/>
          <w:szCs w:val="21"/>
          <w:lang w:val="en-US"/>
        </w:rPr>
      </w:pPr>
      <w:bookmarkStart w:id="98" w:name="_Toc331410125"/>
      <w:r w:rsidRPr="00B206A1">
        <w:rPr>
          <w:rFonts w:eastAsiaTheme="minorEastAsia"/>
          <w:b/>
          <w:bCs/>
          <w:sz w:val="21"/>
          <w:szCs w:val="21"/>
          <w:lang w:val="en-US"/>
        </w:rPr>
        <w:t xml:space="preserve">11  </w:t>
      </w:r>
      <w:r w:rsidRPr="00B206A1">
        <w:rPr>
          <w:rFonts w:eastAsiaTheme="minorEastAsia"/>
          <w:b/>
          <w:bCs/>
          <w:sz w:val="21"/>
          <w:szCs w:val="21"/>
          <w:lang w:val="en-US"/>
        </w:rPr>
        <w:t>影响投资者决策的其他重要信息</w:t>
      </w:r>
      <w:bookmarkEnd w:id="98"/>
    </w:p>
    <w:p w:rsidR="005D3C9D" w:rsidRPr="004F0662" w:rsidRDefault="005D3C9D" w:rsidP="005D3C9D">
      <w:pPr>
        <w:autoSpaceDE w:val="0"/>
        <w:autoSpaceDN w:val="0"/>
        <w:adjustRightInd w:val="0"/>
        <w:spacing w:line="360" w:lineRule="auto"/>
        <w:jc w:val="left"/>
        <w:rPr>
          <w:rFonts w:ascii="宋体" w:hAnsi="宋体"/>
          <w:b/>
          <w:bCs/>
          <w:color w:val="000000"/>
          <w:kern w:val="0"/>
          <w:szCs w:val="21"/>
        </w:rPr>
      </w:pPr>
      <w:r w:rsidRPr="004F0662">
        <w:rPr>
          <w:rFonts w:ascii="宋体" w:hAnsi="宋体"/>
          <w:b/>
          <w:bCs/>
          <w:color w:val="000000"/>
          <w:kern w:val="0"/>
          <w:szCs w:val="21"/>
        </w:rPr>
        <w:t>11.</w:t>
      </w:r>
      <w:r w:rsidRPr="004F0662">
        <w:rPr>
          <w:rFonts w:ascii="宋体" w:hAnsi="宋体" w:hint="eastAsia"/>
          <w:b/>
          <w:bCs/>
          <w:color w:val="000000"/>
          <w:kern w:val="0"/>
          <w:szCs w:val="21"/>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5D3C9D" w:rsidRPr="004F0662" w:rsidTr="00583BFE">
        <w:tc>
          <w:tcPr>
            <w:tcW w:w="993" w:type="dxa"/>
            <w:vMerge w:val="restart"/>
            <w:vAlign w:val="center"/>
          </w:tcPr>
          <w:p w:rsidR="005D3C9D" w:rsidRPr="004F0662" w:rsidRDefault="005D3C9D" w:rsidP="00583BFE">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投资者类别</w:t>
            </w:r>
            <w:r w:rsidRPr="004F0662">
              <w:rPr>
                <w:rFonts w:ascii="宋体" w:hAnsi="宋体"/>
                <w:color w:val="000000"/>
                <w:kern w:val="0"/>
                <w:szCs w:val="21"/>
              </w:rPr>
              <w:t xml:space="preserve">  </w:t>
            </w:r>
          </w:p>
        </w:tc>
        <w:tc>
          <w:tcPr>
            <w:tcW w:w="5670" w:type="dxa"/>
            <w:gridSpan w:val="5"/>
            <w:vAlign w:val="center"/>
          </w:tcPr>
          <w:p w:rsidR="005D3C9D" w:rsidRPr="004F0662" w:rsidRDefault="005D3C9D" w:rsidP="00583BFE">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报告期内持有基金份额变化情况</w:t>
            </w:r>
          </w:p>
        </w:tc>
        <w:tc>
          <w:tcPr>
            <w:tcW w:w="2549" w:type="dxa"/>
            <w:gridSpan w:val="2"/>
            <w:vAlign w:val="center"/>
          </w:tcPr>
          <w:p w:rsidR="005D3C9D" w:rsidRPr="004F0662" w:rsidRDefault="005D3C9D" w:rsidP="00583BFE">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报告期末持有基金情况</w:t>
            </w:r>
          </w:p>
        </w:tc>
      </w:tr>
      <w:tr w:rsidR="005D3C9D" w:rsidRPr="004F0662" w:rsidTr="00583BFE">
        <w:tc>
          <w:tcPr>
            <w:tcW w:w="993" w:type="dxa"/>
            <w:vMerge/>
            <w:vAlign w:val="center"/>
          </w:tcPr>
          <w:p w:rsidR="005D3C9D" w:rsidRPr="004F0662" w:rsidRDefault="005D3C9D" w:rsidP="00583BFE">
            <w:pPr>
              <w:autoSpaceDE w:val="0"/>
              <w:autoSpaceDN w:val="0"/>
              <w:adjustRightInd w:val="0"/>
              <w:jc w:val="center"/>
              <w:rPr>
                <w:rFonts w:ascii="宋体" w:hAnsi="宋体"/>
                <w:b/>
                <w:bCs/>
                <w:color w:val="000000"/>
                <w:kern w:val="0"/>
                <w:szCs w:val="21"/>
              </w:rPr>
            </w:pPr>
          </w:p>
        </w:tc>
        <w:tc>
          <w:tcPr>
            <w:tcW w:w="992" w:type="dxa"/>
            <w:vAlign w:val="center"/>
          </w:tcPr>
          <w:p w:rsidR="005D3C9D" w:rsidRPr="004F0662" w:rsidRDefault="005D3C9D" w:rsidP="00583BFE">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序号</w:t>
            </w:r>
          </w:p>
        </w:tc>
        <w:tc>
          <w:tcPr>
            <w:tcW w:w="1843" w:type="dxa"/>
            <w:vAlign w:val="center"/>
          </w:tcPr>
          <w:p w:rsidR="005D3C9D" w:rsidRPr="004F0662" w:rsidRDefault="005D3C9D" w:rsidP="00583BFE">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持有基金份额比例达到或者超过20%的时间区间</w:t>
            </w:r>
          </w:p>
        </w:tc>
        <w:tc>
          <w:tcPr>
            <w:tcW w:w="851" w:type="dxa"/>
            <w:vAlign w:val="center"/>
          </w:tcPr>
          <w:p w:rsidR="005D3C9D" w:rsidRPr="004F0662" w:rsidRDefault="005D3C9D" w:rsidP="00583BFE">
            <w:pPr>
              <w:widowControl/>
              <w:jc w:val="center"/>
              <w:rPr>
                <w:rFonts w:ascii="宋体" w:hAnsi="宋体"/>
                <w:b/>
                <w:bCs/>
                <w:color w:val="000000"/>
                <w:kern w:val="0"/>
                <w:szCs w:val="21"/>
              </w:rPr>
            </w:pPr>
            <w:r w:rsidRPr="004F0662">
              <w:rPr>
                <w:rFonts w:ascii="宋体" w:hAnsi="宋体" w:hint="eastAsia"/>
                <w:color w:val="000000"/>
                <w:kern w:val="0"/>
                <w:szCs w:val="21"/>
              </w:rPr>
              <w:t>期初份额</w:t>
            </w:r>
          </w:p>
        </w:tc>
        <w:tc>
          <w:tcPr>
            <w:tcW w:w="850" w:type="dxa"/>
            <w:vAlign w:val="center"/>
          </w:tcPr>
          <w:p w:rsidR="005D3C9D" w:rsidRPr="004F0662" w:rsidRDefault="005D3C9D" w:rsidP="00583BFE">
            <w:pPr>
              <w:widowControl/>
              <w:jc w:val="center"/>
              <w:rPr>
                <w:rFonts w:ascii="宋体" w:hAnsi="宋体"/>
                <w:b/>
                <w:bCs/>
                <w:color w:val="000000"/>
                <w:kern w:val="0"/>
                <w:szCs w:val="21"/>
              </w:rPr>
            </w:pPr>
            <w:r w:rsidRPr="004F0662">
              <w:rPr>
                <w:rFonts w:ascii="宋体" w:hAnsi="宋体" w:hint="eastAsia"/>
                <w:color w:val="000000"/>
                <w:kern w:val="0"/>
                <w:szCs w:val="21"/>
              </w:rPr>
              <w:t>申购份额</w:t>
            </w:r>
          </w:p>
        </w:tc>
        <w:tc>
          <w:tcPr>
            <w:tcW w:w="1134" w:type="dxa"/>
            <w:vAlign w:val="center"/>
          </w:tcPr>
          <w:p w:rsidR="005D3C9D" w:rsidRPr="004F0662" w:rsidRDefault="005D3C9D" w:rsidP="00583BFE">
            <w:pPr>
              <w:widowControl/>
              <w:jc w:val="center"/>
              <w:rPr>
                <w:rFonts w:ascii="宋体" w:hAnsi="宋体"/>
                <w:b/>
                <w:bCs/>
                <w:color w:val="000000"/>
                <w:kern w:val="0"/>
                <w:szCs w:val="21"/>
              </w:rPr>
            </w:pPr>
            <w:r w:rsidRPr="004F0662">
              <w:rPr>
                <w:rFonts w:ascii="宋体" w:hAnsi="宋体" w:hint="eastAsia"/>
                <w:color w:val="000000"/>
                <w:kern w:val="0"/>
                <w:szCs w:val="21"/>
              </w:rPr>
              <w:t>赎回份额</w:t>
            </w:r>
          </w:p>
        </w:tc>
        <w:tc>
          <w:tcPr>
            <w:tcW w:w="1419" w:type="dxa"/>
            <w:vAlign w:val="center"/>
          </w:tcPr>
          <w:p w:rsidR="005D3C9D" w:rsidRPr="004F0662" w:rsidRDefault="005D3C9D" w:rsidP="00583BFE">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持有份额</w:t>
            </w:r>
          </w:p>
        </w:tc>
        <w:tc>
          <w:tcPr>
            <w:tcW w:w="1130" w:type="dxa"/>
            <w:vAlign w:val="center"/>
          </w:tcPr>
          <w:p w:rsidR="005D3C9D" w:rsidRPr="004F0662" w:rsidRDefault="005D3C9D" w:rsidP="00583BFE">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份额占比</w:t>
            </w:r>
          </w:p>
        </w:tc>
      </w:tr>
      <w:tr w:rsidR="001124D8">
        <w:tc>
          <w:tcPr>
            <w:tcW w:w="993" w:type="dxa"/>
            <w:vMerge w:val="restart"/>
          </w:tcPr>
          <w:p w:rsidR="001124D8" w:rsidRDefault="001124D8"/>
          <w:p w:rsidR="001124D8" w:rsidRDefault="00C50050">
            <w:r>
              <w:rPr>
                <w:rFonts w:ascii="宋体" w:hAnsi="宋体" w:hint="eastAsia"/>
                <w:bCs/>
                <w:color w:val="000000"/>
                <w:kern w:val="0"/>
                <w:szCs w:val="21"/>
              </w:rPr>
              <w:t>机构</w:t>
            </w:r>
          </w:p>
        </w:tc>
        <w:tc>
          <w:tcPr>
            <w:tcW w:w="992" w:type="dxa"/>
            <w:vAlign w:val="center"/>
          </w:tcPr>
          <w:p w:rsidR="001124D8" w:rsidRDefault="00C50050">
            <w:pPr>
              <w:jc w:val="center"/>
            </w:pPr>
            <w:r>
              <w:rPr>
                <w:rFonts w:ascii="宋体" w:hAnsi="宋体"/>
                <w:color w:val="000000"/>
                <w:kern w:val="0"/>
                <w:szCs w:val="21"/>
              </w:rPr>
              <w:t>1</w:t>
            </w:r>
          </w:p>
        </w:tc>
        <w:tc>
          <w:tcPr>
            <w:tcW w:w="1843" w:type="dxa"/>
            <w:vAlign w:val="center"/>
          </w:tcPr>
          <w:p w:rsidR="001124D8" w:rsidRDefault="00C50050">
            <w:pPr>
              <w:jc w:val="center"/>
            </w:pPr>
            <w:r>
              <w:rPr>
                <w:rFonts w:ascii="宋体" w:hAnsi="宋体"/>
                <w:color w:val="000000"/>
                <w:kern w:val="0"/>
                <w:szCs w:val="21"/>
              </w:rPr>
              <w:t>2018/1/1-2018/6/30</w:t>
            </w:r>
          </w:p>
        </w:tc>
        <w:tc>
          <w:tcPr>
            <w:tcW w:w="851" w:type="dxa"/>
            <w:vAlign w:val="center"/>
          </w:tcPr>
          <w:p w:rsidR="001124D8" w:rsidRDefault="00C50050">
            <w:pPr>
              <w:jc w:val="center"/>
            </w:pPr>
            <w:r>
              <w:rPr>
                <w:rFonts w:ascii="宋体" w:hAnsi="宋体"/>
                <w:color w:val="000000"/>
                <w:kern w:val="0"/>
                <w:szCs w:val="21"/>
              </w:rPr>
              <w:t>-</w:t>
            </w:r>
          </w:p>
        </w:tc>
        <w:tc>
          <w:tcPr>
            <w:tcW w:w="850" w:type="dxa"/>
            <w:vAlign w:val="center"/>
          </w:tcPr>
          <w:p w:rsidR="001124D8" w:rsidRDefault="00C50050">
            <w:pPr>
              <w:jc w:val="center"/>
            </w:pPr>
            <w:r>
              <w:rPr>
                <w:rFonts w:ascii="宋体" w:hAnsi="宋体"/>
                <w:color w:val="000000"/>
                <w:kern w:val="0"/>
                <w:szCs w:val="21"/>
              </w:rPr>
              <w:t>80,122,446.96</w:t>
            </w:r>
          </w:p>
        </w:tc>
        <w:tc>
          <w:tcPr>
            <w:tcW w:w="1134" w:type="dxa"/>
            <w:vAlign w:val="center"/>
          </w:tcPr>
          <w:p w:rsidR="001124D8" w:rsidRDefault="00C50050">
            <w:pPr>
              <w:jc w:val="center"/>
            </w:pPr>
            <w:r>
              <w:rPr>
                <w:rFonts w:ascii="宋体" w:hAnsi="宋体"/>
                <w:color w:val="000000"/>
                <w:kern w:val="0"/>
                <w:szCs w:val="21"/>
              </w:rPr>
              <w:t>-</w:t>
            </w:r>
          </w:p>
        </w:tc>
        <w:tc>
          <w:tcPr>
            <w:tcW w:w="1419" w:type="dxa"/>
            <w:vAlign w:val="center"/>
          </w:tcPr>
          <w:p w:rsidR="001124D8" w:rsidRDefault="00C50050">
            <w:pPr>
              <w:jc w:val="center"/>
            </w:pPr>
            <w:r>
              <w:rPr>
                <w:rFonts w:ascii="宋体" w:hAnsi="宋体"/>
                <w:color w:val="000000"/>
                <w:kern w:val="0"/>
                <w:szCs w:val="21"/>
              </w:rPr>
              <w:t>80,122,446.96</w:t>
            </w:r>
          </w:p>
        </w:tc>
        <w:tc>
          <w:tcPr>
            <w:tcW w:w="1130" w:type="dxa"/>
            <w:vAlign w:val="center"/>
          </w:tcPr>
          <w:p w:rsidR="001124D8" w:rsidRDefault="00C50050">
            <w:pPr>
              <w:jc w:val="center"/>
            </w:pPr>
            <w:r>
              <w:rPr>
                <w:rFonts w:ascii="宋体" w:hAnsi="宋体"/>
                <w:color w:val="000000"/>
                <w:kern w:val="0"/>
                <w:szCs w:val="21"/>
              </w:rPr>
              <w:t>35.67%</w:t>
            </w:r>
          </w:p>
        </w:tc>
      </w:tr>
      <w:tr w:rsidR="001124D8">
        <w:tc>
          <w:tcPr>
            <w:tcW w:w="993" w:type="dxa"/>
            <w:vMerge/>
          </w:tcPr>
          <w:p w:rsidR="001124D8" w:rsidRDefault="001124D8"/>
        </w:tc>
        <w:tc>
          <w:tcPr>
            <w:tcW w:w="992" w:type="dxa"/>
            <w:vAlign w:val="center"/>
          </w:tcPr>
          <w:p w:rsidR="001124D8" w:rsidRDefault="00C50050">
            <w:pPr>
              <w:jc w:val="center"/>
            </w:pPr>
            <w:r>
              <w:rPr>
                <w:rFonts w:ascii="宋体" w:hAnsi="宋体"/>
                <w:color w:val="000000"/>
                <w:kern w:val="0"/>
                <w:szCs w:val="21"/>
              </w:rPr>
              <w:t>2</w:t>
            </w:r>
          </w:p>
        </w:tc>
        <w:tc>
          <w:tcPr>
            <w:tcW w:w="1843" w:type="dxa"/>
            <w:vAlign w:val="center"/>
          </w:tcPr>
          <w:p w:rsidR="001124D8" w:rsidRDefault="00C50050">
            <w:pPr>
              <w:jc w:val="center"/>
            </w:pPr>
            <w:r>
              <w:rPr>
                <w:rFonts w:ascii="宋体" w:hAnsi="宋体"/>
                <w:color w:val="000000"/>
                <w:kern w:val="0"/>
                <w:szCs w:val="21"/>
              </w:rPr>
              <w:t>2018/1/1-2018/6/30</w:t>
            </w:r>
          </w:p>
        </w:tc>
        <w:tc>
          <w:tcPr>
            <w:tcW w:w="851" w:type="dxa"/>
            <w:vAlign w:val="center"/>
          </w:tcPr>
          <w:p w:rsidR="001124D8" w:rsidRDefault="00C50050">
            <w:pPr>
              <w:jc w:val="center"/>
            </w:pPr>
            <w:r>
              <w:rPr>
                <w:rFonts w:ascii="宋体" w:hAnsi="宋体"/>
                <w:color w:val="000000"/>
                <w:kern w:val="0"/>
                <w:szCs w:val="21"/>
              </w:rPr>
              <w:t>110,004,950.00</w:t>
            </w:r>
          </w:p>
        </w:tc>
        <w:tc>
          <w:tcPr>
            <w:tcW w:w="850" w:type="dxa"/>
            <w:vAlign w:val="center"/>
          </w:tcPr>
          <w:p w:rsidR="001124D8" w:rsidRDefault="00C50050">
            <w:pPr>
              <w:jc w:val="center"/>
            </w:pPr>
            <w:r>
              <w:rPr>
                <w:rFonts w:ascii="宋体" w:hAnsi="宋体"/>
                <w:color w:val="000000"/>
                <w:kern w:val="0"/>
                <w:szCs w:val="21"/>
              </w:rPr>
              <w:t>1,119,673.22</w:t>
            </w:r>
          </w:p>
        </w:tc>
        <w:tc>
          <w:tcPr>
            <w:tcW w:w="1134" w:type="dxa"/>
            <w:vAlign w:val="center"/>
          </w:tcPr>
          <w:p w:rsidR="001124D8" w:rsidRDefault="00C50050">
            <w:pPr>
              <w:jc w:val="center"/>
            </w:pPr>
            <w:r>
              <w:rPr>
                <w:rFonts w:ascii="宋体" w:hAnsi="宋体"/>
                <w:color w:val="000000"/>
                <w:kern w:val="0"/>
                <w:szCs w:val="21"/>
              </w:rPr>
              <w:t>60,140,210.32</w:t>
            </w:r>
          </w:p>
        </w:tc>
        <w:tc>
          <w:tcPr>
            <w:tcW w:w="1419" w:type="dxa"/>
            <w:vAlign w:val="center"/>
          </w:tcPr>
          <w:p w:rsidR="001124D8" w:rsidRDefault="00C50050">
            <w:pPr>
              <w:jc w:val="center"/>
            </w:pPr>
            <w:r>
              <w:rPr>
                <w:rFonts w:ascii="宋体" w:hAnsi="宋体"/>
                <w:color w:val="000000"/>
                <w:kern w:val="0"/>
                <w:szCs w:val="21"/>
              </w:rPr>
              <w:t>50,984,412.90</w:t>
            </w:r>
          </w:p>
        </w:tc>
        <w:tc>
          <w:tcPr>
            <w:tcW w:w="1130" w:type="dxa"/>
            <w:vAlign w:val="center"/>
          </w:tcPr>
          <w:p w:rsidR="001124D8" w:rsidRDefault="00C50050">
            <w:pPr>
              <w:jc w:val="center"/>
            </w:pPr>
            <w:r>
              <w:rPr>
                <w:rFonts w:ascii="宋体" w:hAnsi="宋体"/>
                <w:color w:val="000000"/>
                <w:kern w:val="0"/>
                <w:szCs w:val="21"/>
              </w:rPr>
              <w:t>22.69%</w:t>
            </w:r>
          </w:p>
        </w:tc>
      </w:tr>
      <w:tr w:rsidR="001124D8">
        <w:tc>
          <w:tcPr>
            <w:tcW w:w="993" w:type="dxa"/>
            <w:vMerge/>
          </w:tcPr>
          <w:p w:rsidR="001124D8" w:rsidRDefault="001124D8"/>
        </w:tc>
        <w:tc>
          <w:tcPr>
            <w:tcW w:w="992" w:type="dxa"/>
            <w:vAlign w:val="center"/>
          </w:tcPr>
          <w:p w:rsidR="001124D8" w:rsidRDefault="00C50050">
            <w:pPr>
              <w:jc w:val="center"/>
            </w:pPr>
            <w:r>
              <w:rPr>
                <w:rFonts w:ascii="宋体" w:hAnsi="宋体"/>
                <w:color w:val="000000"/>
                <w:kern w:val="0"/>
                <w:szCs w:val="21"/>
              </w:rPr>
              <w:t>3</w:t>
            </w:r>
          </w:p>
        </w:tc>
        <w:tc>
          <w:tcPr>
            <w:tcW w:w="1843" w:type="dxa"/>
            <w:vAlign w:val="center"/>
          </w:tcPr>
          <w:p w:rsidR="001124D8" w:rsidRDefault="00C50050">
            <w:pPr>
              <w:jc w:val="center"/>
            </w:pPr>
            <w:r>
              <w:rPr>
                <w:rFonts w:ascii="宋体" w:hAnsi="宋体"/>
                <w:color w:val="000000"/>
                <w:kern w:val="0"/>
                <w:szCs w:val="21"/>
              </w:rPr>
              <w:t>2018/1/1-2018/6/30</w:t>
            </w:r>
          </w:p>
        </w:tc>
        <w:tc>
          <w:tcPr>
            <w:tcW w:w="851" w:type="dxa"/>
            <w:vAlign w:val="center"/>
          </w:tcPr>
          <w:p w:rsidR="001124D8" w:rsidRDefault="00C50050">
            <w:pPr>
              <w:jc w:val="center"/>
            </w:pPr>
            <w:r>
              <w:rPr>
                <w:rFonts w:ascii="宋体" w:hAnsi="宋体"/>
                <w:color w:val="000000"/>
                <w:kern w:val="0"/>
                <w:szCs w:val="21"/>
              </w:rPr>
              <w:t>50,002,250.00</w:t>
            </w:r>
          </w:p>
        </w:tc>
        <w:tc>
          <w:tcPr>
            <w:tcW w:w="850" w:type="dxa"/>
            <w:vAlign w:val="center"/>
          </w:tcPr>
          <w:p w:rsidR="001124D8" w:rsidRDefault="00C50050">
            <w:pPr>
              <w:jc w:val="center"/>
            </w:pPr>
            <w:r>
              <w:rPr>
                <w:rFonts w:ascii="宋体" w:hAnsi="宋体"/>
                <w:color w:val="000000"/>
                <w:kern w:val="0"/>
                <w:szCs w:val="21"/>
              </w:rPr>
              <w:t>907,182.65</w:t>
            </w:r>
          </w:p>
        </w:tc>
        <w:tc>
          <w:tcPr>
            <w:tcW w:w="1134" w:type="dxa"/>
            <w:vAlign w:val="center"/>
          </w:tcPr>
          <w:p w:rsidR="001124D8" w:rsidRDefault="00C50050">
            <w:pPr>
              <w:jc w:val="center"/>
            </w:pPr>
            <w:r>
              <w:rPr>
                <w:rFonts w:ascii="宋体" w:hAnsi="宋体"/>
                <w:color w:val="000000"/>
                <w:kern w:val="0"/>
                <w:szCs w:val="21"/>
              </w:rPr>
              <w:t>10,000,000.00</w:t>
            </w:r>
          </w:p>
        </w:tc>
        <w:tc>
          <w:tcPr>
            <w:tcW w:w="1419" w:type="dxa"/>
            <w:vAlign w:val="center"/>
          </w:tcPr>
          <w:p w:rsidR="001124D8" w:rsidRDefault="00C50050">
            <w:pPr>
              <w:jc w:val="center"/>
            </w:pPr>
            <w:r>
              <w:rPr>
                <w:rFonts w:ascii="宋体" w:hAnsi="宋体"/>
                <w:color w:val="000000"/>
                <w:kern w:val="0"/>
                <w:szCs w:val="21"/>
              </w:rPr>
              <w:t>40,909,432.65</w:t>
            </w:r>
          </w:p>
        </w:tc>
        <w:tc>
          <w:tcPr>
            <w:tcW w:w="1130" w:type="dxa"/>
            <w:vAlign w:val="center"/>
          </w:tcPr>
          <w:p w:rsidR="001124D8" w:rsidRDefault="00C50050">
            <w:pPr>
              <w:jc w:val="center"/>
            </w:pPr>
            <w:r>
              <w:rPr>
                <w:rFonts w:ascii="宋体" w:hAnsi="宋体"/>
                <w:color w:val="000000"/>
                <w:kern w:val="0"/>
                <w:szCs w:val="21"/>
              </w:rPr>
              <w:t>18.21%</w:t>
            </w:r>
          </w:p>
        </w:tc>
      </w:tr>
      <w:tr w:rsidR="001124D8">
        <w:tc>
          <w:tcPr>
            <w:tcW w:w="993" w:type="dxa"/>
            <w:vMerge/>
          </w:tcPr>
          <w:p w:rsidR="001124D8" w:rsidRDefault="001124D8"/>
        </w:tc>
        <w:tc>
          <w:tcPr>
            <w:tcW w:w="992" w:type="dxa"/>
            <w:vAlign w:val="center"/>
          </w:tcPr>
          <w:p w:rsidR="001124D8" w:rsidRDefault="00C50050">
            <w:pPr>
              <w:jc w:val="center"/>
            </w:pPr>
            <w:r>
              <w:rPr>
                <w:rFonts w:ascii="宋体" w:hAnsi="宋体"/>
                <w:color w:val="000000"/>
                <w:kern w:val="0"/>
                <w:szCs w:val="21"/>
              </w:rPr>
              <w:t>4</w:t>
            </w:r>
          </w:p>
        </w:tc>
        <w:tc>
          <w:tcPr>
            <w:tcW w:w="1843" w:type="dxa"/>
            <w:vAlign w:val="center"/>
          </w:tcPr>
          <w:p w:rsidR="001124D8" w:rsidRDefault="00C50050">
            <w:pPr>
              <w:jc w:val="center"/>
            </w:pPr>
            <w:r>
              <w:rPr>
                <w:rFonts w:ascii="宋体" w:hAnsi="宋体"/>
                <w:color w:val="000000"/>
                <w:kern w:val="0"/>
                <w:szCs w:val="21"/>
              </w:rPr>
              <w:t>2018/1/1-2018/6/30</w:t>
            </w:r>
          </w:p>
        </w:tc>
        <w:tc>
          <w:tcPr>
            <w:tcW w:w="851" w:type="dxa"/>
            <w:vAlign w:val="center"/>
          </w:tcPr>
          <w:p w:rsidR="001124D8" w:rsidRDefault="00C50050">
            <w:pPr>
              <w:jc w:val="center"/>
            </w:pPr>
            <w:r>
              <w:rPr>
                <w:rFonts w:ascii="宋体" w:hAnsi="宋体"/>
                <w:color w:val="000000"/>
                <w:kern w:val="0"/>
                <w:szCs w:val="21"/>
              </w:rPr>
              <w:t>-</w:t>
            </w:r>
          </w:p>
        </w:tc>
        <w:tc>
          <w:tcPr>
            <w:tcW w:w="850" w:type="dxa"/>
            <w:vAlign w:val="center"/>
          </w:tcPr>
          <w:p w:rsidR="001124D8" w:rsidRDefault="00C50050">
            <w:pPr>
              <w:jc w:val="center"/>
            </w:pPr>
            <w:r>
              <w:rPr>
                <w:rFonts w:ascii="宋体" w:hAnsi="宋体"/>
                <w:color w:val="000000"/>
                <w:kern w:val="0"/>
                <w:szCs w:val="21"/>
              </w:rPr>
              <w:t>50,317,909.94</w:t>
            </w:r>
          </w:p>
        </w:tc>
        <w:tc>
          <w:tcPr>
            <w:tcW w:w="1134" w:type="dxa"/>
            <w:vAlign w:val="center"/>
          </w:tcPr>
          <w:p w:rsidR="001124D8" w:rsidRDefault="00C50050">
            <w:pPr>
              <w:jc w:val="center"/>
            </w:pPr>
            <w:r>
              <w:rPr>
                <w:rFonts w:ascii="宋体" w:hAnsi="宋体"/>
                <w:color w:val="000000"/>
                <w:kern w:val="0"/>
                <w:szCs w:val="21"/>
              </w:rPr>
              <w:t>50,317,909.94</w:t>
            </w:r>
          </w:p>
        </w:tc>
        <w:tc>
          <w:tcPr>
            <w:tcW w:w="1419" w:type="dxa"/>
            <w:vAlign w:val="center"/>
          </w:tcPr>
          <w:p w:rsidR="001124D8" w:rsidRDefault="00C50050">
            <w:pPr>
              <w:jc w:val="center"/>
            </w:pPr>
            <w:r>
              <w:rPr>
                <w:rFonts w:ascii="宋体" w:hAnsi="宋体"/>
                <w:color w:val="000000"/>
                <w:kern w:val="0"/>
                <w:szCs w:val="21"/>
              </w:rPr>
              <w:t>-</w:t>
            </w:r>
          </w:p>
        </w:tc>
        <w:tc>
          <w:tcPr>
            <w:tcW w:w="1130" w:type="dxa"/>
            <w:vAlign w:val="center"/>
          </w:tcPr>
          <w:p w:rsidR="001124D8" w:rsidRDefault="00C50050">
            <w:pPr>
              <w:jc w:val="center"/>
            </w:pPr>
            <w:r>
              <w:rPr>
                <w:rFonts w:ascii="宋体" w:hAnsi="宋体"/>
                <w:color w:val="000000"/>
                <w:kern w:val="0"/>
                <w:szCs w:val="21"/>
              </w:rPr>
              <w:t>-</w:t>
            </w:r>
          </w:p>
        </w:tc>
      </w:tr>
      <w:tr w:rsidR="005D3C9D" w:rsidRPr="004F0662" w:rsidTr="00583BFE">
        <w:tc>
          <w:tcPr>
            <w:tcW w:w="9212" w:type="dxa"/>
            <w:gridSpan w:val="8"/>
            <w:vAlign w:val="center"/>
          </w:tcPr>
          <w:p w:rsidR="005D3C9D" w:rsidRPr="004F0662" w:rsidRDefault="005D3C9D" w:rsidP="00583BFE">
            <w:pPr>
              <w:autoSpaceDE w:val="0"/>
              <w:autoSpaceDN w:val="0"/>
              <w:adjustRightInd w:val="0"/>
              <w:jc w:val="center"/>
              <w:rPr>
                <w:rFonts w:ascii="宋体" w:hAnsi="宋体"/>
                <w:kern w:val="0"/>
                <w:szCs w:val="21"/>
              </w:rPr>
            </w:pPr>
            <w:r w:rsidRPr="004F0662">
              <w:rPr>
                <w:rFonts w:ascii="宋体" w:hAnsi="宋体"/>
                <w:color w:val="000000"/>
                <w:kern w:val="0"/>
                <w:szCs w:val="21"/>
              </w:rPr>
              <w:t>产品特有风险</w:t>
            </w:r>
          </w:p>
        </w:tc>
      </w:tr>
      <w:tr w:rsidR="005D3C9D" w:rsidRPr="004F0662" w:rsidTr="00583BFE">
        <w:tc>
          <w:tcPr>
            <w:tcW w:w="9212" w:type="dxa"/>
            <w:gridSpan w:val="8"/>
            <w:vAlign w:val="center"/>
          </w:tcPr>
          <w:p w:rsidR="005D3C9D" w:rsidRPr="004F0662" w:rsidRDefault="005D3C9D" w:rsidP="00583BFE">
            <w:pPr>
              <w:autoSpaceDE w:val="0"/>
              <w:autoSpaceDN w:val="0"/>
              <w:adjustRightInd w:val="0"/>
              <w:jc w:val="left"/>
              <w:rPr>
                <w:rFonts w:ascii="宋体" w:hAnsi="宋体"/>
                <w:kern w:val="0"/>
                <w:szCs w:val="21"/>
              </w:rPr>
            </w:pPr>
            <w:r w:rsidRPr="004F0662">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5D3C9D" w:rsidRPr="004F0662" w:rsidRDefault="005D3C9D" w:rsidP="005D3C9D">
      <w:pPr>
        <w:autoSpaceDE w:val="0"/>
        <w:autoSpaceDN w:val="0"/>
        <w:adjustRightInd w:val="0"/>
        <w:spacing w:line="360" w:lineRule="auto"/>
        <w:jc w:val="left"/>
        <w:rPr>
          <w:rFonts w:ascii="宋体" w:hAnsi="宋体"/>
          <w:b/>
          <w:bCs/>
          <w:color w:val="000000"/>
          <w:kern w:val="0"/>
          <w:szCs w:val="21"/>
        </w:rPr>
      </w:pPr>
      <w:r w:rsidRPr="004F0662">
        <w:rPr>
          <w:rFonts w:ascii="宋体" w:hAnsi="宋体" w:hint="eastAsia"/>
          <w:b/>
          <w:bCs/>
          <w:color w:val="000000"/>
          <w:kern w:val="0"/>
          <w:szCs w:val="21"/>
        </w:rPr>
        <w:t>11.2 影响投资者决策的其他重要信息</w:t>
      </w:r>
    </w:p>
    <w:p w:rsidR="005D3C9D" w:rsidRPr="004F0662" w:rsidRDefault="005D3C9D" w:rsidP="005D3C9D">
      <w:pPr>
        <w:spacing w:line="360" w:lineRule="auto"/>
        <w:ind w:firstLineChars="200" w:firstLine="420"/>
        <w:rPr>
          <w:rFonts w:ascii="宋体" w:hAnsi="宋体"/>
          <w:color w:val="000000"/>
          <w:szCs w:val="21"/>
        </w:rPr>
      </w:pPr>
      <w:r w:rsidRPr="004F0662">
        <w:rPr>
          <w:rFonts w:ascii="宋体" w:hAnsi="宋体"/>
          <w:color w:val="000000"/>
          <w:szCs w:val="21"/>
        </w:rPr>
        <w:t>本基金管理人依据国家税收法律、法规、规章及税收规范性文件的规定，对管理的基金产品运营过程中产生的应税收入，计提及缴纳增值税及附加税费，该部分税费由基金资产承担。详情请见有关公告。</w:t>
      </w:r>
    </w:p>
    <w:p w:rsidR="009A5564" w:rsidRPr="0061644B" w:rsidRDefault="009A5564" w:rsidP="00792A69">
      <w:pPr>
        <w:spacing w:before="29" w:line="288" w:lineRule="auto"/>
        <w:rPr>
          <w:sz w:val="24"/>
        </w:rPr>
      </w:pPr>
    </w:p>
    <w:sectPr w:rsidR="009A5564" w:rsidRPr="0061644B" w:rsidSect="00937AC9">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6ED" w:rsidRDefault="003B66ED">
      <w:r>
        <w:separator/>
      </w:r>
    </w:p>
  </w:endnote>
  <w:endnote w:type="continuationSeparator" w:id="0">
    <w:p w:rsidR="003B66ED" w:rsidRDefault="003B6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F8F" w:rsidRDefault="000B2F8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F8F" w:rsidRDefault="000B2F8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F8F" w:rsidRDefault="000B2F8F">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8B8" w:rsidRDefault="00D02DC3" w:rsidP="00C03B3A">
    <w:pPr>
      <w:pStyle w:val="a6"/>
      <w:framePr w:wrap="around" w:vAnchor="text" w:hAnchor="margin" w:xAlign="right" w:y="1"/>
      <w:rPr>
        <w:rStyle w:val="a7"/>
      </w:rPr>
    </w:pPr>
    <w:r>
      <w:rPr>
        <w:rStyle w:val="a7"/>
      </w:rPr>
      <w:fldChar w:fldCharType="begin"/>
    </w:r>
    <w:r w:rsidR="00B258B8">
      <w:rPr>
        <w:rStyle w:val="a7"/>
      </w:rPr>
      <w:instrText xml:space="preserve">PAGE  </w:instrText>
    </w:r>
    <w:r>
      <w:rPr>
        <w:rStyle w:val="a7"/>
      </w:rPr>
      <w:fldChar w:fldCharType="end"/>
    </w:r>
  </w:p>
  <w:p w:rsidR="00B258B8" w:rsidRDefault="00B258B8" w:rsidP="00C03B3A">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8B8" w:rsidRDefault="00B258B8" w:rsidP="00C03B3A">
    <w:pPr>
      <w:pStyle w:val="a6"/>
      <w:ind w:right="360"/>
      <w:jc w:val="center"/>
    </w:pPr>
    <w:r>
      <w:rPr>
        <w:rFonts w:hint="eastAsia"/>
        <w:kern w:val="0"/>
        <w:szCs w:val="21"/>
      </w:rPr>
      <w:t>第</w:t>
    </w:r>
    <w:r w:rsidR="00D02DC3">
      <w:rPr>
        <w:kern w:val="0"/>
        <w:szCs w:val="21"/>
      </w:rPr>
      <w:fldChar w:fldCharType="begin"/>
    </w:r>
    <w:r>
      <w:rPr>
        <w:kern w:val="0"/>
        <w:szCs w:val="21"/>
      </w:rPr>
      <w:instrText xml:space="preserve"> PAGE </w:instrText>
    </w:r>
    <w:r w:rsidR="00D02DC3">
      <w:rPr>
        <w:kern w:val="0"/>
        <w:szCs w:val="21"/>
      </w:rPr>
      <w:fldChar w:fldCharType="separate"/>
    </w:r>
    <w:r w:rsidR="005324DD">
      <w:rPr>
        <w:noProof/>
        <w:kern w:val="0"/>
        <w:szCs w:val="21"/>
      </w:rPr>
      <w:t>32</w:t>
    </w:r>
    <w:r w:rsidR="00D02DC3">
      <w:rPr>
        <w:kern w:val="0"/>
        <w:szCs w:val="21"/>
      </w:rPr>
      <w:fldChar w:fldCharType="end"/>
    </w:r>
    <w:r>
      <w:rPr>
        <w:rFonts w:hint="eastAsia"/>
        <w:kern w:val="0"/>
        <w:szCs w:val="21"/>
      </w:rPr>
      <w:t>页共</w:t>
    </w:r>
    <w:r w:rsidR="00D02DC3">
      <w:rPr>
        <w:kern w:val="0"/>
        <w:szCs w:val="21"/>
      </w:rPr>
      <w:fldChar w:fldCharType="begin"/>
    </w:r>
    <w:r>
      <w:rPr>
        <w:kern w:val="0"/>
        <w:szCs w:val="21"/>
      </w:rPr>
      <w:instrText xml:space="preserve"> NUMPAGES </w:instrText>
    </w:r>
    <w:r w:rsidR="00D02DC3">
      <w:rPr>
        <w:kern w:val="0"/>
        <w:szCs w:val="21"/>
      </w:rPr>
      <w:fldChar w:fldCharType="separate"/>
    </w:r>
    <w:r w:rsidR="005324DD">
      <w:rPr>
        <w:noProof/>
        <w:kern w:val="0"/>
        <w:szCs w:val="21"/>
      </w:rPr>
      <w:t>34</w:t>
    </w:r>
    <w:r w:rsidR="00D02DC3">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6ED" w:rsidRDefault="003B66ED">
      <w:r>
        <w:separator/>
      </w:r>
    </w:p>
  </w:footnote>
  <w:footnote w:type="continuationSeparator" w:id="0">
    <w:p w:rsidR="003B66ED" w:rsidRDefault="003B6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F8F" w:rsidRDefault="000B2F8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8B8" w:rsidRPr="0023771C" w:rsidRDefault="00B258B8" w:rsidP="00C35130">
    <w:pPr>
      <w:pStyle w:val="a9"/>
      <w:pBdr>
        <w:bottom w:val="single" w:sz="6" w:space="0" w:color="auto"/>
      </w:pBdr>
      <w:jc w:val="right"/>
    </w:pPr>
    <w:r w:rsidRPr="0023771C">
      <w:rPr>
        <w:rFonts w:hint="eastAsia"/>
      </w:rPr>
      <w:t>交银施罗德天运宝货币市场基金</w:t>
    </w:r>
    <w:r w:rsidRPr="0023771C">
      <w:rPr>
        <w:rFonts w:hint="eastAsia"/>
      </w:rPr>
      <w:t>2018</w:t>
    </w:r>
    <w:r w:rsidRPr="0023771C">
      <w:rPr>
        <w:rFonts w:hint="eastAsia"/>
      </w:rPr>
      <w:t>年半年度报告摘要</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F8F" w:rsidRDefault="000B2F8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70C84"/>
    <w:multiLevelType w:val="multilevel"/>
    <w:tmpl w:val="BDB0A11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A0D0DAB"/>
    <w:multiLevelType w:val="hybridMultilevel"/>
    <w:tmpl w:val="AA32F4B4"/>
    <w:lvl w:ilvl="0" w:tplc="8B04BF3A">
      <w:start w:val="1"/>
      <w:numFmt w:val="decimal"/>
      <w:lvlText w:val="%1.1"/>
      <w:lvlJc w:val="left"/>
      <w:pPr>
        <w:ind w:left="420" w:hanging="420"/>
      </w:pPr>
      <w:rPr>
        <w:rFonts w:hint="eastAsia"/>
        <w:b w:val="0"/>
        <w:snapToGrid/>
        <w:spacing w:val="-30"/>
        <w:w w:val="150"/>
        <w:kern w:val="144"/>
        <w:position w:val="0"/>
        <w:em w:val="none"/>
      </w:rPr>
    </w:lvl>
    <w:lvl w:ilvl="1" w:tplc="AE989D52">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AC120AE"/>
    <w:multiLevelType w:val="hybridMultilevel"/>
    <w:tmpl w:val="874E2BFC"/>
    <w:lvl w:ilvl="0" w:tplc="AE1A9FE4">
      <w:start w:val="1"/>
      <w:numFmt w:val="decimalEnclosedCircle"/>
      <w:lvlText w:val="%1"/>
      <w:lvlJc w:val="left"/>
      <w:pPr>
        <w:ind w:left="360" w:hanging="360"/>
      </w:pPr>
      <w:rPr>
        <w:rFonts w:ascii="宋体" w:eastAsia="宋体" w:hAnsi="宋体" w:cs="宋体"/>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F74DBA"/>
    <w:multiLevelType w:val="multilevel"/>
    <w:tmpl w:val="B7D01BB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20F2212D"/>
    <w:multiLevelType w:val="hybridMultilevel"/>
    <w:tmpl w:val="B65696C0"/>
    <w:lvl w:ilvl="0" w:tplc="4B928286">
      <w:start w:val="1"/>
      <w:numFmt w:val="decimalEnclosedCircle"/>
      <w:lvlText w:val="%1"/>
      <w:lvlJc w:val="left"/>
      <w:pPr>
        <w:ind w:left="720" w:hanging="360"/>
      </w:pPr>
      <w:rPr>
        <w:rFonts w:ascii="宋体" w:hAnsi="宋体" w:cs="宋体" w:hint="default"/>
        <w:color w:val="00000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211D1A1B"/>
    <w:multiLevelType w:val="multilevel"/>
    <w:tmpl w:val="6E2E530C"/>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9793D9F"/>
    <w:multiLevelType w:val="multilevel"/>
    <w:tmpl w:val="0409001D"/>
    <w:numStyleLink w:val="3"/>
  </w:abstractNum>
  <w:abstractNum w:abstractNumId="8" w15:restartNumberingAfterBreak="0">
    <w:nsid w:val="2E9B3808"/>
    <w:multiLevelType w:val="hybridMultilevel"/>
    <w:tmpl w:val="F21477BC"/>
    <w:lvl w:ilvl="0" w:tplc="AD565172">
      <w:start w:val="1"/>
      <w:numFmt w:val="decimalEnclosedCircle"/>
      <w:lvlText w:val="%1"/>
      <w:lvlJc w:val="left"/>
      <w:pPr>
        <w:ind w:left="360" w:hanging="360"/>
      </w:pPr>
      <w:rPr>
        <w:rFonts w:ascii="宋体" w:hAnsi="宋体" w:cs="宋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2C9614F"/>
    <w:multiLevelType w:val="multilevel"/>
    <w:tmpl w:val="1A94FD26"/>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15:restartNumberingAfterBreak="0">
    <w:nsid w:val="52D86888"/>
    <w:multiLevelType w:val="multilevel"/>
    <w:tmpl w:val="DD2C7036"/>
    <w:lvl w:ilvl="0">
      <w:start w:val="10"/>
      <w:numFmt w:val="decimal"/>
      <w:lvlText w:val="%1"/>
      <w:lvlJc w:val="left"/>
      <w:pPr>
        <w:tabs>
          <w:tab w:val="num" w:pos="480"/>
        </w:tabs>
        <w:ind w:left="480" w:hanging="48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15:restartNumberingAfterBreak="0">
    <w:nsid w:val="62EC4468"/>
    <w:multiLevelType w:val="hybridMultilevel"/>
    <w:tmpl w:val="EDC677EE"/>
    <w:lvl w:ilvl="0" w:tplc="41D28FAC">
      <w:start w:val="1"/>
      <w:numFmt w:val="decimalEnclosedCircle"/>
      <w:lvlText w:val="%1"/>
      <w:lvlJc w:val="left"/>
      <w:pPr>
        <w:ind w:left="360" w:hanging="360"/>
      </w:pPr>
      <w:rPr>
        <w:rFonts w:ascii="宋体" w:eastAsia="宋体" w:hAnsi="宋体" w:cs="宋体"/>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4C22724"/>
    <w:multiLevelType w:val="multilevel"/>
    <w:tmpl w:val="0409001D"/>
    <w:numStyleLink w:val="5"/>
  </w:abstractNum>
  <w:abstractNum w:abstractNumId="15" w15:restartNumberingAfterBreak="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6" w15:restartNumberingAfterBreak="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7" w15:restartNumberingAfterBreak="0">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8" w15:restartNumberingAfterBreak="0">
    <w:nsid w:val="7C2F7AB8"/>
    <w:multiLevelType w:val="multilevel"/>
    <w:tmpl w:val="7F5C4A20"/>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9"/>
  </w:num>
  <w:num w:numId="2">
    <w:abstractNumId w:val="12"/>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4"/>
    <w:lvlOverride w:ilvl="0">
      <w:lvl w:ilvl="0">
        <w:numFmt w:val="decimal"/>
        <w:lvlText w:val=""/>
        <w:lvlJc w:val="left"/>
      </w:lvl>
    </w:lvlOverride>
    <w:lvlOverride w:ilvl="1">
      <w:lvl w:ilvl="1">
        <w:start w:val="1"/>
        <w:numFmt w:val="decimal"/>
        <w:lvlText w:val="%1.%2"/>
        <w:lvlJc w:val="left"/>
        <w:pPr>
          <w:tabs>
            <w:tab w:val="num" w:pos="1107"/>
          </w:tabs>
          <w:ind w:left="1107" w:hanging="567"/>
        </w:pPr>
      </w:lvl>
    </w:lvlOverride>
  </w:num>
  <w:num w:numId="7">
    <w:abstractNumId w:val="15"/>
  </w:num>
  <w:num w:numId="8">
    <w:abstractNumId w:val="10"/>
  </w:num>
  <w:num w:numId="9">
    <w:abstractNumId w:val="16"/>
  </w:num>
  <w:num w:numId="10">
    <w:abstractNumId w:val="4"/>
  </w:num>
  <w:num w:numId="11">
    <w:abstractNumId w:val="14"/>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num>
  <w:num w:numId="12">
    <w:abstractNumId w:val="9"/>
  </w:num>
  <w:num w:numId="13">
    <w:abstractNumId w:val="11"/>
  </w:num>
  <w:num w:numId="14">
    <w:abstractNumId w:val="18"/>
  </w:num>
  <w:num w:numId="15">
    <w:abstractNumId w:val="6"/>
  </w:num>
  <w:num w:numId="16">
    <w:abstractNumId w:val="17"/>
  </w:num>
  <w:num w:numId="17">
    <w:abstractNumId w:val="13"/>
  </w:num>
  <w:num w:numId="18">
    <w:abstractNumId w:val="3"/>
  </w:num>
  <w:num w:numId="19">
    <w:abstractNumId w:val="8"/>
  </w:num>
  <w:num w:numId="20">
    <w:abstractNumId w:val="5"/>
  </w:num>
  <w:num w:numId="21">
    <w:abstractNumId w:val="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7EE"/>
    <w:rsid w:val="000019B6"/>
    <w:rsid w:val="00001B39"/>
    <w:rsid w:val="00002644"/>
    <w:rsid w:val="00003577"/>
    <w:rsid w:val="0000403B"/>
    <w:rsid w:val="00004337"/>
    <w:rsid w:val="00005172"/>
    <w:rsid w:val="0000551D"/>
    <w:rsid w:val="00005911"/>
    <w:rsid w:val="00006870"/>
    <w:rsid w:val="0000736D"/>
    <w:rsid w:val="00007673"/>
    <w:rsid w:val="00007744"/>
    <w:rsid w:val="00007E35"/>
    <w:rsid w:val="000102A7"/>
    <w:rsid w:val="00010918"/>
    <w:rsid w:val="00010A83"/>
    <w:rsid w:val="00010A8E"/>
    <w:rsid w:val="00010AC3"/>
    <w:rsid w:val="00010C1F"/>
    <w:rsid w:val="00010F11"/>
    <w:rsid w:val="00011081"/>
    <w:rsid w:val="00011EB5"/>
    <w:rsid w:val="0001280C"/>
    <w:rsid w:val="00013CAE"/>
    <w:rsid w:val="00015E49"/>
    <w:rsid w:val="00015F46"/>
    <w:rsid w:val="000162AF"/>
    <w:rsid w:val="00017581"/>
    <w:rsid w:val="0001767C"/>
    <w:rsid w:val="000176E8"/>
    <w:rsid w:val="00020583"/>
    <w:rsid w:val="00021813"/>
    <w:rsid w:val="00021DD4"/>
    <w:rsid w:val="000221FE"/>
    <w:rsid w:val="00023BE7"/>
    <w:rsid w:val="00023EC2"/>
    <w:rsid w:val="0002453B"/>
    <w:rsid w:val="00024C15"/>
    <w:rsid w:val="00024C62"/>
    <w:rsid w:val="00024CA0"/>
    <w:rsid w:val="00024F04"/>
    <w:rsid w:val="0002574C"/>
    <w:rsid w:val="000258C2"/>
    <w:rsid w:val="000274FE"/>
    <w:rsid w:val="000276C9"/>
    <w:rsid w:val="0003228A"/>
    <w:rsid w:val="000322D5"/>
    <w:rsid w:val="0003271C"/>
    <w:rsid w:val="00032ADD"/>
    <w:rsid w:val="00032FE1"/>
    <w:rsid w:val="00033154"/>
    <w:rsid w:val="000331EA"/>
    <w:rsid w:val="00033EC1"/>
    <w:rsid w:val="00034BA5"/>
    <w:rsid w:val="000358FE"/>
    <w:rsid w:val="00037267"/>
    <w:rsid w:val="000378BC"/>
    <w:rsid w:val="00037CF2"/>
    <w:rsid w:val="00037FCF"/>
    <w:rsid w:val="000415E6"/>
    <w:rsid w:val="00041BC8"/>
    <w:rsid w:val="00041CF7"/>
    <w:rsid w:val="000421B8"/>
    <w:rsid w:val="000429DF"/>
    <w:rsid w:val="00042AAD"/>
    <w:rsid w:val="000430CA"/>
    <w:rsid w:val="0004381B"/>
    <w:rsid w:val="00043ABF"/>
    <w:rsid w:val="00043F09"/>
    <w:rsid w:val="00044158"/>
    <w:rsid w:val="000445E4"/>
    <w:rsid w:val="000471B4"/>
    <w:rsid w:val="00047F2C"/>
    <w:rsid w:val="00050260"/>
    <w:rsid w:val="00050844"/>
    <w:rsid w:val="000510AB"/>
    <w:rsid w:val="000514E0"/>
    <w:rsid w:val="00053091"/>
    <w:rsid w:val="0005346A"/>
    <w:rsid w:val="000534CD"/>
    <w:rsid w:val="00053EED"/>
    <w:rsid w:val="0005448A"/>
    <w:rsid w:val="00054F1D"/>
    <w:rsid w:val="00055AF1"/>
    <w:rsid w:val="0005736C"/>
    <w:rsid w:val="000573B5"/>
    <w:rsid w:val="00060597"/>
    <w:rsid w:val="00060A2C"/>
    <w:rsid w:val="00060CB4"/>
    <w:rsid w:val="00061167"/>
    <w:rsid w:val="00062997"/>
    <w:rsid w:val="0006348B"/>
    <w:rsid w:val="00063D34"/>
    <w:rsid w:val="0006475F"/>
    <w:rsid w:val="00064AE3"/>
    <w:rsid w:val="00064AE8"/>
    <w:rsid w:val="00064FC8"/>
    <w:rsid w:val="00066524"/>
    <w:rsid w:val="000671A3"/>
    <w:rsid w:val="00067755"/>
    <w:rsid w:val="00067D13"/>
    <w:rsid w:val="000702AC"/>
    <w:rsid w:val="00070C0F"/>
    <w:rsid w:val="00070CD1"/>
    <w:rsid w:val="00071022"/>
    <w:rsid w:val="0007171B"/>
    <w:rsid w:val="000717A1"/>
    <w:rsid w:val="00071B68"/>
    <w:rsid w:val="00071E07"/>
    <w:rsid w:val="00072DE0"/>
    <w:rsid w:val="00072E3B"/>
    <w:rsid w:val="0007356D"/>
    <w:rsid w:val="0007372E"/>
    <w:rsid w:val="00073DB1"/>
    <w:rsid w:val="00073F87"/>
    <w:rsid w:val="00076397"/>
    <w:rsid w:val="000764CB"/>
    <w:rsid w:val="000765DD"/>
    <w:rsid w:val="0007678B"/>
    <w:rsid w:val="00076CC5"/>
    <w:rsid w:val="00076D5E"/>
    <w:rsid w:val="000801F4"/>
    <w:rsid w:val="00080423"/>
    <w:rsid w:val="000805EB"/>
    <w:rsid w:val="000812E8"/>
    <w:rsid w:val="0008141B"/>
    <w:rsid w:val="00081A3D"/>
    <w:rsid w:val="00081D05"/>
    <w:rsid w:val="0008226A"/>
    <w:rsid w:val="0008310F"/>
    <w:rsid w:val="00083BAF"/>
    <w:rsid w:val="000848B3"/>
    <w:rsid w:val="00084ADE"/>
    <w:rsid w:val="00084CE4"/>
    <w:rsid w:val="0008506D"/>
    <w:rsid w:val="00085AF9"/>
    <w:rsid w:val="00085F3E"/>
    <w:rsid w:val="000861D6"/>
    <w:rsid w:val="0008624A"/>
    <w:rsid w:val="000863CA"/>
    <w:rsid w:val="00086622"/>
    <w:rsid w:val="000866EC"/>
    <w:rsid w:val="000869D3"/>
    <w:rsid w:val="00087011"/>
    <w:rsid w:val="000874BC"/>
    <w:rsid w:val="00087CF7"/>
    <w:rsid w:val="00087D8D"/>
    <w:rsid w:val="00087ECA"/>
    <w:rsid w:val="0009000C"/>
    <w:rsid w:val="00090277"/>
    <w:rsid w:val="000908ED"/>
    <w:rsid w:val="0009091B"/>
    <w:rsid w:val="00090EF8"/>
    <w:rsid w:val="00091735"/>
    <w:rsid w:val="000917D5"/>
    <w:rsid w:val="000919B7"/>
    <w:rsid w:val="0009218C"/>
    <w:rsid w:val="000945EF"/>
    <w:rsid w:val="00094876"/>
    <w:rsid w:val="000951BC"/>
    <w:rsid w:val="000951F7"/>
    <w:rsid w:val="00095912"/>
    <w:rsid w:val="00095CE0"/>
    <w:rsid w:val="00096933"/>
    <w:rsid w:val="00096995"/>
    <w:rsid w:val="00096B18"/>
    <w:rsid w:val="00097230"/>
    <w:rsid w:val="000A1448"/>
    <w:rsid w:val="000A1BD6"/>
    <w:rsid w:val="000A1BFB"/>
    <w:rsid w:val="000A2ACC"/>
    <w:rsid w:val="000A3022"/>
    <w:rsid w:val="000A38DE"/>
    <w:rsid w:val="000A457E"/>
    <w:rsid w:val="000A4672"/>
    <w:rsid w:val="000A4F15"/>
    <w:rsid w:val="000A4FEF"/>
    <w:rsid w:val="000A53FD"/>
    <w:rsid w:val="000A549A"/>
    <w:rsid w:val="000A578A"/>
    <w:rsid w:val="000A72F2"/>
    <w:rsid w:val="000B0B43"/>
    <w:rsid w:val="000B0C56"/>
    <w:rsid w:val="000B2210"/>
    <w:rsid w:val="000B2490"/>
    <w:rsid w:val="000B2B57"/>
    <w:rsid w:val="000B2C8D"/>
    <w:rsid w:val="000B2F8F"/>
    <w:rsid w:val="000B36CC"/>
    <w:rsid w:val="000B3A20"/>
    <w:rsid w:val="000B3D24"/>
    <w:rsid w:val="000B3E43"/>
    <w:rsid w:val="000B417C"/>
    <w:rsid w:val="000B4365"/>
    <w:rsid w:val="000B5CC0"/>
    <w:rsid w:val="000B70BC"/>
    <w:rsid w:val="000C01F9"/>
    <w:rsid w:val="000C0871"/>
    <w:rsid w:val="000C0CA5"/>
    <w:rsid w:val="000C0F4C"/>
    <w:rsid w:val="000C0F55"/>
    <w:rsid w:val="000C127D"/>
    <w:rsid w:val="000C15BE"/>
    <w:rsid w:val="000C1723"/>
    <w:rsid w:val="000C1B20"/>
    <w:rsid w:val="000C224F"/>
    <w:rsid w:val="000C3CED"/>
    <w:rsid w:val="000C3FD9"/>
    <w:rsid w:val="000C4107"/>
    <w:rsid w:val="000C45E7"/>
    <w:rsid w:val="000C45F5"/>
    <w:rsid w:val="000C5B7D"/>
    <w:rsid w:val="000C5E98"/>
    <w:rsid w:val="000C698D"/>
    <w:rsid w:val="000C6A54"/>
    <w:rsid w:val="000C705C"/>
    <w:rsid w:val="000C7AE4"/>
    <w:rsid w:val="000D01F4"/>
    <w:rsid w:val="000D0B89"/>
    <w:rsid w:val="000D1519"/>
    <w:rsid w:val="000D3145"/>
    <w:rsid w:val="000D36D1"/>
    <w:rsid w:val="000D4AAD"/>
    <w:rsid w:val="000D52DC"/>
    <w:rsid w:val="000D6054"/>
    <w:rsid w:val="000D619B"/>
    <w:rsid w:val="000D6D89"/>
    <w:rsid w:val="000D788B"/>
    <w:rsid w:val="000E1940"/>
    <w:rsid w:val="000E34ED"/>
    <w:rsid w:val="000E4456"/>
    <w:rsid w:val="000E6184"/>
    <w:rsid w:val="000E636A"/>
    <w:rsid w:val="000E645C"/>
    <w:rsid w:val="000E67FE"/>
    <w:rsid w:val="000E7774"/>
    <w:rsid w:val="000E7BD1"/>
    <w:rsid w:val="000F0C0A"/>
    <w:rsid w:val="000F175F"/>
    <w:rsid w:val="000F17D1"/>
    <w:rsid w:val="000F22A3"/>
    <w:rsid w:val="000F2C75"/>
    <w:rsid w:val="000F3506"/>
    <w:rsid w:val="000F440F"/>
    <w:rsid w:val="000F593E"/>
    <w:rsid w:val="000F60F3"/>
    <w:rsid w:val="000F60FF"/>
    <w:rsid w:val="000F635F"/>
    <w:rsid w:val="000F6C61"/>
    <w:rsid w:val="00100349"/>
    <w:rsid w:val="00100C12"/>
    <w:rsid w:val="001013A8"/>
    <w:rsid w:val="00102C76"/>
    <w:rsid w:val="00102CC8"/>
    <w:rsid w:val="001030B5"/>
    <w:rsid w:val="0010352B"/>
    <w:rsid w:val="001049B6"/>
    <w:rsid w:val="00104DE3"/>
    <w:rsid w:val="001051C6"/>
    <w:rsid w:val="0010577B"/>
    <w:rsid w:val="00105C9C"/>
    <w:rsid w:val="001069ED"/>
    <w:rsid w:val="00106B9D"/>
    <w:rsid w:val="00106C1F"/>
    <w:rsid w:val="001072D6"/>
    <w:rsid w:val="00110BFA"/>
    <w:rsid w:val="00110D0C"/>
    <w:rsid w:val="0011127E"/>
    <w:rsid w:val="001115ED"/>
    <w:rsid w:val="001116BA"/>
    <w:rsid w:val="0011177A"/>
    <w:rsid w:val="0011179E"/>
    <w:rsid w:val="00111C71"/>
    <w:rsid w:val="001124D8"/>
    <w:rsid w:val="00112BB2"/>
    <w:rsid w:val="00113EC5"/>
    <w:rsid w:val="001141C0"/>
    <w:rsid w:val="00116E31"/>
    <w:rsid w:val="00120825"/>
    <w:rsid w:val="00120EED"/>
    <w:rsid w:val="0012104D"/>
    <w:rsid w:val="001212B4"/>
    <w:rsid w:val="0012256D"/>
    <w:rsid w:val="0012304E"/>
    <w:rsid w:val="001239C8"/>
    <w:rsid w:val="00123A56"/>
    <w:rsid w:val="00124420"/>
    <w:rsid w:val="001248EF"/>
    <w:rsid w:val="001257C7"/>
    <w:rsid w:val="00126502"/>
    <w:rsid w:val="00126AF2"/>
    <w:rsid w:val="00126DDF"/>
    <w:rsid w:val="001270BF"/>
    <w:rsid w:val="00127BAC"/>
    <w:rsid w:val="00127FF5"/>
    <w:rsid w:val="001317FF"/>
    <w:rsid w:val="00131EC2"/>
    <w:rsid w:val="001322A7"/>
    <w:rsid w:val="00132C3C"/>
    <w:rsid w:val="00132E82"/>
    <w:rsid w:val="0013374F"/>
    <w:rsid w:val="001353A2"/>
    <w:rsid w:val="00135467"/>
    <w:rsid w:val="00135C67"/>
    <w:rsid w:val="001364D3"/>
    <w:rsid w:val="001366C4"/>
    <w:rsid w:val="0013686A"/>
    <w:rsid w:val="00136B36"/>
    <w:rsid w:val="0013718B"/>
    <w:rsid w:val="001374D4"/>
    <w:rsid w:val="0013767B"/>
    <w:rsid w:val="00137BB5"/>
    <w:rsid w:val="00137BB9"/>
    <w:rsid w:val="00137D50"/>
    <w:rsid w:val="00140036"/>
    <w:rsid w:val="00140038"/>
    <w:rsid w:val="00140817"/>
    <w:rsid w:val="00142280"/>
    <w:rsid w:val="0014241E"/>
    <w:rsid w:val="001424C6"/>
    <w:rsid w:val="00142A56"/>
    <w:rsid w:val="001432A7"/>
    <w:rsid w:val="00143BE5"/>
    <w:rsid w:val="0014439A"/>
    <w:rsid w:val="00144946"/>
    <w:rsid w:val="00144AAD"/>
    <w:rsid w:val="00144DF5"/>
    <w:rsid w:val="001455C7"/>
    <w:rsid w:val="00145A97"/>
    <w:rsid w:val="00145D71"/>
    <w:rsid w:val="00146485"/>
    <w:rsid w:val="00146A28"/>
    <w:rsid w:val="00146E04"/>
    <w:rsid w:val="00147492"/>
    <w:rsid w:val="00147D41"/>
    <w:rsid w:val="0015080E"/>
    <w:rsid w:val="00150AD6"/>
    <w:rsid w:val="0015173F"/>
    <w:rsid w:val="00151B23"/>
    <w:rsid w:val="001520FB"/>
    <w:rsid w:val="00152B88"/>
    <w:rsid w:val="001535AE"/>
    <w:rsid w:val="00153B40"/>
    <w:rsid w:val="00153BCF"/>
    <w:rsid w:val="00153C23"/>
    <w:rsid w:val="00154ADA"/>
    <w:rsid w:val="00154B08"/>
    <w:rsid w:val="00154E1B"/>
    <w:rsid w:val="0015531A"/>
    <w:rsid w:val="00156E5B"/>
    <w:rsid w:val="00157418"/>
    <w:rsid w:val="00157B5A"/>
    <w:rsid w:val="0016050B"/>
    <w:rsid w:val="001610A0"/>
    <w:rsid w:val="0016380C"/>
    <w:rsid w:val="00163816"/>
    <w:rsid w:val="00163B27"/>
    <w:rsid w:val="00163E30"/>
    <w:rsid w:val="0016425E"/>
    <w:rsid w:val="00164BF7"/>
    <w:rsid w:val="00165317"/>
    <w:rsid w:val="001657AB"/>
    <w:rsid w:val="001674E6"/>
    <w:rsid w:val="0017073D"/>
    <w:rsid w:val="00170D38"/>
    <w:rsid w:val="00171484"/>
    <w:rsid w:val="00171BAD"/>
    <w:rsid w:val="00171F2C"/>
    <w:rsid w:val="0017291A"/>
    <w:rsid w:val="0017351B"/>
    <w:rsid w:val="00173AF1"/>
    <w:rsid w:val="001744B4"/>
    <w:rsid w:val="001751EF"/>
    <w:rsid w:val="001756A1"/>
    <w:rsid w:val="001761EE"/>
    <w:rsid w:val="0017675F"/>
    <w:rsid w:val="00176EAA"/>
    <w:rsid w:val="00177030"/>
    <w:rsid w:val="0017725A"/>
    <w:rsid w:val="00177C4B"/>
    <w:rsid w:val="00177F6A"/>
    <w:rsid w:val="001802CA"/>
    <w:rsid w:val="00182A38"/>
    <w:rsid w:val="0018325A"/>
    <w:rsid w:val="00183D7A"/>
    <w:rsid w:val="00184CAE"/>
    <w:rsid w:val="00185B0C"/>
    <w:rsid w:val="00186199"/>
    <w:rsid w:val="001865D6"/>
    <w:rsid w:val="00186F7A"/>
    <w:rsid w:val="0018796A"/>
    <w:rsid w:val="0019003B"/>
    <w:rsid w:val="00190AE2"/>
    <w:rsid w:val="00190E27"/>
    <w:rsid w:val="00191444"/>
    <w:rsid w:val="001928F7"/>
    <w:rsid w:val="00193182"/>
    <w:rsid w:val="00193575"/>
    <w:rsid w:val="0019389D"/>
    <w:rsid w:val="00193B62"/>
    <w:rsid w:val="00194537"/>
    <w:rsid w:val="00194C7B"/>
    <w:rsid w:val="001952DB"/>
    <w:rsid w:val="0019563C"/>
    <w:rsid w:val="001956CA"/>
    <w:rsid w:val="00195B79"/>
    <w:rsid w:val="00196B79"/>
    <w:rsid w:val="00196DF9"/>
    <w:rsid w:val="001970FC"/>
    <w:rsid w:val="001A088E"/>
    <w:rsid w:val="001A0F4A"/>
    <w:rsid w:val="001A109C"/>
    <w:rsid w:val="001A1B13"/>
    <w:rsid w:val="001A1C31"/>
    <w:rsid w:val="001A1D38"/>
    <w:rsid w:val="001A21A9"/>
    <w:rsid w:val="001A2A97"/>
    <w:rsid w:val="001A364F"/>
    <w:rsid w:val="001A39B7"/>
    <w:rsid w:val="001A42FA"/>
    <w:rsid w:val="001A4AEC"/>
    <w:rsid w:val="001A59D8"/>
    <w:rsid w:val="001A5FA6"/>
    <w:rsid w:val="001A668F"/>
    <w:rsid w:val="001A6F01"/>
    <w:rsid w:val="001A71CC"/>
    <w:rsid w:val="001A7F30"/>
    <w:rsid w:val="001B2332"/>
    <w:rsid w:val="001B2F0C"/>
    <w:rsid w:val="001B30CA"/>
    <w:rsid w:val="001B3513"/>
    <w:rsid w:val="001B353A"/>
    <w:rsid w:val="001B3D3E"/>
    <w:rsid w:val="001B50CD"/>
    <w:rsid w:val="001B52FE"/>
    <w:rsid w:val="001B7890"/>
    <w:rsid w:val="001C005A"/>
    <w:rsid w:val="001C00CF"/>
    <w:rsid w:val="001C0806"/>
    <w:rsid w:val="001C1B91"/>
    <w:rsid w:val="001C239C"/>
    <w:rsid w:val="001C2813"/>
    <w:rsid w:val="001C2F9C"/>
    <w:rsid w:val="001C330E"/>
    <w:rsid w:val="001C3399"/>
    <w:rsid w:val="001C37F6"/>
    <w:rsid w:val="001C4D9F"/>
    <w:rsid w:val="001C5289"/>
    <w:rsid w:val="001C5CB3"/>
    <w:rsid w:val="001C6288"/>
    <w:rsid w:val="001C647F"/>
    <w:rsid w:val="001C67A1"/>
    <w:rsid w:val="001C7021"/>
    <w:rsid w:val="001C7C6D"/>
    <w:rsid w:val="001D0538"/>
    <w:rsid w:val="001D0634"/>
    <w:rsid w:val="001D0F6A"/>
    <w:rsid w:val="001D1B40"/>
    <w:rsid w:val="001D21BC"/>
    <w:rsid w:val="001D2E47"/>
    <w:rsid w:val="001D2FA5"/>
    <w:rsid w:val="001D35E0"/>
    <w:rsid w:val="001D4934"/>
    <w:rsid w:val="001D5045"/>
    <w:rsid w:val="001D5494"/>
    <w:rsid w:val="001D5A44"/>
    <w:rsid w:val="001D5E64"/>
    <w:rsid w:val="001D6213"/>
    <w:rsid w:val="001D724B"/>
    <w:rsid w:val="001D76DE"/>
    <w:rsid w:val="001E0231"/>
    <w:rsid w:val="001E03BE"/>
    <w:rsid w:val="001E0AAA"/>
    <w:rsid w:val="001E0F28"/>
    <w:rsid w:val="001E11D3"/>
    <w:rsid w:val="001E15F1"/>
    <w:rsid w:val="001E1C4F"/>
    <w:rsid w:val="001E287E"/>
    <w:rsid w:val="001E2A6A"/>
    <w:rsid w:val="001E3DC2"/>
    <w:rsid w:val="001E56FF"/>
    <w:rsid w:val="001E5C6B"/>
    <w:rsid w:val="001E6C80"/>
    <w:rsid w:val="001E6EBF"/>
    <w:rsid w:val="001E7681"/>
    <w:rsid w:val="001F0307"/>
    <w:rsid w:val="001F03E1"/>
    <w:rsid w:val="001F1C67"/>
    <w:rsid w:val="001F221F"/>
    <w:rsid w:val="001F2E41"/>
    <w:rsid w:val="001F3CC6"/>
    <w:rsid w:val="001F3F50"/>
    <w:rsid w:val="001F4530"/>
    <w:rsid w:val="001F501A"/>
    <w:rsid w:val="001F5CE2"/>
    <w:rsid w:val="001F5DBA"/>
    <w:rsid w:val="001F5DE3"/>
    <w:rsid w:val="001F5F74"/>
    <w:rsid w:val="002010DE"/>
    <w:rsid w:val="00201843"/>
    <w:rsid w:val="00201962"/>
    <w:rsid w:val="00201B58"/>
    <w:rsid w:val="00202968"/>
    <w:rsid w:val="00202C32"/>
    <w:rsid w:val="002032D2"/>
    <w:rsid w:val="00203973"/>
    <w:rsid w:val="00203AEF"/>
    <w:rsid w:val="00203AFC"/>
    <w:rsid w:val="00203E53"/>
    <w:rsid w:val="00204B88"/>
    <w:rsid w:val="00211A26"/>
    <w:rsid w:val="00212249"/>
    <w:rsid w:val="002125F7"/>
    <w:rsid w:val="00212DEF"/>
    <w:rsid w:val="0021397C"/>
    <w:rsid w:val="00214463"/>
    <w:rsid w:val="00214756"/>
    <w:rsid w:val="00215CF2"/>
    <w:rsid w:val="00215D9F"/>
    <w:rsid w:val="00216310"/>
    <w:rsid w:val="00216BCE"/>
    <w:rsid w:val="002174FA"/>
    <w:rsid w:val="00217867"/>
    <w:rsid w:val="00220542"/>
    <w:rsid w:val="00220D7F"/>
    <w:rsid w:val="002210EB"/>
    <w:rsid w:val="00221174"/>
    <w:rsid w:val="0022199B"/>
    <w:rsid w:val="00222990"/>
    <w:rsid w:val="00222DE3"/>
    <w:rsid w:val="002233F0"/>
    <w:rsid w:val="00223DFB"/>
    <w:rsid w:val="0022498A"/>
    <w:rsid w:val="00225756"/>
    <w:rsid w:val="00225ADC"/>
    <w:rsid w:val="00225C0E"/>
    <w:rsid w:val="00225CEB"/>
    <w:rsid w:val="00225E25"/>
    <w:rsid w:val="0022692D"/>
    <w:rsid w:val="00227BC1"/>
    <w:rsid w:val="00227D61"/>
    <w:rsid w:val="002309FB"/>
    <w:rsid w:val="002313DE"/>
    <w:rsid w:val="002318F3"/>
    <w:rsid w:val="00232A33"/>
    <w:rsid w:val="00232C2D"/>
    <w:rsid w:val="00232C72"/>
    <w:rsid w:val="0023323F"/>
    <w:rsid w:val="00233A07"/>
    <w:rsid w:val="00234202"/>
    <w:rsid w:val="002359EB"/>
    <w:rsid w:val="002363AB"/>
    <w:rsid w:val="00236933"/>
    <w:rsid w:val="0023727B"/>
    <w:rsid w:val="00237579"/>
    <w:rsid w:val="00237675"/>
    <w:rsid w:val="0023771C"/>
    <w:rsid w:val="00237C6D"/>
    <w:rsid w:val="0024096B"/>
    <w:rsid w:val="00241582"/>
    <w:rsid w:val="00241B45"/>
    <w:rsid w:val="002424D7"/>
    <w:rsid w:val="0024260D"/>
    <w:rsid w:val="00242657"/>
    <w:rsid w:val="002428F6"/>
    <w:rsid w:val="00242FA2"/>
    <w:rsid w:val="002443FF"/>
    <w:rsid w:val="00245012"/>
    <w:rsid w:val="0024504E"/>
    <w:rsid w:val="00245761"/>
    <w:rsid w:val="0024651F"/>
    <w:rsid w:val="00247729"/>
    <w:rsid w:val="0025158D"/>
    <w:rsid w:val="00251C7E"/>
    <w:rsid w:val="00252697"/>
    <w:rsid w:val="0025281A"/>
    <w:rsid w:val="00253D3C"/>
    <w:rsid w:val="002541AE"/>
    <w:rsid w:val="002544D7"/>
    <w:rsid w:val="00254679"/>
    <w:rsid w:val="00255292"/>
    <w:rsid w:val="00255F46"/>
    <w:rsid w:val="00257578"/>
    <w:rsid w:val="00260200"/>
    <w:rsid w:val="00260867"/>
    <w:rsid w:val="00260B06"/>
    <w:rsid w:val="0026117C"/>
    <w:rsid w:val="00261D93"/>
    <w:rsid w:val="00262029"/>
    <w:rsid w:val="002620BD"/>
    <w:rsid w:val="00262117"/>
    <w:rsid w:val="00263BBD"/>
    <w:rsid w:val="002648D8"/>
    <w:rsid w:val="002654A8"/>
    <w:rsid w:val="00265AFB"/>
    <w:rsid w:val="00267EE3"/>
    <w:rsid w:val="00267F59"/>
    <w:rsid w:val="002700E9"/>
    <w:rsid w:val="00270CE9"/>
    <w:rsid w:val="00270E19"/>
    <w:rsid w:val="0027235A"/>
    <w:rsid w:val="00273F86"/>
    <w:rsid w:val="002741BE"/>
    <w:rsid w:val="00274E00"/>
    <w:rsid w:val="002751AF"/>
    <w:rsid w:val="002752EA"/>
    <w:rsid w:val="00275EAD"/>
    <w:rsid w:val="00276B03"/>
    <w:rsid w:val="002773FB"/>
    <w:rsid w:val="002774F0"/>
    <w:rsid w:val="002774F3"/>
    <w:rsid w:val="0027759A"/>
    <w:rsid w:val="00277722"/>
    <w:rsid w:val="002801CE"/>
    <w:rsid w:val="00281155"/>
    <w:rsid w:val="002813C5"/>
    <w:rsid w:val="00281C90"/>
    <w:rsid w:val="00282C23"/>
    <w:rsid w:val="0028315D"/>
    <w:rsid w:val="00283885"/>
    <w:rsid w:val="002839A4"/>
    <w:rsid w:val="0028459B"/>
    <w:rsid w:val="00284C5F"/>
    <w:rsid w:val="0028507E"/>
    <w:rsid w:val="00285242"/>
    <w:rsid w:val="00286183"/>
    <w:rsid w:val="002873F0"/>
    <w:rsid w:val="00287762"/>
    <w:rsid w:val="002900DF"/>
    <w:rsid w:val="00290793"/>
    <w:rsid w:val="0029134E"/>
    <w:rsid w:val="002916E3"/>
    <w:rsid w:val="00291A70"/>
    <w:rsid w:val="00291F6F"/>
    <w:rsid w:val="0029379A"/>
    <w:rsid w:val="00293C97"/>
    <w:rsid w:val="002942CB"/>
    <w:rsid w:val="00294D8F"/>
    <w:rsid w:val="0029523C"/>
    <w:rsid w:val="00295C04"/>
    <w:rsid w:val="00295D5A"/>
    <w:rsid w:val="00295E0F"/>
    <w:rsid w:val="002962F1"/>
    <w:rsid w:val="002964F9"/>
    <w:rsid w:val="0029690F"/>
    <w:rsid w:val="002969CC"/>
    <w:rsid w:val="00297BC2"/>
    <w:rsid w:val="00297D85"/>
    <w:rsid w:val="002A07F4"/>
    <w:rsid w:val="002A090A"/>
    <w:rsid w:val="002A0B47"/>
    <w:rsid w:val="002A0F1F"/>
    <w:rsid w:val="002A1220"/>
    <w:rsid w:val="002A1381"/>
    <w:rsid w:val="002A1F14"/>
    <w:rsid w:val="002A2678"/>
    <w:rsid w:val="002A2E01"/>
    <w:rsid w:val="002A32E5"/>
    <w:rsid w:val="002A398F"/>
    <w:rsid w:val="002A3DFD"/>
    <w:rsid w:val="002A46A7"/>
    <w:rsid w:val="002A5808"/>
    <w:rsid w:val="002A5C6B"/>
    <w:rsid w:val="002A5D31"/>
    <w:rsid w:val="002A6224"/>
    <w:rsid w:val="002A714F"/>
    <w:rsid w:val="002A75D7"/>
    <w:rsid w:val="002B047C"/>
    <w:rsid w:val="002B09C0"/>
    <w:rsid w:val="002B0B99"/>
    <w:rsid w:val="002B1851"/>
    <w:rsid w:val="002B27FF"/>
    <w:rsid w:val="002B2F4E"/>
    <w:rsid w:val="002B4982"/>
    <w:rsid w:val="002B5C8E"/>
    <w:rsid w:val="002B6793"/>
    <w:rsid w:val="002B6DA0"/>
    <w:rsid w:val="002B780B"/>
    <w:rsid w:val="002C0DD7"/>
    <w:rsid w:val="002C0FD4"/>
    <w:rsid w:val="002C1260"/>
    <w:rsid w:val="002C12E4"/>
    <w:rsid w:val="002C14E7"/>
    <w:rsid w:val="002C1726"/>
    <w:rsid w:val="002C21A6"/>
    <w:rsid w:val="002C26D5"/>
    <w:rsid w:val="002C3561"/>
    <w:rsid w:val="002C48C4"/>
    <w:rsid w:val="002C4E82"/>
    <w:rsid w:val="002C5777"/>
    <w:rsid w:val="002C5889"/>
    <w:rsid w:val="002C65FA"/>
    <w:rsid w:val="002C661D"/>
    <w:rsid w:val="002C7C89"/>
    <w:rsid w:val="002D0054"/>
    <w:rsid w:val="002D090E"/>
    <w:rsid w:val="002D0ADB"/>
    <w:rsid w:val="002D1A0F"/>
    <w:rsid w:val="002D1ACC"/>
    <w:rsid w:val="002D22BF"/>
    <w:rsid w:val="002D237C"/>
    <w:rsid w:val="002D287E"/>
    <w:rsid w:val="002D32E3"/>
    <w:rsid w:val="002D33F1"/>
    <w:rsid w:val="002D353D"/>
    <w:rsid w:val="002D4E8D"/>
    <w:rsid w:val="002D52AD"/>
    <w:rsid w:val="002D58D8"/>
    <w:rsid w:val="002D5EB1"/>
    <w:rsid w:val="002D693A"/>
    <w:rsid w:val="002D6B79"/>
    <w:rsid w:val="002D6B7A"/>
    <w:rsid w:val="002D758D"/>
    <w:rsid w:val="002E0394"/>
    <w:rsid w:val="002E0644"/>
    <w:rsid w:val="002E0FEB"/>
    <w:rsid w:val="002E171B"/>
    <w:rsid w:val="002E2E3E"/>
    <w:rsid w:val="002E319D"/>
    <w:rsid w:val="002E4AD5"/>
    <w:rsid w:val="002E4C2D"/>
    <w:rsid w:val="002E5491"/>
    <w:rsid w:val="002E55C9"/>
    <w:rsid w:val="002E74C6"/>
    <w:rsid w:val="002F0F79"/>
    <w:rsid w:val="002F1C9E"/>
    <w:rsid w:val="002F1EB2"/>
    <w:rsid w:val="002F25C3"/>
    <w:rsid w:val="002F280E"/>
    <w:rsid w:val="002F2CBB"/>
    <w:rsid w:val="002F3470"/>
    <w:rsid w:val="002F3588"/>
    <w:rsid w:val="002F3709"/>
    <w:rsid w:val="002F3A6C"/>
    <w:rsid w:val="002F4296"/>
    <w:rsid w:val="002F5777"/>
    <w:rsid w:val="002F60EA"/>
    <w:rsid w:val="002F680E"/>
    <w:rsid w:val="002F72F2"/>
    <w:rsid w:val="00300951"/>
    <w:rsid w:val="00300E8A"/>
    <w:rsid w:val="003023C9"/>
    <w:rsid w:val="00302CA8"/>
    <w:rsid w:val="00302DE9"/>
    <w:rsid w:val="00304860"/>
    <w:rsid w:val="00304E23"/>
    <w:rsid w:val="00305084"/>
    <w:rsid w:val="00306408"/>
    <w:rsid w:val="00307249"/>
    <w:rsid w:val="00311779"/>
    <w:rsid w:val="00312C47"/>
    <w:rsid w:val="00312DAE"/>
    <w:rsid w:val="003132DB"/>
    <w:rsid w:val="00313336"/>
    <w:rsid w:val="003137CA"/>
    <w:rsid w:val="00313918"/>
    <w:rsid w:val="00313927"/>
    <w:rsid w:val="00315263"/>
    <w:rsid w:val="003153CB"/>
    <w:rsid w:val="003166DE"/>
    <w:rsid w:val="003171A3"/>
    <w:rsid w:val="00317226"/>
    <w:rsid w:val="003201F9"/>
    <w:rsid w:val="003204E9"/>
    <w:rsid w:val="0032050A"/>
    <w:rsid w:val="00320AF3"/>
    <w:rsid w:val="00320B7B"/>
    <w:rsid w:val="00321196"/>
    <w:rsid w:val="0032160D"/>
    <w:rsid w:val="00321618"/>
    <w:rsid w:val="00321E8C"/>
    <w:rsid w:val="00321F3A"/>
    <w:rsid w:val="00321FDA"/>
    <w:rsid w:val="00322318"/>
    <w:rsid w:val="003226DF"/>
    <w:rsid w:val="00322A86"/>
    <w:rsid w:val="00323041"/>
    <w:rsid w:val="003238F3"/>
    <w:rsid w:val="00323AE8"/>
    <w:rsid w:val="00323B32"/>
    <w:rsid w:val="00324548"/>
    <w:rsid w:val="00324E1A"/>
    <w:rsid w:val="003251F4"/>
    <w:rsid w:val="00325408"/>
    <w:rsid w:val="00326927"/>
    <w:rsid w:val="003270A7"/>
    <w:rsid w:val="00330171"/>
    <w:rsid w:val="003303E3"/>
    <w:rsid w:val="00330651"/>
    <w:rsid w:val="0033102C"/>
    <w:rsid w:val="00331178"/>
    <w:rsid w:val="00331A88"/>
    <w:rsid w:val="003329EA"/>
    <w:rsid w:val="00332C6E"/>
    <w:rsid w:val="00332D73"/>
    <w:rsid w:val="003338BE"/>
    <w:rsid w:val="00334AF9"/>
    <w:rsid w:val="00335D43"/>
    <w:rsid w:val="00336AA2"/>
    <w:rsid w:val="00337B1B"/>
    <w:rsid w:val="00340436"/>
    <w:rsid w:val="003405DA"/>
    <w:rsid w:val="003407A5"/>
    <w:rsid w:val="0034096C"/>
    <w:rsid w:val="003410A1"/>
    <w:rsid w:val="00341188"/>
    <w:rsid w:val="0034147B"/>
    <w:rsid w:val="003419A8"/>
    <w:rsid w:val="003424CB"/>
    <w:rsid w:val="003439DB"/>
    <w:rsid w:val="00343B8F"/>
    <w:rsid w:val="00344A2F"/>
    <w:rsid w:val="00344CF8"/>
    <w:rsid w:val="00344FBE"/>
    <w:rsid w:val="003454B9"/>
    <w:rsid w:val="003455AF"/>
    <w:rsid w:val="00346759"/>
    <w:rsid w:val="00347AA6"/>
    <w:rsid w:val="00347BC2"/>
    <w:rsid w:val="00350238"/>
    <w:rsid w:val="003502AD"/>
    <w:rsid w:val="0035070D"/>
    <w:rsid w:val="0035109C"/>
    <w:rsid w:val="00351752"/>
    <w:rsid w:val="00351F0A"/>
    <w:rsid w:val="00352648"/>
    <w:rsid w:val="00353AC6"/>
    <w:rsid w:val="003542B7"/>
    <w:rsid w:val="0035432B"/>
    <w:rsid w:val="00354765"/>
    <w:rsid w:val="00354E10"/>
    <w:rsid w:val="00355C23"/>
    <w:rsid w:val="00357B15"/>
    <w:rsid w:val="00357BB3"/>
    <w:rsid w:val="003602EA"/>
    <w:rsid w:val="00360E61"/>
    <w:rsid w:val="00360F81"/>
    <w:rsid w:val="00361812"/>
    <w:rsid w:val="00361E7E"/>
    <w:rsid w:val="003633B0"/>
    <w:rsid w:val="00364342"/>
    <w:rsid w:val="003648F2"/>
    <w:rsid w:val="00364FA1"/>
    <w:rsid w:val="00365041"/>
    <w:rsid w:val="00366B02"/>
    <w:rsid w:val="003671F5"/>
    <w:rsid w:val="00367705"/>
    <w:rsid w:val="00370AA4"/>
    <w:rsid w:val="003711F2"/>
    <w:rsid w:val="003717FC"/>
    <w:rsid w:val="00371F5D"/>
    <w:rsid w:val="00371FF4"/>
    <w:rsid w:val="003723C2"/>
    <w:rsid w:val="0037275D"/>
    <w:rsid w:val="00372797"/>
    <w:rsid w:val="00373677"/>
    <w:rsid w:val="0037470E"/>
    <w:rsid w:val="00375CC4"/>
    <w:rsid w:val="00375E02"/>
    <w:rsid w:val="00376103"/>
    <w:rsid w:val="003767B3"/>
    <w:rsid w:val="00376B49"/>
    <w:rsid w:val="00376FC5"/>
    <w:rsid w:val="00377520"/>
    <w:rsid w:val="00380D36"/>
    <w:rsid w:val="00380F49"/>
    <w:rsid w:val="0038155F"/>
    <w:rsid w:val="003820F1"/>
    <w:rsid w:val="003822D3"/>
    <w:rsid w:val="0038480C"/>
    <w:rsid w:val="00384DC9"/>
    <w:rsid w:val="0038566E"/>
    <w:rsid w:val="00385AF5"/>
    <w:rsid w:val="00385C66"/>
    <w:rsid w:val="00386630"/>
    <w:rsid w:val="00386A6C"/>
    <w:rsid w:val="00387876"/>
    <w:rsid w:val="00390283"/>
    <w:rsid w:val="00390379"/>
    <w:rsid w:val="00390741"/>
    <w:rsid w:val="00390953"/>
    <w:rsid w:val="003909FB"/>
    <w:rsid w:val="00390B25"/>
    <w:rsid w:val="00390DD9"/>
    <w:rsid w:val="003911A9"/>
    <w:rsid w:val="00392958"/>
    <w:rsid w:val="00392AE5"/>
    <w:rsid w:val="00395A8A"/>
    <w:rsid w:val="00395CAA"/>
    <w:rsid w:val="00396588"/>
    <w:rsid w:val="00396863"/>
    <w:rsid w:val="00396C77"/>
    <w:rsid w:val="00397156"/>
    <w:rsid w:val="003971DB"/>
    <w:rsid w:val="00397960"/>
    <w:rsid w:val="003A035E"/>
    <w:rsid w:val="003A0663"/>
    <w:rsid w:val="003A0E36"/>
    <w:rsid w:val="003A1FE0"/>
    <w:rsid w:val="003A3BC4"/>
    <w:rsid w:val="003A458A"/>
    <w:rsid w:val="003A4FE2"/>
    <w:rsid w:val="003A551D"/>
    <w:rsid w:val="003A6285"/>
    <w:rsid w:val="003A7E6F"/>
    <w:rsid w:val="003B05F2"/>
    <w:rsid w:val="003B16F8"/>
    <w:rsid w:val="003B20FE"/>
    <w:rsid w:val="003B2F13"/>
    <w:rsid w:val="003B3353"/>
    <w:rsid w:val="003B405E"/>
    <w:rsid w:val="003B4712"/>
    <w:rsid w:val="003B47EB"/>
    <w:rsid w:val="003B48BA"/>
    <w:rsid w:val="003B57D3"/>
    <w:rsid w:val="003B59CA"/>
    <w:rsid w:val="003B6067"/>
    <w:rsid w:val="003B66ED"/>
    <w:rsid w:val="003C0892"/>
    <w:rsid w:val="003C08E3"/>
    <w:rsid w:val="003C09B5"/>
    <w:rsid w:val="003C0E3C"/>
    <w:rsid w:val="003C0F62"/>
    <w:rsid w:val="003C1176"/>
    <w:rsid w:val="003C1423"/>
    <w:rsid w:val="003C1D9A"/>
    <w:rsid w:val="003C1E61"/>
    <w:rsid w:val="003C1F58"/>
    <w:rsid w:val="003C48B1"/>
    <w:rsid w:val="003C5189"/>
    <w:rsid w:val="003C57A7"/>
    <w:rsid w:val="003C5B73"/>
    <w:rsid w:val="003C5C2B"/>
    <w:rsid w:val="003C652C"/>
    <w:rsid w:val="003C6943"/>
    <w:rsid w:val="003C6BD2"/>
    <w:rsid w:val="003C7294"/>
    <w:rsid w:val="003C792F"/>
    <w:rsid w:val="003C7ABD"/>
    <w:rsid w:val="003C7C3D"/>
    <w:rsid w:val="003D08F8"/>
    <w:rsid w:val="003D124B"/>
    <w:rsid w:val="003D18F3"/>
    <w:rsid w:val="003D2CC1"/>
    <w:rsid w:val="003D2CEF"/>
    <w:rsid w:val="003D4618"/>
    <w:rsid w:val="003D4B96"/>
    <w:rsid w:val="003D4FFC"/>
    <w:rsid w:val="003D51ED"/>
    <w:rsid w:val="003D569B"/>
    <w:rsid w:val="003D5E86"/>
    <w:rsid w:val="003D67C3"/>
    <w:rsid w:val="003D72E7"/>
    <w:rsid w:val="003D787C"/>
    <w:rsid w:val="003D78B5"/>
    <w:rsid w:val="003E099F"/>
    <w:rsid w:val="003E19FF"/>
    <w:rsid w:val="003E21B0"/>
    <w:rsid w:val="003E244F"/>
    <w:rsid w:val="003E2C80"/>
    <w:rsid w:val="003E3084"/>
    <w:rsid w:val="003E37AE"/>
    <w:rsid w:val="003E5165"/>
    <w:rsid w:val="003E598A"/>
    <w:rsid w:val="003E5CC8"/>
    <w:rsid w:val="003E62A6"/>
    <w:rsid w:val="003E695F"/>
    <w:rsid w:val="003E6C9B"/>
    <w:rsid w:val="003E6D39"/>
    <w:rsid w:val="003E6E89"/>
    <w:rsid w:val="003E709C"/>
    <w:rsid w:val="003E712E"/>
    <w:rsid w:val="003E726D"/>
    <w:rsid w:val="003E7B89"/>
    <w:rsid w:val="003F0B30"/>
    <w:rsid w:val="003F0FA3"/>
    <w:rsid w:val="003F276B"/>
    <w:rsid w:val="003F3163"/>
    <w:rsid w:val="003F4241"/>
    <w:rsid w:val="003F4B8A"/>
    <w:rsid w:val="003F4CF1"/>
    <w:rsid w:val="003F62BB"/>
    <w:rsid w:val="003F6F2B"/>
    <w:rsid w:val="003F6FEC"/>
    <w:rsid w:val="003F732D"/>
    <w:rsid w:val="003F7C45"/>
    <w:rsid w:val="00400241"/>
    <w:rsid w:val="0040132C"/>
    <w:rsid w:val="004019B7"/>
    <w:rsid w:val="0040231A"/>
    <w:rsid w:val="00402525"/>
    <w:rsid w:val="0040486F"/>
    <w:rsid w:val="004049BD"/>
    <w:rsid w:val="00404EB5"/>
    <w:rsid w:val="00405085"/>
    <w:rsid w:val="00405D28"/>
    <w:rsid w:val="004066FC"/>
    <w:rsid w:val="00406839"/>
    <w:rsid w:val="00406AD9"/>
    <w:rsid w:val="00407481"/>
    <w:rsid w:val="00407C10"/>
    <w:rsid w:val="00407E90"/>
    <w:rsid w:val="004113B4"/>
    <w:rsid w:val="00413323"/>
    <w:rsid w:val="00413513"/>
    <w:rsid w:val="00413BAE"/>
    <w:rsid w:val="00414503"/>
    <w:rsid w:val="00414827"/>
    <w:rsid w:val="004153B3"/>
    <w:rsid w:val="00415772"/>
    <w:rsid w:val="00415D8B"/>
    <w:rsid w:val="004163FD"/>
    <w:rsid w:val="0041683D"/>
    <w:rsid w:val="00416C10"/>
    <w:rsid w:val="0041734F"/>
    <w:rsid w:val="00417976"/>
    <w:rsid w:val="00417A0E"/>
    <w:rsid w:val="0042053A"/>
    <w:rsid w:val="004213D6"/>
    <w:rsid w:val="00421C75"/>
    <w:rsid w:val="00422440"/>
    <w:rsid w:val="00422916"/>
    <w:rsid w:val="00423BA3"/>
    <w:rsid w:val="00423F84"/>
    <w:rsid w:val="00424213"/>
    <w:rsid w:val="00424EF3"/>
    <w:rsid w:val="004267DB"/>
    <w:rsid w:val="004268BB"/>
    <w:rsid w:val="00426A4B"/>
    <w:rsid w:val="00430724"/>
    <w:rsid w:val="00430DB2"/>
    <w:rsid w:val="00431047"/>
    <w:rsid w:val="00431B86"/>
    <w:rsid w:val="004339AD"/>
    <w:rsid w:val="00433EED"/>
    <w:rsid w:val="00434353"/>
    <w:rsid w:val="00435941"/>
    <w:rsid w:val="00437C96"/>
    <w:rsid w:val="004408EC"/>
    <w:rsid w:val="004416A4"/>
    <w:rsid w:val="00441896"/>
    <w:rsid w:val="00441E6A"/>
    <w:rsid w:val="00442091"/>
    <w:rsid w:val="00442AEE"/>
    <w:rsid w:val="00443C00"/>
    <w:rsid w:val="00443C8F"/>
    <w:rsid w:val="00444C60"/>
    <w:rsid w:val="00444E35"/>
    <w:rsid w:val="0044502D"/>
    <w:rsid w:val="00445F6B"/>
    <w:rsid w:val="00447CEF"/>
    <w:rsid w:val="00447E28"/>
    <w:rsid w:val="00450BA9"/>
    <w:rsid w:val="00452481"/>
    <w:rsid w:val="004528FA"/>
    <w:rsid w:val="00453042"/>
    <w:rsid w:val="00453908"/>
    <w:rsid w:val="00453DC8"/>
    <w:rsid w:val="00455165"/>
    <w:rsid w:val="00457058"/>
    <w:rsid w:val="00457804"/>
    <w:rsid w:val="00460672"/>
    <w:rsid w:val="0046097E"/>
    <w:rsid w:val="00460AEF"/>
    <w:rsid w:val="00460C52"/>
    <w:rsid w:val="00460FCA"/>
    <w:rsid w:val="00462279"/>
    <w:rsid w:val="00462DCC"/>
    <w:rsid w:val="004646BF"/>
    <w:rsid w:val="00464744"/>
    <w:rsid w:val="00464D92"/>
    <w:rsid w:val="004665E3"/>
    <w:rsid w:val="004667BA"/>
    <w:rsid w:val="0046760F"/>
    <w:rsid w:val="0047237D"/>
    <w:rsid w:val="00472561"/>
    <w:rsid w:val="004731F1"/>
    <w:rsid w:val="00473EB5"/>
    <w:rsid w:val="0047456B"/>
    <w:rsid w:val="00475251"/>
    <w:rsid w:val="00475260"/>
    <w:rsid w:val="0047531F"/>
    <w:rsid w:val="0047582A"/>
    <w:rsid w:val="00476CBB"/>
    <w:rsid w:val="00477366"/>
    <w:rsid w:val="00477400"/>
    <w:rsid w:val="00477842"/>
    <w:rsid w:val="00480B1D"/>
    <w:rsid w:val="00480BC8"/>
    <w:rsid w:val="00481265"/>
    <w:rsid w:val="004814BF"/>
    <w:rsid w:val="00481742"/>
    <w:rsid w:val="00481B32"/>
    <w:rsid w:val="00482649"/>
    <w:rsid w:val="00483630"/>
    <w:rsid w:val="004836EA"/>
    <w:rsid w:val="00483ECB"/>
    <w:rsid w:val="00483F72"/>
    <w:rsid w:val="004843FD"/>
    <w:rsid w:val="00485215"/>
    <w:rsid w:val="00485340"/>
    <w:rsid w:val="0048587E"/>
    <w:rsid w:val="0048799A"/>
    <w:rsid w:val="00487C2B"/>
    <w:rsid w:val="004900FF"/>
    <w:rsid w:val="00490A01"/>
    <w:rsid w:val="0049125B"/>
    <w:rsid w:val="00491C58"/>
    <w:rsid w:val="00491FAB"/>
    <w:rsid w:val="00492081"/>
    <w:rsid w:val="0049227D"/>
    <w:rsid w:val="0049277B"/>
    <w:rsid w:val="0049297D"/>
    <w:rsid w:val="004929F2"/>
    <w:rsid w:val="00492F5E"/>
    <w:rsid w:val="00493D58"/>
    <w:rsid w:val="004946F2"/>
    <w:rsid w:val="00495A03"/>
    <w:rsid w:val="00495E28"/>
    <w:rsid w:val="00496655"/>
    <w:rsid w:val="00497079"/>
    <w:rsid w:val="00497450"/>
    <w:rsid w:val="00497F49"/>
    <w:rsid w:val="004A1BBA"/>
    <w:rsid w:val="004A225B"/>
    <w:rsid w:val="004A23C2"/>
    <w:rsid w:val="004A3336"/>
    <w:rsid w:val="004A3E3C"/>
    <w:rsid w:val="004A4069"/>
    <w:rsid w:val="004A484E"/>
    <w:rsid w:val="004A6513"/>
    <w:rsid w:val="004A660E"/>
    <w:rsid w:val="004A72D3"/>
    <w:rsid w:val="004B0924"/>
    <w:rsid w:val="004B0E6D"/>
    <w:rsid w:val="004B16E8"/>
    <w:rsid w:val="004B24BF"/>
    <w:rsid w:val="004B2CA5"/>
    <w:rsid w:val="004B3609"/>
    <w:rsid w:val="004B3A7D"/>
    <w:rsid w:val="004B3E46"/>
    <w:rsid w:val="004B412E"/>
    <w:rsid w:val="004B4C51"/>
    <w:rsid w:val="004B5B92"/>
    <w:rsid w:val="004B6250"/>
    <w:rsid w:val="004B66F3"/>
    <w:rsid w:val="004B6B05"/>
    <w:rsid w:val="004B7499"/>
    <w:rsid w:val="004B76B1"/>
    <w:rsid w:val="004B7800"/>
    <w:rsid w:val="004C0057"/>
    <w:rsid w:val="004C0541"/>
    <w:rsid w:val="004C0BBF"/>
    <w:rsid w:val="004C1D08"/>
    <w:rsid w:val="004C1D55"/>
    <w:rsid w:val="004C2836"/>
    <w:rsid w:val="004C2C46"/>
    <w:rsid w:val="004C30BD"/>
    <w:rsid w:val="004C405B"/>
    <w:rsid w:val="004C4550"/>
    <w:rsid w:val="004C4BDC"/>
    <w:rsid w:val="004C4E53"/>
    <w:rsid w:val="004C54CA"/>
    <w:rsid w:val="004C5856"/>
    <w:rsid w:val="004C5ABF"/>
    <w:rsid w:val="004C5D03"/>
    <w:rsid w:val="004C62AE"/>
    <w:rsid w:val="004C651D"/>
    <w:rsid w:val="004C7235"/>
    <w:rsid w:val="004C7955"/>
    <w:rsid w:val="004C7A02"/>
    <w:rsid w:val="004D0213"/>
    <w:rsid w:val="004D047F"/>
    <w:rsid w:val="004D1529"/>
    <w:rsid w:val="004D16C7"/>
    <w:rsid w:val="004D16D2"/>
    <w:rsid w:val="004D29F1"/>
    <w:rsid w:val="004D29F3"/>
    <w:rsid w:val="004D2DFE"/>
    <w:rsid w:val="004D3D96"/>
    <w:rsid w:val="004D40BB"/>
    <w:rsid w:val="004D5316"/>
    <w:rsid w:val="004D575C"/>
    <w:rsid w:val="004D5ACC"/>
    <w:rsid w:val="004D606D"/>
    <w:rsid w:val="004D650F"/>
    <w:rsid w:val="004D68E2"/>
    <w:rsid w:val="004D7269"/>
    <w:rsid w:val="004D74EE"/>
    <w:rsid w:val="004D7F01"/>
    <w:rsid w:val="004E08FC"/>
    <w:rsid w:val="004E0B6E"/>
    <w:rsid w:val="004E0D3F"/>
    <w:rsid w:val="004E13BC"/>
    <w:rsid w:val="004E2133"/>
    <w:rsid w:val="004E2BD2"/>
    <w:rsid w:val="004E358C"/>
    <w:rsid w:val="004E395B"/>
    <w:rsid w:val="004E5EDB"/>
    <w:rsid w:val="004E60FB"/>
    <w:rsid w:val="004E64FF"/>
    <w:rsid w:val="004E73A5"/>
    <w:rsid w:val="004E758A"/>
    <w:rsid w:val="004E7BA7"/>
    <w:rsid w:val="004F0279"/>
    <w:rsid w:val="004F1C42"/>
    <w:rsid w:val="004F23CE"/>
    <w:rsid w:val="004F2C5A"/>
    <w:rsid w:val="004F31EA"/>
    <w:rsid w:val="004F37E9"/>
    <w:rsid w:val="004F4601"/>
    <w:rsid w:val="004F4CFE"/>
    <w:rsid w:val="004F6F06"/>
    <w:rsid w:val="004F779C"/>
    <w:rsid w:val="004F7846"/>
    <w:rsid w:val="004F7EBF"/>
    <w:rsid w:val="005000A6"/>
    <w:rsid w:val="005000D4"/>
    <w:rsid w:val="005004EE"/>
    <w:rsid w:val="005007AB"/>
    <w:rsid w:val="00500B1E"/>
    <w:rsid w:val="00500B24"/>
    <w:rsid w:val="00500C17"/>
    <w:rsid w:val="00501B03"/>
    <w:rsid w:val="00502416"/>
    <w:rsid w:val="0050277D"/>
    <w:rsid w:val="005027F4"/>
    <w:rsid w:val="005036C2"/>
    <w:rsid w:val="0050492E"/>
    <w:rsid w:val="005051C9"/>
    <w:rsid w:val="00505C6C"/>
    <w:rsid w:val="00506389"/>
    <w:rsid w:val="00507000"/>
    <w:rsid w:val="0050730E"/>
    <w:rsid w:val="00507FC5"/>
    <w:rsid w:val="00510A69"/>
    <w:rsid w:val="00510CAF"/>
    <w:rsid w:val="0051114C"/>
    <w:rsid w:val="00511597"/>
    <w:rsid w:val="0051180E"/>
    <w:rsid w:val="00511915"/>
    <w:rsid w:val="005120CD"/>
    <w:rsid w:val="005128C5"/>
    <w:rsid w:val="00512905"/>
    <w:rsid w:val="00512D8B"/>
    <w:rsid w:val="00512DE2"/>
    <w:rsid w:val="00512E85"/>
    <w:rsid w:val="0051346B"/>
    <w:rsid w:val="005136C7"/>
    <w:rsid w:val="0051478B"/>
    <w:rsid w:val="00514C1C"/>
    <w:rsid w:val="00514D0D"/>
    <w:rsid w:val="0051524F"/>
    <w:rsid w:val="0051566A"/>
    <w:rsid w:val="00515D7B"/>
    <w:rsid w:val="00515DD8"/>
    <w:rsid w:val="005166E9"/>
    <w:rsid w:val="00517280"/>
    <w:rsid w:val="00517917"/>
    <w:rsid w:val="0052009E"/>
    <w:rsid w:val="005200F7"/>
    <w:rsid w:val="00520AB5"/>
    <w:rsid w:val="0052155D"/>
    <w:rsid w:val="00521596"/>
    <w:rsid w:val="00522066"/>
    <w:rsid w:val="005222FA"/>
    <w:rsid w:val="00524A64"/>
    <w:rsid w:val="00524C6D"/>
    <w:rsid w:val="00525740"/>
    <w:rsid w:val="00525E59"/>
    <w:rsid w:val="005278EE"/>
    <w:rsid w:val="00527945"/>
    <w:rsid w:val="00527D3A"/>
    <w:rsid w:val="00530A21"/>
    <w:rsid w:val="005310DD"/>
    <w:rsid w:val="00531851"/>
    <w:rsid w:val="005318CC"/>
    <w:rsid w:val="0053199E"/>
    <w:rsid w:val="00531D65"/>
    <w:rsid w:val="005324DD"/>
    <w:rsid w:val="005334E4"/>
    <w:rsid w:val="005349B1"/>
    <w:rsid w:val="005358EB"/>
    <w:rsid w:val="00535AA4"/>
    <w:rsid w:val="00535DA3"/>
    <w:rsid w:val="00535E64"/>
    <w:rsid w:val="005364A6"/>
    <w:rsid w:val="005364AE"/>
    <w:rsid w:val="0053652C"/>
    <w:rsid w:val="0053659B"/>
    <w:rsid w:val="005368A0"/>
    <w:rsid w:val="005374BC"/>
    <w:rsid w:val="005419C0"/>
    <w:rsid w:val="005427DC"/>
    <w:rsid w:val="00543188"/>
    <w:rsid w:val="005432F0"/>
    <w:rsid w:val="00543367"/>
    <w:rsid w:val="00543680"/>
    <w:rsid w:val="0054384E"/>
    <w:rsid w:val="00543BFA"/>
    <w:rsid w:val="00544726"/>
    <w:rsid w:val="0054655E"/>
    <w:rsid w:val="00546601"/>
    <w:rsid w:val="00547D9C"/>
    <w:rsid w:val="00547DA1"/>
    <w:rsid w:val="005501BC"/>
    <w:rsid w:val="0055068D"/>
    <w:rsid w:val="00551BAB"/>
    <w:rsid w:val="00551C53"/>
    <w:rsid w:val="0055221B"/>
    <w:rsid w:val="005522F6"/>
    <w:rsid w:val="005526DC"/>
    <w:rsid w:val="005535B7"/>
    <w:rsid w:val="0055386B"/>
    <w:rsid w:val="00554CAC"/>
    <w:rsid w:val="0055513C"/>
    <w:rsid w:val="00555ED3"/>
    <w:rsid w:val="0055637C"/>
    <w:rsid w:val="00556B00"/>
    <w:rsid w:val="0055753F"/>
    <w:rsid w:val="00557618"/>
    <w:rsid w:val="00557782"/>
    <w:rsid w:val="005608A1"/>
    <w:rsid w:val="00560C94"/>
    <w:rsid w:val="00560FD5"/>
    <w:rsid w:val="00561C0A"/>
    <w:rsid w:val="00562765"/>
    <w:rsid w:val="0056283B"/>
    <w:rsid w:val="0056291C"/>
    <w:rsid w:val="00562E59"/>
    <w:rsid w:val="00563E82"/>
    <w:rsid w:val="005646BB"/>
    <w:rsid w:val="005647F9"/>
    <w:rsid w:val="00564B19"/>
    <w:rsid w:val="00564C4B"/>
    <w:rsid w:val="00565A63"/>
    <w:rsid w:val="00566588"/>
    <w:rsid w:val="0056662E"/>
    <w:rsid w:val="00566A26"/>
    <w:rsid w:val="00566F6B"/>
    <w:rsid w:val="00567012"/>
    <w:rsid w:val="00567EA5"/>
    <w:rsid w:val="00570050"/>
    <w:rsid w:val="00570514"/>
    <w:rsid w:val="00571A41"/>
    <w:rsid w:val="005721D0"/>
    <w:rsid w:val="00572627"/>
    <w:rsid w:val="0057275D"/>
    <w:rsid w:val="00572919"/>
    <w:rsid w:val="005733C4"/>
    <w:rsid w:val="00574103"/>
    <w:rsid w:val="00575B68"/>
    <w:rsid w:val="00575DA6"/>
    <w:rsid w:val="0057737F"/>
    <w:rsid w:val="00577C45"/>
    <w:rsid w:val="005800A9"/>
    <w:rsid w:val="00580488"/>
    <w:rsid w:val="005804AA"/>
    <w:rsid w:val="0058074D"/>
    <w:rsid w:val="00580FD1"/>
    <w:rsid w:val="00581630"/>
    <w:rsid w:val="005816EE"/>
    <w:rsid w:val="005824E6"/>
    <w:rsid w:val="00582FAD"/>
    <w:rsid w:val="00583489"/>
    <w:rsid w:val="0058391F"/>
    <w:rsid w:val="00583A80"/>
    <w:rsid w:val="00584188"/>
    <w:rsid w:val="00584D68"/>
    <w:rsid w:val="00584E33"/>
    <w:rsid w:val="00585AD4"/>
    <w:rsid w:val="00586392"/>
    <w:rsid w:val="00586819"/>
    <w:rsid w:val="00586E9A"/>
    <w:rsid w:val="00587419"/>
    <w:rsid w:val="00590FE4"/>
    <w:rsid w:val="00591D9C"/>
    <w:rsid w:val="0059282D"/>
    <w:rsid w:val="005932C1"/>
    <w:rsid w:val="00593440"/>
    <w:rsid w:val="005936BF"/>
    <w:rsid w:val="00593DE5"/>
    <w:rsid w:val="0059592B"/>
    <w:rsid w:val="00596617"/>
    <w:rsid w:val="00596B2E"/>
    <w:rsid w:val="00596CC4"/>
    <w:rsid w:val="00597057"/>
    <w:rsid w:val="005972B8"/>
    <w:rsid w:val="005973A6"/>
    <w:rsid w:val="00597AAB"/>
    <w:rsid w:val="00597D8B"/>
    <w:rsid w:val="005A0742"/>
    <w:rsid w:val="005A0D1A"/>
    <w:rsid w:val="005A1C30"/>
    <w:rsid w:val="005A209C"/>
    <w:rsid w:val="005A292F"/>
    <w:rsid w:val="005A31C9"/>
    <w:rsid w:val="005A3295"/>
    <w:rsid w:val="005A43F0"/>
    <w:rsid w:val="005A46FF"/>
    <w:rsid w:val="005A4AFF"/>
    <w:rsid w:val="005A4B4C"/>
    <w:rsid w:val="005A5417"/>
    <w:rsid w:val="005A65F0"/>
    <w:rsid w:val="005A7058"/>
    <w:rsid w:val="005A7758"/>
    <w:rsid w:val="005B011E"/>
    <w:rsid w:val="005B028B"/>
    <w:rsid w:val="005B0CBC"/>
    <w:rsid w:val="005B2E84"/>
    <w:rsid w:val="005B352F"/>
    <w:rsid w:val="005B3AE8"/>
    <w:rsid w:val="005B3E13"/>
    <w:rsid w:val="005B3E66"/>
    <w:rsid w:val="005B3EFE"/>
    <w:rsid w:val="005B3FE8"/>
    <w:rsid w:val="005B4215"/>
    <w:rsid w:val="005B436C"/>
    <w:rsid w:val="005B4F97"/>
    <w:rsid w:val="005B52A4"/>
    <w:rsid w:val="005B5CA4"/>
    <w:rsid w:val="005B5F78"/>
    <w:rsid w:val="005B6E01"/>
    <w:rsid w:val="005B7164"/>
    <w:rsid w:val="005B7476"/>
    <w:rsid w:val="005B7688"/>
    <w:rsid w:val="005B7849"/>
    <w:rsid w:val="005B7B0E"/>
    <w:rsid w:val="005C06CF"/>
    <w:rsid w:val="005C0DFA"/>
    <w:rsid w:val="005C0FF0"/>
    <w:rsid w:val="005C219B"/>
    <w:rsid w:val="005C2E45"/>
    <w:rsid w:val="005C3A23"/>
    <w:rsid w:val="005C47FF"/>
    <w:rsid w:val="005C492F"/>
    <w:rsid w:val="005C4B4C"/>
    <w:rsid w:val="005C5409"/>
    <w:rsid w:val="005C55EF"/>
    <w:rsid w:val="005C5BAE"/>
    <w:rsid w:val="005C628C"/>
    <w:rsid w:val="005C6765"/>
    <w:rsid w:val="005C69AC"/>
    <w:rsid w:val="005C722E"/>
    <w:rsid w:val="005C74C6"/>
    <w:rsid w:val="005C752A"/>
    <w:rsid w:val="005C7576"/>
    <w:rsid w:val="005C7759"/>
    <w:rsid w:val="005D01A4"/>
    <w:rsid w:val="005D0399"/>
    <w:rsid w:val="005D15AE"/>
    <w:rsid w:val="005D1A7B"/>
    <w:rsid w:val="005D1EDD"/>
    <w:rsid w:val="005D3C9D"/>
    <w:rsid w:val="005D456F"/>
    <w:rsid w:val="005D45B3"/>
    <w:rsid w:val="005D4AB3"/>
    <w:rsid w:val="005D4CEB"/>
    <w:rsid w:val="005D5344"/>
    <w:rsid w:val="005D5DA8"/>
    <w:rsid w:val="005D61EB"/>
    <w:rsid w:val="005E038A"/>
    <w:rsid w:val="005E0AE0"/>
    <w:rsid w:val="005E286D"/>
    <w:rsid w:val="005E4609"/>
    <w:rsid w:val="005E5E2F"/>
    <w:rsid w:val="005F04E6"/>
    <w:rsid w:val="005F0FB6"/>
    <w:rsid w:val="005F17EC"/>
    <w:rsid w:val="005F1C2F"/>
    <w:rsid w:val="005F39D5"/>
    <w:rsid w:val="005F3AB5"/>
    <w:rsid w:val="005F3E05"/>
    <w:rsid w:val="005F402A"/>
    <w:rsid w:val="005F43B9"/>
    <w:rsid w:val="005F55D6"/>
    <w:rsid w:val="005F5CA9"/>
    <w:rsid w:val="005F6828"/>
    <w:rsid w:val="005F68CB"/>
    <w:rsid w:val="005F6BDE"/>
    <w:rsid w:val="005F7799"/>
    <w:rsid w:val="005F78FC"/>
    <w:rsid w:val="00600242"/>
    <w:rsid w:val="00600D11"/>
    <w:rsid w:val="00601F91"/>
    <w:rsid w:val="006033E3"/>
    <w:rsid w:val="006038CD"/>
    <w:rsid w:val="00605169"/>
    <w:rsid w:val="00605FC7"/>
    <w:rsid w:val="00606218"/>
    <w:rsid w:val="0060631B"/>
    <w:rsid w:val="0060677D"/>
    <w:rsid w:val="00606C5E"/>
    <w:rsid w:val="00606CA3"/>
    <w:rsid w:val="00606E91"/>
    <w:rsid w:val="00607018"/>
    <w:rsid w:val="006077ED"/>
    <w:rsid w:val="00610954"/>
    <w:rsid w:val="00610CBE"/>
    <w:rsid w:val="00610E1F"/>
    <w:rsid w:val="006131B2"/>
    <w:rsid w:val="0061321C"/>
    <w:rsid w:val="00614CA1"/>
    <w:rsid w:val="00615C2C"/>
    <w:rsid w:val="0061644B"/>
    <w:rsid w:val="0061799C"/>
    <w:rsid w:val="0062038A"/>
    <w:rsid w:val="006203A8"/>
    <w:rsid w:val="006207DF"/>
    <w:rsid w:val="00620E59"/>
    <w:rsid w:val="00621132"/>
    <w:rsid w:val="00622656"/>
    <w:rsid w:val="0062386E"/>
    <w:rsid w:val="00623D9A"/>
    <w:rsid w:val="00623F01"/>
    <w:rsid w:val="006242FB"/>
    <w:rsid w:val="00624738"/>
    <w:rsid w:val="00625D15"/>
    <w:rsid w:val="00626E2D"/>
    <w:rsid w:val="006272DE"/>
    <w:rsid w:val="00627D94"/>
    <w:rsid w:val="0063033A"/>
    <w:rsid w:val="006304D3"/>
    <w:rsid w:val="00630AB9"/>
    <w:rsid w:val="00630B42"/>
    <w:rsid w:val="00630BC1"/>
    <w:rsid w:val="0063104D"/>
    <w:rsid w:val="006310FC"/>
    <w:rsid w:val="00631688"/>
    <w:rsid w:val="006320D8"/>
    <w:rsid w:val="00632540"/>
    <w:rsid w:val="00632E88"/>
    <w:rsid w:val="00633CCE"/>
    <w:rsid w:val="0063454C"/>
    <w:rsid w:val="00634DBB"/>
    <w:rsid w:val="00635C88"/>
    <w:rsid w:val="00637807"/>
    <w:rsid w:val="00637B63"/>
    <w:rsid w:val="00637C26"/>
    <w:rsid w:val="00640443"/>
    <w:rsid w:val="00640732"/>
    <w:rsid w:val="00641C79"/>
    <w:rsid w:val="00642072"/>
    <w:rsid w:val="0064372D"/>
    <w:rsid w:val="006440ED"/>
    <w:rsid w:val="0064467C"/>
    <w:rsid w:val="00644827"/>
    <w:rsid w:val="00644AB5"/>
    <w:rsid w:val="00645213"/>
    <w:rsid w:val="00645293"/>
    <w:rsid w:val="006468CB"/>
    <w:rsid w:val="00651B78"/>
    <w:rsid w:val="00651C95"/>
    <w:rsid w:val="00652263"/>
    <w:rsid w:val="0065238F"/>
    <w:rsid w:val="00652881"/>
    <w:rsid w:val="00652985"/>
    <w:rsid w:val="00653253"/>
    <w:rsid w:val="0065332B"/>
    <w:rsid w:val="006533AE"/>
    <w:rsid w:val="006551AE"/>
    <w:rsid w:val="0066137E"/>
    <w:rsid w:val="00661974"/>
    <w:rsid w:val="006623E2"/>
    <w:rsid w:val="006624E3"/>
    <w:rsid w:val="006640F9"/>
    <w:rsid w:val="00664551"/>
    <w:rsid w:val="00664685"/>
    <w:rsid w:val="00664872"/>
    <w:rsid w:val="00664B95"/>
    <w:rsid w:val="00665D5F"/>
    <w:rsid w:val="00666877"/>
    <w:rsid w:val="006676A0"/>
    <w:rsid w:val="006704F3"/>
    <w:rsid w:val="00670857"/>
    <w:rsid w:val="00670FB2"/>
    <w:rsid w:val="00671124"/>
    <w:rsid w:val="006727B0"/>
    <w:rsid w:val="00672BB8"/>
    <w:rsid w:val="0067307E"/>
    <w:rsid w:val="006739C0"/>
    <w:rsid w:val="00673F6D"/>
    <w:rsid w:val="00673F9D"/>
    <w:rsid w:val="00674757"/>
    <w:rsid w:val="00674850"/>
    <w:rsid w:val="00675116"/>
    <w:rsid w:val="00675D03"/>
    <w:rsid w:val="00676016"/>
    <w:rsid w:val="006765F7"/>
    <w:rsid w:val="00676EA7"/>
    <w:rsid w:val="00682EFD"/>
    <w:rsid w:val="00683F61"/>
    <w:rsid w:val="00684EA3"/>
    <w:rsid w:val="00686A36"/>
    <w:rsid w:val="00687296"/>
    <w:rsid w:val="00687AD5"/>
    <w:rsid w:val="0069211A"/>
    <w:rsid w:val="00692B81"/>
    <w:rsid w:val="00692C4F"/>
    <w:rsid w:val="006949D2"/>
    <w:rsid w:val="00694C5F"/>
    <w:rsid w:val="00695251"/>
    <w:rsid w:val="006953EF"/>
    <w:rsid w:val="00695689"/>
    <w:rsid w:val="00695ADE"/>
    <w:rsid w:val="00695C0D"/>
    <w:rsid w:val="00695CAE"/>
    <w:rsid w:val="00696356"/>
    <w:rsid w:val="006964EC"/>
    <w:rsid w:val="006968EA"/>
    <w:rsid w:val="00697819"/>
    <w:rsid w:val="00697CB5"/>
    <w:rsid w:val="006A015D"/>
    <w:rsid w:val="006A12B5"/>
    <w:rsid w:val="006A2EA3"/>
    <w:rsid w:val="006A3CC1"/>
    <w:rsid w:val="006A4899"/>
    <w:rsid w:val="006A62E1"/>
    <w:rsid w:val="006A6566"/>
    <w:rsid w:val="006A72C6"/>
    <w:rsid w:val="006A7310"/>
    <w:rsid w:val="006A7AA6"/>
    <w:rsid w:val="006B02DA"/>
    <w:rsid w:val="006B08FB"/>
    <w:rsid w:val="006B1877"/>
    <w:rsid w:val="006B1913"/>
    <w:rsid w:val="006B1AC7"/>
    <w:rsid w:val="006B2065"/>
    <w:rsid w:val="006B271B"/>
    <w:rsid w:val="006B275B"/>
    <w:rsid w:val="006B30BF"/>
    <w:rsid w:val="006B38C6"/>
    <w:rsid w:val="006B3940"/>
    <w:rsid w:val="006B45A6"/>
    <w:rsid w:val="006B4A69"/>
    <w:rsid w:val="006B568C"/>
    <w:rsid w:val="006B62F0"/>
    <w:rsid w:val="006B6C6B"/>
    <w:rsid w:val="006C09B6"/>
    <w:rsid w:val="006C09C0"/>
    <w:rsid w:val="006C168D"/>
    <w:rsid w:val="006C1884"/>
    <w:rsid w:val="006C18AF"/>
    <w:rsid w:val="006C2341"/>
    <w:rsid w:val="006C2BF5"/>
    <w:rsid w:val="006C3745"/>
    <w:rsid w:val="006C39FD"/>
    <w:rsid w:val="006C4A40"/>
    <w:rsid w:val="006C4E56"/>
    <w:rsid w:val="006C61CD"/>
    <w:rsid w:val="006C642C"/>
    <w:rsid w:val="006C6FC6"/>
    <w:rsid w:val="006C7830"/>
    <w:rsid w:val="006C7BB9"/>
    <w:rsid w:val="006C7D50"/>
    <w:rsid w:val="006D141C"/>
    <w:rsid w:val="006D2425"/>
    <w:rsid w:val="006D2CF3"/>
    <w:rsid w:val="006D2D08"/>
    <w:rsid w:val="006D2F35"/>
    <w:rsid w:val="006D3228"/>
    <w:rsid w:val="006D349E"/>
    <w:rsid w:val="006D41EF"/>
    <w:rsid w:val="006D4A94"/>
    <w:rsid w:val="006D53AA"/>
    <w:rsid w:val="006D555D"/>
    <w:rsid w:val="006D6993"/>
    <w:rsid w:val="006E0D09"/>
    <w:rsid w:val="006E101B"/>
    <w:rsid w:val="006E222A"/>
    <w:rsid w:val="006E241F"/>
    <w:rsid w:val="006E24EE"/>
    <w:rsid w:val="006E25BD"/>
    <w:rsid w:val="006E2697"/>
    <w:rsid w:val="006E3379"/>
    <w:rsid w:val="006E34B7"/>
    <w:rsid w:val="006E36B8"/>
    <w:rsid w:val="006E3874"/>
    <w:rsid w:val="006E5585"/>
    <w:rsid w:val="006E5E32"/>
    <w:rsid w:val="006E633A"/>
    <w:rsid w:val="006E6A14"/>
    <w:rsid w:val="006E6B16"/>
    <w:rsid w:val="006E6DE8"/>
    <w:rsid w:val="006E780C"/>
    <w:rsid w:val="006F0BA7"/>
    <w:rsid w:val="006F0F01"/>
    <w:rsid w:val="006F0F3C"/>
    <w:rsid w:val="006F174D"/>
    <w:rsid w:val="006F1DBC"/>
    <w:rsid w:val="006F1F41"/>
    <w:rsid w:val="006F32EF"/>
    <w:rsid w:val="006F3615"/>
    <w:rsid w:val="006F3C54"/>
    <w:rsid w:val="006F47CA"/>
    <w:rsid w:val="006F4CD8"/>
    <w:rsid w:val="006F53D9"/>
    <w:rsid w:val="006F549C"/>
    <w:rsid w:val="006F5812"/>
    <w:rsid w:val="006F609A"/>
    <w:rsid w:val="006F73E9"/>
    <w:rsid w:val="007004DC"/>
    <w:rsid w:val="00700854"/>
    <w:rsid w:val="00700C4C"/>
    <w:rsid w:val="00701093"/>
    <w:rsid w:val="0070109C"/>
    <w:rsid w:val="007022C4"/>
    <w:rsid w:val="007026E9"/>
    <w:rsid w:val="00702E2B"/>
    <w:rsid w:val="00703C8B"/>
    <w:rsid w:val="00703E8A"/>
    <w:rsid w:val="00704F60"/>
    <w:rsid w:val="00706EA3"/>
    <w:rsid w:val="007078BE"/>
    <w:rsid w:val="00707D5A"/>
    <w:rsid w:val="00710BF6"/>
    <w:rsid w:val="00711522"/>
    <w:rsid w:val="007118A6"/>
    <w:rsid w:val="007124FE"/>
    <w:rsid w:val="00712533"/>
    <w:rsid w:val="00713186"/>
    <w:rsid w:val="00713757"/>
    <w:rsid w:val="00713758"/>
    <w:rsid w:val="007137D8"/>
    <w:rsid w:val="00714064"/>
    <w:rsid w:val="0071409E"/>
    <w:rsid w:val="00716B1B"/>
    <w:rsid w:val="00717772"/>
    <w:rsid w:val="007200E5"/>
    <w:rsid w:val="00720949"/>
    <w:rsid w:val="00720C17"/>
    <w:rsid w:val="0072116F"/>
    <w:rsid w:val="007215EC"/>
    <w:rsid w:val="00721AF1"/>
    <w:rsid w:val="0072280F"/>
    <w:rsid w:val="00722B5E"/>
    <w:rsid w:val="007235F5"/>
    <w:rsid w:val="00723B2C"/>
    <w:rsid w:val="007241D0"/>
    <w:rsid w:val="00724F7C"/>
    <w:rsid w:val="007253CC"/>
    <w:rsid w:val="00726087"/>
    <w:rsid w:val="00726F5A"/>
    <w:rsid w:val="0072708F"/>
    <w:rsid w:val="007304C1"/>
    <w:rsid w:val="00730E81"/>
    <w:rsid w:val="00731000"/>
    <w:rsid w:val="00731204"/>
    <w:rsid w:val="007319BC"/>
    <w:rsid w:val="0073222B"/>
    <w:rsid w:val="00732582"/>
    <w:rsid w:val="00732D1D"/>
    <w:rsid w:val="007332C4"/>
    <w:rsid w:val="00734381"/>
    <w:rsid w:val="00734B0E"/>
    <w:rsid w:val="00736034"/>
    <w:rsid w:val="0073666D"/>
    <w:rsid w:val="00736710"/>
    <w:rsid w:val="0073681C"/>
    <w:rsid w:val="0073725B"/>
    <w:rsid w:val="00737B67"/>
    <w:rsid w:val="0074033C"/>
    <w:rsid w:val="0074050E"/>
    <w:rsid w:val="00740B66"/>
    <w:rsid w:val="00741AF8"/>
    <w:rsid w:val="00741EBE"/>
    <w:rsid w:val="00742181"/>
    <w:rsid w:val="007424EC"/>
    <w:rsid w:val="00742EDA"/>
    <w:rsid w:val="007440FA"/>
    <w:rsid w:val="00744201"/>
    <w:rsid w:val="00744C91"/>
    <w:rsid w:val="007451C0"/>
    <w:rsid w:val="007453E1"/>
    <w:rsid w:val="00745604"/>
    <w:rsid w:val="00745FCE"/>
    <w:rsid w:val="00746130"/>
    <w:rsid w:val="00746A40"/>
    <w:rsid w:val="00746D83"/>
    <w:rsid w:val="00746E6A"/>
    <w:rsid w:val="00747598"/>
    <w:rsid w:val="00747B2E"/>
    <w:rsid w:val="00750358"/>
    <w:rsid w:val="007520A3"/>
    <w:rsid w:val="007526F5"/>
    <w:rsid w:val="00753B26"/>
    <w:rsid w:val="00753F05"/>
    <w:rsid w:val="00754223"/>
    <w:rsid w:val="00754717"/>
    <w:rsid w:val="00754836"/>
    <w:rsid w:val="00754FB9"/>
    <w:rsid w:val="00755CDF"/>
    <w:rsid w:val="0075649C"/>
    <w:rsid w:val="00756730"/>
    <w:rsid w:val="00757042"/>
    <w:rsid w:val="007578C3"/>
    <w:rsid w:val="00757A4C"/>
    <w:rsid w:val="00760895"/>
    <w:rsid w:val="00761DF0"/>
    <w:rsid w:val="00762ABF"/>
    <w:rsid w:val="00762DB1"/>
    <w:rsid w:val="00763B14"/>
    <w:rsid w:val="00764A94"/>
    <w:rsid w:val="00764B26"/>
    <w:rsid w:val="00764EA6"/>
    <w:rsid w:val="007651A9"/>
    <w:rsid w:val="007651E5"/>
    <w:rsid w:val="0076524F"/>
    <w:rsid w:val="00765584"/>
    <w:rsid w:val="007655A0"/>
    <w:rsid w:val="007665B2"/>
    <w:rsid w:val="007670DC"/>
    <w:rsid w:val="00767356"/>
    <w:rsid w:val="00770F2A"/>
    <w:rsid w:val="0077111A"/>
    <w:rsid w:val="0077213A"/>
    <w:rsid w:val="00772272"/>
    <w:rsid w:val="0077369F"/>
    <w:rsid w:val="0077463A"/>
    <w:rsid w:val="00774AB3"/>
    <w:rsid w:val="00774D0F"/>
    <w:rsid w:val="00774D7B"/>
    <w:rsid w:val="007756ED"/>
    <w:rsid w:val="0077589D"/>
    <w:rsid w:val="007760B8"/>
    <w:rsid w:val="0077617F"/>
    <w:rsid w:val="00776A3D"/>
    <w:rsid w:val="0077707A"/>
    <w:rsid w:val="007776BF"/>
    <w:rsid w:val="007819A1"/>
    <w:rsid w:val="00783BA5"/>
    <w:rsid w:val="00783BF5"/>
    <w:rsid w:val="00784A1E"/>
    <w:rsid w:val="00784AFD"/>
    <w:rsid w:val="00784F9E"/>
    <w:rsid w:val="0078533C"/>
    <w:rsid w:val="007857FB"/>
    <w:rsid w:val="007870FC"/>
    <w:rsid w:val="0078717D"/>
    <w:rsid w:val="00787CD0"/>
    <w:rsid w:val="007905A2"/>
    <w:rsid w:val="00791053"/>
    <w:rsid w:val="00791261"/>
    <w:rsid w:val="007918FE"/>
    <w:rsid w:val="00791A3A"/>
    <w:rsid w:val="0079262D"/>
    <w:rsid w:val="00792A53"/>
    <w:rsid w:val="00792A69"/>
    <w:rsid w:val="00794196"/>
    <w:rsid w:val="007949CD"/>
    <w:rsid w:val="00794C47"/>
    <w:rsid w:val="00794FFF"/>
    <w:rsid w:val="00796289"/>
    <w:rsid w:val="00796964"/>
    <w:rsid w:val="00796D4D"/>
    <w:rsid w:val="007971B8"/>
    <w:rsid w:val="00797637"/>
    <w:rsid w:val="007A0018"/>
    <w:rsid w:val="007A0ADE"/>
    <w:rsid w:val="007A1A13"/>
    <w:rsid w:val="007A1B35"/>
    <w:rsid w:val="007A2812"/>
    <w:rsid w:val="007A2C4D"/>
    <w:rsid w:val="007A338C"/>
    <w:rsid w:val="007A3680"/>
    <w:rsid w:val="007A380E"/>
    <w:rsid w:val="007A3BCD"/>
    <w:rsid w:val="007A4265"/>
    <w:rsid w:val="007A5214"/>
    <w:rsid w:val="007A53B7"/>
    <w:rsid w:val="007A59B8"/>
    <w:rsid w:val="007A65AF"/>
    <w:rsid w:val="007A7682"/>
    <w:rsid w:val="007A7F11"/>
    <w:rsid w:val="007A7F42"/>
    <w:rsid w:val="007B0E0E"/>
    <w:rsid w:val="007B181E"/>
    <w:rsid w:val="007B2862"/>
    <w:rsid w:val="007B2BA2"/>
    <w:rsid w:val="007B2FD8"/>
    <w:rsid w:val="007B3968"/>
    <w:rsid w:val="007B45AF"/>
    <w:rsid w:val="007B4DD0"/>
    <w:rsid w:val="007B611E"/>
    <w:rsid w:val="007B6528"/>
    <w:rsid w:val="007B662A"/>
    <w:rsid w:val="007B71DC"/>
    <w:rsid w:val="007B7743"/>
    <w:rsid w:val="007C04F4"/>
    <w:rsid w:val="007C0E3E"/>
    <w:rsid w:val="007C2139"/>
    <w:rsid w:val="007C27DE"/>
    <w:rsid w:val="007C284C"/>
    <w:rsid w:val="007C299E"/>
    <w:rsid w:val="007C4ABB"/>
    <w:rsid w:val="007C525F"/>
    <w:rsid w:val="007C5321"/>
    <w:rsid w:val="007C5E8A"/>
    <w:rsid w:val="007C5F4B"/>
    <w:rsid w:val="007C626A"/>
    <w:rsid w:val="007C6AAB"/>
    <w:rsid w:val="007C7B84"/>
    <w:rsid w:val="007D0C4D"/>
    <w:rsid w:val="007D17BB"/>
    <w:rsid w:val="007D1FE9"/>
    <w:rsid w:val="007D28C9"/>
    <w:rsid w:val="007D326B"/>
    <w:rsid w:val="007D38F0"/>
    <w:rsid w:val="007D3C66"/>
    <w:rsid w:val="007D3CC8"/>
    <w:rsid w:val="007D430A"/>
    <w:rsid w:val="007D47FB"/>
    <w:rsid w:val="007D4C7C"/>
    <w:rsid w:val="007D4DD3"/>
    <w:rsid w:val="007D576A"/>
    <w:rsid w:val="007D62F9"/>
    <w:rsid w:val="007D63A4"/>
    <w:rsid w:val="007D6542"/>
    <w:rsid w:val="007D7FC9"/>
    <w:rsid w:val="007E1965"/>
    <w:rsid w:val="007E1AA2"/>
    <w:rsid w:val="007E1F2C"/>
    <w:rsid w:val="007E279D"/>
    <w:rsid w:val="007E2941"/>
    <w:rsid w:val="007E2D69"/>
    <w:rsid w:val="007E3B9A"/>
    <w:rsid w:val="007E3EEF"/>
    <w:rsid w:val="007E46E8"/>
    <w:rsid w:val="007E470F"/>
    <w:rsid w:val="007E4C1F"/>
    <w:rsid w:val="007E5D1B"/>
    <w:rsid w:val="007F01DE"/>
    <w:rsid w:val="007F0447"/>
    <w:rsid w:val="007F0759"/>
    <w:rsid w:val="007F0BCC"/>
    <w:rsid w:val="007F156E"/>
    <w:rsid w:val="007F1AD9"/>
    <w:rsid w:val="007F1CF3"/>
    <w:rsid w:val="007F2439"/>
    <w:rsid w:val="007F25C0"/>
    <w:rsid w:val="007F30BB"/>
    <w:rsid w:val="007F3860"/>
    <w:rsid w:val="007F5F52"/>
    <w:rsid w:val="007F672A"/>
    <w:rsid w:val="007F6A1D"/>
    <w:rsid w:val="007F77C6"/>
    <w:rsid w:val="007F79D4"/>
    <w:rsid w:val="008003A1"/>
    <w:rsid w:val="008006B7"/>
    <w:rsid w:val="00800FDB"/>
    <w:rsid w:val="008019D0"/>
    <w:rsid w:val="00802081"/>
    <w:rsid w:val="008020F6"/>
    <w:rsid w:val="008026F8"/>
    <w:rsid w:val="0080298E"/>
    <w:rsid w:val="00803833"/>
    <w:rsid w:val="008039DA"/>
    <w:rsid w:val="00804316"/>
    <w:rsid w:val="008044F8"/>
    <w:rsid w:val="00806461"/>
    <w:rsid w:val="008064C1"/>
    <w:rsid w:val="00806EC2"/>
    <w:rsid w:val="00810580"/>
    <w:rsid w:val="0081096D"/>
    <w:rsid w:val="00810EAD"/>
    <w:rsid w:val="00811833"/>
    <w:rsid w:val="00814BDE"/>
    <w:rsid w:val="00814DBC"/>
    <w:rsid w:val="0081512F"/>
    <w:rsid w:val="00815E78"/>
    <w:rsid w:val="00816288"/>
    <w:rsid w:val="008174D4"/>
    <w:rsid w:val="0082002E"/>
    <w:rsid w:val="0082083C"/>
    <w:rsid w:val="00820C54"/>
    <w:rsid w:val="00820F37"/>
    <w:rsid w:val="00820FE6"/>
    <w:rsid w:val="00821A66"/>
    <w:rsid w:val="00822476"/>
    <w:rsid w:val="008226BA"/>
    <w:rsid w:val="00822882"/>
    <w:rsid w:val="00822A1E"/>
    <w:rsid w:val="008238C7"/>
    <w:rsid w:val="0082414A"/>
    <w:rsid w:val="00825268"/>
    <w:rsid w:val="0082571C"/>
    <w:rsid w:val="00825B94"/>
    <w:rsid w:val="00825BB4"/>
    <w:rsid w:val="00825F68"/>
    <w:rsid w:val="008273D2"/>
    <w:rsid w:val="00827B53"/>
    <w:rsid w:val="00830E92"/>
    <w:rsid w:val="008320ED"/>
    <w:rsid w:val="00832A0F"/>
    <w:rsid w:val="00833444"/>
    <w:rsid w:val="00834EC5"/>
    <w:rsid w:val="008353D5"/>
    <w:rsid w:val="00835408"/>
    <w:rsid w:val="008358A2"/>
    <w:rsid w:val="008359DA"/>
    <w:rsid w:val="00835A64"/>
    <w:rsid w:val="00837715"/>
    <w:rsid w:val="00837CEF"/>
    <w:rsid w:val="00837E22"/>
    <w:rsid w:val="00837E2F"/>
    <w:rsid w:val="00840035"/>
    <w:rsid w:val="00841862"/>
    <w:rsid w:val="008421A0"/>
    <w:rsid w:val="00842661"/>
    <w:rsid w:val="008428A9"/>
    <w:rsid w:val="008433AB"/>
    <w:rsid w:val="008439CE"/>
    <w:rsid w:val="00844112"/>
    <w:rsid w:val="008456C9"/>
    <w:rsid w:val="00845D21"/>
    <w:rsid w:val="0084611D"/>
    <w:rsid w:val="00846177"/>
    <w:rsid w:val="0084654D"/>
    <w:rsid w:val="00846C9F"/>
    <w:rsid w:val="008474FB"/>
    <w:rsid w:val="00847BD6"/>
    <w:rsid w:val="00847F48"/>
    <w:rsid w:val="00850137"/>
    <w:rsid w:val="00850C62"/>
    <w:rsid w:val="00850C94"/>
    <w:rsid w:val="00851284"/>
    <w:rsid w:val="00852248"/>
    <w:rsid w:val="008527D2"/>
    <w:rsid w:val="00852B48"/>
    <w:rsid w:val="008531F2"/>
    <w:rsid w:val="0085474D"/>
    <w:rsid w:val="00856481"/>
    <w:rsid w:val="008567A2"/>
    <w:rsid w:val="00856A6E"/>
    <w:rsid w:val="00856E6C"/>
    <w:rsid w:val="00857DE1"/>
    <w:rsid w:val="00860793"/>
    <w:rsid w:val="00860D8F"/>
    <w:rsid w:val="00861327"/>
    <w:rsid w:val="00862468"/>
    <w:rsid w:val="00862510"/>
    <w:rsid w:val="00862DA2"/>
    <w:rsid w:val="00863011"/>
    <w:rsid w:val="00863447"/>
    <w:rsid w:val="00863C5B"/>
    <w:rsid w:val="00863D2E"/>
    <w:rsid w:val="00864E32"/>
    <w:rsid w:val="00865075"/>
    <w:rsid w:val="0086615F"/>
    <w:rsid w:val="0086661C"/>
    <w:rsid w:val="0086748F"/>
    <w:rsid w:val="00870735"/>
    <w:rsid w:val="00872299"/>
    <w:rsid w:val="00872757"/>
    <w:rsid w:val="00872A1F"/>
    <w:rsid w:val="00872CE4"/>
    <w:rsid w:val="00873AA4"/>
    <w:rsid w:val="00873CA8"/>
    <w:rsid w:val="00873F5D"/>
    <w:rsid w:val="0087570C"/>
    <w:rsid w:val="00875A8D"/>
    <w:rsid w:val="00875BD9"/>
    <w:rsid w:val="008773BA"/>
    <w:rsid w:val="00877B62"/>
    <w:rsid w:val="00881015"/>
    <w:rsid w:val="008810B0"/>
    <w:rsid w:val="00881665"/>
    <w:rsid w:val="008819B6"/>
    <w:rsid w:val="00881AAC"/>
    <w:rsid w:val="008836B7"/>
    <w:rsid w:val="00883F7C"/>
    <w:rsid w:val="008841D3"/>
    <w:rsid w:val="00884987"/>
    <w:rsid w:val="00884BE0"/>
    <w:rsid w:val="00884D74"/>
    <w:rsid w:val="00884F71"/>
    <w:rsid w:val="0088624C"/>
    <w:rsid w:val="00886261"/>
    <w:rsid w:val="00887BF9"/>
    <w:rsid w:val="00887DE6"/>
    <w:rsid w:val="00890E6D"/>
    <w:rsid w:val="0089214A"/>
    <w:rsid w:val="00892226"/>
    <w:rsid w:val="008922FA"/>
    <w:rsid w:val="00892D3E"/>
    <w:rsid w:val="00893052"/>
    <w:rsid w:val="008936DC"/>
    <w:rsid w:val="0089391D"/>
    <w:rsid w:val="00893E53"/>
    <w:rsid w:val="008945EB"/>
    <w:rsid w:val="00894C13"/>
    <w:rsid w:val="00894C2A"/>
    <w:rsid w:val="00895389"/>
    <w:rsid w:val="0089690B"/>
    <w:rsid w:val="00896999"/>
    <w:rsid w:val="00896A5F"/>
    <w:rsid w:val="0089728F"/>
    <w:rsid w:val="008976C0"/>
    <w:rsid w:val="00897708"/>
    <w:rsid w:val="00897D88"/>
    <w:rsid w:val="008A0010"/>
    <w:rsid w:val="008A00AD"/>
    <w:rsid w:val="008A17AF"/>
    <w:rsid w:val="008A1ED9"/>
    <w:rsid w:val="008A2C65"/>
    <w:rsid w:val="008A2F16"/>
    <w:rsid w:val="008A36AE"/>
    <w:rsid w:val="008A4609"/>
    <w:rsid w:val="008A48C3"/>
    <w:rsid w:val="008A4A4D"/>
    <w:rsid w:val="008A4E18"/>
    <w:rsid w:val="008A520C"/>
    <w:rsid w:val="008A53D7"/>
    <w:rsid w:val="008A5493"/>
    <w:rsid w:val="008A596C"/>
    <w:rsid w:val="008A60A3"/>
    <w:rsid w:val="008A64C4"/>
    <w:rsid w:val="008A6BF7"/>
    <w:rsid w:val="008A6CC1"/>
    <w:rsid w:val="008A72FB"/>
    <w:rsid w:val="008A7EA4"/>
    <w:rsid w:val="008A7F03"/>
    <w:rsid w:val="008B0EA9"/>
    <w:rsid w:val="008B0F49"/>
    <w:rsid w:val="008B1823"/>
    <w:rsid w:val="008B1B4E"/>
    <w:rsid w:val="008B208F"/>
    <w:rsid w:val="008B20D9"/>
    <w:rsid w:val="008B2BDF"/>
    <w:rsid w:val="008B4198"/>
    <w:rsid w:val="008B586A"/>
    <w:rsid w:val="008B6651"/>
    <w:rsid w:val="008B6E16"/>
    <w:rsid w:val="008B6E9D"/>
    <w:rsid w:val="008B7110"/>
    <w:rsid w:val="008B7A20"/>
    <w:rsid w:val="008B7ECF"/>
    <w:rsid w:val="008C0B58"/>
    <w:rsid w:val="008C0DF9"/>
    <w:rsid w:val="008C131E"/>
    <w:rsid w:val="008C2029"/>
    <w:rsid w:val="008C267C"/>
    <w:rsid w:val="008C2E44"/>
    <w:rsid w:val="008C3427"/>
    <w:rsid w:val="008C3BC2"/>
    <w:rsid w:val="008C3FE0"/>
    <w:rsid w:val="008C40A4"/>
    <w:rsid w:val="008C4F76"/>
    <w:rsid w:val="008C55AD"/>
    <w:rsid w:val="008C61D6"/>
    <w:rsid w:val="008C631F"/>
    <w:rsid w:val="008C649D"/>
    <w:rsid w:val="008C64F1"/>
    <w:rsid w:val="008C7C1A"/>
    <w:rsid w:val="008D0C47"/>
    <w:rsid w:val="008D0DC1"/>
    <w:rsid w:val="008D1BB0"/>
    <w:rsid w:val="008D20FF"/>
    <w:rsid w:val="008D2B9A"/>
    <w:rsid w:val="008D2EAD"/>
    <w:rsid w:val="008D30B6"/>
    <w:rsid w:val="008D3163"/>
    <w:rsid w:val="008D3DE6"/>
    <w:rsid w:val="008D4223"/>
    <w:rsid w:val="008D44CC"/>
    <w:rsid w:val="008D46E3"/>
    <w:rsid w:val="008D4CED"/>
    <w:rsid w:val="008D50F9"/>
    <w:rsid w:val="008D5CAF"/>
    <w:rsid w:val="008D6709"/>
    <w:rsid w:val="008E083A"/>
    <w:rsid w:val="008E0DF8"/>
    <w:rsid w:val="008E0E65"/>
    <w:rsid w:val="008E11BD"/>
    <w:rsid w:val="008E12AD"/>
    <w:rsid w:val="008E16EB"/>
    <w:rsid w:val="008E2152"/>
    <w:rsid w:val="008E22FF"/>
    <w:rsid w:val="008E2450"/>
    <w:rsid w:val="008E297E"/>
    <w:rsid w:val="008E2CAE"/>
    <w:rsid w:val="008E3C35"/>
    <w:rsid w:val="008E3DC5"/>
    <w:rsid w:val="008E3F27"/>
    <w:rsid w:val="008E47EF"/>
    <w:rsid w:val="008E4E6E"/>
    <w:rsid w:val="008E5DB7"/>
    <w:rsid w:val="008E61EB"/>
    <w:rsid w:val="008E6E15"/>
    <w:rsid w:val="008E7896"/>
    <w:rsid w:val="008E79C7"/>
    <w:rsid w:val="008E7B6F"/>
    <w:rsid w:val="008E7C9D"/>
    <w:rsid w:val="008E7D8A"/>
    <w:rsid w:val="008F14C7"/>
    <w:rsid w:val="008F1E9E"/>
    <w:rsid w:val="008F2165"/>
    <w:rsid w:val="008F2477"/>
    <w:rsid w:val="008F2BCD"/>
    <w:rsid w:val="008F3879"/>
    <w:rsid w:val="008F40F4"/>
    <w:rsid w:val="008F5442"/>
    <w:rsid w:val="008F5B93"/>
    <w:rsid w:val="008F636D"/>
    <w:rsid w:val="008F653E"/>
    <w:rsid w:val="008F71CA"/>
    <w:rsid w:val="008F7769"/>
    <w:rsid w:val="008F7D50"/>
    <w:rsid w:val="008F7DBF"/>
    <w:rsid w:val="00900380"/>
    <w:rsid w:val="009004FE"/>
    <w:rsid w:val="00901014"/>
    <w:rsid w:val="009010F0"/>
    <w:rsid w:val="00901162"/>
    <w:rsid w:val="0090176F"/>
    <w:rsid w:val="00901B53"/>
    <w:rsid w:val="0090223A"/>
    <w:rsid w:val="009028E2"/>
    <w:rsid w:val="009039FE"/>
    <w:rsid w:val="00903E9A"/>
    <w:rsid w:val="009048A5"/>
    <w:rsid w:val="00905404"/>
    <w:rsid w:val="00905E19"/>
    <w:rsid w:val="00906477"/>
    <w:rsid w:val="00906478"/>
    <w:rsid w:val="009064D7"/>
    <w:rsid w:val="00906753"/>
    <w:rsid w:val="00907264"/>
    <w:rsid w:val="0090765F"/>
    <w:rsid w:val="0091029A"/>
    <w:rsid w:val="00911305"/>
    <w:rsid w:val="0091162B"/>
    <w:rsid w:val="00912590"/>
    <w:rsid w:val="00912A71"/>
    <w:rsid w:val="00913200"/>
    <w:rsid w:val="009148C0"/>
    <w:rsid w:val="00914EAB"/>
    <w:rsid w:val="009152D8"/>
    <w:rsid w:val="00915A1D"/>
    <w:rsid w:val="009209ED"/>
    <w:rsid w:val="00921875"/>
    <w:rsid w:val="00921C54"/>
    <w:rsid w:val="00922567"/>
    <w:rsid w:val="009228DB"/>
    <w:rsid w:val="00922D49"/>
    <w:rsid w:val="009236B9"/>
    <w:rsid w:val="00923DD8"/>
    <w:rsid w:val="00925E37"/>
    <w:rsid w:val="00925EDD"/>
    <w:rsid w:val="00925F20"/>
    <w:rsid w:val="00927899"/>
    <w:rsid w:val="00927D0E"/>
    <w:rsid w:val="00930968"/>
    <w:rsid w:val="009309DA"/>
    <w:rsid w:val="00931040"/>
    <w:rsid w:val="00931663"/>
    <w:rsid w:val="00931D22"/>
    <w:rsid w:val="00932CC7"/>
    <w:rsid w:val="00934367"/>
    <w:rsid w:val="00934B97"/>
    <w:rsid w:val="00935306"/>
    <w:rsid w:val="009361A4"/>
    <w:rsid w:val="00936688"/>
    <w:rsid w:val="00937683"/>
    <w:rsid w:val="00937AC9"/>
    <w:rsid w:val="00937CFA"/>
    <w:rsid w:val="00940291"/>
    <w:rsid w:val="009406B3"/>
    <w:rsid w:val="0094102B"/>
    <w:rsid w:val="00942286"/>
    <w:rsid w:val="00942359"/>
    <w:rsid w:val="00943524"/>
    <w:rsid w:val="00943748"/>
    <w:rsid w:val="00943CEE"/>
    <w:rsid w:val="009444F4"/>
    <w:rsid w:val="00944674"/>
    <w:rsid w:val="00945CC4"/>
    <w:rsid w:val="00945CF5"/>
    <w:rsid w:val="0094691C"/>
    <w:rsid w:val="0094719A"/>
    <w:rsid w:val="00947C95"/>
    <w:rsid w:val="00947EED"/>
    <w:rsid w:val="009500A1"/>
    <w:rsid w:val="0095037E"/>
    <w:rsid w:val="00951D97"/>
    <w:rsid w:val="00951DA9"/>
    <w:rsid w:val="00951E63"/>
    <w:rsid w:val="00952230"/>
    <w:rsid w:val="00952266"/>
    <w:rsid w:val="00952A37"/>
    <w:rsid w:val="00952AAD"/>
    <w:rsid w:val="009532F7"/>
    <w:rsid w:val="00953B2B"/>
    <w:rsid w:val="00954567"/>
    <w:rsid w:val="009547B3"/>
    <w:rsid w:val="00954A89"/>
    <w:rsid w:val="00956671"/>
    <w:rsid w:val="00957466"/>
    <w:rsid w:val="009576F7"/>
    <w:rsid w:val="00957A36"/>
    <w:rsid w:val="00960722"/>
    <w:rsid w:val="00961356"/>
    <w:rsid w:val="00961396"/>
    <w:rsid w:val="00961449"/>
    <w:rsid w:val="00961C3E"/>
    <w:rsid w:val="00962401"/>
    <w:rsid w:val="00962510"/>
    <w:rsid w:val="0096260B"/>
    <w:rsid w:val="0096275C"/>
    <w:rsid w:val="009627FF"/>
    <w:rsid w:val="00962A27"/>
    <w:rsid w:val="00962B9D"/>
    <w:rsid w:val="00962EDC"/>
    <w:rsid w:val="00963346"/>
    <w:rsid w:val="00964E3D"/>
    <w:rsid w:val="009654AD"/>
    <w:rsid w:val="009664D5"/>
    <w:rsid w:val="0096705C"/>
    <w:rsid w:val="009670B3"/>
    <w:rsid w:val="009670C1"/>
    <w:rsid w:val="00967657"/>
    <w:rsid w:val="00970C69"/>
    <w:rsid w:val="00971F1C"/>
    <w:rsid w:val="0097211D"/>
    <w:rsid w:val="009724F9"/>
    <w:rsid w:val="0097263C"/>
    <w:rsid w:val="00972DD0"/>
    <w:rsid w:val="00972DF9"/>
    <w:rsid w:val="00972E10"/>
    <w:rsid w:val="009738AD"/>
    <w:rsid w:val="00973AE5"/>
    <w:rsid w:val="00974694"/>
    <w:rsid w:val="009746CA"/>
    <w:rsid w:val="00974E7C"/>
    <w:rsid w:val="00977134"/>
    <w:rsid w:val="00977CB2"/>
    <w:rsid w:val="00980013"/>
    <w:rsid w:val="00980E65"/>
    <w:rsid w:val="00981963"/>
    <w:rsid w:val="00981E93"/>
    <w:rsid w:val="009831B9"/>
    <w:rsid w:val="00983C82"/>
    <w:rsid w:val="009841EB"/>
    <w:rsid w:val="009844D6"/>
    <w:rsid w:val="00984520"/>
    <w:rsid w:val="0098545C"/>
    <w:rsid w:val="00985B68"/>
    <w:rsid w:val="009862F1"/>
    <w:rsid w:val="0098702A"/>
    <w:rsid w:val="009871EA"/>
    <w:rsid w:val="00991675"/>
    <w:rsid w:val="00991A56"/>
    <w:rsid w:val="00992695"/>
    <w:rsid w:val="00992A08"/>
    <w:rsid w:val="00992BA2"/>
    <w:rsid w:val="00992F83"/>
    <w:rsid w:val="0099344F"/>
    <w:rsid w:val="00993A3C"/>
    <w:rsid w:val="00994263"/>
    <w:rsid w:val="0099508A"/>
    <w:rsid w:val="009957F5"/>
    <w:rsid w:val="009974EB"/>
    <w:rsid w:val="00997A12"/>
    <w:rsid w:val="009A06F5"/>
    <w:rsid w:val="009A1126"/>
    <w:rsid w:val="009A2B9D"/>
    <w:rsid w:val="009A35F8"/>
    <w:rsid w:val="009A43A1"/>
    <w:rsid w:val="009A5564"/>
    <w:rsid w:val="009A7469"/>
    <w:rsid w:val="009B07EE"/>
    <w:rsid w:val="009B1584"/>
    <w:rsid w:val="009B1B32"/>
    <w:rsid w:val="009B21CA"/>
    <w:rsid w:val="009B2251"/>
    <w:rsid w:val="009B2648"/>
    <w:rsid w:val="009B38A6"/>
    <w:rsid w:val="009B424E"/>
    <w:rsid w:val="009B4317"/>
    <w:rsid w:val="009B4EBB"/>
    <w:rsid w:val="009B529C"/>
    <w:rsid w:val="009B6A17"/>
    <w:rsid w:val="009B7332"/>
    <w:rsid w:val="009B7420"/>
    <w:rsid w:val="009B7B46"/>
    <w:rsid w:val="009C0294"/>
    <w:rsid w:val="009C03E5"/>
    <w:rsid w:val="009C07CF"/>
    <w:rsid w:val="009C08B6"/>
    <w:rsid w:val="009C0920"/>
    <w:rsid w:val="009C12C3"/>
    <w:rsid w:val="009C18F9"/>
    <w:rsid w:val="009C196C"/>
    <w:rsid w:val="009C1B5C"/>
    <w:rsid w:val="009C36E6"/>
    <w:rsid w:val="009C3730"/>
    <w:rsid w:val="009C37BD"/>
    <w:rsid w:val="009C3888"/>
    <w:rsid w:val="009C3AAC"/>
    <w:rsid w:val="009C4D19"/>
    <w:rsid w:val="009C53AC"/>
    <w:rsid w:val="009C5B58"/>
    <w:rsid w:val="009C5F6C"/>
    <w:rsid w:val="009C5FDB"/>
    <w:rsid w:val="009C693E"/>
    <w:rsid w:val="009C6B2C"/>
    <w:rsid w:val="009C6ED6"/>
    <w:rsid w:val="009C70CB"/>
    <w:rsid w:val="009C7623"/>
    <w:rsid w:val="009D07F9"/>
    <w:rsid w:val="009D14EB"/>
    <w:rsid w:val="009D15AA"/>
    <w:rsid w:val="009D1B18"/>
    <w:rsid w:val="009D1E70"/>
    <w:rsid w:val="009D1EA4"/>
    <w:rsid w:val="009D27AA"/>
    <w:rsid w:val="009D2BFD"/>
    <w:rsid w:val="009D2FF8"/>
    <w:rsid w:val="009D3F20"/>
    <w:rsid w:val="009D428F"/>
    <w:rsid w:val="009D4991"/>
    <w:rsid w:val="009D5647"/>
    <w:rsid w:val="009D597B"/>
    <w:rsid w:val="009D5BB5"/>
    <w:rsid w:val="009D683D"/>
    <w:rsid w:val="009D696D"/>
    <w:rsid w:val="009D6993"/>
    <w:rsid w:val="009D6ED2"/>
    <w:rsid w:val="009E08B3"/>
    <w:rsid w:val="009E0F1A"/>
    <w:rsid w:val="009E140D"/>
    <w:rsid w:val="009E43DD"/>
    <w:rsid w:val="009E4465"/>
    <w:rsid w:val="009E5318"/>
    <w:rsid w:val="009E6053"/>
    <w:rsid w:val="009E6401"/>
    <w:rsid w:val="009E6C54"/>
    <w:rsid w:val="009F04C8"/>
    <w:rsid w:val="009F0812"/>
    <w:rsid w:val="009F0E02"/>
    <w:rsid w:val="009F248B"/>
    <w:rsid w:val="009F2A25"/>
    <w:rsid w:val="009F3A1A"/>
    <w:rsid w:val="009F4021"/>
    <w:rsid w:val="009F43AF"/>
    <w:rsid w:val="009F4C7D"/>
    <w:rsid w:val="009F5235"/>
    <w:rsid w:val="009F531A"/>
    <w:rsid w:val="009F6344"/>
    <w:rsid w:val="009F6550"/>
    <w:rsid w:val="009F6B65"/>
    <w:rsid w:val="009F786E"/>
    <w:rsid w:val="00A00902"/>
    <w:rsid w:val="00A0098B"/>
    <w:rsid w:val="00A01084"/>
    <w:rsid w:val="00A01544"/>
    <w:rsid w:val="00A0294E"/>
    <w:rsid w:val="00A039FF"/>
    <w:rsid w:val="00A03DBE"/>
    <w:rsid w:val="00A04524"/>
    <w:rsid w:val="00A051A5"/>
    <w:rsid w:val="00A05216"/>
    <w:rsid w:val="00A05707"/>
    <w:rsid w:val="00A05AC7"/>
    <w:rsid w:val="00A05ACE"/>
    <w:rsid w:val="00A06FB9"/>
    <w:rsid w:val="00A1028D"/>
    <w:rsid w:val="00A10E3B"/>
    <w:rsid w:val="00A11464"/>
    <w:rsid w:val="00A114B9"/>
    <w:rsid w:val="00A13A65"/>
    <w:rsid w:val="00A13E97"/>
    <w:rsid w:val="00A14589"/>
    <w:rsid w:val="00A14AE3"/>
    <w:rsid w:val="00A14FCF"/>
    <w:rsid w:val="00A15C1D"/>
    <w:rsid w:val="00A16675"/>
    <w:rsid w:val="00A17EB7"/>
    <w:rsid w:val="00A21955"/>
    <w:rsid w:val="00A22CD6"/>
    <w:rsid w:val="00A234C3"/>
    <w:rsid w:val="00A234EC"/>
    <w:rsid w:val="00A24128"/>
    <w:rsid w:val="00A2417A"/>
    <w:rsid w:val="00A24EA1"/>
    <w:rsid w:val="00A25642"/>
    <w:rsid w:val="00A25D90"/>
    <w:rsid w:val="00A26668"/>
    <w:rsid w:val="00A2681F"/>
    <w:rsid w:val="00A27804"/>
    <w:rsid w:val="00A27C85"/>
    <w:rsid w:val="00A32438"/>
    <w:rsid w:val="00A3276D"/>
    <w:rsid w:val="00A32E79"/>
    <w:rsid w:val="00A32F4D"/>
    <w:rsid w:val="00A334D1"/>
    <w:rsid w:val="00A336F1"/>
    <w:rsid w:val="00A34257"/>
    <w:rsid w:val="00A3655D"/>
    <w:rsid w:val="00A36822"/>
    <w:rsid w:val="00A368D5"/>
    <w:rsid w:val="00A36AB5"/>
    <w:rsid w:val="00A374FD"/>
    <w:rsid w:val="00A3754B"/>
    <w:rsid w:val="00A378AC"/>
    <w:rsid w:val="00A402DD"/>
    <w:rsid w:val="00A4069E"/>
    <w:rsid w:val="00A40A1F"/>
    <w:rsid w:val="00A40BBF"/>
    <w:rsid w:val="00A411D1"/>
    <w:rsid w:val="00A43389"/>
    <w:rsid w:val="00A434A7"/>
    <w:rsid w:val="00A439C2"/>
    <w:rsid w:val="00A43E71"/>
    <w:rsid w:val="00A44D38"/>
    <w:rsid w:val="00A45753"/>
    <w:rsid w:val="00A457B8"/>
    <w:rsid w:val="00A4774D"/>
    <w:rsid w:val="00A47B15"/>
    <w:rsid w:val="00A5094A"/>
    <w:rsid w:val="00A51708"/>
    <w:rsid w:val="00A52F84"/>
    <w:rsid w:val="00A533CC"/>
    <w:rsid w:val="00A54284"/>
    <w:rsid w:val="00A5465A"/>
    <w:rsid w:val="00A54FB5"/>
    <w:rsid w:val="00A56B05"/>
    <w:rsid w:val="00A56C06"/>
    <w:rsid w:val="00A56E50"/>
    <w:rsid w:val="00A5726C"/>
    <w:rsid w:val="00A57678"/>
    <w:rsid w:val="00A57972"/>
    <w:rsid w:val="00A579F5"/>
    <w:rsid w:val="00A57F83"/>
    <w:rsid w:val="00A60A06"/>
    <w:rsid w:val="00A60E2F"/>
    <w:rsid w:val="00A61AB1"/>
    <w:rsid w:val="00A625DF"/>
    <w:rsid w:val="00A627AD"/>
    <w:rsid w:val="00A62A69"/>
    <w:rsid w:val="00A630FA"/>
    <w:rsid w:val="00A63246"/>
    <w:rsid w:val="00A63284"/>
    <w:rsid w:val="00A63458"/>
    <w:rsid w:val="00A6372D"/>
    <w:rsid w:val="00A63BAF"/>
    <w:rsid w:val="00A64CB8"/>
    <w:rsid w:val="00A64F23"/>
    <w:rsid w:val="00A65252"/>
    <w:rsid w:val="00A66065"/>
    <w:rsid w:val="00A66291"/>
    <w:rsid w:val="00A665DB"/>
    <w:rsid w:val="00A66BDE"/>
    <w:rsid w:val="00A67018"/>
    <w:rsid w:val="00A6709C"/>
    <w:rsid w:val="00A671D2"/>
    <w:rsid w:val="00A67289"/>
    <w:rsid w:val="00A672F3"/>
    <w:rsid w:val="00A673DC"/>
    <w:rsid w:val="00A7076E"/>
    <w:rsid w:val="00A709BE"/>
    <w:rsid w:val="00A70D85"/>
    <w:rsid w:val="00A7162E"/>
    <w:rsid w:val="00A72D71"/>
    <w:rsid w:val="00A73112"/>
    <w:rsid w:val="00A73617"/>
    <w:rsid w:val="00A747D2"/>
    <w:rsid w:val="00A75123"/>
    <w:rsid w:val="00A7520B"/>
    <w:rsid w:val="00A75705"/>
    <w:rsid w:val="00A75F35"/>
    <w:rsid w:val="00A76205"/>
    <w:rsid w:val="00A7638B"/>
    <w:rsid w:val="00A765A9"/>
    <w:rsid w:val="00A77C69"/>
    <w:rsid w:val="00A80CD3"/>
    <w:rsid w:val="00A812B1"/>
    <w:rsid w:val="00A82C61"/>
    <w:rsid w:val="00A82D72"/>
    <w:rsid w:val="00A8301B"/>
    <w:rsid w:val="00A83049"/>
    <w:rsid w:val="00A8368D"/>
    <w:rsid w:val="00A83945"/>
    <w:rsid w:val="00A83953"/>
    <w:rsid w:val="00A83CD7"/>
    <w:rsid w:val="00A8400B"/>
    <w:rsid w:val="00A8416A"/>
    <w:rsid w:val="00A846DA"/>
    <w:rsid w:val="00A84BD6"/>
    <w:rsid w:val="00A853D8"/>
    <w:rsid w:val="00A8661E"/>
    <w:rsid w:val="00A86819"/>
    <w:rsid w:val="00A8695A"/>
    <w:rsid w:val="00A86ACF"/>
    <w:rsid w:val="00A8708E"/>
    <w:rsid w:val="00A903B6"/>
    <w:rsid w:val="00A90F4F"/>
    <w:rsid w:val="00A913F4"/>
    <w:rsid w:val="00A92579"/>
    <w:rsid w:val="00A936F9"/>
    <w:rsid w:val="00A94736"/>
    <w:rsid w:val="00A947AA"/>
    <w:rsid w:val="00A947FB"/>
    <w:rsid w:val="00A94888"/>
    <w:rsid w:val="00A94DD5"/>
    <w:rsid w:val="00A9681C"/>
    <w:rsid w:val="00A96867"/>
    <w:rsid w:val="00A96B3D"/>
    <w:rsid w:val="00AA1B53"/>
    <w:rsid w:val="00AA1D4E"/>
    <w:rsid w:val="00AA1DEA"/>
    <w:rsid w:val="00AA256D"/>
    <w:rsid w:val="00AA311D"/>
    <w:rsid w:val="00AA3556"/>
    <w:rsid w:val="00AA35FD"/>
    <w:rsid w:val="00AA3DB7"/>
    <w:rsid w:val="00AA41D3"/>
    <w:rsid w:val="00AA4501"/>
    <w:rsid w:val="00AA5D0E"/>
    <w:rsid w:val="00AA641E"/>
    <w:rsid w:val="00AB0039"/>
    <w:rsid w:val="00AB0D96"/>
    <w:rsid w:val="00AB15A3"/>
    <w:rsid w:val="00AB177A"/>
    <w:rsid w:val="00AB216D"/>
    <w:rsid w:val="00AB3012"/>
    <w:rsid w:val="00AB321C"/>
    <w:rsid w:val="00AB473F"/>
    <w:rsid w:val="00AB4C91"/>
    <w:rsid w:val="00AB4E3B"/>
    <w:rsid w:val="00AB5381"/>
    <w:rsid w:val="00AB688F"/>
    <w:rsid w:val="00AB75EA"/>
    <w:rsid w:val="00AB788B"/>
    <w:rsid w:val="00AB7AA2"/>
    <w:rsid w:val="00AC0A22"/>
    <w:rsid w:val="00AC1515"/>
    <w:rsid w:val="00AC2234"/>
    <w:rsid w:val="00AC3F49"/>
    <w:rsid w:val="00AC3FE1"/>
    <w:rsid w:val="00AC3FF3"/>
    <w:rsid w:val="00AC4BC1"/>
    <w:rsid w:val="00AC5715"/>
    <w:rsid w:val="00AC6470"/>
    <w:rsid w:val="00AD04BD"/>
    <w:rsid w:val="00AD0765"/>
    <w:rsid w:val="00AD0C55"/>
    <w:rsid w:val="00AD0F00"/>
    <w:rsid w:val="00AD3CF8"/>
    <w:rsid w:val="00AD41F1"/>
    <w:rsid w:val="00AD55A8"/>
    <w:rsid w:val="00AD5CA4"/>
    <w:rsid w:val="00AD6A91"/>
    <w:rsid w:val="00AD7214"/>
    <w:rsid w:val="00AE04DB"/>
    <w:rsid w:val="00AE0A44"/>
    <w:rsid w:val="00AE0F6F"/>
    <w:rsid w:val="00AE1066"/>
    <w:rsid w:val="00AE14DD"/>
    <w:rsid w:val="00AE16D1"/>
    <w:rsid w:val="00AE28A3"/>
    <w:rsid w:val="00AE2F76"/>
    <w:rsid w:val="00AE2FA5"/>
    <w:rsid w:val="00AE3A4F"/>
    <w:rsid w:val="00AE4518"/>
    <w:rsid w:val="00AE5D7F"/>
    <w:rsid w:val="00AE79F0"/>
    <w:rsid w:val="00AF07B0"/>
    <w:rsid w:val="00AF108C"/>
    <w:rsid w:val="00AF109C"/>
    <w:rsid w:val="00AF1752"/>
    <w:rsid w:val="00AF3CDA"/>
    <w:rsid w:val="00AF42FC"/>
    <w:rsid w:val="00AF4AC5"/>
    <w:rsid w:val="00AF4C2C"/>
    <w:rsid w:val="00AF58F7"/>
    <w:rsid w:val="00AF597D"/>
    <w:rsid w:val="00AF5FD2"/>
    <w:rsid w:val="00AF6EC1"/>
    <w:rsid w:val="00AF75A7"/>
    <w:rsid w:val="00AF77DD"/>
    <w:rsid w:val="00AF784D"/>
    <w:rsid w:val="00AF7AE0"/>
    <w:rsid w:val="00AF7CE9"/>
    <w:rsid w:val="00B00331"/>
    <w:rsid w:val="00B014A1"/>
    <w:rsid w:val="00B01A80"/>
    <w:rsid w:val="00B046AF"/>
    <w:rsid w:val="00B06036"/>
    <w:rsid w:val="00B061B4"/>
    <w:rsid w:val="00B06E32"/>
    <w:rsid w:val="00B06ECC"/>
    <w:rsid w:val="00B07C27"/>
    <w:rsid w:val="00B07FB2"/>
    <w:rsid w:val="00B10017"/>
    <w:rsid w:val="00B1004A"/>
    <w:rsid w:val="00B101CE"/>
    <w:rsid w:val="00B109D0"/>
    <w:rsid w:val="00B10DE1"/>
    <w:rsid w:val="00B10FF8"/>
    <w:rsid w:val="00B11667"/>
    <w:rsid w:val="00B11E02"/>
    <w:rsid w:val="00B12710"/>
    <w:rsid w:val="00B12AB7"/>
    <w:rsid w:val="00B12F0D"/>
    <w:rsid w:val="00B13A85"/>
    <w:rsid w:val="00B13AC5"/>
    <w:rsid w:val="00B13BC7"/>
    <w:rsid w:val="00B13CD4"/>
    <w:rsid w:val="00B153D8"/>
    <w:rsid w:val="00B154DE"/>
    <w:rsid w:val="00B15814"/>
    <w:rsid w:val="00B15AA4"/>
    <w:rsid w:val="00B15AF7"/>
    <w:rsid w:val="00B17B14"/>
    <w:rsid w:val="00B203C4"/>
    <w:rsid w:val="00B20863"/>
    <w:rsid w:val="00B20BEC"/>
    <w:rsid w:val="00B20CDD"/>
    <w:rsid w:val="00B22683"/>
    <w:rsid w:val="00B22BC9"/>
    <w:rsid w:val="00B22E81"/>
    <w:rsid w:val="00B232FE"/>
    <w:rsid w:val="00B23996"/>
    <w:rsid w:val="00B23A8A"/>
    <w:rsid w:val="00B23CB2"/>
    <w:rsid w:val="00B24030"/>
    <w:rsid w:val="00B240CC"/>
    <w:rsid w:val="00B24E14"/>
    <w:rsid w:val="00B2561A"/>
    <w:rsid w:val="00B256C1"/>
    <w:rsid w:val="00B258B8"/>
    <w:rsid w:val="00B25A64"/>
    <w:rsid w:val="00B25B94"/>
    <w:rsid w:val="00B271F2"/>
    <w:rsid w:val="00B31884"/>
    <w:rsid w:val="00B31D19"/>
    <w:rsid w:val="00B3204C"/>
    <w:rsid w:val="00B320A4"/>
    <w:rsid w:val="00B32AB3"/>
    <w:rsid w:val="00B32DAE"/>
    <w:rsid w:val="00B32E0C"/>
    <w:rsid w:val="00B33825"/>
    <w:rsid w:val="00B34A61"/>
    <w:rsid w:val="00B34BB2"/>
    <w:rsid w:val="00B34E7C"/>
    <w:rsid w:val="00B34FA4"/>
    <w:rsid w:val="00B35AF6"/>
    <w:rsid w:val="00B36228"/>
    <w:rsid w:val="00B3645D"/>
    <w:rsid w:val="00B366A3"/>
    <w:rsid w:val="00B368EA"/>
    <w:rsid w:val="00B37EEF"/>
    <w:rsid w:val="00B418AD"/>
    <w:rsid w:val="00B42F1A"/>
    <w:rsid w:val="00B43790"/>
    <w:rsid w:val="00B443D9"/>
    <w:rsid w:val="00B44531"/>
    <w:rsid w:val="00B46521"/>
    <w:rsid w:val="00B46563"/>
    <w:rsid w:val="00B46587"/>
    <w:rsid w:val="00B47A17"/>
    <w:rsid w:val="00B47AD2"/>
    <w:rsid w:val="00B47CF7"/>
    <w:rsid w:val="00B50686"/>
    <w:rsid w:val="00B50C50"/>
    <w:rsid w:val="00B513C0"/>
    <w:rsid w:val="00B51EA5"/>
    <w:rsid w:val="00B53708"/>
    <w:rsid w:val="00B53DCB"/>
    <w:rsid w:val="00B5428F"/>
    <w:rsid w:val="00B54370"/>
    <w:rsid w:val="00B54A9E"/>
    <w:rsid w:val="00B54CAD"/>
    <w:rsid w:val="00B54DEA"/>
    <w:rsid w:val="00B55185"/>
    <w:rsid w:val="00B55C03"/>
    <w:rsid w:val="00B55F0B"/>
    <w:rsid w:val="00B56A70"/>
    <w:rsid w:val="00B57305"/>
    <w:rsid w:val="00B5774E"/>
    <w:rsid w:val="00B5786B"/>
    <w:rsid w:val="00B60638"/>
    <w:rsid w:val="00B606F8"/>
    <w:rsid w:val="00B61923"/>
    <w:rsid w:val="00B621D6"/>
    <w:rsid w:val="00B63AF2"/>
    <w:rsid w:val="00B640E2"/>
    <w:rsid w:val="00B642F2"/>
    <w:rsid w:val="00B64493"/>
    <w:rsid w:val="00B65747"/>
    <w:rsid w:val="00B65D6F"/>
    <w:rsid w:val="00B65FAD"/>
    <w:rsid w:val="00B66174"/>
    <w:rsid w:val="00B67B37"/>
    <w:rsid w:val="00B67C23"/>
    <w:rsid w:val="00B7079B"/>
    <w:rsid w:val="00B70DC7"/>
    <w:rsid w:val="00B70E45"/>
    <w:rsid w:val="00B71E1D"/>
    <w:rsid w:val="00B721A4"/>
    <w:rsid w:val="00B72B5B"/>
    <w:rsid w:val="00B72EFF"/>
    <w:rsid w:val="00B750C2"/>
    <w:rsid w:val="00B756CB"/>
    <w:rsid w:val="00B75735"/>
    <w:rsid w:val="00B758F1"/>
    <w:rsid w:val="00B76410"/>
    <w:rsid w:val="00B76CA3"/>
    <w:rsid w:val="00B77142"/>
    <w:rsid w:val="00B80879"/>
    <w:rsid w:val="00B80A2C"/>
    <w:rsid w:val="00B80D3B"/>
    <w:rsid w:val="00B8135C"/>
    <w:rsid w:val="00B814BB"/>
    <w:rsid w:val="00B81730"/>
    <w:rsid w:val="00B81B36"/>
    <w:rsid w:val="00B81B61"/>
    <w:rsid w:val="00B81F60"/>
    <w:rsid w:val="00B82123"/>
    <w:rsid w:val="00B82309"/>
    <w:rsid w:val="00B823D4"/>
    <w:rsid w:val="00B8259E"/>
    <w:rsid w:val="00B8313D"/>
    <w:rsid w:val="00B8314A"/>
    <w:rsid w:val="00B841AC"/>
    <w:rsid w:val="00B84829"/>
    <w:rsid w:val="00B84D87"/>
    <w:rsid w:val="00B85873"/>
    <w:rsid w:val="00B85E95"/>
    <w:rsid w:val="00B865B0"/>
    <w:rsid w:val="00B865DC"/>
    <w:rsid w:val="00B870E8"/>
    <w:rsid w:val="00B8712D"/>
    <w:rsid w:val="00B875E3"/>
    <w:rsid w:val="00B87C29"/>
    <w:rsid w:val="00B90780"/>
    <w:rsid w:val="00B90968"/>
    <w:rsid w:val="00B9194A"/>
    <w:rsid w:val="00B91BC2"/>
    <w:rsid w:val="00B91E59"/>
    <w:rsid w:val="00B9240D"/>
    <w:rsid w:val="00B94960"/>
    <w:rsid w:val="00B96F6E"/>
    <w:rsid w:val="00BA22A8"/>
    <w:rsid w:val="00BA309F"/>
    <w:rsid w:val="00BA3E48"/>
    <w:rsid w:val="00BA4905"/>
    <w:rsid w:val="00BA4BD3"/>
    <w:rsid w:val="00BA6E49"/>
    <w:rsid w:val="00BB0187"/>
    <w:rsid w:val="00BB0E56"/>
    <w:rsid w:val="00BB133F"/>
    <w:rsid w:val="00BB1EB3"/>
    <w:rsid w:val="00BB2678"/>
    <w:rsid w:val="00BB2EA5"/>
    <w:rsid w:val="00BB3077"/>
    <w:rsid w:val="00BB33A8"/>
    <w:rsid w:val="00BB3927"/>
    <w:rsid w:val="00BB3D8C"/>
    <w:rsid w:val="00BB4B2E"/>
    <w:rsid w:val="00BB4B39"/>
    <w:rsid w:val="00BB53AF"/>
    <w:rsid w:val="00BB57D8"/>
    <w:rsid w:val="00BB5883"/>
    <w:rsid w:val="00BB5C26"/>
    <w:rsid w:val="00BB6A40"/>
    <w:rsid w:val="00BB6F1F"/>
    <w:rsid w:val="00BB746B"/>
    <w:rsid w:val="00BB7749"/>
    <w:rsid w:val="00BC013A"/>
    <w:rsid w:val="00BC0715"/>
    <w:rsid w:val="00BC162A"/>
    <w:rsid w:val="00BC1E82"/>
    <w:rsid w:val="00BC2343"/>
    <w:rsid w:val="00BC5482"/>
    <w:rsid w:val="00BC5824"/>
    <w:rsid w:val="00BC5F97"/>
    <w:rsid w:val="00BC702F"/>
    <w:rsid w:val="00BC75D4"/>
    <w:rsid w:val="00BD0846"/>
    <w:rsid w:val="00BD0ECF"/>
    <w:rsid w:val="00BD1D5C"/>
    <w:rsid w:val="00BD30C8"/>
    <w:rsid w:val="00BD38F4"/>
    <w:rsid w:val="00BD3EB4"/>
    <w:rsid w:val="00BD4816"/>
    <w:rsid w:val="00BD4C5B"/>
    <w:rsid w:val="00BD4D6D"/>
    <w:rsid w:val="00BD5359"/>
    <w:rsid w:val="00BD5C65"/>
    <w:rsid w:val="00BD641A"/>
    <w:rsid w:val="00BD7BCC"/>
    <w:rsid w:val="00BD7EA8"/>
    <w:rsid w:val="00BE0717"/>
    <w:rsid w:val="00BE0C48"/>
    <w:rsid w:val="00BE16E9"/>
    <w:rsid w:val="00BE2730"/>
    <w:rsid w:val="00BE2A17"/>
    <w:rsid w:val="00BE2BD2"/>
    <w:rsid w:val="00BE2F2F"/>
    <w:rsid w:val="00BE31BE"/>
    <w:rsid w:val="00BE3A1D"/>
    <w:rsid w:val="00BE3B92"/>
    <w:rsid w:val="00BE3C6E"/>
    <w:rsid w:val="00BE487E"/>
    <w:rsid w:val="00BE6018"/>
    <w:rsid w:val="00BE653D"/>
    <w:rsid w:val="00BE6BA7"/>
    <w:rsid w:val="00BE707C"/>
    <w:rsid w:val="00BE7086"/>
    <w:rsid w:val="00BE7278"/>
    <w:rsid w:val="00BF09AD"/>
    <w:rsid w:val="00BF1F57"/>
    <w:rsid w:val="00BF20FD"/>
    <w:rsid w:val="00BF2239"/>
    <w:rsid w:val="00BF22C6"/>
    <w:rsid w:val="00BF34C2"/>
    <w:rsid w:val="00BF3804"/>
    <w:rsid w:val="00BF3B4E"/>
    <w:rsid w:val="00BF4086"/>
    <w:rsid w:val="00BF426C"/>
    <w:rsid w:val="00BF4594"/>
    <w:rsid w:val="00BF58D0"/>
    <w:rsid w:val="00BF5EE5"/>
    <w:rsid w:val="00BF6027"/>
    <w:rsid w:val="00BF6702"/>
    <w:rsid w:val="00BF6EAE"/>
    <w:rsid w:val="00BF7952"/>
    <w:rsid w:val="00BF7D6A"/>
    <w:rsid w:val="00C0021D"/>
    <w:rsid w:val="00C00300"/>
    <w:rsid w:val="00C00A2F"/>
    <w:rsid w:val="00C00A6C"/>
    <w:rsid w:val="00C00B8B"/>
    <w:rsid w:val="00C013E1"/>
    <w:rsid w:val="00C01611"/>
    <w:rsid w:val="00C02363"/>
    <w:rsid w:val="00C02BDB"/>
    <w:rsid w:val="00C02D59"/>
    <w:rsid w:val="00C02FE3"/>
    <w:rsid w:val="00C030B6"/>
    <w:rsid w:val="00C03284"/>
    <w:rsid w:val="00C034E1"/>
    <w:rsid w:val="00C03B3A"/>
    <w:rsid w:val="00C03CD4"/>
    <w:rsid w:val="00C04694"/>
    <w:rsid w:val="00C050C4"/>
    <w:rsid w:val="00C050D7"/>
    <w:rsid w:val="00C05B5F"/>
    <w:rsid w:val="00C07D5A"/>
    <w:rsid w:val="00C10086"/>
    <w:rsid w:val="00C104CC"/>
    <w:rsid w:val="00C11521"/>
    <w:rsid w:val="00C11F40"/>
    <w:rsid w:val="00C142AD"/>
    <w:rsid w:val="00C142C1"/>
    <w:rsid w:val="00C14A30"/>
    <w:rsid w:val="00C152FE"/>
    <w:rsid w:val="00C15A6C"/>
    <w:rsid w:val="00C15D1B"/>
    <w:rsid w:val="00C15D64"/>
    <w:rsid w:val="00C16739"/>
    <w:rsid w:val="00C168DD"/>
    <w:rsid w:val="00C176CC"/>
    <w:rsid w:val="00C1799E"/>
    <w:rsid w:val="00C17BA1"/>
    <w:rsid w:val="00C2061A"/>
    <w:rsid w:val="00C21031"/>
    <w:rsid w:val="00C221B9"/>
    <w:rsid w:val="00C225EA"/>
    <w:rsid w:val="00C22CCE"/>
    <w:rsid w:val="00C232BC"/>
    <w:rsid w:val="00C23BA2"/>
    <w:rsid w:val="00C2485F"/>
    <w:rsid w:val="00C248B1"/>
    <w:rsid w:val="00C24B63"/>
    <w:rsid w:val="00C262A0"/>
    <w:rsid w:val="00C26A4E"/>
    <w:rsid w:val="00C26B1E"/>
    <w:rsid w:val="00C27E69"/>
    <w:rsid w:val="00C31195"/>
    <w:rsid w:val="00C31774"/>
    <w:rsid w:val="00C3180E"/>
    <w:rsid w:val="00C32AF2"/>
    <w:rsid w:val="00C32DB5"/>
    <w:rsid w:val="00C33051"/>
    <w:rsid w:val="00C33204"/>
    <w:rsid w:val="00C338EB"/>
    <w:rsid w:val="00C34389"/>
    <w:rsid w:val="00C34556"/>
    <w:rsid w:val="00C3465D"/>
    <w:rsid w:val="00C347D5"/>
    <w:rsid w:val="00C35130"/>
    <w:rsid w:val="00C3667F"/>
    <w:rsid w:val="00C371C9"/>
    <w:rsid w:val="00C379E9"/>
    <w:rsid w:val="00C37A2C"/>
    <w:rsid w:val="00C403CD"/>
    <w:rsid w:val="00C41351"/>
    <w:rsid w:val="00C41B32"/>
    <w:rsid w:val="00C42041"/>
    <w:rsid w:val="00C42363"/>
    <w:rsid w:val="00C42530"/>
    <w:rsid w:val="00C4323E"/>
    <w:rsid w:val="00C4340A"/>
    <w:rsid w:val="00C4386E"/>
    <w:rsid w:val="00C43934"/>
    <w:rsid w:val="00C439FB"/>
    <w:rsid w:val="00C43AA8"/>
    <w:rsid w:val="00C43F23"/>
    <w:rsid w:val="00C441A4"/>
    <w:rsid w:val="00C442E0"/>
    <w:rsid w:val="00C4526F"/>
    <w:rsid w:val="00C463C9"/>
    <w:rsid w:val="00C46E9F"/>
    <w:rsid w:val="00C47648"/>
    <w:rsid w:val="00C47852"/>
    <w:rsid w:val="00C50011"/>
    <w:rsid w:val="00C50050"/>
    <w:rsid w:val="00C500AF"/>
    <w:rsid w:val="00C5254B"/>
    <w:rsid w:val="00C555FC"/>
    <w:rsid w:val="00C55D39"/>
    <w:rsid w:val="00C55FBF"/>
    <w:rsid w:val="00C57CC1"/>
    <w:rsid w:val="00C57E68"/>
    <w:rsid w:val="00C601C9"/>
    <w:rsid w:val="00C623C6"/>
    <w:rsid w:val="00C62479"/>
    <w:rsid w:val="00C627B8"/>
    <w:rsid w:val="00C631D3"/>
    <w:rsid w:val="00C645E6"/>
    <w:rsid w:val="00C64813"/>
    <w:rsid w:val="00C64BC2"/>
    <w:rsid w:val="00C64D82"/>
    <w:rsid w:val="00C64FBC"/>
    <w:rsid w:val="00C65A83"/>
    <w:rsid w:val="00C6657F"/>
    <w:rsid w:val="00C6678B"/>
    <w:rsid w:val="00C66A00"/>
    <w:rsid w:val="00C66CBE"/>
    <w:rsid w:val="00C67118"/>
    <w:rsid w:val="00C67276"/>
    <w:rsid w:val="00C67DDD"/>
    <w:rsid w:val="00C70139"/>
    <w:rsid w:val="00C70704"/>
    <w:rsid w:val="00C70D3A"/>
    <w:rsid w:val="00C7191D"/>
    <w:rsid w:val="00C72C6F"/>
    <w:rsid w:val="00C73391"/>
    <w:rsid w:val="00C74453"/>
    <w:rsid w:val="00C74516"/>
    <w:rsid w:val="00C7473A"/>
    <w:rsid w:val="00C74785"/>
    <w:rsid w:val="00C75AB0"/>
    <w:rsid w:val="00C76166"/>
    <w:rsid w:val="00C76B7B"/>
    <w:rsid w:val="00C76BBD"/>
    <w:rsid w:val="00C76DE2"/>
    <w:rsid w:val="00C772BA"/>
    <w:rsid w:val="00C802D1"/>
    <w:rsid w:val="00C8036C"/>
    <w:rsid w:val="00C80CD8"/>
    <w:rsid w:val="00C80F23"/>
    <w:rsid w:val="00C81151"/>
    <w:rsid w:val="00C81C05"/>
    <w:rsid w:val="00C82AE7"/>
    <w:rsid w:val="00C82CC6"/>
    <w:rsid w:val="00C82F95"/>
    <w:rsid w:val="00C839CB"/>
    <w:rsid w:val="00C8451B"/>
    <w:rsid w:val="00C84593"/>
    <w:rsid w:val="00C850A3"/>
    <w:rsid w:val="00C8520A"/>
    <w:rsid w:val="00C85C32"/>
    <w:rsid w:val="00C85F45"/>
    <w:rsid w:val="00C86197"/>
    <w:rsid w:val="00C864C9"/>
    <w:rsid w:val="00C86C8C"/>
    <w:rsid w:val="00C87568"/>
    <w:rsid w:val="00C87FD0"/>
    <w:rsid w:val="00C90764"/>
    <w:rsid w:val="00C90DB6"/>
    <w:rsid w:val="00C92603"/>
    <w:rsid w:val="00C92652"/>
    <w:rsid w:val="00C928B9"/>
    <w:rsid w:val="00C9394F"/>
    <w:rsid w:val="00C93B1A"/>
    <w:rsid w:val="00C9444E"/>
    <w:rsid w:val="00C94D7C"/>
    <w:rsid w:val="00C94D90"/>
    <w:rsid w:val="00C96F5F"/>
    <w:rsid w:val="00C97055"/>
    <w:rsid w:val="00CA10FF"/>
    <w:rsid w:val="00CA137F"/>
    <w:rsid w:val="00CA194C"/>
    <w:rsid w:val="00CA2B4F"/>
    <w:rsid w:val="00CA30C3"/>
    <w:rsid w:val="00CA3E4F"/>
    <w:rsid w:val="00CA5927"/>
    <w:rsid w:val="00CA635E"/>
    <w:rsid w:val="00CA6BB0"/>
    <w:rsid w:val="00CA70CE"/>
    <w:rsid w:val="00CA79EC"/>
    <w:rsid w:val="00CB002C"/>
    <w:rsid w:val="00CB059E"/>
    <w:rsid w:val="00CB12FE"/>
    <w:rsid w:val="00CB1E4B"/>
    <w:rsid w:val="00CB259F"/>
    <w:rsid w:val="00CB3985"/>
    <w:rsid w:val="00CB39C2"/>
    <w:rsid w:val="00CB44E4"/>
    <w:rsid w:val="00CB48E3"/>
    <w:rsid w:val="00CB4C8C"/>
    <w:rsid w:val="00CB4E90"/>
    <w:rsid w:val="00CB5850"/>
    <w:rsid w:val="00CB5C99"/>
    <w:rsid w:val="00CB633B"/>
    <w:rsid w:val="00CB6782"/>
    <w:rsid w:val="00CB6A79"/>
    <w:rsid w:val="00CB6E3E"/>
    <w:rsid w:val="00CB7D3B"/>
    <w:rsid w:val="00CC080A"/>
    <w:rsid w:val="00CC0D0F"/>
    <w:rsid w:val="00CC1275"/>
    <w:rsid w:val="00CC12EE"/>
    <w:rsid w:val="00CC1FCC"/>
    <w:rsid w:val="00CC3767"/>
    <w:rsid w:val="00CC42B1"/>
    <w:rsid w:val="00CC5767"/>
    <w:rsid w:val="00CC5A04"/>
    <w:rsid w:val="00CC5D2F"/>
    <w:rsid w:val="00CC68CC"/>
    <w:rsid w:val="00CC701E"/>
    <w:rsid w:val="00CC7735"/>
    <w:rsid w:val="00CD0310"/>
    <w:rsid w:val="00CD10F1"/>
    <w:rsid w:val="00CD2299"/>
    <w:rsid w:val="00CD2888"/>
    <w:rsid w:val="00CD2E48"/>
    <w:rsid w:val="00CD4826"/>
    <w:rsid w:val="00CD4E19"/>
    <w:rsid w:val="00CD6219"/>
    <w:rsid w:val="00CD700F"/>
    <w:rsid w:val="00CD72DB"/>
    <w:rsid w:val="00CD7319"/>
    <w:rsid w:val="00CE0C10"/>
    <w:rsid w:val="00CE148E"/>
    <w:rsid w:val="00CE17C5"/>
    <w:rsid w:val="00CE208D"/>
    <w:rsid w:val="00CE2453"/>
    <w:rsid w:val="00CE356D"/>
    <w:rsid w:val="00CE3FA4"/>
    <w:rsid w:val="00CE44F8"/>
    <w:rsid w:val="00CE5277"/>
    <w:rsid w:val="00CE5B4D"/>
    <w:rsid w:val="00CE6358"/>
    <w:rsid w:val="00CE6686"/>
    <w:rsid w:val="00CE6E97"/>
    <w:rsid w:val="00CE7868"/>
    <w:rsid w:val="00CE796C"/>
    <w:rsid w:val="00CF1B70"/>
    <w:rsid w:val="00CF1DD1"/>
    <w:rsid w:val="00CF2067"/>
    <w:rsid w:val="00CF2161"/>
    <w:rsid w:val="00CF2307"/>
    <w:rsid w:val="00CF26AE"/>
    <w:rsid w:val="00CF2D54"/>
    <w:rsid w:val="00CF311F"/>
    <w:rsid w:val="00CF5047"/>
    <w:rsid w:val="00CF67E0"/>
    <w:rsid w:val="00CF7572"/>
    <w:rsid w:val="00D01170"/>
    <w:rsid w:val="00D01344"/>
    <w:rsid w:val="00D01B90"/>
    <w:rsid w:val="00D01DFA"/>
    <w:rsid w:val="00D024CD"/>
    <w:rsid w:val="00D02DC3"/>
    <w:rsid w:val="00D03489"/>
    <w:rsid w:val="00D034DA"/>
    <w:rsid w:val="00D03538"/>
    <w:rsid w:val="00D03A03"/>
    <w:rsid w:val="00D0421D"/>
    <w:rsid w:val="00D046FD"/>
    <w:rsid w:val="00D047F7"/>
    <w:rsid w:val="00D049B8"/>
    <w:rsid w:val="00D04C8A"/>
    <w:rsid w:val="00D04EED"/>
    <w:rsid w:val="00D0516C"/>
    <w:rsid w:val="00D05B56"/>
    <w:rsid w:val="00D05C2F"/>
    <w:rsid w:val="00D05EE7"/>
    <w:rsid w:val="00D068D0"/>
    <w:rsid w:val="00D06FE0"/>
    <w:rsid w:val="00D07307"/>
    <w:rsid w:val="00D076A9"/>
    <w:rsid w:val="00D07754"/>
    <w:rsid w:val="00D078D1"/>
    <w:rsid w:val="00D1293B"/>
    <w:rsid w:val="00D129A8"/>
    <w:rsid w:val="00D129B9"/>
    <w:rsid w:val="00D12FB9"/>
    <w:rsid w:val="00D13184"/>
    <w:rsid w:val="00D135F2"/>
    <w:rsid w:val="00D13D00"/>
    <w:rsid w:val="00D13FEB"/>
    <w:rsid w:val="00D145DA"/>
    <w:rsid w:val="00D147C0"/>
    <w:rsid w:val="00D15696"/>
    <w:rsid w:val="00D15C51"/>
    <w:rsid w:val="00D16C68"/>
    <w:rsid w:val="00D200BD"/>
    <w:rsid w:val="00D201AA"/>
    <w:rsid w:val="00D204A7"/>
    <w:rsid w:val="00D20AA5"/>
    <w:rsid w:val="00D2111D"/>
    <w:rsid w:val="00D21D4D"/>
    <w:rsid w:val="00D22399"/>
    <w:rsid w:val="00D22992"/>
    <w:rsid w:val="00D23359"/>
    <w:rsid w:val="00D26531"/>
    <w:rsid w:val="00D2662C"/>
    <w:rsid w:val="00D27B99"/>
    <w:rsid w:val="00D27FA3"/>
    <w:rsid w:val="00D3176C"/>
    <w:rsid w:val="00D31B3F"/>
    <w:rsid w:val="00D32257"/>
    <w:rsid w:val="00D3287F"/>
    <w:rsid w:val="00D32E3E"/>
    <w:rsid w:val="00D33751"/>
    <w:rsid w:val="00D35018"/>
    <w:rsid w:val="00D359C4"/>
    <w:rsid w:val="00D35D4A"/>
    <w:rsid w:val="00D36F6E"/>
    <w:rsid w:val="00D372B0"/>
    <w:rsid w:val="00D37343"/>
    <w:rsid w:val="00D40EAE"/>
    <w:rsid w:val="00D411A9"/>
    <w:rsid w:val="00D4205E"/>
    <w:rsid w:val="00D429AB"/>
    <w:rsid w:val="00D43038"/>
    <w:rsid w:val="00D47399"/>
    <w:rsid w:val="00D47BB2"/>
    <w:rsid w:val="00D47D04"/>
    <w:rsid w:val="00D5056A"/>
    <w:rsid w:val="00D510A0"/>
    <w:rsid w:val="00D522CB"/>
    <w:rsid w:val="00D527EE"/>
    <w:rsid w:val="00D529C4"/>
    <w:rsid w:val="00D53929"/>
    <w:rsid w:val="00D539D0"/>
    <w:rsid w:val="00D540DC"/>
    <w:rsid w:val="00D55616"/>
    <w:rsid w:val="00D5574C"/>
    <w:rsid w:val="00D55DAC"/>
    <w:rsid w:val="00D6153F"/>
    <w:rsid w:val="00D61982"/>
    <w:rsid w:val="00D61EA9"/>
    <w:rsid w:val="00D61EFF"/>
    <w:rsid w:val="00D62655"/>
    <w:rsid w:val="00D6267A"/>
    <w:rsid w:val="00D62998"/>
    <w:rsid w:val="00D647DE"/>
    <w:rsid w:val="00D6494F"/>
    <w:rsid w:val="00D6501F"/>
    <w:rsid w:val="00D65347"/>
    <w:rsid w:val="00D677AB"/>
    <w:rsid w:val="00D67D12"/>
    <w:rsid w:val="00D705FF"/>
    <w:rsid w:val="00D70B0C"/>
    <w:rsid w:val="00D7145C"/>
    <w:rsid w:val="00D7158E"/>
    <w:rsid w:val="00D71C06"/>
    <w:rsid w:val="00D7356B"/>
    <w:rsid w:val="00D744BC"/>
    <w:rsid w:val="00D7585A"/>
    <w:rsid w:val="00D76982"/>
    <w:rsid w:val="00D77C53"/>
    <w:rsid w:val="00D77E96"/>
    <w:rsid w:val="00D80618"/>
    <w:rsid w:val="00D807DF"/>
    <w:rsid w:val="00D82339"/>
    <w:rsid w:val="00D82494"/>
    <w:rsid w:val="00D82FF2"/>
    <w:rsid w:val="00D83774"/>
    <w:rsid w:val="00D84A4B"/>
    <w:rsid w:val="00D85339"/>
    <w:rsid w:val="00D85D1F"/>
    <w:rsid w:val="00D874BF"/>
    <w:rsid w:val="00D90A81"/>
    <w:rsid w:val="00D90B7D"/>
    <w:rsid w:val="00D90DCE"/>
    <w:rsid w:val="00D91278"/>
    <w:rsid w:val="00D92168"/>
    <w:rsid w:val="00D9225B"/>
    <w:rsid w:val="00D9231C"/>
    <w:rsid w:val="00D92A5E"/>
    <w:rsid w:val="00D935BD"/>
    <w:rsid w:val="00D93A08"/>
    <w:rsid w:val="00D940B5"/>
    <w:rsid w:val="00D9434B"/>
    <w:rsid w:val="00D943D4"/>
    <w:rsid w:val="00D9582D"/>
    <w:rsid w:val="00D95CB0"/>
    <w:rsid w:val="00D9654F"/>
    <w:rsid w:val="00D966FE"/>
    <w:rsid w:val="00D9739F"/>
    <w:rsid w:val="00D977C0"/>
    <w:rsid w:val="00D97E14"/>
    <w:rsid w:val="00DA00A3"/>
    <w:rsid w:val="00DA03E9"/>
    <w:rsid w:val="00DA13F3"/>
    <w:rsid w:val="00DA2B68"/>
    <w:rsid w:val="00DA2DE3"/>
    <w:rsid w:val="00DA3307"/>
    <w:rsid w:val="00DA3633"/>
    <w:rsid w:val="00DA400B"/>
    <w:rsid w:val="00DA49E9"/>
    <w:rsid w:val="00DA5288"/>
    <w:rsid w:val="00DA6172"/>
    <w:rsid w:val="00DA6443"/>
    <w:rsid w:val="00DA6B5E"/>
    <w:rsid w:val="00DA6C2E"/>
    <w:rsid w:val="00DA7146"/>
    <w:rsid w:val="00DA716A"/>
    <w:rsid w:val="00DA7B82"/>
    <w:rsid w:val="00DB0C97"/>
    <w:rsid w:val="00DB1F4F"/>
    <w:rsid w:val="00DB2CD0"/>
    <w:rsid w:val="00DB354F"/>
    <w:rsid w:val="00DB37EE"/>
    <w:rsid w:val="00DB3D89"/>
    <w:rsid w:val="00DB401F"/>
    <w:rsid w:val="00DB40A4"/>
    <w:rsid w:val="00DB4450"/>
    <w:rsid w:val="00DB4EE7"/>
    <w:rsid w:val="00DB521D"/>
    <w:rsid w:val="00DB5971"/>
    <w:rsid w:val="00DB5D51"/>
    <w:rsid w:val="00DB5F53"/>
    <w:rsid w:val="00DB6972"/>
    <w:rsid w:val="00DB7B69"/>
    <w:rsid w:val="00DC0A2F"/>
    <w:rsid w:val="00DC0DBE"/>
    <w:rsid w:val="00DC1F4B"/>
    <w:rsid w:val="00DC234A"/>
    <w:rsid w:val="00DC41E4"/>
    <w:rsid w:val="00DC496E"/>
    <w:rsid w:val="00DC5116"/>
    <w:rsid w:val="00DC55E7"/>
    <w:rsid w:val="00DC6226"/>
    <w:rsid w:val="00DC7C77"/>
    <w:rsid w:val="00DC7FD5"/>
    <w:rsid w:val="00DD02FF"/>
    <w:rsid w:val="00DD24F9"/>
    <w:rsid w:val="00DD26EC"/>
    <w:rsid w:val="00DD2DFB"/>
    <w:rsid w:val="00DD3604"/>
    <w:rsid w:val="00DD381E"/>
    <w:rsid w:val="00DD3F4D"/>
    <w:rsid w:val="00DD5337"/>
    <w:rsid w:val="00DD6EDF"/>
    <w:rsid w:val="00DD6F2E"/>
    <w:rsid w:val="00DD72E1"/>
    <w:rsid w:val="00DD7A65"/>
    <w:rsid w:val="00DD7EA2"/>
    <w:rsid w:val="00DE00F2"/>
    <w:rsid w:val="00DE117F"/>
    <w:rsid w:val="00DE1337"/>
    <w:rsid w:val="00DE142B"/>
    <w:rsid w:val="00DE2D17"/>
    <w:rsid w:val="00DE353C"/>
    <w:rsid w:val="00DE3939"/>
    <w:rsid w:val="00DE401C"/>
    <w:rsid w:val="00DE4976"/>
    <w:rsid w:val="00DE4C2A"/>
    <w:rsid w:val="00DE68E6"/>
    <w:rsid w:val="00DE6E2F"/>
    <w:rsid w:val="00DE6F47"/>
    <w:rsid w:val="00DE7D13"/>
    <w:rsid w:val="00DF007B"/>
    <w:rsid w:val="00DF1EAE"/>
    <w:rsid w:val="00DF380E"/>
    <w:rsid w:val="00DF3816"/>
    <w:rsid w:val="00DF3818"/>
    <w:rsid w:val="00DF3F94"/>
    <w:rsid w:val="00DF4369"/>
    <w:rsid w:val="00DF4E20"/>
    <w:rsid w:val="00DF5970"/>
    <w:rsid w:val="00DF5B14"/>
    <w:rsid w:val="00DF63FA"/>
    <w:rsid w:val="00DF66E2"/>
    <w:rsid w:val="00E001FD"/>
    <w:rsid w:val="00E00A1C"/>
    <w:rsid w:val="00E00D60"/>
    <w:rsid w:val="00E0126D"/>
    <w:rsid w:val="00E012CC"/>
    <w:rsid w:val="00E0147A"/>
    <w:rsid w:val="00E01852"/>
    <w:rsid w:val="00E01FE4"/>
    <w:rsid w:val="00E0220A"/>
    <w:rsid w:val="00E0220E"/>
    <w:rsid w:val="00E02961"/>
    <w:rsid w:val="00E02A1E"/>
    <w:rsid w:val="00E02B71"/>
    <w:rsid w:val="00E02DEB"/>
    <w:rsid w:val="00E03999"/>
    <w:rsid w:val="00E0399E"/>
    <w:rsid w:val="00E042A1"/>
    <w:rsid w:val="00E04A5E"/>
    <w:rsid w:val="00E05CF4"/>
    <w:rsid w:val="00E05E82"/>
    <w:rsid w:val="00E07425"/>
    <w:rsid w:val="00E07F8E"/>
    <w:rsid w:val="00E1043E"/>
    <w:rsid w:val="00E104FA"/>
    <w:rsid w:val="00E1082A"/>
    <w:rsid w:val="00E10956"/>
    <w:rsid w:val="00E10D2D"/>
    <w:rsid w:val="00E110B5"/>
    <w:rsid w:val="00E11166"/>
    <w:rsid w:val="00E12818"/>
    <w:rsid w:val="00E12D39"/>
    <w:rsid w:val="00E13182"/>
    <w:rsid w:val="00E132AF"/>
    <w:rsid w:val="00E1392B"/>
    <w:rsid w:val="00E13D31"/>
    <w:rsid w:val="00E14311"/>
    <w:rsid w:val="00E14523"/>
    <w:rsid w:val="00E14972"/>
    <w:rsid w:val="00E14CB9"/>
    <w:rsid w:val="00E151F2"/>
    <w:rsid w:val="00E15383"/>
    <w:rsid w:val="00E15AB5"/>
    <w:rsid w:val="00E15C82"/>
    <w:rsid w:val="00E15C87"/>
    <w:rsid w:val="00E1738C"/>
    <w:rsid w:val="00E1741A"/>
    <w:rsid w:val="00E17DFA"/>
    <w:rsid w:val="00E201C0"/>
    <w:rsid w:val="00E21ABD"/>
    <w:rsid w:val="00E22775"/>
    <w:rsid w:val="00E22D28"/>
    <w:rsid w:val="00E22F81"/>
    <w:rsid w:val="00E22F87"/>
    <w:rsid w:val="00E230E3"/>
    <w:rsid w:val="00E23C97"/>
    <w:rsid w:val="00E24727"/>
    <w:rsid w:val="00E265A7"/>
    <w:rsid w:val="00E26CE7"/>
    <w:rsid w:val="00E27B80"/>
    <w:rsid w:val="00E30EDF"/>
    <w:rsid w:val="00E31B43"/>
    <w:rsid w:val="00E31FBA"/>
    <w:rsid w:val="00E32CA7"/>
    <w:rsid w:val="00E33513"/>
    <w:rsid w:val="00E33996"/>
    <w:rsid w:val="00E33A4F"/>
    <w:rsid w:val="00E33F3E"/>
    <w:rsid w:val="00E341E5"/>
    <w:rsid w:val="00E34315"/>
    <w:rsid w:val="00E35FBC"/>
    <w:rsid w:val="00E36AAE"/>
    <w:rsid w:val="00E37198"/>
    <w:rsid w:val="00E3774C"/>
    <w:rsid w:val="00E401CA"/>
    <w:rsid w:val="00E41313"/>
    <w:rsid w:val="00E41773"/>
    <w:rsid w:val="00E41ACD"/>
    <w:rsid w:val="00E42FE6"/>
    <w:rsid w:val="00E43327"/>
    <w:rsid w:val="00E44DAA"/>
    <w:rsid w:val="00E45503"/>
    <w:rsid w:val="00E45FD6"/>
    <w:rsid w:val="00E460B6"/>
    <w:rsid w:val="00E46BD2"/>
    <w:rsid w:val="00E46D0E"/>
    <w:rsid w:val="00E473D4"/>
    <w:rsid w:val="00E474CF"/>
    <w:rsid w:val="00E47AB5"/>
    <w:rsid w:val="00E47B77"/>
    <w:rsid w:val="00E513F6"/>
    <w:rsid w:val="00E51EC6"/>
    <w:rsid w:val="00E52F3B"/>
    <w:rsid w:val="00E52F80"/>
    <w:rsid w:val="00E53D94"/>
    <w:rsid w:val="00E53DEA"/>
    <w:rsid w:val="00E5424B"/>
    <w:rsid w:val="00E544BA"/>
    <w:rsid w:val="00E545BD"/>
    <w:rsid w:val="00E55AD5"/>
    <w:rsid w:val="00E55B64"/>
    <w:rsid w:val="00E564F4"/>
    <w:rsid w:val="00E56E75"/>
    <w:rsid w:val="00E57A51"/>
    <w:rsid w:val="00E6033A"/>
    <w:rsid w:val="00E61515"/>
    <w:rsid w:val="00E616DB"/>
    <w:rsid w:val="00E62442"/>
    <w:rsid w:val="00E627A4"/>
    <w:rsid w:val="00E630ED"/>
    <w:rsid w:val="00E638E4"/>
    <w:rsid w:val="00E6390C"/>
    <w:rsid w:val="00E6436A"/>
    <w:rsid w:val="00E6437C"/>
    <w:rsid w:val="00E65237"/>
    <w:rsid w:val="00E65995"/>
    <w:rsid w:val="00E661C5"/>
    <w:rsid w:val="00E67862"/>
    <w:rsid w:val="00E67B85"/>
    <w:rsid w:val="00E70140"/>
    <w:rsid w:val="00E70ACF"/>
    <w:rsid w:val="00E70D46"/>
    <w:rsid w:val="00E712A9"/>
    <w:rsid w:val="00E712D0"/>
    <w:rsid w:val="00E713BC"/>
    <w:rsid w:val="00E72444"/>
    <w:rsid w:val="00E728F0"/>
    <w:rsid w:val="00E736CC"/>
    <w:rsid w:val="00E740A2"/>
    <w:rsid w:val="00E7410F"/>
    <w:rsid w:val="00E74EC5"/>
    <w:rsid w:val="00E76003"/>
    <w:rsid w:val="00E7691E"/>
    <w:rsid w:val="00E76B86"/>
    <w:rsid w:val="00E7795F"/>
    <w:rsid w:val="00E77A46"/>
    <w:rsid w:val="00E80833"/>
    <w:rsid w:val="00E809F3"/>
    <w:rsid w:val="00E80C21"/>
    <w:rsid w:val="00E820BD"/>
    <w:rsid w:val="00E82252"/>
    <w:rsid w:val="00E8227B"/>
    <w:rsid w:val="00E8342F"/>
    <w:rsid w:val="00E8377C"/>
    <w:rsid w:val="00E83E84"/>
    <w:rsid w:val="00E84210"/>
    <w:rsid w:val="00E844CD"/>
    <w:rsid w:val="00E847A7"/>
    <w:rsid w:val="00E84FE5"/>
    <w:rsid w:val="00E86682"/>
    <w:rsid w:val="00E867B5"/>
    <w:rsid w:val="00E86E79"/>
    <w:rsid w:val="00E90330"/>
    <w:rsid w:val="00E906B4"/>
    <w:rsid w:val="00E9095B"/>
    <w:rsid w:val="00E90BCC"/>
    <w:rsid w:val="00E9145E"/>
    <w:rsid w:val="00E91B24"/>
    <w:rsid w:val="00E91C26"/>
    <w:rsid w:val="00E926B8"/>
    <w:rsid w:val="00E927BF"/>
    <w:rsid w:val="00E92BE5"/>
    <w:rsid w:val="00E936DA"/>
    <w:rsid w:val="00E9399B"/>
    <w:rsid w:val="00E939A7"/>
    <w:rsid w:val="00E94008"/>
    <w:rsid w:val="00E94762"/>
    <w:rsid w:val="00E956BA"/>
    <w:rsid w:val="00E96B52"/>
    <w:rsid w:val="00E97813"/>
    <w:rsid w:val="00E97E81"/>
    <w:rsid w:val="00EA0018"/>
    <w:rsid w:val="00EA08BE"/>
    <w:rsid w:val="00EA0A85"/>
    <w:rsid w:val="00EA14B0"/>
    <w:rsid w:val="00EA2244"/>
    <w:rsid w:val="00EA3098"/>
    <w:rsid w:val="00EA4884"/>
    <w:rsid w:val="00EA4DDC"/>
    <w:rsid w:val="00EA6E0D"/>
    <w:rsid w:val="00EA6FA7"/>
    <w:rsid w:val="00EB04C7"/>
    <w:rsid w:val="00EB067F"/>
    <w:rsid w:val="00EB17BE"/>
    <w:rsid w:val="00EB1A1B"/>
    <w:rsid w:val="00EB1F02"/>
    <w:rsid w:val="00EB2E64"/>
    <w:rsid w:val="00EB3290"/>
    <w:rsid w:val="00EB3D5D"/>
    <w:rsid w:val="00EB5BC5"/>
    <w:rsid w:val="00EB6097"/>
    <w:rsid w:val="00EB609D"/>
    <w:rsid w:val="00EB6212"/>
    <w:rsid w:val="00EB6628"/>
    <w:rsid w:val="00EB6B3F"/>
    <w:rsid w:val="00EB6BB5"/>
    <w:rsid w:val="00EB6E30"/>
    <w:rsid w:val="00EB7618"/>
    <w:rsid w:val="00EB7B51"/>
    <w:rsid w:val="00EB7F93"/>
    <w:rsid w:val="00EC034B"/>
    <w:rsid w:val="00EC086C"/>
    <w:rsid w:val="00EC1720"/>
    <w:rsid w:val="00EC2DB7"/>
    <w:rsid w:val="00EC337D"/>
    <w:rsid w:val="00EC3789"/>
    <w:rsid w:val="00EC4163"/>
    <w:rsid w:val="00EC42D0"/>
    <w:rsid w:val="00EC4336"/>
    <w:rsid w:val="00EC638F"/>
    <w:rsid w:val="00EC7927"/>
    <w:rsid w:val="00EC7EE1"/>
    <w:rsid w:val="00ED095E"/>
    <w:rsid w:val="00ED1A0B"/>
    <w:rsid w:val="00ED1EF0"/>
    <w:rsid w:val="00ED27DD"/>
    <w:rsid w:val="00ED3706"/>
    <w:rsid w:val="00ED4EBD"/>
    <w:rsid w:val="00ED5162"/>
    <w:rsid w:val="00ED5669"/>
    <w:rsid w:val="00ED5766"/>
    <w:rsid w:val="00ED659C"/>
    <w:rsid w:val="00ED697C"/>
    <w:rsid w:val="00ED6B3A"/>
    <w:rsid w:val="00ED7B90"/>
    <w:rsid w:val="00EE040C"/>
    <w:rsid w:val="00EE06CA"/>
    <w:rsid w:val="00EE0A56"/>
    <w:rsid w:val="00EE0E9A"/>
    <w:rsid w:val="00EE1CF9"/>
    <w:rsid w:val="00EE31D6"/>
    <w:rsid w:val="00EE43AD"/>
    <w:rsid w:val="00EE4874"/>
    <w:rsid w:val="00EE48D6"/>
    <w:rsid w:val="00EE4A6E"/>
    <w:rsid w:val="00EE4BAB"/>
    <w:rsid w:val="00EE7922"/>
    <w:rsid w:val="00EE79A6"/>
    <w:rsid w:val="00EF0A63"/>
    <w:rsid w:val="00EF11DF"/>
    <w:rsid w:val="00EF130D"/>
    <w:rsid w:val="00EF23B0"/>
    <w:rsid w:val="00EF30E0"/>
    <w:rsid w:val="00EF3D05"/>
    <w:rsid w:val="00EF42CF"/>
    <w:rsid w:val="00EF42E6"/>
    <w:rsid w:val="00EF4D56"/>
    <w:rsid w:val="00EF5403"/>
    <w:rsid w:val="00EF567D"/>
    <w:rsid w:val="00EF5F11"/>
    <w:rsid w:val="00EF6111"/>
    <w:rsid w:val="00EF7792"/>
    <w:rsid w:val="00F005A0"/>
    <w:rsid w:val="00F0162B"/>
    <w:rsid w:val="00F01835"/>
    <w:rsid w:val="00F01DE9"/>
    <w:rsid w:val="00F0229D"/>
    <w:rsid w:val="00F02B1B"/>
    <w:rsid w:val="00F032BB"/>
    <w:rsid w:val="00F032C8"/>
    <w:rsid w:val="00F03567"/>
    <w:rsid w:val="00F03DD3"/>
    <w:rsid w:val="00F0402B"/>
    <w:rsid w:val="00F044C6"/>
    <w:rsid w:val="00F045A1"/>
    <w:rsid w:val="00F04BBE"/>
    <w:rsid w:val="00F05698"/>
    <w:rsid w:val="00F06616"/>
    <w:rsid w:val="00F07485"/>
    <w:rsid w:val="00F10BC6"/>
    <w:rsid w:val="00F11352"/>
    <w:rsid w:val="00F11AD0"/>
    <w:rsid w:val="00F12313"/>
    <w:rsid w:val="00F12D5D"/>
    <w:rsid w:val="00F13D34"/>
    <w:rsid w:val="00F14602"/>
    <w:rsid w:val="00F1498D"/>
    <w:rsid w:val="00F14DDF"/>
    <w:rsid w:val="00F152AD"/>
    <w:rsid w:val="00F15BA3"/>
    <w:rsid w:val="00F15BB3"/>
    <w:rsid w:val="00F15C96"/>
    <w:rsid w:val="00F165B7"/>
    <w:rsid w:val="00F168B1"/>
    <w:rsid w:val="00F16D36"/>
    <w:rsid w:val="00F20C9C"/>
    <w:rsid w:val="00F20D15"/>
    <w:rsid w:val="00F21827"/>
    <w:rsid w:val="00F21993"/>
    <w:rsid w:val="00F21A00"/>
    <w:rsid w:val="00F2285F"/>
    <w:rsid w:val="00F23133"/>
    <w:rsid w:val="00F23155"/>
    <w:rsid w:val="00F23502"/>
    <w:rsid w:val="00F23DD4"/>
    <w:rsid w:val="00F23EE4"/>
    <w:rsid w:val="00F24236"/>
    <w:rsid w:val="00F24E0E"/>
    <w:rsid w:val="00F25707"/>
    <w:rsid w:val="00F26326"/>
    <w:rsid w:val="00F26693"/>
    <w:rsid w:val="00F26A13"/>
    <w:rsid w:val="00F27D3B"/>
    <w:rsid w:val="00F31261"/>
    <w:rsid w:val="00F315BD"/>
    <w:rsid w:val="00F31BB3"/>
    <w:rsid w:val="00F31C67"/>
    <w:rsid w:val="00F31CBC"/>
    <w:rsid w:val="00F323AC"/>
    <w:rsid w:val="00F323C3"/>
    <w:rsid w:val="00F32A15"/>
    <w:rsid w:val="00F32EE6"/>
    <w:rsid w:val="00F32F3C"/>
    <w:rsid w:val="00F339EC"/>
    <w:rsid w:val="00F3443B"/>
    <w:rsid w:val="00F34FDD"/>
    <w:rsid w:val="00F35279"/>
    <w:rsid w:val="00F35F1A"/>
    <w:rsid w:val="00F36130"/>
    <w:rsid w:val="00F3644F"/>
    <w:rsid w:val="00F36A08"/>
    <w:rsid w:val="00F36B71"/>
    <w:rsid w:val="00F36F7D"/>
    <w:rsid w:val="00F373AE"/>
    <w:rsid w:val="00F37D7B"/>
    <w:rsid w:val="00F40086"/>
    <w:rsid w:val="00F4032F"/>
    <w:rsid w:val="00F40360"/>
    <w:rsid w:val="00F40444"/>
    <w:rsid w:val="00F40CE6"/>
    <w:rsid w:val="00F41287"/>
    <w:rsid w:val="00F41B59"/>
    <w:rsid w:val="00F42099"/>
    <w:rsid w:val="00F423BD"/>
    <w:rsid w:val="00F431C5"/>
    <w:rsid w:val="00F432FF"/>
    <w:rsid w:val="00F456D2"/>
    <w:rsid w:val="00F45B08"/>
    <w:rsid w:val="00F46431"/>
    <w:rsid w:val="00F469AD"/>
    <w:rsid w:val="00F4715C"/>
    <w:rsid w:val="00F474BD"/>
    <w:rsid w:val="00F47C9F"/>
    <w:rsid w:val="00F50CE8"/>
    <w:rsid w:val="00F51361"/>
    <w:rsid w:val="00F51F08"/>
    <w:rsid w:val="00F52330"/>
    <w:rsid w:val="00F52C19"/>
    <w:rsid w:val="00F54101"/>
    <w:rsid w:val="00F545F0"/>
    <w:rsid w:val="00F54603"/>
    <w:rsid w:val="00F54772"/>
    <w:rsid w:val="00F54869"/>
    <w:rsid w:val="00F548AD"/>
    <w:rsid w:val="00F55458"/>
    <w:rsid w:val="00F556B2"/>
    <w:rsid w:val="00F565E8"/>
    <w:rsid w:val="00F56CB4"/>
    <w:rsid w:val="00F57099"/>
    <w:rsid w:val="00F5754B"/>
    <w:rsid w:val="00F576DE"/>
    <w:rsid w:val="00F57747"/>
    <w:rsid w:val="00F578BC"/>
    <w:rsid w:val="00F60D77"/>
    <w:rsid w:val="00F633F1"/>
    <w:rsid w:val="00F63BF7"/>
    <w:rsid w:val="00F6453E"/>
    <w:rsid w:val="00F64C38"/>
    <w:rsid w:val="00F65015"/>
    <w:rsid w:val="00F65215"/>
    <w:rsid w:val="00F65617"/>
    <w:rsid w:val="00F65A88"/>
    <w:rsid w:val="00F66494"/>
    <w:rsid w:val="00F710BE"/>
    <w:rsid w:val="00F712C1"/>
    <w:rsid w:val="00F71C98"/>
    <w:rsid w:val="00F71D68"/>
    <w:rsid w:val="00F71D7B"/>
    <w:rsid w:val="00F71FAF"/>
    <w:rsid w:val="00F72016"/>
    <w:rsid w:val="00F72DAD"/>
    <w:rsid w:val="00F736D2"/>
    <w:rsid w:val="00F74646"/>
    <w:rsid w:val="00F74C38"/>
    <w:rsid w:val="00F7564C"/>
    <w:rsid w:val="00F76220"/>
    <w:rsid w:val="00F769BE"/>
    <w:rsid w:val="00F7735C"/>
    <w:rsid w:val="00F77BD5"/>
    <w:rsid w:val="00F82174"/>
    <w:rsid w:val="00F8255D"/>
    <w:rsid w:val="00F82E6B"/>
    <w:rsid w:val="00F833FA"/>
    <w:rsid w:val="00F83662"/>
    <w:rsid w:val="00F838C0"/>
    <w:rsid w:val="00F85F83"/>
    <w:rsid w:val="00F8637D"/>
    <w:rsid w:val="00F90A2C"/>
    <w:rsid w:val="00F912FD"/>
    <w:rsid w:val="00F917F5"/>
    <w:rsid w:val="00F91D43"/>
    <w:rsid w:val="00F9367F"/>
    <w:rsid w:val="00F952BE"/>
    <w:rsid w:val="00F95411"/>
    <w:rsid w:val="00F95642"/>
    <w:rsid w:val="00F96339"/>
    <w:rsid w:val="00F97859"/>
    <w:rsid w:val="00F97973"/>
    <w:rsid w:val="00F97B71"/>
    <w:rsid w:val="00FA06A3"/>
    <w:rsid w:val="00FA24D2"/>
    <w:rsid w:val="00FA2CFC"/>
    <w:rsid w:val="00FA2DDA"/>
    <w:rsid w:val="00FA34CA"/>
    <w:rsid w:val="00FA3E3E"/>
    <w:rsid w:val="00FA49D4"/>
    <w:rsid w:val="00FA4A55"/>
    <w:rsid w:val="00FA4C5C"/>
    <w:rsid w:val="00FA4D4F"/>
    <w:rsid w:val="00FA5424"/>
    <w:rsid w:val="00FA54E8"/>
    <w:rsid w:val="00FA5FE8"/>
    <w:rsid w:val="00FA6665"/>
    <w:rsid w:val="00FA668B"/>
    <w:rsid w:val="00FA67CF"/>
    <w:rsid w:val="00FA7EA7"/>
    <w:rsid w:val="00FB165C"/>
    <w:rsid w:val="00FB2D17"/>
    <w:rsid w:val="00FB2F69"/>
    <w:rsid w:val="00FB368B"/>
    <w:rsid w:val="00FB3A3A"/>
    <w:rsid w:val="00FB3F0C"/>
    <w:rsid w:val="00FB4217"/>
    <w:rsid w:val="00FB4379"/>
    <w:rsid w:val="00FB45FF"/>
    <w:rsid w:val="00FB5195"/>
    <w:rsid w:val="00FB5D97"/>
    <w:rsid w:val="00FB61EA"/>
    <w:rsid w:val="00FB6C7A"/>
    <w:rsid w:val="00FB732E"/>
    <w:rsid w:val="00FB79F7"/>
    <w:rsid w:val="00FC09E7"/>
    <w:rsid w:val="00FC1CA5"/>
    <w:rsid w:val="00FC1D8E"/>
    <w:rsid w:val="00FC2293"/>
    <w:rsid w:val="00FC2733"/>
    <w:rsid w:val="00FC2979"/>
    <w:rsid w:val="00FC370B"/>
    <w:rsid w:val="00FC65AF"/>
    <w:rsid w:val="00FC67A5"/>
    <w:rsid w:val="00FC6D6C"/>
    <w:rsid w:val="00FD1C3C"/>
    <w:rsid w:val="00FD24F6"/>
    <w:rsid w:val="00FD2AE8"/>
    <w:rsid w:val="00FD2DB1"/>
    <w:rsid w:val="00FD38A8"/>
    <w:rsid w:val="00FD4832"/>
    <w:rsid w:val="00FD63A7"/>
    <w:rsid w:val="00FD648B"/>
    <w:rsid w:val="00FD6AC8"/>
    <w:rsid w:val="00FE064D"/>
    <w:rsid w:val="00FE0A6C"/>
    <w:rsid w:val="00FE1727"/>
    <w:rsid w:val="00FE3638"/>
    <w:rsid w:val="00FE3A67"/>
    <w:rsid w:val="00FE3EA1"/>
    <w:rsid w:val="00FE46BD"/>
    <w:rsid w:val="00FE4818"/>
    <w:rsid w:val="00FE4CA4"/>
    <w:rsid w:val="00FE5AE4"/>
    <w:rsid w:val="00FE5D80"/>
    <w:rsid w:val="00FE637F"/>
    <w:rsid w:val="00FE64EE"/>
    <w:rsid w:val="00FE6E4B"/>
    <w:rsid w:val="00FE73F7"/>
    <w:rsid w:val="00FE745E"/>
    <w:rsid w:val="00FE7865"/>
    <w:rsid w:val="00FF04C5"/>
    <w:rsid w:val="00FF0BB0"/>
    <w:rsid w:val="00FF0FF9"/>
    <w:rsid w:val="00FF1342"/>
    <w:rsid w:val="00FF1513"/>
    <w:rsid w:val="00FF1577"/>
    <w:rsid w:val="00FF2145"/>
    <w:rsid w:val="00FF3334"/>
    <w:rsid w:val="00FF4115"/>
    <w:rsid w:val="00FF47A2"/>
    <w:rsid w:val="00FF59BE"/>
    <w:rsid w:val="00FF5A68"/>
    <w:rsid w:val="00FF6ADB"/>
    <w:rsid w:val="00FF6C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31EC86D-007A-45CB-9551-0666F32B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qFormat/>
    <w:rsid w:val="0089214A"/>
    <w:pPr>
      <w:widowControl/>
      <w:jc w:val="left"/>
      <w:outlineLvl w:val="0"/>
    </w:pPr>
    <w:rPr>
      <w:kern w:val="0"/>
      <w:sz w:val="24"/>
      <w:szCs w:val="20"/>
      <w:lang w:val="en-GB"/>
    </w:rPr>
  </w:style>
  <w:style w:type="paragraph" w:styleId="20">
    <w:name w:val="heading 2"/>
    <w:basedOn w:val="a"/>
    <w:next w:val="a0"/>
    <w:link w:val="2Char"/>
    <w:qFormat/>
    <w:rsid w:val="00FB732E"/>
    <w:pPr>
      <w:keepNext/>
      <w:keepLines/>
      <w:spacing w:before="260" w:after="260" w:line="360" w:lineRule="auto"/>
      <w:outlineLvl w:val="1"/>
    </w:pPr>
    <w:rPr>
      <w:rFonts w:ascii="Arial" w:hAnsi="Arial" w:cs="Arial"/>
      <w:b/>
      <w:bCs/>
      <w:sz w:val="24"/>
      <w:szCs w:val="28"/>
    </w:rPr>
  </w:style>
  <w:style w:type="paragraph" w:styleId="30">
    <w:name w:val="heading 3"/>
    <w:basedOn w:val="a"/>
    <w:next w:val="a"/>
    <w:link w:val="3Char"/>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FB732E"/>
    <w:pPr>
      <w:ind w:firstLineChars="200" w:firstLine="420"/>
    </w:pPr>
  </w:style>
  <w:style w:type="paragraph" w:styleId="a4">
    <w:name w:val="Body Text Indent"/>
    <w:basedOn w:val="a"/>
    <w:link w:val="Char"/>
    <w:rsid w:val="00FB732E"/>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0"/>
    <w:rsid w:val="00FB732E"/>
    <w:rPr>
      <w:rFonts w:ascii="宋体" w:hAnsi="Courier New"/>
      <w:szCs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paragraph" w:styleId="a6">
    <w:name w:val="footer"/>
    <w:basedOn w:val="a"/>
    <w:link w:val="Char1"/>
    <w:uiPriority w:val="99"/>
    <w:rsid w:val="00FB732E"/>
    <w:pPr>
      <w:tabs>
        <w:tab w:val="center" w:pos="4153"/>
        <w:tab w:val="right" w:pos="8306"/>
      </w:tabs>
      <w:snapToGrid w:val="0"/>
      <w:jc w:val="left"/>
    </w:pPr>
    <w:rPr>
      <w:sz w:val="18"/>
      <w:szCs w:val="18"/>
    </w:rPr>
  </w:style>
  <w:style w:type="character" w:styleId="a7">
    <w:name w:val="page number"/>
    <w:basedOn w:val="a1"/>
    <w:rsid w:val="00FB732E"/>
  </w:style>
  <w:style w:type="character" w:styleId="a8">
    <w:name w:val="Hyperlink"/>
    <w:rsid w:val="00FB732E"/>
    <w:rPr>
      <w:color w:val="0000FF"/>
      <w:u w:val="single"/>
    </w:rPr>
  </w:style>
  <w:style w:type="paragraph" w:styleId="31">
    <w:name w:val="Body Text Indent 3"/>
    <w:basedOn w:val="a"/>
    <w:link w:val="3Char0"/>
    <w:rsid w:val="00FB732E"/>
    <w:pPr>
      <w:spacing w:line="560" w:lineRule="exact"/>
      <w:ind w:firstLineChars="200" w:firstLine="420"/>
    </w:pPr>
    <w:rPr>
      <w:rFonts w:ascii="Arial" w:hAnsi="Arial" w:cs="Arial"/>
      <w:color w:val="FF0000"/>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styleId="aa">
    <w:name w:val="FollowedHyperlink"/>
    <w:rsid w:val="00FB732E"/>
    <w:rPr>
      <w:color w:val="800080"/>
      <w:u w:val="single"/>
    </w:rPr>
  </w:style>
  <w:style w:type="paragraph" w:styleId="ab">
    <w:name w:val="List"/>
    <w:basedOn w:val="ac"/>
    <w:rsid w:val="00FB732E"/>
    <w:pPr>
      <w:spacing w:after="220" w:line="220" w:lineRule="atLeast"/>
      <w:ind w:left="1440" w:hanging="360"/>
    </w:pPr>
    <w:rPr>
      <w:szCs w:val="20"/>
    </w:rPr>
  </w:style>
  <w:style w:type="paragraph" w:styleId="ac">
    <w:name w:val="Body Text"/>
    <w:basedOn w:val="a"/>
    <w:link w:val="Char3"/>
    <w:rsid w:val="00FB732E"/>
    <w:pPr>
      <w:spacing w:after="120"/>
    </w:pPr>
  </w:style>
  <w:style w:type="paragraph" w:styleId="ad">
    <w:name w:val="Date"/>
    <w:basedOn w:val="a"/>
    <w:next w:val="a"/>
    <w:link w:val="Char4"/>
    <w:uiPriority w:val="99"/>
    <w:rsid w:val="00FB732E"/>
    <w:rPr>
      <w:sz w:val="24"/>
      <w:szCs w:val="20"/>
    </w:rPr>
  </w:style>
  <w:style w:type="character" w:customStyle="1" w:styleId="c1">
    <w:name w:val="c1"/>
    <w:rsid w:val="00FB732E"/>
    <w:rPr>
      <w:color w:val="000000"/>
      <w:spacing w:val="300"/>
      <w:sz w:val="18"/>
      <w:szCs w:val="18"/>
    </w:rPr>
  </w:style>
  <w:style w:type="paragraph" w:styleId="10">
    <w:name w:val="index 1"/>
    <w:basedOn w:val="a"/>
    <w:next w:val="a"/>
    <w:autoRedefine/>
    <w:semiHidden/>
    <w:rsid w:val="00FB732E"/>
    <w:pPr>
      <w:jc w:val="right"/>
    </w:pPr>
    <w:rPr>
      <w:color w:val="008000"/>
    </w:rPr>
  </w:style>
  <w:style w:type="paragraph" w:customStyle="1" w:styleId="font5">
    <w:name w:val="font5"/>
    <w:basedOn w:val="a"/>
    <w:rsid w:val="00FB732E"/>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semiHidden/>
    <w:rsid w:val="00FB732E"/>
    <w:rPr>
      <w:sz w:val="18"/>
      <w:szCs w:val="18"/>
    </w:rPr>
  </w:style>
  <w:style w:type="character" w:styleId="af">
    <w:name w:val="annotation reference"/>
    <w:semiHidden/>
    <w:rsid w:val="00FB732E"/>
    <w:rPr>
      <w:sz w:val="21"/>
      <w:szCs w:val="21"/>
    </w:rPr>
  </w:style>
  <w:style w:type="paragraph" w:styleId="af0">
    <w:name w:val="annotation text"/>
    <w:basedOn w:val="a"/>
    <w:link w:val="Char6"/>
    <w:semiHidden/>
    <w:rsid w:val="00FB732E"/>
    <w:pPr>
      <w:jc w:val="left"/>
    </w:pPr>
  </w:style>
  <w:style w:type="paragraph" w:styleId="af1">
    <w:name w:val="annotation subject"/>
    <w:basedOn w:val="af0"/>
    <w:next w:val="af0"/>
    <w:link w:val="Char7"/>
    <w:semiHidden/>
    <w:rsid w:val="00FB732E"/>
    <w:rPr>
      <w:b/>
      <w:bCs/>
    </w:rPr>
  </w:style>
  <w:style w:type="paragraph" w:customStyle="1" w:styleId="Char8">
    <w:name w:val="Char"/>
    <w:basedOn w:val="a"/>
    <w:rsid w:val="00FB732E"/>
  </w:style>
  <w:style w:type="paragraph" w:styleId="af2">
    <w:name w:val="Document Map"/>
    <w:basedOn w:val="a"/>
    <w:link w:val="Char9"/>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semiHidden/>
    <w:rsid w:val="00547D9C"/>
    <w:pPr>
      <w:snapToGrid w:val="0"/>
      <w:jc w:val="left"/>
    </w:pPr>
    <w:rPr>
      <w:sz w:val="18"/>
      <w:szCs w:val="18"/>
    </w:rPr>
  </w:style>
  <w:style w:type="character" w:styleId="af5">
    <w:name w:val="footnote reference"/>
    <w:semiHidden/>
    <w:rsid w:val="00547D9C"/>
    <w:rPr>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numbering" w:customStyle="1" w:styleId="3">
    <w:name w:val="样式3"/>
    <w:rsid w:val="001C0806"/>
    <w:pPr>
      <w:numPr>
        <w:numId w:val="7"/>
      </w:numPr>
    </w:pPr>
  </w:style>
  <w:style w:type="numbering" w:customStyle="1" w:styleId="5">
    <w:name w:val="样式5"/>
    <w:rsid w:val="001C0806"/>
    <w:pPr>
      <w:numPr>
        <w:numId w:val="8"/>
      </w:numPr>
    </w:pPr>
  </w:style>
  <w:style w:type="numbering" w:customStyle="1" w:styleId="4">
    <w:name w:val="样式4"/>
    <w:rsid w:val="001C0806"/>
    <w:pPr>
      <w:numPr>
        <w:numId w:val="9"/>
      </w:numPr>
    </w:p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semiHidden/>
    <w:rsid w:val="00BE2A17"/>
    <w:pPr>
      <w:tabs>
        <w:tab w:val="right" w:leader="dot" w:pos="9072"/>
      </w:tabs>
    </w:pPr>
  </w:style>
  <w:style w:type="paragraph" w:styleId="32">
    <w:name w:val="toc 3"/>
    <w:basedOn w:val="a"/>
    <w:next w:val="a"/>
    <w:autoRedefine/>
    <w:semiHidden/>
    <w:rsid w:val="00954A89"/>
    <w:pPr>
      <w:ind w:leftChars="400" w:left="840"/>
    </w:pPr>
  </w:style>
  <w:style w:type="character" w:customStyle="1" w:styleId="2Char">
    <w:name w:val="标题 2 Char"/>
    <w:link w:val="20"/>
    <w:rsid w:val="00A3655D"/>
    <w:rPr>
      <w:rFonts w:ascii="Arial" w:hAnsi="Arial" w:cs="Arial"/>
      <w:b/>
      <w:bCs/>
      <w:kern w:val="2"/>
      <w:sz w:val="24"/>
      <w:szCs w:val="28"/>
    </w:rPr>
  </w:style>
  <w:style w:type="numbering" w:customStyle="1" w:styleId="2">
    <w:name w:val="样式2"/>
    <w:rsid w:val="00CC5767"/>
    <w:pPr>
      <w:numPr>
        <w:numId w:val="16"/>
      </w:numPr>
    </w:pPr>
  </w:style>
  <w:style w:type="character" w:customStyle="1" w:styleId="Char0">
    <w:name w:val="纯文本 Char"/>
    <w:link w:val="a5"/>
    <w:rsid w:val="00586E9A"/>
    <w:rPr>
      <w:rFonts w:ascii="宋体" w:hAnsi="Courier New"/>
      <w:kern w:val="2"/>
      <w:sz w:val="21"/>
      <w:szCs w:val="21"/>
    </w:rPr>
  </w:style>
  <w:style w:type="paragraph" w:customStyle="1" w:styleId="CharCharCharCharCharChar1CharCharChar1">
    <w:name w:val="Char Char Char Char Char Char1 Char Char Char1"/>
    <w:basedOn w:val="a"/>
    <w:rsid w:val="005B7476"/>
    <w:pPr>
      <w:autoSpaceDE w:val="0"/>
      <w:autoSpaceDN w:val="0"/>
      <w:adjustRightInd w:val="0"/>
      <w:jc w:val="left"/>
      <w:textAlignment w:val="baseline"/>
    </w:pPr>
    <w:rPr>
      <w:rFonts w:ascii="宋体"/>
      <w:kern w:val="0"/>
      <w:sz w:val="34"/>
      <w:szCs w:val="20"/>
    </w:rPr>
  </w:style>
  <w:style w:type="character" w:customStyle="1" w:styleId="1Char">
    <w:name w:val="标题 1 Char"/>
    <w:basedOn w:val="a1"/>
    <w:link w:val="1"/>
    <w:rsid w:val="0003228A"/>
    <w:rPr>
      <w:sz w:val="24"/>
      <w:lang w:val="en-GB"/>
    </w:rPr>
  </w:style>
  <w:style w:type="character" w:customStyle="1" w:styleId="3Char">
    <w:name w:val="标题 3 Char"/>
    <w:basedOn w:val="a1"/>
    <w:link w:val="30"/>
    <w:rsid w:val="006D141C"/>
    <w:rPr>
      <w:b/>
      <w:bCs/>
      <w:kern w:val="2"/>
      <w:sz w:val="32"/>
      <w:szCs w:val="32"/>
    </w:rPr>
  </w:style>
  <w:style w:type="character" w:customStyle="1" w:styleId="Chara">
    <w:name w:val="脚注文本 Char"/>
    <w:basedOn w:val="a1"/>
    <w:link w:val="af4"/>
    <w:semiHidden/>
    <w:rsid w:val="006D141C"/>
    <w:rPr>
      <w:kern w:val="2"/>
      <w:sz w:val="18"/>
      <w:szCs w:val="18"/>
    </w:rPr>
  </w:style>
  <w:style w:type="character" w:customStyle="1" w:styleId="Char6">
    <w:name w:val="批注文字 Char"/>
    <w:basedOn w:val="a1"/>
    <w:link w:val="af0"/>
    <w:semiHidden/>
    <w:rsid w:val="006D141C"/>
    <w:rPr>
      <w:kern w:val="2"/>
      <w:sz w:val="21"/>
      <w:szCs w:val="24"/>
    </w:rPr>
  </w:style>
  <w:style w:type="character" w:customStyle="1" w:styleId="Char2">
    <w:name w:val="页眉 Char"/>
    <w:basedOn w:val="a1"/>
    <w:link w:val="a9"/>
    <w:uiPriority w:val="99"/>
    <w:rsid w:val="006D141C"/>
    <w:rPr>
      <w:kern w:val="2"/>
      <w:sz w:val="18"/>
      <w:szCs w:val="18"/>
    </w:rPr>
  </w:style>
  <w:style w:type="character" w:customStyle="1" w:styleId="Char1">
    <w:name w:val="页脚 Char"/>
    <w:basedOn w:val="a1"/>
    <w:link w:val="a6"/>
    <w:uiPriority w:val="99"/>
    <w:rsid w:val="006D141C"/>
    <w:rPr>
      <w:kern w:val="2"/>
      <w:sz w:val="18"/>
      <w:szCs w:val="18"/>
    </w:rPr>
  </w:style>
  <w:style w:type="character" w:customStyle="1" w:styleId="Char3">
    <w:name w:val="正文文本 Char"/>
    <w:basedOn w:val="a1"/>
    <w:link w:val="ac"/>
    <w:rsid w:val="006D141C"/>
    <w:rPr>
      <w:kern w:val="2"/>
      <w:sz w:val="21"/>
      <w:szCs w:val="24"/>
    </w:rPr>
  </w:style>
  <w:style w:type="character" w:customStyle="1" w:styleId="Char">
    <w:name w:val="正文文本缩进 Char"/>
    <w:basedOn w:val="a1"/>
    <w:link w:val="a4"/>
    <w:rsid w:val="006D141C"/>
    <w:rPr>
      <w:rFonts w:ascii="Arial Unicode MS" w:eastAsia="Arial Unicode MS" w:hAnsi="Arial Unicode MS" w:cs="Arial Unicode MS"/>
      <w:sz w:val="24"/>
      <w:szCs w:val="24"/>
    </w:rPr>
  </w:style>
  <w:style w:type="character" w:customStyle="1" w:styleId="Char4">
    <w:name w:val="日期 Char"/>
    <w:basedOn w:val="a1"/>
    <w:link w:val="ad"/>
    <w:uiPriority w:val="99"/>
    <w:rsid w:val="006D141C"/>
    <w:rPr>
      <w:kern w:val="2"/>
      <w:sz w:val="24"/>
    </w:rPr>
  </w:style>
  <w:style w:type="character" w:customStyle="1" w:styleId="2Char0">
    <w:name w:val="正文文本缩进 2 Char"/>
    <w:basedOn w:val="a1"/>
    <w:link w:val="21"/>
    <w:rsid w:val="006D141C"/>
    <w:rPr>
      <w:rFonts w:ascii="宋体" w:hAnsi="宋体"/>
      <w:color w:val="FF0000"/>
      <w:kern w:val="2"/>
      <w:sz w:val="24"/>
      <w:szCs w:val="24"/>
    </w:rPr>
  </w:style>
  <w:style w:type="character" w:customStyle="1" w:styleId="3Char0">
    <w:name w:val="正文文本缩进 3 Char"/>
    <w:basedOn w:val="a1"/>
    <w:link w:val="31"/>
    <w:rsid w:val="006D141C"/>
    <w:rPr>
      <w:rFonts w:ascii="Arial" w:hAnsi="Arial" w:cs="Arial"/>
      <w:color w:val="FF0000"/>
      <w:kern w:val="2"/>
      <w:sz w:val="21"/>
      <w:szCs w:val="24"/>
    </w:rPr>
  </w:style>
  <w:style w:type="character" w:customStyle="1" w:styleId="Char9">
    <w:name w:val="文档结构图 Char"/>
    <w:basedOn w:val="a1"/>
    <w:link w:val="af2"/>
    <w:semiHidden/>
    <w:rsid w:val="006D141C"/>
    <w:rPr>
      <w:kern w:val="2"/>
      <w:sz w:val="21"/>
      <w:szCs w:val="24"/>
      <w:shd w:val="clear" w:color="auto" w:fill="000080"/>
    </w:rPr>
  </w:style>
  <w:style w:type="character" w:customStyle="1" w:styleId="Char7">
    <w:name w:val="批注主题 Char"/>
    <w:basedOn w:val="Char6"/>
    <w:link w:val="af1"/>
    <w:semiHidden/>
    <w:rsid w:val="006D141C"/>
    <w:rPr>
      <w:b/>
      <w:bCs/>
      <w:kern w:val="2"/>
      <w:sz w:val="21"/>
      <w:szCs w:val="24"/>
    </w:rPr>
  </w:style>
  <w:style w:type="character" w:customStyle="1" w:styleId="Char5">
    <w:name w:val="批注框文本 Char"/>
    <w:basedOn w:val="a1"/>
    <w:link w:val="ae"/>
    <w:semiHidden/>
    <w:rsid w:val="006D141C"/>
    <w:rPr>
      <w:kern w:val="2"/>
      <w:sz w:val="18"/>
      <w:szCs w:val="18"/>
    </w:rPr>
  </w:style>
  <w:style w:type="character" w:styleId="af8">
    <w:name w:val="Strong"/>
    <w:basedOn w:val="a1"/>
    <w:qFormat/>
    <w:rsid w:val="00A44D38"/>
    <w:rPr>
      <w:b/>
      <w:bCs/>
    </w:rPr>
  </w:style>
  <w:style w:type="paragraph" w:styleId="af9">
    <w:name w:val="List Paragraph"/>
    <w:basedOn w:val="a"/>
    <w:uiPriority w:val="34"/>
    <w:qFormat/>
    <w:rsid w:val="002C14E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2622">
      <w:bodyDiv w:val="1"/>
      <w:marLeft w:val="0"/>
      <w:marRight w:val="0"/>
      <w:marTop w:val="0"/>
      <w:marBottom w:val="0"/>
      <w:divBdr>
        <w:top w:val="none" w:sz="0" w:space="0" w:color="auto"/>
        <w:left w:val="none" w:sz="0" w:space="0" w:color="auto"/>
        <w:bottom w:val="none" w:sz="0" w:space="0" w:color="auto"/>
        <w:right w:val="none" w:sz="0" w:space="0" w:color="auto"/>
      </w:divBdr>
    </w:div>
    <w:div w:id="12418240">
      <w:bodyDiv w:val="1"/>
      <w:marLeft w:val="0"/>
      <w:marRight w:val="0"/>
      <w:marTop w:val="0"/>
      <w:marBottom w:val="0"/>
      <w:divBdr>
        <w:top w:val="none" w:sz="0" w:space="0" w:color="auto"/>
        <w:left w:val="none" w:sz="0" w:space="0" w:color="auto"/>
        <w:bottom w:val="none" w:sz="0" w:space="0" w:color="auto"/>
        <w:right w:val="none" w:sz="0" w:space="0" w:color="auto"/>
      </w:divBdr>
    </w:div>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50738565">
      <w:bodyDiv w:val="1"/>
      <w:marLeft w:val="0"/>
      <w:marRight w:val="0"/>
      <w:marTop w:val="0"/>
      <w:marBottom w:val="0"/>
      <w:divBdr>
        <w:top w:val="none" w:sz="0" w:space="0" w:color="auto"/>
        <w:left w:val="none" w:sz="0" w:space="0" w:color="auto"/>
        <w:bottom w:val="none" w:sz="0" w:space="0" w:color="auto"/>
        <w:right w:val="none" w:sz="0" w:space="0" w:color="auto"/>
      </w:divBdr>
    </w:div>
    <w:div w:id="54134530">
      <w:bodyDiv w:val="1"/>
      <w:marLeft w:val="0"/>
      <w:marRight w:val="0"/>
      <w:marTop w:val="0"/>
      <w:marBottom w:val="0"/>
      <w:divBdr>
        <w:top w:val="none" w:sz="0" w:space="0" w:color="auto"/>
        <w:left w:val="none" w:sz="0" w:space="0" w:color="auto"/>
        <w:bottom w:val="none" w:sz="0" w:space="0" w:color="auto"/>
        <w:right w:val="none" w:sz="0" w:space="0" w:color="auto"/>
      </w:divBdr>
    </w:div>
    <w:div w:id="94372863">
      <w:bodyDiv w:val="1"/>
      <w:marLeft w:val="0"/>
      <w:marRight w:val="0"/>
      <w:marTop w:val="0"/>
      <w:marBottom w:val="0"/>
      <w:divBdr>
        <w:top w:val="none" w:sz="0" w:space="0" w:color="auto"/>
        <w:left w:val="none" w:sz="0" w:space="0" w:color="auto"/>
        <w:bottom w:val="none" w:sz="0" w:space="0" w:color="auto"/>
        <w:right w:val="none" w:sz="0" w:space="0" w:color="auto"/>
      </w:divBdr>
    </w:div>
    <w:div w:id="99029144">
      <w:bodyDiv w:val="1"/>
      <w:marLeft w:val="0"/>
      <w:marRight w:val="0"/>
      <w:marTop w:val="0"/>
      <w:marBottom w:val="0"/>
      <w:divBdr>
        <w:top w:val="none" w:sz="0" w:space="0" w:color="auto"/>
        <w:left w:val="none" w:sz="0" w:space="0" w:color="auto"/>
        <w:bottom w:val="none" w:sz="0" w:space="0" w:color="auto"/>
        <w:right w:val="none" w:sz="0" w:space="0" w:color="auto"/>
      </w:divBdr>
    </w:div>
    <w:div w:id="108280939">
      <w:bodyDiv w:val="1"/>
      <w:marLeft w:val="0"/>
      <w:marRight w:val="0"/>
      <w:marTop w:val="0"/>
      <w:marBottom w:val="0"/>
      <w:divBdr>
        <w:top w:val="none" w:sz="0" w:space="0" w:color="auto"/>
        <w:left w:val="none" w:sz="0" w:space="0" w:color="auto"/>
        <w:bottom w:val="none" w:sz="0" w:space="0" w:color="auto"/>
        <w:right w:val="none" w:sz="0" w:space="0" w:color="auto"/>
      </w:divBdr>
    </w:div>
    <w:div w:id="130171987">
      <w:bodyDiv w:val="1"/>
      <w:marLeft w:val="0"/>
      <w:marRight w:val="0"/>
      <w:marTop w:val="0"/>
      <w:marBottom w:val="0"/>
      <w:divBdr>
        <w:top w:val="none" w:sz="0" w:space="0" w:color="auto"/>
        <w:left w:val="none" w:sz="0" w:space="0" w:color="auto"/>
        <w:bottom w:val="none" w:sz="0" w:space="0" w:color="auto"/>
        <w:right w:val="none" w:sz="0" w:space="0" w:color="auto"/>
      </w:divBdr>
      <w:divsChild>
        <w:div w:id="1723096624">
          <w:marLeft w:val="0"/>
          <w:marRight w:val="0"/>
          <w:marTop w:val="0"/>
          <w:marBottom w:val="0"/>
          <w:divBdr>
            <w:top w:val="none" w:sz="0" w:space="0" w:color="auto"/>
            <w:left w:val="none" w:sz="0" w:space="0" w:color="auto"/>
            <w:bottom w:val="none" w:sz="0" w:space="0" w:color="auto"/>
            <w:right w:val="none" w:sz="0" w:space="0" w:color="auto"/>
          </w:divBdr>
        </w:div>
      </w:divsChild>
    </w:div>
    <w:div w:id="141851031">
      <w:bodyDiv w:val="1"/>
      <w:marLeft w:val="0"/>
      <w:marRight w:val="0"/>
      <w:marTop w:val="0"/>
      <w:marBottom w:val="0"/>
      <w:divBdr>
        <w:top w:val="none" w:sz="0" w:space="0" w:color="auto"/>
        <w:left w:val="none" w:sz="0" w:space="0" w:color="auto"/>
        <w:bottom w:val="none" w:sz="0" w:space="0" w:color="auto"/>
        <w:right w:val="none" w:sz="0" w:space="0" w:color="auto"/>
      </w:divBdr>
    </w:div>
    <w:div w:id="156919872">
      <w:bodyDiv w:val="1"/>
      <w:marLeft w:val="0"/>
      <w:marRight w:val="0"/>
      <w:marTop w:val="0"/>
      <w:marBottom w:val="0"/>
      <w:divBdr>
        <w:top w:val="none" w:sz="0" w:space="0" w:color="auto"/>
        <w:left w:val="none" w:sz="0" w:space="0" w:color="auto"/>
        <w:bottom w:val="none" w:sz="0" w:space="0" w:color="auto"/>
        <w:right w:val="none" w:sz="0" w:space="0" w:color="auto"/>
      </w:divBdr>
      <w:divsChild>
        <w:div w:id="1335063293">
          <w:marLeft w:val="0"/>
          <w:marRight w:val="0"/>
          <w:marTop w:val="0"/>
          <w:marBottom w:val="0"/>
          <w:divBdr>
            <w:top w:val="none" w:sz="0" w:space="0" w:color="auto"/>
            <w:left w:val="none" w:sz="0" w:space="0" w:color="auto"/>
            <w:bottom w:val="none" w:sz="0" w:space="0" w:color="auto"/>
            <w:right w:val="none" w:sz="0" w:space="0" w:color="auto"/>
          </w:divBdr>
        </w:div>
      </w:divsChild>
    </w:div>
    <w:div w:id="166556664">
      <w:bodyDiv w:val="1"/>
      <w:marLeft w:val="0"/>
      <w:marRight w:val="0"/>
      <w:marTop w:val="0"/>
      <w:marBottom w:val="0"/>
      <w:divBdr>
        <w:top w:val="none" w:sz="0" w:space="0" w:color="auto"/>
        <w:left w:val="none" w:sz="0" w:space="0" w:color="auto"/>
        <w:bottom w:val="none" w:sz="0" w:space="0" w:color="auto"/>
        <w:right w:val="none" w:sz="0" w:space="0" w:color="auto"/>
      </w:divBdr>
    </w:div>
    <w:div w:id="169023787">
      <w:bodyDiv w:val="1"/>
      <w:marLeft w:val="0"/>
      <w:marRight w:val="0"/>
      <w:marTop w:val="0"/>
      <w:marBottom w:val="0"/>
      <w:divBdr>
        <w:top w:val="none" w:sz="0" w:space="0" w:color="auto"/>
        <w:left w:val="none" w:sz="0" w:space="0" w:color="auto"/>
        <w:bottom w:val="none" w:sz="0" w:space="0" w:color="auto"/>
        <w:right w:val="none" w:sz="0" w:space="0" w:color="auto"/>
      </w:divBdr>
    </w:div>
    <w:div w:id="173806077">
      <w:bodyDiv w:val="1"/>
      <w:marLeft w:val="0"/>
      <w:marRight w:val="0"/>
      <w:marTop w:val="0"/>
      <w:marBottom w:val="0"/>
      <w:divBdr>
        <w:top w:val="none" w:sz="0" w:space="0" w:color="auto"/>
        <w:left w:val="none" w:sz="0" w:space="0" w:color="auto"/>
        <w:bottom w:val="none" w:sz="0" w:space="0" w:color="auto"/>
        <w:right w:val="none" w:sz="0" w:space="0" w:color="auto"/>
      </w:divBdr>
    </w:div>
    <w:div w:id="188493627">
      <w:bodyDiv w:val="1"/>
      <w:marLeft w:val="0"/>
      <w:marRight w:val="0"/>
      <w:marTop w:val="0"/>
      <w:marBottom w:val="0"/>
      <w:divBdr>
        <w:top w:val="none" w:sz="0" w:space="0" w:color="auto"/>
        <w:left w:val="none" w:sz="0" w:space="0" w:color="auto"/>
        <w:bottom w:val="none" w:sz="0" w:space="0" w:color="auto"/>
        <w:right w:val="none" w:sz="0" w:space="0" w:color="auto"/>
      </w:divBdr>
    </w:div>
    <w:div w:id="208492194">
      <w:bodyDiv w:val="1"/>
      <w:marLeft w:val="0"/>
      <w:marRight w:val="0"/>
      <w:marTop w:val="0"/>
      <w:marBottom w:val="0"/>
      <w:divBdr>
        <w:top w:val="none" w:sz="0" w:space="0" w:color="auto"/>
        <w:left w:val="none" w:sz="0" w:space="0" w:color="auto"/>
        <w:bottom w:val="none" w:sz="0" w:space="0" w:color="auto"/>
        <w:right w:val="none" w:sz="0" w:space="0" w:color="auto"/>
      </w:divBdr>
    </w:div>
    <w:div w:id="219830680">
      <w:bodyDiv w:val="1"/>
      <w:marLeft w:val="0"/>
      <w:marRight w:val="0"/>
      <w:marTop w:val="0"/>
      <w:marBottom w:val="0"/>
      <w:divBdr>
        <w:top w:val="none" w:sz="0" w:space="0" w:color="auto"/>
        <w:left w:val="none" w:sz="0" w:space="0" w:color="auto"/>
        <w:bottom w:val="none" w:sz="0" w:space="0" w:color="auto"/>
        <w:right w:val="none" w:sz="0" w:space="0" w:color="auto"/>
      </w:divBdr>
    </w:div>
    <w:div w:id="220488553">
      <w:bodyDiv w:val="1"/>
      <w:marLeft w:val="0"/>
      <w:marRight w:val="0"/>
      <w:marTop w:val="0"/>
      <w:marBottom w:val="0"/>
      <w:divBdr>
        <w:top w:val="none" w:sz="0" w:space="0" w:color="auto"/>
        <w:left w:val="none" w:sz="0" w:space="0" w:color="auto"/>
        <w:bottom w:val="none" w:sz="0" w:space="0" w:color="auto"/>
        <w:right w:val="none" w:sz="0" w:space="0" w:color="auto"/>
      </w:divBdr>
    </w:div>
    <w:div w:id="223833576">
      <w:bodyDiv w:val="1"/>
      <w:marLeft w:val="0"/>
      <w:marRight w:val="0"/>
      <w:marTop w:val="0"/>
      <w:marBottom w:val="0"/>
      <w:divBdr>
        <w:top w:val="none" w:sz="0" w:space="0" w:color="auto"/>
        <w:left w:val="none" w:sz="0" w:space="0" w:color="auto"/>
        <w:bottom w:val="none" w:sz="0" w:space="0" w:color="auto"/>
        <w:right w:val="none" w:sz="0" w:space="0" w:color="auto"/>
      </w:divBdr>
    </w:div>
    <w:div w:id="233514390">
      <w:bodyDiv w:val="1"/>
      <w:marLeft w:val="0"/>
      <w:marRight w:val="0"/>
      <w:marTop w:val="0"/>
      <w:marBottom w:val="0"/>
      <w:divBdr>
        <w:top w:val="none" w:sz="0" w:space="0" w:color="auto"/>
        <w:left w:val="none" w:sz="0" w:space="0" w:color="auto"/>
        <w:bottom w:val="none" w:sz="0" w:space="0" w:color="auto"/>
        <w:right w:val="none" w:sz="0" w:space="0" w:color="auto"/>
      </w:divBdr>
    </w:div>
    <w:div w:id="236982680">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9532252">
      <w:bodyDiv w:val="1"/>
      <w:marLeft w:val="0"/>
      <w:marRight w:val="0"/>
      <w:marTop w:val="0"/>
      <w:marBottom w:val="0"/>
      <w:divBdr>
        <w:top w:val="none" w:sz="0" w:space="0" w:color="auto"/>
        <w:left w:val="none" w:sz="0" w:space="0" w:color="auto"/>
        <w:bottom w:val="none" w:sz="0" w:space="0" w:color="auto"/>
        <w:right w:val="none" w:sz="0" w:space="0" w:color="auto"/>
      </w:divBdr>
    </w:div>
    <w:div w:id="285429604">
      <w:bodyDiv w:val="1"/>
      <w:marLeft w:val="0"/>
      <w:marRight w:val="0"/>
      <w:marTop w:val="0"/>
      <w:marBottom w:val="0"/>
      <w:divBdr>
        <w:top w:val="none" w:sz="0" w:space="0" w:color="auto"/>
        <w:left w:val="none" w:sz="0" w:space="0" w:color="auto"/>
        <w:bottom w:val="none" w:sz="0" w:space="0" w:color="auto"/>
        <w:right w:val="none" w:sz="0" w:space="0" w:color="auto"/>
      </w:divBdr>
    </w:div>
    <w:div w:id="293371735">
      <w:bodyDiv w:val="1"/>
      <w:marLeft w:val="0"/>
      <w:marRight w:val="0"/>
      <w:marTop w:val="0"/>
      <w:marBottom w:val="0"/>
      <w:divBdr>
        <w:top w:val="none" w:sz="0" w:space="0" w:color="auto"/>
        <w:left w:val="none" w:sz="0" w:space="0" w:color="auto"/>
        <w:bottom w:val="none" w:sz="0" w:space="0" w:color="auto"/>
        <w:right w:val="none" w:sz="0" w:space="0" w:color="auto"/>
      </w:divBdr>
    </w:div>
    <w:div w:id="294021135">
      <w:bodyDiv w:val="1"/>
      <w:marLeft w:val="0"/>
      <w:marRight w:val="0"/>
      <w:marTop w:val="0"/>
      <w:marBottom w:val="0"/>
      <w:divBdr>
        <w:top w:val="none" w:sz="0" w:space="0" w:color="auto"/>
        <w:left w:val="none" w:sz="0" w:space="0" w:color="auto"/>
        <w:bottom w:val="none" w:sz="0" w:space="0" w:color="auto"/>
        <w:right w:val="none" w:sz="0" w:space="0" w:color="auto"/>
      </w:divBdr>
    </w:div>
    <w:div w:id="297877469">
      <w:bodyDiv w:val="1"/>
      <w:marLeft w:val="0"/>
      <w:marRight w:val="0"/>
      <w:marTop w:val="0"/>
      <w:marBottom w:val="0"/>
      <w:divBdr>
        <w:top w:val="none" w:sz="0" w:space="0" w:color="auto"/>
        <w:left w:val="none" w:sz="0" w:space="0" w:color="auto"/>
        <w:bottom w:val="none" w:sz="0" w:space="0" w:color="auto"/>
        <w:right w:val="none" w:sz="0" w:space="0" w:color="auto"/>
      </w:divBdr>
    </w:div>
    <w:div w:id="312492179">
      <w:bodyDiv w:val="1"/>
      <w:marLeft w:val="0"/>
      <w:marRight w:val="0"/>
      <w:marTop w:val="0"/>
      <w:marBottom w:val="0"/>
      <w:divBdr>
        <w:top w:val="none" w:sz="0" w:space="0" w:color="auto"/>
        <w:left w:val="none" w:sz="0" w:space="0" w:color="auto"/>
        <w:bottom w:val="none" w:sz="0" w:space="0" w:color="auto"/>
        <w:right w:val="none" w:sz="0" w:space="0" w:color="auto"/>
      </w:divBdr>
    </w:div>
    <w:div w:id="312754186">
      <w:bodyDiv w:val="1"/>
      <w:marLeft w:val="0"/>
      <w:marRight w:val="0"/>
      <w:marTop w:val="0"/>
      <w:marBottom w:val="0"/>
      <w:divBdr>
        <w:top w:val="none" w:sz="0" w:space="0" w:color="auto"/>
        <w:left w:val="none" w:sz="0" w:space="0" w:color="auto"/>
        <w:bottom w:val="none" w:sz="0" w:space="0" w:color="auto"/>
        <w:right w:val="none" w:sz="0" w:space="0" w:color="auto"/>
      </w:divBdr>
    </w:div>
    <w:div w:id="316032732">
      <w:bodyDiv w:val="1"/>
      <w:marLeft w:val="0"/>
      <w:marRight w:val="0"/>
      <w:marTop w:val="0"/>
      <w:marBottom w:val="0"/>
      <w:divBdr>
        <w:top w:val="none" w:sz="0" w:space="0" w:color="auto"/>
        <w:left w:val="none" w:sz="0" w:space="0" w:color="auto"/>
        <w:bottom w:val="none" w:sz="0" w:space="0" w:color="auto"/>
        <w:right w:val="none" w:sz="0" w:space="0" w:color="auto"/>
      </w:divBdr>
    </w:div>
    <w:div w:id="328019152">
      <w:bodyDiv w:val="1"/>
      <w:marLeft w:val="0"/>
      <w:marRight w:val="0"/>
      <w:marTop w:val="0"/>
      <w:marBottom w:val="0"/>
      <w:divBdr>
        <w:top w:val="none" w:sz="0" w:space="0" w:color="auto"/>
        <w:left w:val="none" w:sz="0" w:space="0" w:color="auto"/>
        <w:bottom w:val="none" w:sz="0" w:space="0" w:color="auto"/>
        <w:right w:val="none" w:sz="0" w:space="0" w:color="auto"/>
      </w:divBdr>
    </w:div>
    <w:div w:id="333647338">
      <w:bodyDiv w:val="1"/>
      <w:marLeft w:val="0"/>
      <w:marRight w:val="0"/>
      <w:marTop w:val="0"/>
      <w:marBottom w:val="0"/>
      <w:divBdr>
        <w:top w:val="none" w:sz="0" w:space="0" w:color="auto"/>
        <w:left w:val="none" w:sz="0" w:space="0" w:color="auto"/>
        <w:bottom w:val="none" w:sz="0" w:space="0" w:color="auto"/>
        <w:right w:val="none" w:sz="0" w:space="0" w:color="auto"/>
      </w:divBdr>
    </w:div>
    <w:div w:id="347565120">
      <w:bodyDiv w:val="1"/>
      <w:marLeft w:val="0"/>
      <w:marRight w:val="0"/>
      <w:marTop w:val="0"/>
      <w:marBottom w:val="0"/>
      <w:divBdr>
        <w:top w:val="none" w:sz="0" w:space="0" w:color="auto"/>
        <w:left w:val="none" w:sz="0" w:space="0" w:color="auto"/>
        <w:bottom w:val="none" w:sz="0" w:space="0" w:color="auto"/>
        <w:right w:val="none" w:sz="0" w:space="0" w:color="auto"/>
      </w:divBdr>
    </w:div>
    <w:div w:id="369846120">
      <w:bodyDiv w:val="1"/>
      <w:marLeft w:val="0"/>
      <w:marRight w:val="0"/>
      <w:marTop w:val="0"/>
      <w:marBottom w:val="0"/>
      <w:divBdr>
        <w:top w:val="none" w:sz="0" w:space="0" w:color="auto"/>
        <w:left w:val="none" w:sz="0" w:space="0" w:color="auto"/>
        <w:bottom w:val="none" w:sz="0" w:space="0" w:color="auto"/>
        <w:right w:val="none" w:sz="0" w:space="0" w:color="auto"/>
      </w:divBdr>
    </w:div>
    <w:div w:id="372312076">
      <w:bodyDiv w:val="1"/>
      <w:marLeft w:val="0"/>
      <w:marRight w:val="0"/>
      <w:marTop w:val="0"/>
      <w:marBottom w:val="0"/>
      <w:divBdr>
        <w:top w:val="none" w:sz="0" w:space="0" w:color="auto"/>
        <w:left w:val="none" w:sz="0" w:space="0" w:color="auto"/>
        <w:bottom w:val="none" w:sz="0" w:space="0" w:color="auto"/>
        <w:right w:val="none" w:sz="0" w:space="0" w:color="auto"/>
      </w:divBdr>
    </w:div>
    <w:div w:id="383526271">
      <w:bodyDiv w:val="1"/>
      <w:marLeft w:val="0"/>
      <w:marRight w:val="0"/>
      <w:marTop w:val="0"/>
      <w:marBottom w:val="0"/>
      <w:divBdr>
        <w:top w:val="none" w:sz="0" w:space="0" w:color="auto"/>
        <w:left w:val="none" w:sz="0" w:space="0" w:color="auto"/>
        <w:bottom w:val="none" w:sz="0" w:space="0" w:color="auto"/>
        <w:right w:val="none" w:sz="0" w:space="0" w:color="auto"/>
      </w:divBdr>
    </w:div>
    <w:div w:id="389500673">
      <w:bodyDiv w:val="1"/>
      <w:marLeft w:val="0"/>
      <w:marRight w:val="0"/>
      <w:marTop w:val="0"/>
      <w:marBottom w:val="0"/>
      <w:divBdr>
        <w:top w:val="none" w:sz="0" w:space="0" w:color="auto"/>
        <w:left w:val="none" w:sz="0" w:space="0" w:color="auto"/>
        <w:bottom w:val="none" w:sz="0" w:space="0" w:color="auto"/>
        <w:right w:val="none" w:sz="0" w:space="0" w:color="auto"/>
      </w:divBdr>
    </w:div>
    <w:div w:id="405954618">
      <w:bodyDiv w:val="1"/>
      <w:marLeft w:val="0"/>
      <w:marRight w:val="0"/>
      <w:marTop w:val="0"/>
      <w:marBottom w:val="0"/>
      <w:divBdr>
        <w:top w:val="none" w:sz="0" w:space="0" w:color="auto"/>
        <w:left w:val="none" w:sz="0" w:space="0" w:color="auto"/>
        <w:bottom w:val="none" w:sz="0" w:space="0" w:color="auto"/>
        <w:right w:val="none" w:sz="0" w:space="0" w:color="auto"/>
      </w:divBdr>
    </w:div>
    <w:div w:id="421952953">
      <w:bodyDiv w:val="1"/>
      <w:marLeft w:val="0"/>
      <w:marRight w:val="0"/>
      <w:marTop w:val="0"/>
      <w:marBottom w:val="0"/>
      <w:divBdr>
        <w:top w:val="none" w:sz="0" w:space="0" w:color="auto"/>
        <w:left w:val="none" w:sz="0" w:space="0" w:color="auto"/>
        <w:bottom w:val="none" w:sz="0" w:space="0" w:color="auto"/>
        <w:right w:val="none" w:sz="0" w:space="0" w:color="auto"/>
      </w:divBdr>
    </w:div>
    <w:div w:id="428426364">
      <w:bodyDiv w:val="1"/>
      <w:marLeft w:val="0"/>
      <w:marRight w:val="0"/>
      <w:marTop w:val="0"/>
      <w:marBottom w:val="0"/>
      <w:divBdr>
        <w:top w:val="none" w:sz="0" w:space="0" w:color="auto"/>
        <w:left w:val="none" w:sz="0" w:space="0" w:color="auto"/>
        <w:bottom w:val="none" w:sz="0" w:space="0" w:color="auto"/>
        <w:right w:val="none" w:sz="0" w:space="0" w:color="auto"/>
      </w:divBdr>
    </w:div>
    <w:div w:id="429666042">
      <w:bodyDiv w:val="1"/>
      <w:marLeft w:val="0"/>
      <w:marRight w:val="0"/>
      <w:marTop w:val="0"/>
      <w:marBottom w:val="0"/>
      <w:divBdr>
        <w:top w:val="none" w:sz="0" w:space="0" w:color="auto"/>
        <w:left w:val="none" w:sz="0" w:space="0" w:color="auto"/>
        <w:bottom w:val="none" w:sz="0" w:space="0" w:color="auto"/>
        <w:right w:val="none" w:sz="0" w:space="0" w:color="auto"/>
      </w:divBdr>
    </w:div>
    <w:div w:id="434399470">
      <w:bodyDiv w:val="1"/>
      <w:marLeft w:val="0"/>
      <w:marRight w:val="0"/>
      <w:marTop w:val="0"/>
      <w:marBottom w:val="0"/>
      <w:divBdr>
        <w:top w:val="none" w:sz="0" w:space="0" w:color="auto"/>
        <w:left w:val="none" w:sz="0" w:space="0" w:color="auto"/>
        <w:bottom w:val="none" w:sz="0" w:space="0" w:color="auto"/>
        <w:right w:val="none" w:sz="0" w:space="0" w:color="auto"/>
      </w:divBdr>
      <w:divsChild>
        <w:div w:id="1301226452">
          <w:marLeft w:val="0"/>
          <w:marRight w:val="0"/>
          <w:marTop w:val="0"/>
          <w:marBottom w:val="0"/>
          <w:divBdr>
            <w:top w:val="none" w:sz="0" w:space="0" w:color="auto"/>
            <w:left w:val="none" w:sz="0" w:space="0" w:color="auto"/>
            <w:bottom w:val="none" w:sz="0" w:space="0" w:color="auto"/>
            <w:right w:val="none" w:sz="0" w:space="0" w:color="auto"/>
          </w:divBdr>
        </w:div>
      </w:divsChild>
    </w:div>
    <w:div w:id="449856004">
      <w:bodyDiv w:val="1"/>
      <w:marLeft w:val="0"/>
      <w:marRight w:val="0"/>
      <w:marTop w:val="0"/>
      <w:marBottom w:val="0"/>
      <w:divBdr>
        <w:top w:val="none" w:sz="0" w:space="0" w:color="auto"/>
        <w:left w:val="none" w:sz="0" w:space="0" w:color="auto"/>
        <w:bottom w:val="none" w:sz="0" w:space="0" w:color="auto"/>
        <w:right w:val="none" w:sz="0" w:space="0" w:color="auto"/>
      </w:divBdr>
      <w:divsChild>
        <w:div w:id="468480392">
          <w:marLeft w:val="0"/>
          <w:marRight w:val="0"/>
          <w:marTop w:val="0"/>
          <w:marBottom w:val="0"/>
          <w:divBdr>
            <w:top w:val="none" w:sz="0" w:space="0" w:color="auto"/>
            <w:left w:val="none" w:sz="0" w:space="0" w:color="auto"/>
            <w:bottom w:val="none" w:sz="0" w:space="0" w:color="auto"/>
            <w:right w:val="none" w:sz="0" w:space="0" w:color="auto"/>
          </w:divBdr>
        </w:div>
      </w:divsChild>
    </w:div>
    <w:div w:id="465241967">
      <w:bodyDiv w:val="1"/>
      <w:marLeft w:val="0"/>
      <w:marRight w:val="0"/>
      <w:marTop w:val="0"/>
      <w:marBottom w:val="0"/>
      <w:divBdr>
        <w:top w:val="none" w:sz="0" w:space="0" w:color="auto"/>
        <w:left w:val="none" w:sz="0" w:space="0" w:color="auto"/>
        <w:bottom w:val="none" w:sz="0" w:space="0" w:color="auto"/>
        <w:right w:val="none" w:sz="0" w:space="0" w:color="auto"/>
      </w:divBdr>
    </w:div>
    <w:div w:id="474765098">
      <w:bodyDiv w:val="1"/>
      <w:marLeft w:val="0"/>
      <w:marRight w:val="0"/>
      <w:marTop w:val="0"/>
      <w:marBottom w:val="0"/>
      <w:divBdr>
        <w:top w:val="none" w:sz="0" w:space="0" w:color="auto"/>
        <w:left w:val="none" w:sz="0" w:space="0" w:color="auto"/>
        <w:bottom w:val="none" w:sz="0" w:space="0" w:color="auto"/>
        <w:right w:val="none" w:sz="0" w:space="0" w:color="auto"/>
      </w:divBdr>
    </w:div>
    <w:div w:id="485971700">
      <w:bodyDiv w:val="1"/>
      <w:marLeft w:val="0"/>
      <w:marRight w:val="0"/>
      <w:marTop w:val="0"/>
      <w:marBottom w:val="0"/>
      <w:divBdr>
        <w:top w:val="none" w:sz="0" w:space="0" w:color="auto"/>
        <w:left w:val="none" w:sz="0" w:space="0" w:color="auto"/>
        <w:bottom w:val="none" w:sz="0" w:space="0" w:color="auto"/>
        <w:right w:val="none" w:sz="0" w:space="0" w:color="auto"/>
      </w:divBdr>
    </w:div>
    <w:div w:id="492449171">
      <w:bodyDiv w:val="1"/>
      <w:marLeft w:val="0"/>
      <w:marRight w:val="0"/>
      <w:marTop w:val="0"/>
      <w:marBottom w:val="0"/>
      <w:divBdr>
        <w:top w:val="none" w:sz="0" w:space="0" w:color="auto"/>
        <w:left w:val="none" w:sz="0" w:space="0" w:color="auto"/>
        <w:bottom w:val="none" w:sz="0" w:space="0" w:color="auto"/>
        <w:right w:val="none" w:sz="0" w:space="0" w:color="auto"/>
      </w:divBdr>
    </w:div>
    <w:div w:id="515463929">
      <w:bodyDiv w:val="1"/>
      <w:marLeft w:val="0"/>
      <w:marRight w:val="0"/>
      <w:marTop w:val="0"/>
      <w:marBottom w:val="0"/>
      <w:divBdr>
        <w:top w:val="none" w:sz="0" w:space="0" w:color="auto"/>
        <w:left w:val="none" w:sz="0" w:space="0" w:color="auto"/>
        <w:bottom w:val="none" w:sz="0" w:space="0" w:color="auto"/>
        <w:right w:val="none" w:sz="0" w:space="0" w:color="auto"/>
      </w:divBdr>
    </w:div>
    <w:div w:id="566572800">
      <w:bodyDiv w:val="1"/>
      <w:marLeft w:val="0"/>
      <w:marRight w:val="0"/>
      <w:marTop w:val="0"/>
      <w:marBottom w:val="0"/>
      <w:divBdr>
        <w:top w:val="none" w:sz="0" w:space="0" w:color="auto"/>
        <w:left w:val="none" w:sz="0" w:space="0" w:color="auto"/>
        <w:bottom w:val="none" w:sz="0" w:space="0" w:color="auto"/>
        <w:right w:val="none" w:sz="0" w:space="0" w:color="auto"/>
      </w:divBdr>
    </w:div>
    <w:div w:id="571811457">
      <w:bodyDiv w:val="1"/>
      <w:marLeft w:val="0"/>
      <w:marRight w:val="0"/>
      <w:marTop w:val="0"/>
      <w:marBottom w:val="0"/>
      <w:divBdr>
        <w:top w:val="none" w:sz="0" w:space="0" w:color="auto"/>
        <w:left w:val="none" w:sz="0" w:space="0" w:color="auto"/>
        <w:bottom w:val="none" w:sz="0" w:space="0" w:color="auto"/>
        <w:right w:val="none" w:sz="0" w:space="0" w:color="auto"/>
      </w:divBdr>
    </w:div>
    <w:div w:id="574632569">
      <w:bodyDiv w:val="1"/>
      <w:marLeft w:val="0"/>
      <w:marRight w:val="0"/>
      <w:marTop w:val="0"/>
      <w:marBottom w:val="0"/>
      <w:divBdr>
        <w:top w:val="none" w:sz="0" w:space="0" w:color="auto"/>
        <w:left w:val="none" w:sz="0" w:space="0" w:color="auto"/>
        <w:bottom w:val="none" w:sz="0" w:space="0" w:color="auto"/>
        <w:right w:val="none" w:sz="0" w:space="0" w:color="auto"/>
      </w:divBdr>
    </w:div>
    <w:div w:id="605427738">
      <w:bodyDiv w:val="1"/>
      <w:marLeft w:val="0"/>
      <w:marRight w:val="0"/>
      <w:marTop w:val="0"/>
      <w:marBottom w:val="0"/>
      <w:divBdr>
        <w:top w:val="none" w:sz="0" w:space="0" w:color="auto"/>
        <w:left w:val="none" w:sz="0" w:space="0" w:color="auto"/>
        <w:bottom w:val="none" w:sz="0" w:space="0" w:color="auto"/>
        <w:right w:val="none" w:sz="0" w:space="0" w:color="auto"/>
      </w:divBdr>
    </w:div>
    <w:div w:id="612707932">
      <w:bodyDiv w:val="1"/>
      <w:marLeft w:val="0"/>
      <w:marRight w:val="0"/>
      <w:marTop w:val="0"/>
      <w:marBottom w:val="0"/>
      <w:divBdr>
        <w:top w:val="none" w:sz="0" w:space="0" w:color="auto"/>
        <w:left w:val="none" w:sz="0" w:space="0" w:color="auto"/>
        <w:bottom w:val="none" w:sz="0" w:space="0" w:color="auto"/>
        <w:right w:val="none" w:sz="0" w:space="0" w:color="auto"/>
      </w:divBdr>
    </w:div>
    <w:div w:id="613636562">
      <w:bodyDiv w:val="1"/>
      <w:marLeft w:val="0"/>
      <w:marRight w:val="0"/>
      <w:marTop w:val="0"/>
      <w:marBottom w:val="0"/>
      <w:divBdr>
        <w:top w:val="none" w:sz="0" w:space="0" w:color="auto"/>
        <w:left w:val="none" w:sz="0" w:space="0" w:color="auto"/>
        <w:bottom w:val="none" w:sz="0" w:space="0" w:color="auto"/>
        <w:right w:val="none" w:sz="0" w:space="0" w:color="auto"/>
      </w:divBdr>
    </w:div>
    <w:div w:id="615989507">
      <w:bodyDiv w:val="1"/>
      <w:marLeft w:val="0"/>
      <w:marRight w:val="0"/>
      <w:marTop w:val="0"/>
      <w:marBottom w:val="0"/>
      <w:divBdr>
        <w:top w:val="none" w:sz="0" w:space="0" w:color="auto"/>
        <w:left w:val="none" w:sz="0" w:space="0" w:color="auto"/>
        <w:bottom w:val="none" w:sz="0" w:space="0" w:color="auto"/>
        <w:right w:val="none" w:sz="0" w:space="0" w:color="auto"/>
      </w:divBdr>
    </w:div>
    <w:div w:id="621307430">
      <w:bodyDiv w:val="1"/>
      <w:marLeft w:val="0"/>
      <w:marRight w:val="0"/>
      <w:marTop w:val="0"/>
      <w:marBottom w:val="0"/>
      <w:divBdr>
        <w:top w:val="none" w:sz="0" w:space="0" w:color="auto"/>
        <w:left w:val="none" w:sz="0" w:space="0" w:color="auto"/>
        <w:bottom w:val="none" w:sz="0" w:space="0" w:color="auto"/>
        <w:right w:val="none" w:sz="0" w:space="0" w:color="auto"/>
      </w:divBdr>
    </w:div>
    <w:div w:id="627471506">
      <w:bodyDiv w:val="1"/>
      <w:marLeft w:val="0"/>
      <w:marRight w:val="0"/>
      <w:marTop w:val="0"/>
      <w:marBottom w:val="0"/>
      <w:divBdr>
        <w:top w:val="none" w:sz="0" w:space="0" w:color="auto"/>
        <w:left w:val="none" w:sz="0" w:space="0" w:color="auto"/>
        <w:bottom w:val="none" w:sz="0" w:space="0" w:color="auto"/>
        <w:right w:val="none" w:sz="0" w:space="0" w:color="auto"/>
      </w:divBdr>
    </w:div>
    <w:div w:id="628631634">
      <w:bodyDiv w:val="1"/>
      <w:marLeft w:val="0"/>
      <w:marRight w:val="0"/>
      <w:marTop w:val="0"/>
      <w:marBottom w:val="0"/>
      <w:divBdr>
        <w:top w:val="none" w:sz="0" w:space="0" w:color="auto"/>
        <w:left w:val="none" w:sz="0" w:space="0" w:color="auto"/>
        <w:bottom w:val="none" w:sz="0" w:space="0" w:color="auto"/>
        <w:right w:val="none" w:sz="0" w:space="0" w:color="auto"/>
      </w:divBdr>
    </w:div>
    <w:div w:id="630595502">
      <w:bodyDiv w:val="1"/>
      <w:marLeft w:val="0"/>
      <w:marRight w:val="0"/>
      <w:marTop w:val="0"/>
      <w:marBottom w:val="0"/>
      <w:divBdr>
        <w:top w:val="none" w:sz="0" w:space="0" w:color="auto"/>
        <w:left w:val="none" w:sz="0" w:space="0" w:color="auto"/>
        <w:bottom w:val="none" w:sz="0" w:space="0" w:color="auto"/>
        <w:right w:val="none" w:sz="0" w:space="0" w:color="auto"/>
      </w:divBdr>
    </w:div>
    <w:div w:id="649871381">
      <w:bodyDiv w:val="1"/>
      <w:marLeft w:val="0"/>
      <w:marRight w:val="0"/>
      <w:marTop w:val="0"/>
      <w:marBottom w:val="0"/>
      <w:divBdr>
        <w:top w:val="none" w:sz="0" w:space="0" w:color="auto"/>
        <w:left w:val="none" w:sz="0" w:space="0" w:color="auto"/>
        <w:bottom w:val="none" w:sz="0" w:space="0" w:color="auto"/>
        <w:right w:val="none" w:sz="0" w:space="0" w:color="auto"/>
      </w:divBdr>
    </w:div>
    <w:div w:id="652493207">
      <w:bodyDiv w:val="1"/>
      <w:marLeft w:val="0"/>
      <w:marRight w:val="0"/>
      <w:marTop w:val="0"/>
      <w:marBottom w:val="0"/>
      <w:divBdr>
        <w:top w:val="none" w:sz="0" w:space="0" w:color="auto"/>
        <w:left w:val="none" w:sz="0" w:space="0" w:color="auto"/>
        <w:bottom w:val="none" w:sz="0" w:space="0" w:color="auto"/>
        <w:right w:val="none" w:sz="0" w:space="0" w:color="auto"/>
      </w:divBdr>
    </w:div>
    <w:div w:id="656880589">
      <w:bodyDiv w:val="1"/>
      <w:marLeft w:val="0"/>
      <w:marRight w:val="0"/>
      <w:marTop w:val="0"/>
      <w:marBottom w:val="0"/>
      <w:divBdr>
        <w:top w:val="none" w:sz="0" w:space="0" w:color="auto"/>
        <w:left w:val="none" w:sz="0" w:space="0" w:color="auto"/>
        <w:bottom w:val="none" w:sz="0" w:space="0" w:color="auto"/>
        <w:right w:val="none" w:sz="0" w:space="0" w:color="auto"/>
      </w:divBdr>
    </w:div>
    <w:div w:id="678000690">
      <w:bodyDiv w:val="1"/>
      <w:marLeft w:val="0"/>
      <w:marRight w:val="0"/>
      <w:marTop w:val="0"/>
      <w:marBottom w:val="0"/>
      <w:divBdr>
        <w:top w:val="none" w:sz="0" w:space="0" w:color="auto"/>
        <w:left w:val="none" w:sz="0" w:space="0" w:color="auto"/>
        <w:bottom w:val="none" w:sz="0" w:space="0" w:color="auto"/>
        <w:right w:val="none" w:sz="0" w:space="0" w:color="auto"/>
      </w:divBdr>
    </w:div>
    <w:div w:id="678435689">
      <w:bodyDiv w:val="1"/>
      <w:marLeft w:val="0"/>
      <w:marRight w:val="0"/>
      <w:marTop w:val="0"/>
      <w:marBottom w:val="0"/>
      <w:divBdr>
        <w:top w:val="none" w:sz="0" w:space="0" w:color="auto"/>
        <w:left w:val="none" w:sz="0" w:space="0" w:color="auto"/>
        <w:bottom w:val="none" w:sz="0" w:space="0" w:color="auto"/>
        <w:right w:val="none" w:sz="0" w:space="0" w:color="auto"/>
      </w:divBdr>
    </w:div>
    <w:div w:id="687023824">
      <w:bodyDiv w:val="1"/>
      <w:marLeft w:val="0"/>
      <w:marRight w:val="0"/>
      <w:marTop w:val="0"/>
      <w:marBottom w:val="0"/>
      <w:divBdr>
        <w:top w:val="none" w:sz="0" w:space="0" w:color="auto"/>
        <w:left w:val="none" w:sz="0" w:space="0" w:color="auto"/>
        <w:bottom w:val="none" w:sz="0" w:space="0" w:color="auto"/>
        <w:right w:val="none" w:sz="0" w:space="0" w:color="auto"/>
      </w:divBdr>
    </w:div>
    <w:div w:id="689768313">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702287745">
      <w:bodyDiv w:val="1"/>
      <w:marLeft w:val="0"/>
      <w:marRight w:val="0"/>
      <w:marTop w:val="0"/>
      <w:marBottom w:val="0"/>
      <w:divBdr>
        <w:top w:val="none" w:sz="0" w:space="0" w:color="auto"/>
        <w:left w:val="none" w:sz="0" w:space="0" w:color="auto"/>
        <w:bottom w:val="none" w:sz="0" w:space="0" w:color="auto"/>
        <w:right w:val="none" w:sz="0" w:space="0" w:color="auto"/>
      </w:divBdr>
    </w:div>
    <w:div w:id="734932388">
      <w:bodyDiv w:val="1"/>
      <w:marLeft w:val="0"/>
      <w:marRight w:val="0"/>
      <w:marTop w:val="0"/>
      <w:marBottom w:val="0"/>
      <w:divBdr>
        <w:top w:val="none" w:sz="0" w:space="0" w:color="auto"/>
        <w:left w:val="none" w:sz="0" w:space="0" w:color="auto"/>
        <w:bottom w:val="none" w:sz="0" w:space="0" w:color="auto"/>
        <w:right w:val="none" w:sz="0" w:space="0" w:color="auto"/>
      </w:divBdr>
    </w:div>
    <w:div w:id="810564782">
      <w:bodyDiv w:val="1"/>
      <w:marLeft w:val="0"/>
      <w:marRight w:val="0"/>
      <w:marTop w:val="0"/>
      <w:marBottom w:val="0"/>
      <w:divBdr>
        <w:top w:val="none" w:sz="0" w:space="0" w:color="auto"/>
        <w:left w:val="none" w:sz="0" w:space="0" w:color="auto"/>
        <w:bottom w:val="none" w:sz="0" w:space="0" w:color="auto"/>
        <w:right w:val="none" w:sz="0" w:space="0" w:color="auto"/>
      </w:divBdr>
    </w:div>
    <w:div w:id="814370012">
      <w:bodyDiv w:val="1"/>
      <w:marLeft w:val="0"/>
      <w:marRight w:val="0"/>
      <w:marTop w:val="0"/>
      <w:marBottom w:val="0"/>
      <w:divBdr>
        <w:top w:val="none" w:sz="0" w:space="0" w:color="auto"/>
        <w:left w:val="none" w:sz="0" w:space="0" w:color="auto"/>
        <w:bottom w:val="none" w:sz="0" w:space="0" w:color="auto"/>
        <w:right w:val="none" w:sz="0" w:space="0" w:color="auto"/>
      </w:divBdr>
    </w:div>
    <w:div w:id="815417958">
      <w:bodyDiv w:val="1"/>
      <w:marLeft w:val="0"/>
      <w:marRight w:val="0"/>
      <w:marTop w:val="0"/>
      <w:marBottom w:val="0"/>
      <w:divBdr>
        <w:top w:val="none" w:sz="0" w:space="0" w:color="auto"/>
        <w:left w:val="none" w:sz="0" w:space="0" w:color="auto"/>
        <w:bottom w:val="none" w:sz="0" w:space="0" w:color="auto"/>
        <w:right w:val="none" w:sz="0" w:space="0" w:color="auto"/>
      </w:divBdr>
    </w:div>
    <w:div w:id="818765356">
      <w:bodyDiv w:val="1"/>
      <w:marLeft w:val="0"/>
      <w:marRight w:val="0"/>
      <w:marTop w:val="0"/>
      <w:marBottom w:val="0"/>
      <w:divBdr>
        <w:top w:val="none" w:sz="0" w:space="0" w:color="auto"/>
        <w:left w:val="none" w:sz="0" w:space="0" w:color="auto"/>
        <w:bottom w:val="none" w:sz="0" w:space="0" w:color="auto"/>
        <w:right w:val="none" w:sz="0" w:space="0" w:color="auto"/>
      </w:divBdr>
    </w:div>
    <w:div w:id="826170944">
      <w:bodyDiv w:val="1"/>
      <w:marLeft w:val="0"/>
      <w:marRight w:val="0"/>
      <w:marTop w:val="0"/>
      <w:marBottom w:val="0"/>
      <w:divBdr>
        <w:top w:val="none" w:sz="0" w:space="0" w:color="auto"/>
        <w:left w:val="none" w:sz="0" w:space="0" w:color="auto"/>
        <w:bottom w:val="none" w:sz="0" w:space="0" w:color="auto"/>
        <w:right w:val="none" w:sz="0" w:space="0" w:color="auto"/>
      </w:divBdr>
    </w:div>
    <w:div w:id="829715108">
      <w:bodyDiv w:val="1"/>
      <w:marLeft w:val="0"/>
      <w:marRight w:val="0"/>
      <w:marTop w:val="0"/>
      <w:marBottom w:val="0"/>
      <w:divBdr>
        <w:top w:val="none" w:sz="0" w:space="0" w:color="auto"/>
        <w:left w:val="none" w:sz="0" w:space="0" w:color="auto"/>
        <w:bottom w:val="none" w:sz="0" w:space="0" w:color="auto"/>
        <w:right w:val="none" w:sz="0" w:space="0" w:color="auto"/>
      </w:divBdr>
    </w:div>
    <w:div w:id="837235849">
      <w:bodyDiv w:val="1"/>
      <w:marLeft w:val="0"/>
      <w:marRight w:val="0"/>
      <w:marTop w:val="0"/>
      <w:marBottom w:val="0"/>
      <w:divBdr>
        <w:top w:val="none" w:sz="0" w:space="0" w:color="auto"/>
        <w:left w:val="none" w:sz="0" w:space="0" w:color="auto"/>
        <w:bottom w:val="none" w:sz="0" w:space="0" w:color="auto"/>
        <w:right w:val="none" w:sz="0" w:space="0" w:color="auto"/>
      </w:divBdr>
    </w:div>
    <w:div w:id="859976276">
      <w:bodyDiv w:val="1"/>
      <w:marLeft w:val="0"/>
      <w:marRight w:val="0"/>
      <w:marTop w:val="0"/>
      <w:marBottom w:val="0"/>
      <w:divBdr>
        <w:top w:val="none" w:sz="0" w:space="0" w:color="auto"/>
        <w:left w:val="none" w:sz="0" w:space="0" w:color="auto"/>
        <w:bottom w:val="none" w:sz="0" w:space="0" w:color="auto"/>
        <w:right w:val="none" w:sz="0" w:space="0" w:color="auto"/>
      </w:divBdr>
    </w:div>
    <w:div w:id="888611200">
      <w:bodyDiv w:val="1"/>
      <w:marLeft w:val="0"/>
      <w:marRight w:val="0"/>
      <w:marTop w:val="0"/>
      <w:marBottom w:val="0"/>
      <w:divBdr>
        <w:top w:val="none" w:sz="0" w:space="0" w:color="auto"/>
        <w:left w:val="none" w:sz="0" w:space="0" w:color="auto"/>
        <w:bottom w:val="none" w:sz="0" w:space="0" w:color="auto"/>
        <w:right w:val="none" w:sz="0" w:space="0" w:color="auto"/>
      </w:divBdr>
    </w:div>
    <w:div w:id="905651164">
      <w:bodyDiv w:val="1"/>
      <w:marLeft w:val="0"/>
      <w:marRight w:val="0"/>
      <w:marTop w:val="0"/>
      <w:marBottom w:val="0"/>
      <w:divBdr>
        <w:top w:val="none" w:sz="0" w:space="0" w:color="auto"/>
        <w:left w:val="none" w:sz="0" w:space="0" w:color="auto"/>
        <w:bottom w:val="none" w:sz="0" w:space="0" w:color="auto"/>
        <w:right w:val="none" w:sz="0" w:space="0" w:color="auto"/>
      </w:divBdr>
    </w:div>
    <w:div w:id="908660161">
      <w:bodyDiv w:val="1"/>
      <w:marLeft w:val="0"/>
      <w:marRight w:val="0"/>
      <w:marTop w:val="0"/>
      <w:marBottom w:val="0"/>
      <w:divBdr>
        <w:top w:val="none" w:sz="0" w:space="0" w:color="auto"/>
        <w:left w:val="none" w:sz="0" w:space="0" w:color="auto"/>
        <w:bottom w:val="none" w:sz="0" w:space="0" w:color="auto"/>
        <w:right w:val="none" w:sz="0" w:space="0" w:color="auto"/>
      </w:divBdr>
    </w:div>
    <w:div w:id="908927972">
      <w:bodyDiv w:val="1"/>
      <w:marLeft w:val="0"/>
      <w:marRight w:val="0"/>
      <w:marTop w:val="0"/>
      <w:marBottom w:val="0"/>
      <w:divBdr>
        <w:top w:val="none" w:sz="0" w:space="0" w:color="auto"/>
        <w:left w:val="none" w:sz="0" w:space="0" w:color="auto"/>
        <w:bottom w:val="none" w:sz="0" w:space="0" w:color="auto"/>
        <w:right w:val="none" w:sz="0" w:space="0" w:color="auto"/>
      </w:divBdr>
    </w:div>
    <w:div w:id="961420571">
      <w:bodyDiv w:val="1"/>
      <w:marLeft w:val="0"/>
      <w:marRight w:val="0"/>
      <w:marTop w:val="0"/>
      <w:marBottom w:val="0"/>
      <w:divBdr>
        <w:top w:val="none" w:sz="0" w:space="0" w:color="auto"/>
        <w:left w:val="none" w:sz="0" w:space="0" w:color="auto"/>
        <w:bottom w:val="none" w:sz="0" w:space="0" w:color="auto"/>
        <w:right w:val="none" w:sz="0" w:space="0" w:color="auto"/>
      </w:divBdr>
    </w:div>
    <w:div w:id="965088744">
      <w:bodyDiv w:val="1"/>
      <w:marLeft w:val="0"/>
      <w:marRight w:val="0"/>
      <w:marTop w:val="0"/>
      <w:marBottom w:val="0"/>
      <w:divBdr>
        <w:top w:val="none" w:sz="0" w:space="0" w:color="auto"/>
        <w:left w:val="none" w:sz="0" w:space="0" w:color="auto"/>
        <w:bottom w:val="none" w:sz="0" w:space="0" w:color="auto"/>
        <w:right w:val="none" w:sz="0" w:space="0" w:color="auto"/>
      </w:divBdr>
    </w:div>
    <w:div w:id="982850855">
      <w:bodyDiv w:val="1"/>
      <w:marLeft w:val="0"/>
      <w:marRight w:val="0"/>
      <w:marTop w:val="0"/>
      <w:marBottom w:val="0"/>
      <w:divBdr>
        <w:top w:val="none" w:sz="0" w:space="0" w:color="auto"/>
        <w:left w:val="none" w:sz="0" w:space="0" w:color="auto"/>
        <w:bottom w:val="none" w:sz="0" w:space="0" w:color="auto"/>
        <w:right w:val="none" w:sz="0" w:space="0" w:color="auto"/>
      </w:divBdr>
    </w:div>
    <w:div w:id="998194101">
      <w:bodyDiv w:val="1"/>
      <w:marLeft w:val="0"/>
      <w:marRight w:val="0"/>
      <w:marTop w:val="0"/>
      <w:marBottom w:val="0"/>
      <w:divBdr>
        <w:top w:val="none" w:sz="0" w:space="0" w:color="auto"/>
        <w:left w:val="none" w:sz="0" w:space="0" w:color="auto"/>
        <w:bottom w:val="none" w:sz="0" w:space="0" w:color="auto"/>
        <w:right w:val="none" w:sz="0" w:space="0" w:color="auto"/>
      </w:divBdr>
    </w:div>
    <w:div w:id="1012225626">
      <w:bodyDiv w:val="1"/>
      <w:marLeft w:val="0"/>
      <w:marRight w:val="0"/>
      <w:marTop w:val="0"/>
      <w:marBottom w:val="0"/>
      <w:divBdr>
        <w:top w:val="none" w:sz="0" w:space="0" w:color="auto"/>
        <w:left w:val="none" w:sz="0" w:space="0" w:color="auto"/>
        <w:bottom w:val="none" w:sz="0" w:space="0" w:color="auto"/>
        <w:right w:val="none" w:sz="0" w:space="0" w:color="auto"/>
      </w:divBdr>
    </w:div>
    <w:div w:id="1021669434">
      <w:bodyDiv w:val="1"/>
      <w:marLeft w:val="0"/>
      <w:marRight w:val="0"/>
      <w:marTop w:val="0"/>
      <w:marBottom w:val="0"/>
      <w:divBdr>
        <w:top w:val="none" w:sz="0" w:space="0" w:color="auto"/>
        <w:left w:val="none" w:sz="0" w:space="0" w:color="auto"/>
        <w:bottom w:val="none" w:sz="0" w:space="0" w:color="auto"/>
        <w:right w:val="none" w:sz="0" w:space="0" w:color="auto"/>
      </w:divBdr>
    </w:div>
    <w:div w:id="1056708486">
      <w:bodyDiv w:val="1"/>
      <w:marLeft w:val="0"/>
      <w:marRight w:val="0"/>
      <w:marTop w:val="0"/>
      <w:marBottom w:val="0"/>
      <w:divBdr>
        <w:top w:val="none" w:sz="0" w:space="0" w:color="auto"/>
        <w:left w:val="none" w:sz="0" w:space="0" w:color="auto"/>
        <w:bottom w:val="none" w:sz="0" w:space="0" w:color="auto"/>
        <w:right w:val="none" w:sz="0" w:space="0" w:color="auto"/>
      </w:divBdr>
    </w:div>
    <w:div w:id="1057969820">
      <w:bodyDiv w:val="1"/>
      <w:marLeft w:val="0"/>
      <w:marRight w:val="0"/>
      <w:marTop w:val="0"/>
      <w:marBottom w:val="0"/>
      <w:divBdr>
        <w:top w:val="none" w:sz="0" w:space="0" w:color="auto"/>
        <w:left w:val="none" w:sz="0" w:space="0" w:color="auto"/>
        <w:bottom w:val="none" w:sz="0" w:space="0" w:color="auto"/>
        <w:right w:val="none" w:sz="0" w:space="0" w:color="auto"/>
      </w:divBdr>
    </w:div>
    <w:div w:id="1058479555">
      <w:bodyDiv w:val="1"/>
      <w:marLeft w:val="0"/>
      <w:marRight w:val="0"/>
      <w:marTop w:val="0"/>
      <w:marBottom w:val="0"/>
      <w:divBdr>
        <w:top w:val="none" w:sz="0" w:space="0" w:color="auto"/>
        <w:left w:val="none" w:sz="0" w:space="0" w:color="auto"/>
        <w:bottom w:val="none" w:sz="0" w:space="0" w:color="auto"/>
        <w:right w:val="none" w:sz="0" w:space="0" w:color="auto"/>
      </w:divBdr>
    </w:div>
    <w:div w:id="1067189678">
      <w:bodyDiv w:val="1"/>
      <w:marLeft w:val="0"/>
      <w:marRight w:val="0"/>
      <w:marTop w:val="0"/>
      <w:marBottom w:val="0"/>
      <w:divBdr>
        <w:top w:val="none" w:sz="0" w:space="0" w:color="auto"/>
        <w:left w:val="none" w:sz="0" w:space="0" w:color="auto"/>
        <w:bottom w:val="none" w:sz="0" w:space="0" w:color="auto"/>
        <w:right w:val="none" w:sz="0" w:space="0" w:color="auto"/>
      </w:divBdr>
    </w:div>
    <w:div w:id="1079138646">
      <w:bodyDiv w:val="1"/>
      <w:marLeft w:val="0"/>
      <w:marRight w:val="0"/>
      <w:marTop w:val="0"/>
      <w:marBottom w:val="0"/>
      <w:divBdr>
        <w:top w:val="none" w:sz="0" w:space="0" w:color="auto"/>
        <w:left w:val="none" w:sz="0" w:space="0" w:color="auto"/>
        <w:bottom w:val="none" w:sz="0" w:space="0" w:color="auto"/>
        <w:right w:val="none" w:sz="0" w:space="0" w:color="auto"/>
      </w:divBdr>
    </w:div>
    <w:div w:id="1086459633">
      <w:bodyDiv w:val="1"/>
      <w:marLeft w:val="0"/>
      <w:marRight w:val="0"/>
      <w:marTop w:val="0"/>
      <w:marBottom w:val="0"/>
      <w:divBdr>
        <w:top w:val="none" w:sz="0" w:space="0" w:color="auto"/>
        <w:left w:val="none" w:sz="0" w:space="0" w:color="auto"/>
        <w:bottom w:val="none" w:sz="0" w:space="0" w:color="auto"/>
        <w:right w:val="none" w:sz="0" w:space="0" w:color="auto"/>
      </w:divBdr>
    </w:div>
    <w:div w:id="1099790030">
      <w:bodyDiv w:val="1"/>
      <w:marLeft w:val="0"/>
      <w:marRight w:val="0"/>
      <w:marTop w:val="0"/>
      <w:marBottom w:val="0"/>
      <w:divBdr>
        <w:top w:val="none" w:sz="0" w:space="0" w:color="auto"/>
        <w:left w:val="none" w:sz="0" w:space="0" w:color="auto"/>
        <w:bottom w:val="none" w:sz="0" w:space="0" w:color="auto"/>
        <w:right w:val="none" w:sz="0" w:space="0" w:color="auto"/>
      </w:divBdr>
    </w:div>
    <w:div w:id="1118795802">
      <w:bodyDiv w:val="1"/>
      <w:marLeft w:val="0"/>
      <w:marRight w:val="0"/>
      <w:marTop w:val="0"/>
      <w:marBottom w:val="0"/>
      <w:divBdr>
        <w:top w:val="none" w:sz="0" w:space="0" w:color="auto"/>
        <w:left w:val="none" w:sz="0" w:space="0" w:color="auto"/>
        <w:bottom w:val="none" w:sz="0" w:space="0" w:color="auto"/>
        <w:right w:val="none" w:sz="0" w:space="0" w:color="auto"/>
      </w:divBdr>
    </w:div>
    <w:div w:id="1153372292">
      <w:bodyDiv w:val="1"/>
      <w:marLeft w:val="0"/>
      <w:marRight w:val="0"/>
      <w:marTop w:val="0"/>
      <w:marBottom w:val="0"/>
      <w:divBdr>
        <w:top w:val="none" w:sz="0" w:space="0" w:color="auto"/>
        <w:left w:val="none" w:sz="0" w:space="0" w:color="auto"/>
        <w:bottom w:val="none" w:sz="0" w:space="0" w:color="auto"/>
        <w:right w:val="none" w:sz="0" w:space="0" w:color="auto"/>
      </w:divBdr>
    </w:div>
    <w:div w:id="1192719841">
      <w:bodyDiv w:val="1"/>
      <w:marLeft w:val="0"/>
      <w:marRight w:val="0"/>
      <w:marTop w:val="0"/>
      <w:marBottom w:val="0"/>
      <w:divBdr>
        <w:top w:val="none" w:sz="0" w:space="0" w:color="auto"/>
        <w:left w:val="none" w:sz="0" w:space="0" w:color="auto"/>
        <w:bottom w:val="none" w:sz="0" w:space="0" w:color="auto"/>
        <w:right w:val="none" w:sz="0" w:space="0" w:color="auto"/>
      </w:divBdr>
    </w:div>
    <w:div w:id="1205826425">
      <w:bodyDiv w:val="1"/>
      <w:marLeft w:val="0"/>
      <w:marRight w:val="0"/>
      <w:marTop w:val="0"/>
      <w:marBottom w:val="0"/>
      <w:divBdr>
        <w:top w:val="none" w:sz="0" w:space="0" w:color="auto"/>
        <w:left w:val="none" w:sz="0" w:space="0" w:color="auto"/>
        <w:bottom w:val="none" w:sz="0" w:space="0" w:color="auto"/>
        <w:right w:val="none" w:sz="0" w:space="0" w:color="auto"/>
      </w:divBdr>
    </w:div>
    <w:div w:id="1228689090">
      <w:bodyDiv w:val="1"/>
      <w:marLeft w:val="0"/>
      <w:marRight w:val="0"/>
      <w:marTop w:val="0"/>
      <w:marBottom w:val="0"/>
      <w:divBdr>
        <w:top w:val="none" w:sz="0" w:space="0" w:color="auto"/>
        <w:left w:val="none" w:sz="0" w:space="0" w:color="auto"/>
        <w:bottom w:val="none" w:sz="0" w:space="0" w:color="auto"/>
        <w:right w:val="none" w:sz="0" w:space="0" w:color="auto"/>
      </w:divBdr>
    </w:div>
    <w:div w:id="1244028070">
      <w:bodyDiv w:val="1"/>
      <w:marLeft w:val="0"/>
      <w:marRight w:val="0"/>
      <w:marTop w:val="0"/>
      <w:marBottom w:val="0"/>
      <w:divBdr>
        <w:top w:val="none" w:sz="0" w:space="0" w:color="auto"/>
        <w:left w:val="none" w:sz="0" w:space="0" w:color="auto"/>
        <w:bottom w:val="none" w:sz="0" w:space="0" w:color="auto"/>
        <w:right w:val="none" w:sz="0" w:space="0" w:color="auto"/>
      </w:divBdr>
    </w:div>
    <w:div w:id="1258979017">
      <w:bodyDiv w:val="1"/>
      <w:marLeft w:val="0"/>
      <w:marRight w:val="0"/>
      <w:marTop w:val="0"/>
      <w:marBottom w:val="0"/>
      <w:divBdr>
        <w:top w:val="none" w:sz="0" w:space="0" w:color="auto"/>
        <w:left w:val="none" w:sz="0" w:space="0" w:color="auto"/>
        <w:bottom w:val="none" w:sz="0" w:space="0" w:color="auto"/>
        <w:right w:val="none" w:sz="0" w:space="0" w:color="auto"/>
      </w:divBdr>
    </w:div>
    <w:div w:id="1279140165">
      <w:bodyDiv w:val="1"/>
      <w:marLeft w:val="0"/>
      <w:marRight w:val="0"/>
      <w:marTop w:val="0"/>
      <w:marBottom w:val="0"/>
      <w:divBdr>
        <w:top w:val="none" w:sz="0" w:space="0" w:color="auto"/>
        <w:left w:val="none" w:sz="0" w:space="0" w:color="auto"/>
        <w:bottom w:val="none" w:sz="0" w:space="0" w:color="auto"/>
        <w:right w:val="none" w:sz="0" w:space="0" w:color="auto"/>
      </w:divBdr>
    </w:div>
    <w:div w:id="1317802689">
      <w:bodyDiv w:val="1"/>
      <w:marLeft w:val="0"/>
      <w:marRight w:val="0"/>
      <w:marTop w:val="0"/>
      <w:marBottom w:val="0"/>
      <w:divBdr>
        <w:top w:val="none" w:sz="0" w:space="0" w:color="auto"/>
        <w:left w:val="none" w:sz="0" w:space="0" w:color="auto"/>
        <w:bottom w:val="none" w:sz="0" w:space="0" w:color="auto"/>
        <w:right w:val="none" w:sz="0" w:space="0" w:color="auto"/>
      </w:divBdr>
    </w:div>
    <w:div w:id="1325668164">
      <w:bodyDiv w:val="1"/>
      <w:marLeft w:val="0"/>
      <w:marRight w:val="0"/>
      <w:marTop w:val="0"/>
      <w:marBottom w:val="0"/>
      <w:divBdr>
        <w:top w:val="none" w:sz="0" w:space="0" w:color="auto"/>
        <w:left w:val="none" w:sz="0" w:space="0" w:color="auto"/>
        <w:bottom w:val="none" w:sz="0" w:space="0" w:color="auto"/>
        <w:right w:val="none" w:sz="0" w:space="0" w:color="auto"/>
      </w:divBdr>
    </w:div>
    <w:div w:id="1348558297">
      <w:bodyDiv w:val="1"/>
      <w:marLeft w:val="0"/>
      <w:marRight w:val="0"/>
      <w:marTop w:val="0"/>
      <w:marBottom w:val="0"/>
      <w:divBdr>
        <w:top w:val="none" w:sz="0" w:space="0" w:color="auto"/>
        <w:left w:val="none" w:sz="0" w:space="0" w:color="auto"/>
        <w:bottom w:val="none" w:sz="0" w:space="0" w:color="auto"/>
        <w:right w:val="none" w:sz="0" w:space="0" w:color="auto"/>
      </w:divBdr>
    </w:div>
    <w:div w:id="136748290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6465398">
      <w:bodyDiv w:val="1"/>
      <w:marLeft w:val="0"/>
      <w:marRight w:val="0"/>
      <w:marTop w:val="0"/>
      <w:marBottom w:val="0"/>
      <w:divBdr>
        <w:top w:val="none" w:sz="0" w:space="0" w:color="auto"/>
        <w:left w:val="none" w:sz="0" w:space="0" w:color="auto"/>
        <w:bottom w:val="none" w:sz="0" w:space="0" w:color="auto"/>
        <w:right w:val="none" w:sz="0" w:space="0" w:color="auto"/>
      </w:divBdr>
    </w:div>
    <w:div w:id="1405641782">
      <w:bodyDiv w:val="1"/>
      <w:marLeft w:val="0"/>
      <w:marRight w:val="0"/>
      <w:marTop w:val="0"/>
      <w:marBottom w:val="0"/>
      <w:divBdr>
        <w:top w:val="none" w:sz="0" w:space="0" w:color="auto"/>
        <w:left w:val="none" w:sz="0" w:space="0" w:color="auto"/>
        <w:bottom w:val="none" w:sz="0" w:space="0" w:color="auto"/>
        <w:right w:val="none" w:sz="0" w:space="0" w:color="auto"/>
      </w:divBdr>
    </w:div>
    <w:div w:id="1408646931">
      <w:bodyDiv w:val="1"/>
      <w:marLeft w:val="0"/>
      <w:marRight w:val="0"/>
      <w:marTop w:val="0"/>
      <w:marBottom w:val="0"/>
      <w:divBdr>
        <w:top w:val="none" w:sz="0" w:space="0" w:color="auto"/>
        <w:left w:val="none" w:sz="0" w:space="0" w:color="auto"/>
        <w:bottom w:val="none" w:sz="0" w:space="0" w:color="auto"/>
        <w:right w:val="none" w:sz="0" w:space="0" w:color="auto"/>
      </w:divBdr>
    </w:div>
    <w:div w:id="1419062896">
      <w:bodyDiv w:val="1"/>
      <w:marLeft w:val="0"/>
      <w:marRight w:val="0"/>
      <w:marTop w:val="0"/>
      <w:marBottom w:val="0"/>
      <w:divBdr>
        <w:top w:val="none" w:sz="0" w:space="0" w:color="auto"/>
        <w:left w:val="none" w:sz="0" w:space="0" w:color="auto"/>
        <w:bottom w:val="none" w:sz="0" w:space="0" w:color="auto"/>
        <w:right w:val="none" w:sz="0" w:space="0" w:color="auto"/>
      </w:divBdr>
    </w:div>
    <w:div w:id="1419131089">
      <w:bodyDiv w:val="1"/>
      <w:marLeft w:val="0"/>
      <w:marRight w:val="0"/>
      <w:marTop w:val="0"/>
      <w:marBottom w:val="0"/>
      <w:divBdr>
        <w:top w:val="none" w:sz="0" w:space="0" w:color="auto"/>
        <w:left w:val="none" w:sz="0" w:space="0" w:color="auto"/>
        <w:bottom w:val="none" w:sz="0" w:space="0" w:color="auto"/>
        <w:right w:val="none" w:sz="0" w:space="0" w:color="auto"/>
      </w:divBdr>
    </w:div>
    <w:div w:id="1424758902">
      <w:bodyDiv w:val="1"/>
      <w:marLeft w:val="0"/>
      <w:marRight w:val="0"/>
      <w:marTop w:val="0"/>
      <w:marBottom w:val="0"/>
      <w:divBdr>
        <w:top w:val="none" w:sz="0" w:space="0" w:color="auto"/>
        <w:left w:val="none" w:sz="0" w:space="0" w:color="auto"/>
        <w:bottom w:val="none" w:sz="0" w:space="0" w:color="auto"/>
        <w:right w:val="none" w:sz="0" w:space="0" w:color="auto"/>
      </w:divBdr>
    </w:div>
    <w:div w:id="1433477727">
      <w:bodyDiv w:val="1"/>
      <w:marLeft w:val="0"/>
      <w:marRight w:val="0"/>
      <w:marTop w:val="0"/>
      <w:marBottom w:val="0"/>
      <w:divBdr>
        <w:top w:val="none" w:sz="0" w:space="0" w:color="auto"/>
        <w:left w:val="none" w:sz="0" w:space="0" w:color="auto"/>
        <w:bottom w:val="none" w:sz="0" w:space="0" w:color="auto"/>
        <w:right w:val="none" w:sz="0" w:space="0" w:color="auto"/>
      </w:divBdr>
    </w:div>
    <w:div w:id="1441680653">
      <w:bodyDiv w:val="1"/>
      <w:marLeft w:val="0"/>
      <w:marRight w:val="0"/>
      <w:marTop w:val="0"/>
      <w:marBottom w:val="0"/>
      <w:divBdr>
        <w:top w:val="none" w:sz="0" w:space="0" w:color="auto"/>
        <w:left w:val="none" w:sz="0" w:space="0" w:color="auto"/>
        <w:bottom w:val="none" w:sz="0" w:space="0" w:color="auto"/>
        <w:right w:val="none" w:sz="0" w:space="0" w:color="auto"/>
      </w:divBdr>
    </w:div>
    <w:div w:id="1445467467">
      <w:bodyDiv w:val="1"/>
      <w:marLeft w:val="0"/>
      <w:marRight w:val="0"/>
      <w:marTop w:val="0"/>
      <w:marBottom w:val="0"/>
      <w:divBdr>
        <w:top w:val="none" w:sz="0" w:space="0" w:color="auto"/>
        <w:left w:val="none" w:sz="0" w:space="0" w:color="auto"/>
        <w:bottom w:val="none" w:sz="0" w:space="0" w:color="auto"/>
        <w:right w:val="none" w:sz="0" w:space="0" w:color="auto"/>
      </w:divBdr>
    </w:div>
    <w:div w:id="1474785027">
      <w:bodyDiv w:val="1"/>
      <w:marLeft w:val="0"/>
      <w:marRight w:val="0"/>
      <w:marTop w:val="0"/>
      <w:marBottom w:val="0"/>
      <w:divBdr>
        <w:top w:val="none" w:sz="0" w:space="0" w:color="auto"/>
        <w:left w:val="none" w:sz="0" w:space="0" w:color="auto"/>
        <w:bottom w:val="none" w:sz="0" w:space="0" w:color="auto"/>
        <w:right w:val="none" w:sz="0" w:space="0" w:color="auto"/>
      </w:divBdr>
    </w:div>
    <w:div w:id="1484858714">
      <w:bodyDiv w:val="1"/>
      <w:marLeft w:val="0"/>
      <w:marRight w:val="0"/>
      <w:marTop w:val="0"/>
      <w:marBottom w:val="0"/>
      <w:divBdr>
        <w:top w:val="none" w:sz="0" w:space="0" w:color="auto"/>
        <w:left w:val="none" w:sz="0" w:space="0" w:color="auto"/>
        <w:bottom w:val="none" w:sz="0" w:space="0" w:color="auto"/>
        <w:right w:val="none" w:sz="0" w:space="0" w:color="auto"/>
      </w:divBdr>
    </w:div>
    <w:div w:id="1548372496">
      <w:bodyDiv w:val="1"/>
      <w:marLeft w:val="0"/>
      <w:marRight w:val="0"/>
      <w:marTop w:val="0"/>
      <w:marBottom w:val="0"/>
      <w:divBdr>
        <w:top w:val="none" w:sz="0" w:space="0" w:color="auto"/>
        <w:left w:val="none" w:sz="0" w:space="0" w:color="auto"/>
        <w:bottom w:val="none" w:sz="0" w:space="0" w:color="auto"/>
        <w:right w:val="none" w:sz="0" w:space="0" w:color="auto"/>
      </w:divBdr>
    </w:div>
    <w:div w:id="1559591797">
      <w:bodyDiv w:val="1"/>
      <w:marLeft w:val="0"/>
      <w:marRight w:val="0"/>
      <w:marTop w:val="0"/>
      <w:marBottom w:val="0"/>
      <w:divBdr>
        <w:top w:val="none" w:sz="0" w:space="0" w:color="auto"/>
        <w:left w:val="none" w:sz="0" w:space="0" w:color="auto"/>
        <w:bottom w:val="none" w:sz="0" w:space="0" w:color="auto"/>
        <w:right w:val="none" w:sz="0" w:space="0" w:color="auto"/>
      </w:divBdr>
    </w:div>
    <w:div w:id="1562599884">
      <w:bodyDiv w:val="1"/>
      <w:marLeft w:val="0"/>
      <w:marRight w:val="0"/>
      <w:marTop w:val="0"/>
      <w:marBottom w:val="0"/>
      <w:divBdr>
        <w:top w:val="none" w:sz="0" w:space="0" w:color="auto"/>
        <w:left w:val="none" w:sz="0" w:space="0" w:color="auto"/>
        <w:bottom w:val="none" w:sz="0" w:space="0" w:color="auto"/>
        <w:right w:val="none" w:sz="0" w:space="0" w:color="auto"/>
      </w:divBdr>
    </w:div>
    <w:div w:id="1582254543">
      <w:bodyDiv w:val="1"/>
      <w:marLeft w:val="0"/>
      <w:marRight w:val="0"/>
      <w:marTop w:val="0"/>
      <w:marBottom w:val="0"/>
      <w:divBdr>
        <w:top w:val="none" w:sz="0" w:space="0" w:color="auto"/>
        <w:left w:val="none" w:sz="0" w:space="0" w:color="auto"/>
        <w:bottom w:val="none" w:sz="0" w:space="0" w:color="auto"/>
        <w:right w:val="none" w:sz="0" w:space="0" w:color="auto"/>
      </w:divBdr>
    </w:div>
    <w:div w:id="1585187311">
      <w:bodyDiv w:val="1"/>
      <w:marLeft w:val="0"/>
      <w:marRight w:val="0"/>
      <w:marTop w:val="0"/>
      <w:marBottom w:val="0"/>
      <w:divBdr>
        <w:top w:val="none" w:sz="0" w:space="0" w:color="auto"/>
        <w:left w:val="none" w:sz="0" w:space="0" w:color="auto"/>
        <w:bottom w:val="none" w:sz="0" w:space="0" w:color="auto"/>
        <w:right w:val="none" w:sz="0" w:space="0" w:color="auto"/>
      </w:divBdr>
    </w:div>
    <w:div w:id="1586263270">
      <w:bodyDiv w:val="1"/>
      <w:marLeft w:val="0"/>
      <w:marRight w:val="0"/>
      <w:marTop w:val="0"/>
      <w:marBottom w:val="0"/>
      <w:divBdr>
        <w:top w:val="none" w:sz="0" w:space="0" w:color="auto"/>
        <w:left w:val="none" w:sz="0" w:space="0" w:color="auto"/>
        <w:bottom w:val="none" w:sz="0" w:space="0" w:color="auto"/>
        <w:right w:val="none" w:sz="0" w:space="0" w:color="auto"/>
      </w:divBdr>
    </w:div>
    <w:div w:id="1623076841">
      <w:bodyDiv w:val="1"/>
      <w:marLeft w:val="0"/>
      <w:marRight w:val="0"/>
      <w:marTop w:val="0"/>
      <w:marBottom w:val="0"/>
      <w:divBdr>
        <w:top w:val="none" w:sz="0" w:space="0" w:color="auto"/>
        <w:left w:val="none" w:sz="0" w:space="0" w:color="auto"/>
        <w:bottom w:val="none" w:sz="0" w:space="0" w:color="auto"/>
        <w:right w:val="none" w:sz="0" w:space="0" w:color="auto"/>
      </w:divBdr>
    </w:div>
    <w:div w:id="1633093479">
      <w:bodyDiv w:val="1"/>
      <w:marLeft w:val="0"/>
      <w:marRight w:val="0"/>
      <w:marTop w:val="0"/>
      <w:marBottom w:val="0"/>
      <w:divBdr>
        <w:top w:val="none" w:sz="0" w:space="0" w:color="auto"/>
        <w:left w:val="none" w:sz="0" w:space="0" w:color="auto"/>
        <w:bottom w:val="none" w:sz="0" w:space="0" w:color="auto"/>
        <w:right w:val="none" w:sz="0" w:space="0" w:color="auto"/>
      </w:divBdr>
    </w:div>
    <w:div w:id="1636330644">
      <w:bodyDiv w:val="1"/>
      <w:marLeft w:val="0"/>
      <w:marRight w:val="0"/>
      <w:marTop w:val="0"/>
      <w:marBottom w:val="0"/>
      <w:divBdr>
        <w:top w:val="none" w:sz="0" w:space="0" w:color="auto"/>
        <w:left w:val="none" w:sz="0" w:space="0" w:color="auto"/>
        <w:bottom w:val="none" w:sz="0" w:space="0" w:color="auto"/>
        <w:right w:val="none" w:sz="0" w:space="0" w:color="auto"/>
      </w:divBdr>
    </w:div>
    <w:div w:id="1656258237">
      <w:bodyDiv w:val="1"/>
      <w:marLeft w:val="0"/>
      <w:marRight w:val="0"/>
      <w:marTop w:val="0"/>
      <w:marBottom w:val="0"/>
      <w:divBdr>
        <w:top w:val="none" w:sz="0" w:space="0" w:color="auto"/>
        <w:left w:val="none" w:sz="0" w:space="0" w:color="auto"/>
        <w:bottom w:val="none" w:sz="0" w:space="0" w:color="auto"/>
        <w:right w:val="none" w:sz="0" w:space="0" w:color="auto"/>
      </w:divBdr>
    </w:div>
    <w:div w:id="1660186749">
      <w:bodyDiv w:val="1"/>
      <w:marLeft w:val="0"/>
      <w:marRight w:val="0"/>
      <w:marTop w:val="0"/>
      <w:marBottom w:val="0"/>
      <w:divBdr>
        <w:top w:val="none" w:sz="0" w:space="0" w:color="auto"/>
        <w:left w:val="none" w:sz="0" w:space="0" w:color="auto"/>
        <w:bottom w:val="none" w:sz="0" w:space="0" w:color="auto"/>
        <w:right w:val="none" w:sz="0" w:space="0" w:color="auto"/>
      </w:divBdr>
    </w:div>
    <w:div w:id="1664815328">
      <w:bodyDiv w:val="1"/>
      <w:marLeft w:val="0"/>
      <w:marRight w:val="0"/>
      <w:marTop w:val="0"/>
      <w:marBottom w:val="0"/>
      <w:divBdr>
        <w:top w:val="none" w:sz="0" w:space="0" w:color="auto"/>
        <w:left w:val="none" w:sz="0" w:space="0" w:color="auto"/>
        <w:bottom w:val="none" w:sz="0" w:space="0" w:color="auto"/>
        <w:right w:val="none" w:sz="0" w:space="0" w:color="auto"/>
      </w:divBdr>
    </w:div>
    <w:div w:id="1676690913">
      <w:bodyDiv w:val="1"/>
      <w:marLeft w:val="0"/>
      <w:marRight w:val="0"/>
      <w:marTop w:val="0"/>
      <w:marBottom w:val="0"/>
      <w:divBdr>
        <w:top w:val="none" w:sz="0" w:space="0" w:color="auto"/>
        <w:left w:val="none" w:sz="0" w:space="0" w:color="auto"/>
        <w:bottom w:val="none" w:sz="0" w:space="0" w:color="auto"/>
        <w:right w:val="none" w:sz="0" w:space="0" w:color="auto"/>
      </w:divBdr>
    </w:div>
    <w:div w:id="1677347432">
      <w:bodyDiv w:val="1"/>
      <w:marLeft w:val="0"/>
      <w:marRight w:val="0"/>
      <w:marTop w:val="0"/>
      <w:marBottom w:val="0"/>
      <w:divBdr>
        <w:top w:val="none" w:sz="0" w:space="0" w:color="auto"/>
        <w:left w:val="none" w:sz="0" w:space="0" w:color="auto"/>
        <w:bottom w:val="none" w:sz="0" w:space="0" w:color="auto"/>
        <w:right w:val="none" w:sz="0" w:space="0" w:color="auto"/>
      </w:divBdr>
    </w:div>
    <w:div w:id="1678271793">
      <w:bodyDiv w:val="1"/>
      <w:marLeft w:val="0"/>
      <w:marRight w:val="0"/>
      <w:marTop w:val="0"/>
      <w:marBottom w:val="0"/>
      <w:divBdr>
        <w:top w:val="none" w:sz="0" w:space="0" w:color="auto"/>
        <w:left w:val="none" w:sz="0" w:space="0" w:color="auto"/>
        <w:bottom w:val="none" w:sz="0" w:space="0" w:color="auto"/>
        <w:right w:val="none" w:sz="0" w:space="0" w:color="auto"/>
      </w:divBdr>
    </w:div>
    <w:div w:id="1679193558">
      <w:bodyDiv w:val="1"/>
      <w:marLeft w:val="0"/>
      <w:marRight w:val="0"/>
      <w:marTop w:val="0"/>
      <w:marBottom w:val="0"/>
      <w:divBdr>
        <w:top w:val="none" w:sz="0" w:space="0" w:color="auto"/>
        <w:left w:val="none" w:sz="0" w:space="0" w:color="auto"/>
        <w:bottom w:val="none" w:sz="0" w:space="0" w:color="auto"/>
        <w:right w:val="none" w:sz="0" w:space="0" w:color="auto"/>
      </w:divBdr>
    </w:div>
    <w:div w:id="1708947905">
      <w:bodyDiv w:val="1"/>
      <w:marLeft w:val="0"/>
      <w:marRight w:val="0"/>
      <w:marTop w:val="0"/>
      <w:marBottom w:val="0"/>
      <w:divBdr>
        <w:top w:val="none" w:sz="0" w:space="0" w:color="auto"/>
        <w:left w:val="none" w:sz="0" w:space="0" w:color="auto"/>
        <w:bottom w:val="none" w:sz="0" w:space="0" w:color="auto"/>
        <w:right w:val="none" w:sz="0" w:space="0" w:color="auto"/>
      </w:divBdr>
    </w:div>
    <w:div w:id="1717388145">
      <w:bodyDiv w:val="1"/>
      <w:marLeft w:val="0"/>
      <w:marRight w:val="0"/>
      <w:marTop w:val="0"/>
      <w:marBottom w:val="0"/>
      <w:divBdr>
        <w:top w:val="none" w:sz="0" w:space="0" w:color="auto"/>
        <w:left w:val="none" w:sz="0" w:space="0" w:color="auto"/>
        <w:bottom w:val="none" w:sz="0" w:space="0" w:color="auto"/>
        <w:right w:val="none" w:sz="0" w:space="0" w:color="auto"/>
      </w:divBdr>
    </w:div>
    <w:div w:id="1741515438">
      <w:bodyDiv w:val="1"/>
      <w:marLeft w:val="0"/>
      <w:marRight w:val="0"/>
      <w:marTop w:val="0"/>
      <w:marBottom w:val="0"/>
      <w:divBdr>
        <w:top w:val="none" w:sz="0" w:space="0" w:color="auto"/>
        <w:left w:val="none" w:sz="0" w:space="0" w:color="auto"/>
        <w:bottom w:val="none" w:sz="0" w:space="0" w:color="auto"/>
        <w:right w:val="none" w:sz="0" w:space="0" w:color="auto"/>
      </w:divBdr>
    </w:div>
    <w:div w:id="1741517877">
      <w:bodyDiv w:val="1"/>
      <w:marLeft w:val="0"/>
      <w:marRight w:val="0"/>
      <w:marTop w:val="0"/>
      <w:marBottom w:val="0"/>
      <w:divBdr>
        <w:top w:val="none" w:sz="0" w:space="0" w:color="auto"/>
        <w:left w:val="none" w:sz="0" w:space="0" w:color="auto"/>
        <w:bottom w:val="none" w:sz="0" w:space="0" w:color="auto"/>
        <w:right w:val="none" w:sz="0" w:space="0" w:color="auto"/>
      </w:divBdr>
    </w:div>
    <w:div w:id="1742219378">
      <w:bodyDiv w:val="1"/>
      <w:marLeft w:val="0"/>
      <w:marRight w:val="0"/>
      <w:marTop w:val="0"/>
      <w:marBottom w:val="0"/>
      <w:divBdr>
        <w:top w:val="none" w:sz="0" w:space="0" w:color="auto"/>
        <w:left w:val="none" w:sz="0" w:space="0" w:color="auto"/>
        <w:bottom w:val="none" w:sz="0" w:space="0" w:color="auto"/>
        <w:right w:val="none" w:sz="0" w:space="0" w:color="auto"/>
      </w:divBdr>
    </w:div>
    <w:div w:id="1769349003">
      <w:bodyDiv w:val="1"/>
      <w:marLeft w:val="0"/>
      <w:marRight w:val="0"/>
      <w:marTop w:val="0"/>
      <w:marBottom w:val="0"/>
      <w:divBdr>
        <w:top w:val="none" w:sz="0" w:space="0" w:color="auto"/>
        <w:left w:val="none" w:sz="0" w:space="0" w:color="auto"/>
        <w:bottom w:val="none" w:sz="0" w:space="0" w:color="auto"/>
        <w:right w:val="none" w:sz="0" w:space="0" w:color="auto"/>
      </w:divBdr>
    </w:div>
    <w:div w:id="1769958265">
      <w:bodyDiv w:val="1"/>
      <w:marLeft w:val="0"/>
      <w:marRight w:val="0"/>
      <w:marTop w:val="0"/>
      <w:marBottom w:val="0"/>
      <w:divBdr>
        <w:top w:val="none" w:sz="0" w:space="0" w:color="auto"/>
        <w:left w:val="none" w:sz="0" w:space="0" w:color="auto"/>
        <w:bottom w:val="none" w:sz="0" w:space="0" w:color="auto"/>
        <w:right w:val="none" w:sz="0" w:space="0" w:color="auto"/>
      </w:divBdr>
    </w:div>
    <w:div w:id="1777867077">
      <w:bodyDiv w:val="1"/>
      <w:marLeft w:val="0"/>
      <w:marRight w:val="0"/>
      <w:marTop w:val="0"/>
      <w:marBottom w:val="0"/>
      <w:divBdr>
        <w:top w:val="none" w:sz="0" w:space="0" w:color="auto"/>
        <w:left w:val="none" w:sz="0" w:space="0" w:color="auto"/>
        <w:bottom w:val="none" w:sz="0" w:space="0" w:color="auto"/>
        <w:right w:val="none" w:sz="0" w:space="0" w:color="auto"/>
      </w:divBdr>
    </w:div>
    <w:div w:id="1781759731">
      <w:bodyDiv w:val="1"/>
      <w:marLeft w:val="0"/>
      <w:marRight w:val="0"/>
      <w:marTop w:val="0"/>
      <w:marBottom w:val="0"/>
      <w:divBdr>
        <w:top w:val="none" w:sz="0" w:space="0" w:color="auto"/>
        <w:left w:val="none" w:sz="0" w:space="0" w:color="auto"/>
        <w:bottom w:val="none" w:sz="0" w:space="0" w:color="auto"/>
        <w:right w:val="none" w:sz="0" w:space="0" w:color="auto"/>
      </w:divBdr>
    </w:div>
    <w:div w:id="1789353422">
      <w:bodyDiv w:val="1"/>
      <w:marLeft w:val="0"/>
      <w:marRight w:val="0"/>
      <w:marTop w:val="0"/>
      <w:marBottom w:val="0"/>
      <w:divBdr>
        <w:top w:val="none" w:sz="0" w:space="0" w:color="auto"/>
        <w:left w:val="none" w:sz="0" w:space="0" w:color="auto"/>
        <w:bottom w:val="none" w:sz="0" w:space="0" w:color="auto"/>
        <w:right w:val="none" w:sz="0" w:space="0" w:color="auto"/>
      </w:divBdr>
    </w:div>
    <w:div w:id="1836871121">
      <w:bodyDiv w:val="1"/>
      <w:marLeft w:val="0"/>
      <w:marRight w:val="0"/>
      <w:marTop w:val="0"/>
      <w:marBottom w:val="0"/>
      <w:divBdr>
        <w:top w:val="none" w:sz="0" w:space="0" w:color="auto"/>
        <w:left w:val="none" w:sz="0" w:space="0" w:color="auto"/>
        <w:bottom w:val="none" w:sz="0" w:space="0" w:color="auto"/>
        <w:right w:val="none" w:sz="0" w:space="0" w:color="auto"/>
      </w:divBdr>
    </w:div>
    <w:div w:id="1842502687">
      <w:bodyDiv w:val="1"/>
      <w:marLeft w:val="0"/>
      <w:marRight w:val="0"/>
      <w:marTop w:val="0"/>
      <w:marBottom w:val="0"/>
      <w:divBdr>
        <w:top w:val="none" w:sz="0" w:space="0" w:color="auto"/>
        <w:left w:val="none" w:sz="0" w:space="0" w:color="auto"/>
        <w:bottom w:val="none" w:sz="0" w:space="0" w:color="auto"/>
        <w:right w:val="none" w:sz="0" w:space="0" w:color="auto"/>
      </w:divBdr>
    </w:div>
    <w:div w:id="1853639737">
      <w:bodyDiv w:val="1"/>
      <w:marLeft w:val="0"/>
      <w:marRight w:val="0"/>
      <w:marTop w:val="0"/>
      <w:marBottom w:val="0"/>
      <w:divBdr>
        <w:top w:val="none" w:sz="0" w:space="0" w:color="auto"/>
        <w:left w:val="none" w:sz="0" w:space="0" w:color="auto"/>
        <w:bottom w:val="none" w:sz="0" w:space="0" w:color="auto"/>
        <w:right w:val="none" w:sz="0" w:space="0" w:color="auto"/>
      </w:divBdr>
    </w:div>
    <w:div w:id="1862669027">
      <w:bodyDiv w:val="1"/>
      <w:marLeft w:val="0"/>
      <w:marRight w:val="0"/>
      <w:marTop w:val="0"/>
      <w:marBottom w:val="0"/>
      <w:divBdr>
        <w:top w:val="none" w:sz="0" w:space="0" w:color="auto"/>
        <w:left w:val="none" w:sz="0" w:space="0" w:color="auto"/>
        <w:bottom w:val="none" w:sz="0" w:space="0" w:color="auto"/>
        <w:right w:val="none" w:sz="0" w:space="0" w:color="auto"/>
      </w:divBdr>
    </w:div>
    <w:div w:id="1877425413">
      <w:bodyDiv w:val="1"/>
      <w:marLeft w:val="0"/>
      <w:marRight w:val="0"/>
      <w:marTop w:val="0"/>
      <w:marBottom w:val="0"/>
      <w:divBdr>
        <w:top w:val="none" w:sz="0" w:space="0" w:color="auto"/>
        <w:left w:val="none" w:sz="0" w:space="0" w:color="auto"/>
        <w:bottom w:val="none" w:sz="0" w:space="0" w:color="auto"/>
        <w:right w:val="none" w:sz="0" w:space="0" w:color="auto"/>
      </w:divBdr>
    </w:div>
    <w:div w:id="1878540952">
      <w:bodyDiv w:val="1"/>
      <w:marLeft w:val="0"/>
      <w:marRight w:val="0"/>
      <w:marTop w:val="0"/>
      <w:marBottom w:val="0"/>
      <w:divBdr>
        <w:top w:val="none" w:sz="0" w:space="0" w:color="auto"/>
        <w:left w:val="none" w:sz="0" w:space="0" w:color="auto"/>
        <w:bottom w:val="none" w:sz="0" w:space="0" w:color="auto"/>
        <w:right w:val="none" w:sz="0" w:space="0" w:color="auto"/>
      </w:divBdr>
    </w:div>
    <w:div w:id="1883974407">
      <w:bodyDiv w:val="1"/>
      <w:marLeft w:val="0"/>
      <w:marRight w:val="0"/>
      <w:marTop w:val="0"/>
      <w:marBottom w:val="0"/>
      <w:divBdr>
        <w:top w:val="none" w:sz="0" w:space="0" w:color="auto"/>
        <w:left w:val="none" w:sz="0" w:space="0" w:color="auto"/>
        <w:bottom w:val="none" w:sz="0" w:space="0" w:color="auto"/>
        <w:right w:val="none" w:sz="0" w:space="0" w:color="auto"/>
      </w:divBdr>
    </w:div>
    <w:div w:id="1896046239">
      <w:bodyDiv w:val="1"/>
      <w:marLeft w:val="0"/>
      <w:marRight w:val="0"/>
      <w:marTop w:val="0"/>
      <w:marBottom w:val="0"/>
      <w:divBdr>
        <w:top w:val="none" w:sz="0" w:space="0" w:color="auto"/>
        <w:left w:val="none" w:sz="0" w:space="0" w:color="auto"/>
        <w:bottom w:val="none" w:sz="0" w:space="0" w:color="auto"/>
        <w:right w:val="none" w:sz="0" w:space="0" w:color="auto"/>
      </w:divBdr>
    </w:div>
    <w:div w:id="1908952835">
      <w:bodyDiv w:val="1"/>
      <w:marLeft w:val="0"/>
      <w:marRight w:val="0"/>
      <w:marTop w:val="0"/>
      <w:marBottom w:val="0"/>
      <w:divBdr>
        <w:top w:val="none" w:sz="0" w:space="0" w:color="auto"/>
        <w:left w:val="none" w:sz="0" w:space="0" w:color="auto"/>
        <w:bottom w:val="none" w:sz="0" w:space="0" w:color="auto"/>
        <w:right w:val="none" w:sz="0" w:space="0" w:color="auto"/>
      </w:divBdr>
    </w:div>
    <w:div w:id="1918051228">
      <w:bodyDiv w:val="1"/>
      <w:marLeft w:val="0"/>
      <w:marRight w:val="0"/>
      <w:marTop w:val="0"/>
      <w:marBottom w:val="0"/>
      <w:divBdr>
        <w:top w:val="none" w:sz="0" w:space="0" w:color="auto"/>
        <w:left w:val="none" w:sz="0" w:space="0" w:color="auto"/>
        <w:bottom w:val="none" w:sz="0" w:space="0" w:color="auto"/>
        <w:right w:val="none" w:sz="0" w:space="0" w:color="auto"/>
      </w:divBdr>
    </w:div>
    <w:div w:id="1919751590">
      <w:bodyDiv w:val="1"/>
      <w:marLeft w:val="0"/>
      <w:marRight w:val="0"/>
      <w:marTop w:val="0"/>
      <w:marBottom w:val="0"/>
      <w:divBdr>
        <w:top w:val="none" w:sz="0" w:space="0" w:color="auto"/>
        <w:left w:val="none" w:sz="0" w:space="0" w:color="auto"/>
        <w:bottom w:val="none" w:sz="0" w:space="0" w:color="auto"/>
        <w:right w:val="none" w:sz="0" w:space="0" w:color="auto"/>
      </w:divBdr>
    </w:div>
    <w:div w:id="1924603896">
      <w:bodyDiv w:val="1"/>
      <w:marLeft w:val="0"/>
      <w:marRight w:val="0"/>
      <w:marTop w:val="0"/>
      <w:marBottom w:val="0"/>
      <w:divBdr>
        <w:top w:val="none" w:sz="0" w:space="0" w:color="auto"/>
        <w:left w:val="none" w:sz="0" w:space="0" w:color="auto"/>
        <w:bottom w:val="none" w:sz="0" w:space="0" w:color="auto"/>
        <w:right w:val="none" w:sz="0" w:space="0" w:color="auto"/>
      </w:divBdr>
    </w:div>
    <w:div w:id="1931044871">
      <w:bodyDiv w:val="1"/>
      <w:marLeft w:val="0"/>
      <w:marRight w:val="0"/>
      <w:marTop w:val="0"/>
      <w:marBottom w:val="0"/>
      <w:divBdr>
        <w:top w:val="none" w:sz="0" w:space="0" w:color="auto"/>
        <w:left w:val="none" w:sz="0" w:space="0" w:color="auto"/>
        <w:bottom w:val="none" w:sz="0" w:space="0" w:color="auto"/>
        <w:right w:val="none" w:sz="0" w:space="0" w:color="auto"/>
      </w:divBdr>
    </w:div>
    <w:div w:id="1931623460">
      <w:bodyDiv w:val="1"/>
      <w:marLeft w:val="0"/>
      <w:marRight w:val="0"/>
      <w:marTop w:val="0"/>
      <w:marBottom w:val="0"/>
      <w:divBdr>
        <w:top w:val="none" w:sz="0" w:space="0" w:color="auto"/>
        <w:left w:val="none" w:sz="0" w:space="0" w:color="auto"/>
        <w:bottom w:val="none" w:sz="0" w:space="0" w:color="auto"/>
        <w:right w:val="none" w:sz="0" w:space="0" w:color="auto"/>
      </w:divBdr>
    </w:div>
    <w:div w:id="1959870460">
      <w:bodyDiv w:val="1"/>
      <w:marLeft w:val="0"/>
      <w:marRight w:val="0"/>
      <w:marTop w:val="0"/>
      <w:marBottom w:val="0"/>
      <w:divBdr>
        <w:top w:val="none" w:sz="0" w:space="0" w:color="auto"/>
        <w:left w:val="none" w:sz="0" w:space="0" w:color="auto"/>
        <w:bottom w:val="none" w:sz="0" w:space="0" w:color="auto"/>
        <w:right w:val="none" w:sz="0" w:space="0" w:color="auto"/>
      </w:divBdr>
    </w:div>
    <w:div w:id="1980845507">
      <w:bodyDiv w:val="1"/>
      <w:marLeft w:val="0"/>
      <w:marRight w:val="0"/>
      <w:marTop w:val="0"/>
      <w:marBottom w:val="0"/>
      <w:divBdr>
        <w:top w:val="none" w:sz="0" w:space="0" w:color="auto"/>
        <w:left w:val="none" w:sz="0" w:space="0" w:color="auto"/>
        <w:bottom w:val="none" w:sz="0" w:space="0" w:color="auto"/>
        <w:right w:val="none" w:sz="0" w:space="0" w:color="auto"/>
      </w:divBdr>
    </w:div>
    <w:div w:id="1985887053">
      <w:bodyDiv w:val="1"/>
      <w:marLeft w:val="0"/>
      <w:marRight w:val="0"/>
      <w:marTop w:val="0"/>
      <w:marBottom w:val="0"/>
      <w:divBdr>
        <w:top w:val="none" w:sz="0" w:space="0" w:color="auto"/>
        <w:left w:val="none" w:sz="0" w:space="0" w:color="auto"/>
        <w:bottom w:val="none" w:sz="0" w:space="0" w:color="auto"/>
        <w:right w:val="none" w:sz="0" w:space="0" w:color="auto"/>
      </w:divBdr>
    </w:div>
    <w:div w:id="2017537497">
      <w:bodyDiv w:val="1"/>
      <w:marLeft w:val="0"/>
      <w:marRight w:val="0"/>
      <w:marTop w:val="0"/>
      <w:marBottom w:val="0"/>
      <w:divBdr>
        <w:top w:val="none" w:sz="0" w:space="0" w:color="auto"/>
        <w:left w:val="none" w:sz="0" w:space="0" w:color="auto"/>
        <w:bottom w:val="none" w:sz="0" w:space="0" w:color="auto"/>
        <w:right w:val="none" w:sz="0" w:space="0" w:color="auto"/>
      </w:divBdr>
    </w:div>
    <w:div w:id="2026596646">
      <w:bodyDiv w:val="1"/>
      <w:marLeft w:val="0"/>
      <w:marRight w:val="0"/>
      <w:marTop w:val="0"/>
      <w:marBottom w:val="0"/>
      <w:divBdr>
        <w:top w:val="none" w:sz="0" w:space="0" w:color="auto"/>
        <w:left w:val="none" w:sz="0" w:space="0" w:color="auto"/>
        <w:bottom w:val="none" w:sz="0" w:space="0" w:color="auto"/>
        <w:right w:val="none" w:sz="0" w:space="0" w:color="auto"/>
      </w:divBdr>
    </w:div>
    <w:div w:id="2033797320">
      <w:bodyDiv w:val="1"/>
      <w:marLeft w:val="0"/>
      <w:marRight w:val="0"/>
      <w:marTop w:val="0"/>
      <w:marBottom w:val="0"/>
      <w:divBdr>
        <w:top w:val="none" w:sz="0" w:space="0" w:color="auto"/>
        <w:left w:val="none" w:sz="0" w:space="0" w:color="auto"/>
        <w:bottom w:val="none" w:sz="0" w:space="0" w:color="auto"/>
        <w:right w:val="none" w:sz="0" w:space="0" w:color="auto"/>
      </w:divBdr>
    </w:div>
    <w:div w:id="2069575347">
      <w:bodyDiv w:val="1"/>
      <w:marLeft w:val="0"/>
      <w:marRight w:val="0"/>
      <w:marTop w:val="0"/>
      <w:marBottom w:val="0"/>
      <w:divBdr>
        <w:top w:val="none" w:sz="0" w:space="0" w:color="auto"/>
        <w:left w:val="none" w:sz="0" w:space="0" w:color="auto"/>
        <w:bottom w:val="none" w:sz="0" w:space="0" w:color="auto"/>
        <w:right w:val="none" w:sz="0" w:space="0" w:color="auto"/>
      </w:divBdr>
    </w:div>
    <w:div w:id="2072001841">
      <w:bodyDiv w:val="1"/>
      <w:marLeft w:val="0"/>
      <w:marRight w:val="0"/>
      <w:marTop w:val="0"/>
      <w:marBottom w:val="0"/>
      <w:divBdr>
        <w:top w:val="none" w:sz="0" w:space="0" w:color="auto"/>
        <w:left w:val="none" w:sz="0" w:space="0" w:color="auto"/>
        <w:bottom w:val="none" w:sz="0" w:space="0" w:color="auto"/>
        <w:right w:val="none" w:sz="0" w:space="0" w:color="auto"/>
      </w:divBdr>
    </w:div>
    <w:div w:id="2095320447">
      <w:bodyDiv w:val="1"/>
      <w:marLeft w:val="0"/>
      <w:marRight w:val="0"/>
      <w:marTop w:val="0"/>
      <w:marBottom w:val="0"/>
      <w:divBdr>
        <w:top w:val="none" w:sz="0" w:space="0" w:color="auto"/>
        <w:left w:val="none" w:sz="0" w:space="0" w:color="auto"/>
        <w:bottom w:val="none" w:sz="0" w:space="0" w:color="auto"/>
        <w:right w:val="none" w:sz="0" w:space="0" w:color="auto"/>
      </w:divBdr>
    </w:div>
    <w:div w:id="2110469724">
      <w:bodyDiv w:val="1"/>
      <w:marLeft w:val="0"/>
      <w:marRight w:val="0"/>
      <w:marTop w:val="0"/>
      <w:marBottom w:val="0"/>
      <w:divBdr>
        <w:top w:val="none" w:sz="0" w:space="0" w:color="auto"/>
        <w:left w:val="none" w:sz="0" w:space="0" w:color="auto"/>
        <w:bottom w:val="none" w:sz="0" w:space="0" w:color="auto"/>
        <w:right w:val="none" w:sz="0" w:space="0" w:color="auto"/>
      </w:divBdr>
    </w:div>
    <w:div w:id="2123501020">
      <w:bodyDiv w:val="1"/>
      <w:marLeft w:val="0"/>
      <w:marRight w:val="0"/>
      <w:marTop w:val="0"/>
      <w:marBottom w:val="0"/>
      <w:divBdr>
        <w:top w:val="none" w:sz="0" w:space="0" w:color="auto"/>
        <w:left w:val="none" w:sz="0" w:space="0" w:color="auto"/>
        <w:bottom w:val="none" w:sz="0" w:space="0" w:color="auto"/>
        <w:right w:val="none" w:sz="0" w:space="0" w:color="auto"/>
      </w:divBdr>
    </w:div>
    <w:div w:id="2136871819">
      <w:bodyDiv w:val="1"/>
      <w:marLeft w:val="0"/>
      <w:marRight w:val="0"/>
      <w:marTop w:val="0"/>
      <w:marBottom w:val="0"/>
      <w:divBdr>
        <w:top w:val="none" w:sz="0" w:space="0" w:color="auto"/>
        <w:left w:val="none" w:sz="0" w:space="0" w:color="auto"/>
        <w:bottom w:val="none" w:sz="0" w:space="0" w:color="auto"/>
        <w:right w:val="none" w:sz="0" w:space="0" w:color="auto"/>
      </w:divBdr>
    </w:div>
    <w:div w:id="2143493741">
      <w:bodyDiv w:val="1"/>
      <w:marLeft w:val="0"/>
      <w:marRight w:val="0"/>
      <w:marTop w:val="0"/>
      <w:marBottom w:val="0"/>
      <w:divBdr>
        <w:top w:val="none" w:sz="0" w:space="0" w:color="auto"/>
        <w:left w:val="none" w:sz="0" w:space="0" w:color="auto"/>
        <w:bottom w:val="none" w:sz="0" w:space="0" w:color="auto"/>
        <w:right w:val="none" w:sz="0" w:space="0" w:color="auto"/>
      </w:divBdr>
    </w:div>
    <w:div w:id="214449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66816-45A9-412E-BBCF-DFE589935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34</Pages>
  <Words>3518</Words>
  <Characters>20054</Characters>
  <Application>Microsoft Office Word</Application>
  <DocSecurity>0</DocSecurity>
  <Lines>167</Lines>
  <Paragraphs>47</Paragraphs>
  <ScaleCrop>false</ScaleCrop>
  <Company/>
  <LinksUpToDate>false</LinksUpToDate>
  <CharactersWithSpaces>23525</CharactersWithSpaces>
  <SharedDoc>false</SharedDoc>
  <HLinks>
    <vt:vector size="384" baseType="variant">
      <vt:variant>
        <vt:i4>1179698</vt:i4>
      </vt:variant>
      <vt:variant>
        <vt:i4>380</vt:i4>
      </vt:variant>
      <vt:variant>
        <vt:i4>0</vt:i4>
      </vt:variant>
      <vt:variant>
        <vt:i4>5</vt:i4>
      </vt:variant>
      <vt:variant>
        <vt:lpwstr/>
      </vt:variant>
      <vt:variant>
        <vt:lpwstr>_Toc331410129</vt:lpwstr>
      </vt:variant>
      <vt:variant>
        <vt:i4>1179698</vt:i4>
      </vt:variant>
      <vt:variant>
        <vt:i4>374</vt:i4>
      </vt:variant>
      <vt:variant>
        <vt:i4>0</vt:i4>
      </vt:variant>
      <vt:variant>
        <vt:i4>5</vt:i4>
      </vt:variant>
      <vt:variant>
        <vt:lpwstr/>
      </vt:variant>
      <vt:variant>
        <vt:lpwstr>_Toc331410128</vt:lpwstr>
      </vt:variant>
      <vt:variant>
        <vt:i4>1179698</vt:i4>
      </vt:variant>
      <vt:variant>
        <vt:i4>368</vt:i4>
      </vt:variant>
      <vt:variant>
        <vt:i4>0</vt:i4>
      </vt:variant>
      <vt:variant>
        <vt:i4>5</vt:i4>
      </vt:variant>
      <vt:variant>
        <vt:lpwstr/>
      </vt:variant>
      <vt:variant>
        <vt:lpwstr>_Toc331410127</vt:lpwstr>
      </vt:variant>
      <vt:variant>
        <vt:i4>1179698</vt:i4>
      </vt:variant>
      <vt:variant>
        <vt:i4>362</vt:i4>
      </vt:variant>
      <vt:variant>
        <vt:i4>0</vt:i4>
      </vt:variant>
      <vt:variant>
        <vt:i4>5</vt:i4>
      </vt:variant>
      <vt:variant>
        <vt:lpwstr/>
      </vt:variant>
      <vt:variant>
        <vt:lpwstr>_Toc331410126</vt:lpwstr>
      </vt:variant>
      <vt:variant>
        <vt:i4>1179698</vt:i4>
      </vt:variant>
      <vt:variant>
        <vt:i4>356</vt:i4>
      </vt:variant>
      <vt:variant>
        <vt:i4>0</vt:i4>
      </vt:variant>
      <vt:variant>
        <vt:i4>5</vt:i4>
      </vt:variant>
      <vt:variant>
        <vt:lpwstr/>
      </vt:variant>
      <vt:variant>
        <vt:lpwstr>_Toc331410125</vt:lpwstr>
      </vt:variant>
      <vt:variant>
        <vt:i4>1179698</vt:i4>
      </vt:variant>
      <vt:variant>
        <vt:i4>350</vt:i4>
      </vt:variant>
      <vt:variant>
        <vt:i4>0</vt:i4>
      </vt:variant>
      <vt:variant>
        <vt:i4>5</vt:i4>
      </vt:variant>
      <vt:variant>
        <vt:lpwstr/>
      </vt:variant>
      <vt:variant>
        <vt:lpwstr>_Toc331410124</vt:lpwstr>
      </vt:variant>
      <vt:variant>
        <vt:i4>1179698</vt:i4>
      </vt:variant>
      <vt:variant>
        <vt:i4>344</vt:i4>
      </vt:variant>
      <vt:variant>
        <vt:i4>0</vt:i4>
      </vt:variant>
      <vt:variant>
        <vt:i4>5</vt:i4>
      </vt:variant>
      <vt:variant>
        <vt:lpwstr/>
      </vt:variant>
      <vt:variant>
        <vt:lpwstr>_Toc331410123</vt:lpwstr>
      </vt:variant>
      <vt:variant>
        <vt:i4>1179698</vt:i4>
      </vt:variant>
      <vt:variant>
        <vt:i4>338</vt:i4>
      </vt:variant>
      <vt:variant>
        <vt:i4>0</vt:i4>
      </vt:variant>
      <vt:variant>
        <vt:i4>5</vt:i4>
      </vt:variant>
      <vt:variant>
        <vt:lpwstr/>
      </vt:variant>
      <vt:variant>
        <vt:lpwstr>_Toc331410122</vt:lpwstr>
      </vt:variant>
      <vt:variant>
        <vt:i4>1179698</vt:i4>
      </vt:variant>
      <vt:variant>
        <vt:i4>332</vt:i4>
      </vt:variant>
      <vt:variant>
        <vt:i4>0</vt:i4>
      </vt:variant>
      <vt:variant>
        <vt:i4>5</vt:i4>
      </vt:variant>
      <vt:variant>
        <vt:lpwstr/>
      </vt:variant>
      <vt:variant>
        <vt:lpwstr>_Toc331410121</vt:lpwstr>
      </vt:variant>
      <vt:variant>
        <vt:i4>1179698</vt:i4>
      </vt:variant>
      <vt:variant>
        <vt:i4>326</vt:i4>
      </vt:variant>
      <vt:variant>
        <vt:i4>0</vt:i4>
      </vt:variant>
      <vt:variant>
        <vt:i4>5</vt:i4>
      </vt:variant>
      <vt:variant>
        <vt:lpwstr/>
      </vt:variant>
      <vt:variant>
        <vt:lpwstr>_Toc331410120</vt:lpwstr>
      </vt:variant>
      <vt:variant>
        <vt:i4>1114162</vt:i4>
      </vt:variant>
      <vt:variant>
        <vt:i4>320</vt:i4>
      </vt:variant>
      <vt:variant>
        <vt:i4>0</vt:i4>
      </vt:variant>
      <vt:variant>
        <vt:i4>5</vt:i4>
      </vt:variant>
      <vt:variant>
        <vt:lpwstr/>
      </vt:variant>
      <vt:variant>
        <vt:lpwstr>_Toc331410119</vt:lpwstr>
      </vt:variant>
      <vt:variant>
        <vt:i4>1114162</vt:i4>
      </vt:variant>
      <vt:variant>
        <vt:i4>314</vt:i4>
      </vt:variant>
      <vt:variant>
        <vt:i4>0</vt:i4>
      </vt:variant>
      <vt:variant>
        <vt:i4>5</vt:i4>
      </vt:variant>
      <vt:variant>
        <vt:lpwstr/>
      </vt:variant>
      <vt:variant>
        <vt:lpwstr>_Toc331410118</vt:lpwstr>
      </vt:variant>
      <vt:variant>
        <vt:i4>1114162</vt:i4>
      </vt:variant>
      <vt:variant>
        <vt:i4>308</vt:i4>
      </vt:variant>
      <vt:variant>
        <vt:i4>0</vt:i4>
      </vt:variant>
      <vt:variant>
        <vt:i4>5</vt:i4>
      </vt:variant>
      <vt:variant>
        <vt:lpwstr/>
      </vt:variant>
      <vt:variant>
        <vt:lpwstr>_Toc331410117</vt:lpwstr>
      </vt:variant>
      <vt:variant>
        <vt:i4>1114162</vt:i4>
      </vt:variant>
      <vt:variant>
        <vt:i4>302</vt:i4>
      </vt:variant>
      <vt:variant>
        <vt:i4>0</vt:i4>
      </vt:variant>
      <vt:variant>
        <vt:i4>5</vt:i4>
      </vt:variant>
      <vt:variant>
        <vt:lpwstr/>
      </vt:variant>
      <vt:variant>
        <vt:lpwstr>_Toc331410116</vt:lpwstr>
      </vt:variant>
      <vt:variant>
        <vt:i4>1114162</vt:i4>
      </vt:variant>
      <vt:variant>
        <vt:i4>296</vt:i4>
      </vt:variant>
      <vt:variant>
        <vt:i4>0</vt:i4>
      </vt:variant>
      <vt:variant>
        <vt:i4>5</vt:i4>
      </vt:variant>
      <vt:variant>
        <vt:lpwstr/>
      </vt:variant>
      <vt:variant>
        <vt:lpwstr>_Toc331410115</vt:lpwstr>
      </vt:variant>
      <vt:variant>
        <vt:i4>1114162</vt:i4>
      </vt:variant>
      <vt:variant>
        <vt:i4>290</vt:i4>
      </vt:variant>
      <vt:variant>
        <vt:i4>0</vt:i4>
      </vt:variant>
      <vt:variant>
        <vt:i4>5</vt:i4>
      </vt:variant>
      <vt:variant>
        <vt:lpwstr/>
      </vt:variant>
      <vt:variant>
        <vt:lpwstr>_Toc331410114</vt:lpwstr>
      </vt:variant>
      <vt:variant>
        <vt:i4>1114162</vt:i4>
      </vt:variant>
      <vt:variant>
        <vt:i4>284</vt:i4>
      </vt:variant>
      <vt:variant>
        <vt:i4>0</vt:i4>
      </vt:variant>
      <vt:variant>
        <vt:i4>5</vt:i4>
      </vt:variant>
      <vt:variant>
        <vt:lpwstr/>
      </vt:variant>
      <vt:variant>
        <vt:lpwstr>_Toc331410113</vt:lpwstr>
      </vt:variant>
      <vt:variant>
        <vt:i4>1114162</vt:i4>
      </vt:variant>
      <vt:variant>
        <vt:i4>278</vt:i4>
      </vt:variant>
      <vt:variant>
        <vt:i4>0</vt:i4>
      </vt:variant>
      <vt:variant>
        <vt:i4>5</vt:i4>
      </vt:variant>
      <vt:variant>
        <vt:lpwstr/>
      </vt:variant>
      <vt:variant>
        <vt:lpwstr>_Toc331410112</vt:lpwstr>
      </vt:variant>
      <vt:variant>
        <vt:i4>1114162</vt:i4>
      </vt:variant>
      <vt:variant>
        <vt:i4>272</vt:i4>
      </vt:variant>
      <vt:variant>
        <vt:i4>0</vt:i4>
      </vt:variant>
      <vt:variant>
        <vt:i4>5</vt:i4>
      </vt:variant>
      <vt:variant>
        <vt:lpwstr/>
      </vt:variant>
      <vt:variant>
        <vt:lpwstr>_Toc331410111</vt:lpwstr>
      </vt:variant>
      <vt:variant>
        <vt:i4>1114162</vt:i4>
      </vt:variant>
      <vt:variant>
        <vt:i4>266</vt:i4>
      </vt:variant>
      <vt:variant>
        <vt:i4>0</vt:i4>
      </vt:variant>
      <vt:variant>
        <vt:i4>5</vt:i4>
      </vt:variant>
      <vt:variant>
        <vt:lpwstr/>
      </vt:variant>
      <vt:variant>
        <vt:lpwstr>_Toc331410110</vt:lpwstr>
      </vt:variant>
      <vt:variant>
        <vt:i4>1048626</vt:i4>
      </vt:variant>
      <vt:variant>
        <vt:i4>260</vt:i4>
      </vt:variant>
      <vt:variant>
        <vt:i4>0</vt:i4>
      </vt:variant>
      <vt:variant>
        <vt:i4>5</vt:i4>
      </vt:variant>
      <vt:variant>
        <vt:lpwstr/>
      </vt:variant>
      <vt:variant>
        <vt:lpwstr>_Toc331410109</vt:lpwstr>
      </vt:variant>
      <vt:variant>
        <vt:i4>1048626</vt:i4>
      </vt:variant>
      <vt:variant>
        <vt:i4>254</vt:i4>
      </vt:variant>
      <vt:variant>
        <vt:i4>0</vt:i4>
      </vt:variant>
      <vt:variant>
        <vt:i4>5</vt:i4>
      </vt:variant>
      <vt:variant>
        <vt:lpwstr/>
      </vt:variant>
      <vt:variant>
        <vt:lpwstr>_Toc331410108</vt:lpwstr>
      </vt:variant>
      <vt:variant>
        <vt:i4>1048626</vt:i4>
      </vt:variant>
      <vt:variant>
        <vt:i4>248</vt:i4>
      </vt:variant>
      <vt:variant>
        <vt:i4>0</vt:i4>
      </vt:variant>
      <vt:variant>
        <vt:i4>5</vt:i4>
      </vt:variant>
      <vt:variant>
        <vt:lpwstr/>
      </vt:variant>
      <vt:variant>
        <vt:lpwstr>_Toc331410107</vt:lpwstr>
      </vt:variant>
      <vt:variant>
        <vt:i4>1048626</vt:i4>
      </vt:variant>
      <vt:variant>
        <vt:i4>242</vt:i4>
      </vt:variant>
      <vt:variant>
        <vt:i4>0</vt:i4>
      </vt:variant>
      <vt:variant>
        <vt:i4>5</vt:i4>
      </vt:variant>
      <vt:variant>
        <vt:lpwstr/>
      </vt:variant>
      <vt:variant>
        <vt:lpwstr>_Toc331410106</vt:lpwstr>
      </vt:variant>
      <vt:variant>
        <vt:i4>1048626</vt:i4>
      </vt:variant>
      <vt:variant>
        <vt:i4>236</vt:i4>
      </vt:variant>
      <vt:variant>
        <vt:i4>0</vt:i4>
      </vt:variant>
      <vt:variant>
        <vt:i4>5</vt:i4>
      </vt:variant>
      <vt:variant>
        <vt:lpwstr/>
      </vt:variant>
      <vt:variant>
        <vt:lpwstr>_Toc331410105</vt:lpwstr>
      </vt:variant>
      <vt:variant>
        <vt:i4>1048626</vt:i4>
      </vt:variant>
      <vt:variant>
        <vt:i4>230</vt:i4>
      </vt:variant>
      <vt:variant>
        <vt:i4>0</vt:i4>
      </vt:variant>
      <vt:variant>
        <vt:i4>5</vt:i4>
      </vt:variant>
      <vt:variant>
        <vt:lpwstr/>
      </vt:variant>
      <vt:variant>
        <vt:lpwstr>_Toc331410104</vt:lpwstr>
      </vt:variant>
      <vt:variant>
        <vt:i4>1048626</vt:i4>
      </vt:variant>
      <vt:variant>
        <vt:i4>224</vt:i4>
      </vt:variant>
      <vt:variant>
        <vt:i4>0</vt:i4>
      </vt:variant>
      <vt:variant>
        <vt:i4>5</vt:i4>
      </vt:variant>
      <vt:variant>
        <vt:lpwstr/>
      </vt:variant>
      <vt:variant>
        <vt:lpwstr>_Toc331410103</vt:lpwstr>
      </vt:variant>
      <vt:variant>
        <vt:i4>1048626</vt:i4>
      </vt:variant>
      <vt:variant>
        <vt:i4>218</vt:i4>
      </vt:variant>
      <vt:variant>
        <vt:i4>0</vt:i4>
      </vt:variant>
      <vt:variant>
        <vt:i4>5</vt:i4>
      </vt:variant>
      <vt:variant>
        <vt:lpwstr/>
      </vt:variant>
      <vt:variant>
        <vt:lpwstr>_Toc331410102</vt:lpwstr>
      </vt:variant>
      <vt:variant>
        <vt:i4>1048626</vt:i4>
      </vt:variant>
      <vt:variant>
        <vt:i4>212</vt:i4>
      </vt:variant>
      <vt:variant>
        <vt:i4>0</vt:i4>
      </vt:variant>
      <vt:variant>
        <vt:i4>5</vt:i4>
      </vt:variant>
      <vt:variant>
        <vt:lpwstr/>
      </vt:variant>
      <vt:variant>
        <vt:lpwstr>_Toc331410101</vt:lpwstr>
      </vt:variant>
      <vt:variant>
        <vt:i4>1048626</vt:i4>
      </vt:variant>
      <vt:variant>
        <vt:i4>206</vt:i4>
      </vt:variant>
      <vt:variant>
        <vt:i4>0</vt:i4>
      </vt:variant>
      <vt:variant>
        <vt:i4>5</vt:i4>
      </vt:variant>
      <vt:variant>
        <vt:lpwstr/>
      </vt:variant>
      <vt:variant>
        <vt:lpwstr>_Toc331410100</vt:lpwstr>
      </vt:variant>
      <vt:variant>
        <vt:i4>1638451</vt:i4>
      </vt:variant>
      <vt:variant>
        <vt:i4>200</vt:i4>
      </vt:variant>
      <vt:variant>
        <vt:i4>0</vt:i4>
      </vt:variant>
      <vt:variant>
        <vt:i4>5</vt:i4>
      </vt:variant>
      <vt:variant>
        <vt:lpwstr/>
      </vt:variant>
      <vt:variant>
        <vt:lpwstr>_Toc331410099</vt:lpwstr>
      </vt:variant>
      <vt:variant>
        <vt:i4>1638451</vt:i4>
      </vt:variant>
      <vt:variant>
        <vt:i4>194</vt:i4>
      </vt:variant>
      <vt:variant>
        <vt:i4>0</vt:i4>
      </vt:variant>
      <vt:variant>
        <vt:i4>5</vt:i4>
      </vt:variant>
      <vt:variant>
        <vt:lpwstr/>
      </vt:variant>
      <vt:variant>
        <vt:lpwstr>_Toc331410098</vt:lpwstr>
      </vt:variant>
      <vt:variant>
        <vt:i4>1638451</vt:i4>
      </vt:variant>
      <vt:variant>
        <vt:i4>188</vt:i4>
      </vt:variant>
      <vt:variant>
        <vt:i4>0</vt:i4>
      </vt:variant>
      <vt:variant>
        <vt:i4>5</vt:i4>
      </vt:variant>
      <vt:variant>
        <vt:lpwstr/>
      </vt:variant>
      <vt:variant>
        <vt:lpwstr>_Toc331410097</vt:lpwstr>
      </vt:variant>
      <vt:variant>
        <vt:i4>1638451</vt:i4>
      </vt:variant>
      <vt:variant>
        <vt:i4>182</vt:i4>
      </vt:variant>
      <vt:variant>
        <vt:i4>0</vt:i4>
      </vt:variant>
      <vt:variant>
        <vt:i4>5</vt:i4>
      </vt:variant>
      <vt:variant>
        <vt:lpwstr/>
      </vt:variant>
      <vt:variant>
        <vt:lpwstr>_Toc331410096</vt:lpwstr>
      </vt:variant>
      <vt:variant>
        <vt:i4>1638451</vt:i4>
      </vt:variant>
      <vt:variant>
        <vt:i4>176</vt:i4>
      </vt:variant>
      <vt:variant>
        <vt:i4>0</vt:i4>
      </vt:variant>
      <vt:variant>
        <vt:i4>5</vt:i4>
      </vt:variant>
      <vt:variant>
        <vt:lpwstr/>
      </vt:variant>
      <vt:variant>
        <vt:lpwstr>_Toc331410095</vt:lpwstr>
      </vt:variant>
      <vt:variant>
        <vt:i4>1638451</vt:i4>
      </vt:variant>
      <vt:variant>
        <vt:i4>170</vt:i4>
      </vt:variant>
      <vt:variant>
        <vt:i4>0</vt:i4>
      </vt:variant>
      <vt:variant>
        <vt:i4>5</vt:i4>
      </vt:variant>
      <vt:variant>
        <vt:lpwstr/>
      </vt:variant>
      <vt:variant>
        <vt:lpwstr>_Toc331410094</vt:lpwstr>
      </vt:variant>
      <vt:variant>
        <vt:i4>1638451</vt:i4>
      </vt:variant>
      <vt:variant>
        <vt:i4>164</vt:i4>
      </vt:variant>
      <vt:variant>
        <vt:i4>0</vt:i4>
      </vt:variant>
      <vt:variant>
        <vt:i4>5</vt:i4>
      </vt:variant>
      <vt:variant>
        <vt:lpwstr/>
      </vt:variant>
      <vt:variant>
        <vt:lpwstr>_Toc331410093</vt:lpwstr>
      </vt:variant>
      <vt:variant>
        <vt:i4>1638451</vt:i4>
      </vt:variant>
      <vt:variant>
        <vt:i4>158</vt:i4>
      </vt:variant>
      <vt:variant>
        <vt:i4>0</vt:i4>
      </vt:variant>
      <vt:variant>
        <vt:i4>5</vt:i4>
      </vt:variant>
      <vt:variant>
        <vt:lpwstr/>
      </vt:variant>
      <vt:variant>
        <vt:lpwstr>_Toc331410092</vt:lpwstr>
      </vt:variant>
      <vt:variant>
        <vt:i4>1638451</vt:i4>
      </vt:variant>
      <vt:variant>
        <vt:i4>152</vt:i4>
      </vt:variant>
      <vt:variant>
        <vt:i4>0</vt:i4>
      </vt:variant>
      <vt:variant>
        <vt:i4>5</vt:i4>
      </vt:variant>
      <vt:variant>
        <vt:lpwstr/>
      </vt:variant>
      <vt:variant>
        <vt:lpwstr>_Toc331410091</vt:lpwstr>
      </vt:variant>
      <vt:variant>
        <vt:i4>1638451</vt:i4>
      </vt:variant>
      <vt:variant>
        <vt:i4>146</vt:i4>
      </vt:variant>
      <vt:variant>
        <vt:i4>0</vt:i4>
      </vt:variant>
      <vt:variant>
        <vt:i4>5</vt:i4>
      </vt:variant>
      <vt:variant>
        <vt:lpwstr/>
      </vt:variant>
      <vt:variant>
        <vt:lpwstr>_Toc331410090</vt:lpwstr>
      </vt:variant>
      <vt:variant>
        <vt:i4>1572915</vt:i4>
      </vt:variant>
      <vt:variant>
        <vt:i4>140</vt:i4>
      </vt:variant>
      <vt:variant>
        <vt:i4>0</vt:i4>
      </vt:variant>
      <vt:variant>
        <vt:i4>5</vt:i4>
      </vt:variant>
      <vt:variant>
        <vt:lpwstr/>
      </vt:variant>
      <vt:variant>
        <vt:lpwstr>_Toc331410089</vt:lpwstr>
      </vt:variant>
      <vt:variant>
        <vt:i4>1572915</vt:i4>
      </vt:variant>
      <vt:variant>
        <vt:i4>134</vt:i4>
      </vt:variant>
      <vt:variant>
        <vt:i4>0</vt:i4>
      </vt:variant>
      <vt:variant>
        <vt:i4>5</vt:i4>
      </vt:variant>
      <vt:variant>
        <vt:lpwstr/>
      </vt:variant>
      <vt:variant>
        <vt:lpwstr>_Toc331410088</vt:lpwstr>
      </vt:variant>
      <vt:variant>
        <vt:i4>1572915</vt:i4>
      </vt:variant>
      <vt:variant>
        <vt:i4>128</vt:i4>
      </vt:variant>
      <vt:variant>
        <vt:i4>0</vt:i4>
      </vt:variant>
      <vt:variant>
        <vt:i4>5</vt:i4>
      </vt:variant>
      <vt:variant>
        <vt:lpwstr/>
      </vt:variant>
      <vt:variant>
        <vt:lpwstr>_Toc331410087</vt:lpwstr>
      </vt:variant>
      <vt:variant>
        <vt:i4>1572915</vt:i4>
      </vt:variant>
      <vt:variant>
        <vt:i4>122</vt:i4>
      </vt:variant>
      <vt:variant>
        <vt:i4>0</vt:i4>
      </vt:variant>
      <vt:variant>
        <vt:i4>5</vt:i4>
      </vt:variant>
      <vt:variant>
        <vt:lpwstr/>
      </vt:variant>
      <vt:variant>
        <vt:lpwstr>_Toc331410086</vt:lpwstr>
      </vt:variant>
      <vt:variant>
        <vt:i4>1572915</vt:i4>
      </vt:variant>
      <vt:variant>
        <vt:i4>116</vt:i4>
      </vt:variant>
      <vt:variant>
        <vt:i4>0</vt:i4>
      </vt:variant>
      <vt:variant>
        <vt:i4>5</vt:i4>
      </vt:variant>
      <vt:variant>
        <vt:lpwstr/>
      </vt:variant>
      <vt:variant>
        <vt:lpwstr>_Toc331410085</vt:lpwstr>
      </vt:variant>
      <vt:variant>
        <vt:i4>1572915</vt:i4>
      </vt:variant>
      <vt:variant>
        <vt:i4>110</vt:i4>
      </vt:variant>
      <vt:variant>
        <vt:i4>0</vt:i4>
      </vt:variant>
      <vt:variant>
        <vt:i4>5</vt:i4>
      </vt:variant>
      <vt:variant>
        <vt:lpwstr/>
      </vt:variant>
      <vt:variant>
        <vt:lpwstr>_Toc331410084</vt:lpwstr>
      </vt:variant>
      <vt:variant>
        <vt:i4>1572915</vt:i4>
      </vt:variant>
      <vt:variant>
        <vt:i4>104</vt:i4>
      </vt:variant>
      <vt:variant>
        <vt:i4>0</vt:i4>
      </vt:variant>
      <vt:variant>
        <vt:i4>5</vt:i4>
      </vt:variant>
      <vt:variant>
        <vt:lpwstr/>
      </vt:variant>
      <vt:variant>
        <vt:lpwstr>_Toc331410083</vt:lpwstr>
      </vt:variant>
      <vt:variant>
        <vt:i4>1572915</vt:i4>
      </vt:variant>
      <vt:variant>
        <vt:i4>98</vt:i4>
      </vt:variant>
      <vt:variant>
        <vt:i4>0</vt:i4>
      </vt:variant>
      <vt:variant>
        <vt:i4>5</vt:i4>
      </vt:variant>
      <vt:variant>
        <vt:lpwstr/>
      </vt:variant>
      <vt:variant>
        <vt:lpwstr>_Toc331410082</vt:lpwstr>
      </vt:variant>
      <vt:variant>
        <vt:i4>1572915</vt:i4>
      </vt:variant>
      <vt:variant>
        <vt:i4>92</vt:i4>
      </vt:variant>
      <vt:variant>
        <vt:i4>0</vt:i4>
      </vt:variant>
      <vt:variant>
        <vt:i4>5</vt:i4>
      </vt:variant>
      <vt:variant>
        <vt:lpwstr/>
      </vt:variant>
      <vt:variant>
        <vt:lpwstr>_Toc331410081</vt:lpwstr>
      </vt:variant>
      <vt:variant>
        <vt:i4>1572915</vt:i4>
      </vt:variant>
      <vt:variant>
        <vt:i4>86</vt:i4>
      </vt:variant>
      <vt:variant>
        <vt:i4>0</vt:i4>
      </vt:variant>
      <vt:variant>
        <vt:i4>5</vt:i4>
      </vt:variant>
      <vt:variant>
        <vt:lpwstr/>
      </vt:variant>
      <vt:variant>
        <vt:lpwstr>_Toc331410080</vt:lpwstr>
      </vt:variant>
      <vt:variant>
        <vt:i4>1507379</vt:i4>
      </vt:variant>
      <vt:variant>
        <vt:i4>80</vt:i4>
      </vt:variant>
      <vt:variant>
        <vt:i4>0</vt:i4>
      </vt:variant>
      <vt:variant>
        <vt:i4>5</vt:i4>
      </vt:variant>
      <vt:variant>
        <vt:lpwstr/>
      </vt:variant>
      <vt:variant>
        <vt:lpwstr>_Toc331410079</vt:lpwstr>
      </vt:variant>
      <vt:variant>
        <vt:i4>1507379</vt:i4>
      </vt:variant>
      <vt:variant>
        <vt:i4>74</vt:i4>
      </vt:variant>
      <vt:variant>
        <vt:i4>0</vt:i4>
      </vt:variant>
      <vt:variant>
        <vt:i4>5</vt:i4>
      </vt:variant>
      <vt:variant>
        <vt:lpwstr/>
      </vt:variant>
      <vt:variant>
        <vt:lpwstr>_Toc331410078</vt:lpwstr>
      </vt:variant>
      <vt:variant>
        <vt:i4>1507379</vt:i4>
      </vt:variant>
      <vt:variant>
        <vt:i4>68</vt:i4>
      </vt:variant>
      <vt:variant>
        <vt:i4>0</vt:i4>
      </vt:variant>
      <vt:variant>
        <vt:i4>5</vt:i4>
      </vt:variant>
      <vt:variant>
        <vt:lpwstr/>
      </vt:variant>
      <vt:variant>
        <vt:lpwstr>_Toc331410077</vt:lpwstr>
      </vt:variant>
      <vt:variant>
        <vt:i4>1507379</vt:i4>
      </vt:variant>
      <vt:variant>
        <vt:i4>62</vt:i4>
      </vt:variant>
      <vt:variant>
        <vt:i4>0</vt:i4>
      </vt:variant>
      <vt:variant>
        <vt:i4>5</vt:i4>
      </vt:variant>
      <vt:variant>
        <vt:lpwstr/>
      </vt:variant>
      <vt:variant>
        <vt:lpwstr>_Toc331410076</vt:lpwstr>
      </vt:variant>
      <vt:variant>
        <vt:i4>1507379</vt:i4>
      </vt:variant>
      <vt:variant>
        <vt:i4>56</vt:i4>
      </vt:variant>
      <vt:variant>
        <vt:i4>0</vt:i4>
      </vt:variant>
      <vt:variant>
        <vt:i4>5</vt:i4>
      </vt:variant>
      <vt:variant>
        <vt:lpwstr/>
      </vt:variant>
      <vt:variant>
        <vt:lpwstr>_Toc331410075</vt:lpwstr>
      </vt:variant>
      <vt:variant>
        <vt:i4>1507379</vt:i4>
      </vt:variant>
      <vt:variant>
        <vt:i4>50</vt:i4>
      </vt:variant>
      <vt:variant>
        <vt:i4>0</vt:i4>
      </vt:variant>
      <vt:variant>
        <vt:i4>5</vt:i4>
      </vt:variant>
      <vt:variant>
        <vt:lpwstr/>
      </vt:variant>
      <vt:variant>
        <vt:lpwstr>_Toc331410074</vt:lpwstr>
      </vt:variant>
      <vt:variant>
        <vt:i4>1507379</vt:i4>
      </vt:variant>
      <vt:variant>
        <vt:i4>44</vt:i4>
      </vt:variant>
      <vt:variant>
        <vt:i4>0</vt:i4>
      </vt:variant>
      <vt:variant>
        <vt:i4>5</vt:i4>
      </vt:variant>
      <vt:variant>
        <vt:lpwstr/>
      </vt:variant>
      <vt:variant>
        <vt:lpwstr>_Toc331410073</vt:lpwstr>
      </vt:variant>
      <vt:variant>
        <vt:i4>1507379</vt:i4>
      </vt:variant>
      <vt:variant>
        <vt:i4>38</vt:i4>
      </vt:variant>
      <vt:variant>
        <vt:i4>0</vt:i4>
      </vt:variant>
      <vt:variant>
        <vt:i4>5</vt:i4>
      </vt:variant>
      <vt:variant>
        <vt:lpwstr/>
      </vt:variant>
      <vt:variant>
        <vt:lpwstr>_Toc331410072</vt:lpwstr>
      </vt:variant>
      <vt:variant>
        <vt:i4>1507379</vt:i4>
      </vt:variant>
      <vt:variant>
        <vt:i4>32</vt:i4>
      </vt:variant>
      <vt:variant>
        <vt:i4>0</vt:i4>
      </vt:variant>
      <vt:variant>
        <vt:i4>5</vt:i4>
      </vt:variant>
      <vt:variant>
        <vt:lpwstr/>
      </vt:variant>
      <vt:variant>
        <vt:lpwstr>_Toc331410071</vt:lpwstr>
      </vt:variant>
      <vt:variant>
        <vt:i4>1507379</vt:i4>
      </vt:variant>
      <vt:variant>
        <vt:i4>26</vt:i4>
      </vt:variant>
      <vt:variant>
        <vt:i4>0</vt:i4>
      </vt:variant>
      <vt:variant>
        <vt:i4>5</vt:i4>
      </vt:variant>
      <vt:variant>
        <vt:lpwstr/>
      </vt:variant>
      <vt:variant>
        <vt:lpwstr>_Toc331410070</vt:lpwstr>
      </vt:variant>
      <vt:variant>
        <vt:i4>1441843</vt:i4>
      </vt:variant>
      <vt:variant>
        <vt:i4>20</vt:i4>
      </vt:variant>
      <vt:variant>
        <vt:i4>0</vt:i4>
      </vt:variant>
      <vt:variant>
        <vt:i4>5</vt:i4>
      </vt:variant>
      <vt:variant>
        <vt:lpwstr/>
      </vt:variant>
      <vt:variant>
        <vt:lpwstr>_Toc331410069</vt:lpwstr>
      </vt:variant>
      <vt:variant>
        <vt:i4>1441843</vt:i4>
      </vt:variant>
      <vt:variant>
        <vt:i4>14</vt:i4>
      </vt:variant>
      <vt:variant>
        <vt:i4>0</vt:i4>
      </vt:variant>
      <vt:variant>
        <vt:i4>5</vt:i4>
      </vt:variant>
      <vt:variant>
        <vt:lpwstr/>
      </vt:variant>
      <vt:variant>
        <vt:lpwstr>_Toc331410068</vt:lpwstr>
      </vt:variant>
      <vt:variant>
        <vt:i4>1441843</vt:i4>
      </vt:variant>
      <vt:variant>
        <vt:i4>8</vt:i4>
      </vt:variant>
      <vt:variant>
        <vt:i4>0</vt:i4>
      </vt:variant>
      <vt:variant>
        <vt:i4>5</vt:i4>
      </vt:variant>
      <vt:variant>
        <vt:lpwstr/>
      </vt:variant>
      <vt:variant>
        <vt:lpwstr>_Toc331410067</vt:lpwstr>
      </vt:variant>
      <vt:variant>
        <vt:i4>1441843</vt:i4>
      </vt:variant>
      <vt:variant>
        <vt:i4>2</vt:i4>
      </vt:variant>
      <vt:variant>
        <vt:i4>0</vt:i4>
      </vt:variant>
      <vt:variant>
        <vt:i4>5</vt:i4>
      </vt:variant>
      <vt:variant>
        <vt:lpwstr/>
      </vt:variant>
      <vt:variant>
        <vt:lpwstr>_Toc331410066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_____证券投资基金2004年第三季度报告</dc:title>
  <dc:creator>User</dc:creator>
  <cp:lastModifiedBy>王晚婷</cp:lastModifiedBy>
  <cp:revision>17</cp:revision>
  <cp:lastPrinted>2007-07-19T00:46:00Z</cp:lastPrinted>
  <dcterms:created xsi:type="dcterms:W3CDTF">2017-08-23T01:30:00Z</dcterms:created>
  <dcterms:modified xsi:type="dcterms:W3CDTF">2018-08-23T09:51:00Z</dcterms:modified>
</cp:coreProperties>
</file>