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w:t>
      </w:r>
      <w:proofErr w:type="gramStart"/>
      <w:r w:rsidRPr="008A1551">
        <w:rPr>
          <w:b/>
          <w:sz w:val="36"/>
          <w:szCs w:val="36"/>
        </w:rPr>
        <w:t>裕利纯债</w:t>
      </w:r>
      <w:proofErr w:type="gramEnd"/>
      <w:r w:rsidRPr="008A1551">
        <w:rPr>
          <w:b/>
          <w:sz w:val="36"/>
          <w:szCs w:val="36"/>
        </w:rPr>
        <w:t>债券型证券投资基金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银裕利纯债</w:t>
            </w:r>
            <w:proofErr w:type="gramEnd"/>
            <w:r w:rsidRPr="008A1551">
              <w:rPr>
                <w:sz w:val="24"/>
              </w:rPr>
              <w:t>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519786</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519786</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11</w:t>
            </w:r>
            <w:r w:rsidRPr="008A1551">
              <w:rPr>
                <w:sz w:val="24"/>
              </w:rPr>
              <w:t>月</w:t>
            </w:r>
            <w:r w:rsidRPr="008A1551">
              <w:rPr>
                <w:sz w:val="24"/>
              </w:rPr>
              <w:t>23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3,382,864,296.49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519786</w:t>
            </w:r>
          </w:p>
        </w:tc>
        <w:tc>
          <w:tcPr>
            <w:tcW w:w="2596" w:type="dxa"/>
            <w:vAlign w:val="center"/>
          </w:tcPr>
          <w:p w:rsidR="0073136C" w:rsidRPr="008A1551" w:rsidRDefault="0073136C" w:rsidP="009E1EA4">
            <w:pPr>
              <w:spacing w:before="29" w:line="288" w:lineRule="auto"/>
              <w:jc w:val="center"/>
              <w:rPr>
                <w:sz w:val="24"/>
              </w:rPr>
            </w:pPr>
            <w:r w:rsidRPr="008A1551">
              <w:rPr>
                <w:sz w:val="24"/>
              </w:rPr>
              <w:t>519787</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3,382,738,151.09</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126,145.40</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本基金在严格控制风险和保持资产流动性的基础上，通过积极主动的投资管理，力争持续稳定地实现超越业绩比较基准的投资回报。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本基金充分发挥基金管理人的研究优势，对宏观经济运行趋势、财政以及货币政策变化趋势</w:t>
            </w:r>
            <w:proofErr w:type="gramStart"/>
            <w:r w:rsidRPr="008A1551">
              <w:rPr>
                <w:sz w:val="24"/>
              </w:rPr>
              <w:t>作出</w:t>
            </w:r>
            <w:proofErr w:type="gramEnd"/>
            <w:r w:rsidRPr="008A1551">
              <w:rPr>
                <w:sz w:val="24"/>
              </w:rPr>
              <w:t>分析和判断，对未来市场利率趋势及市场信用环境变化</w:t>
            </w:r>
            <w:proofErr w:type="gramStart"/>
            <w:r w:rsidRPr="008A1551">
              <w:rPr>
                <w:sz w:val="24"/>
              </w:rPr>
              <w:t>作出</w:t>
            </w:r>
            <w:proofErr w:type="gramEnd"/>
            <w:r w:rsidRPr="008A1551">
              <w:rPr>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w:t>
            </w:r>
            <w:proofErr w:type="gramStart"/>
            <w:r w:rsidRPr="008A1551">
              <w:rPr>
                <w:sz w:val="24"/>
              </w:rPr>
              <w:t>债综合全价指数</w:t>
            </w:r>
            <w:proofErr w:type="gramEnd"/>
            <w:r w:rsidRPr="008A1551">
              <w:rPr>
                <w:sz w:val="24"/>
              </w:rPr>
              <w:t>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w:t>
            </w:r>
            <w:proofErr w:type="gramStart"/>
            <w:r w:rsidRPr="008A1551">
              <w:rPr>
                <w:sz w:val="24"/>
              </w:rPr>
              <w:t>中</w:t>
            </w:r>
            <w:proofErr w:type="gramEnd"/>
            <w:r w:rsidRPr="008A1551">
              <w:rPr>
                <w:sz w:val="24"/>
              </w:rPr>
              <w:t>低风险的品种。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73,635,741.47</w:t>
            </w:r>
          </w:p>
        </w:tc>
        <w:tc>
          <w:tcPr>
            <w:tcW w:w="2558" w:type="dxa"/>
            <w:vAlign w:val="center"/>
          </w:tcPr>
          <w:p w:rsidR="001548F9" w:rsidRPr="008A1551" w:rsidRDefault="001548F9" w:rsidP="009E1EA4">
            <w:pPr>
              <w:spacing w:before="29" w:line="288" w:lineRule="auto"/>
              <w:jc w:val="right"/>
              <w:rPr>
                <w:sz w:val="24"/>
              </w:rPr>
            </w:pPr>
            <w:r w:rsidRPr="008A1551">
              <w:rPr>
                <w:sz w:val="24"/>
              </w:rPr>
              <w:t>2,604.75</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85,035,676.07</w:t>
            </w:r>
          </w:p>
        </w:tc>
        <w:tc>
          <w:tcPr>
            <w:tcW w:w="2558" w:type="dxa"/>
            <w:vAlign w:val="center"/>
          </w:tcPr>
          <w:p w:rsidR="001548F9" w:rsidRPr="008A1551" w:rsidRDefault="001548F9" w:rsidP="009E1EA4">
            <w:pPr>
              <w:spacing w:before="29" w:line="288" w:lineRule="auto"/>
              <w:jc w:val="right"/>
              <w:rPr>
                <w:sz w:val="24"/>
              </w:rPr>
            </w:pPr>
            <w:r w:rsidRPr="008A1551">
              <w:rPr>
                <w:sz w:val="24"/>
              </w:rPr>
              <w:t>3,059.93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0.0251</w:t>
            </w:r>
          </w:p>
        </w:tc>
        <w:tc>
          <w:tcPr>
            <w:tcW w:w="2558" w:type="dxa"/>
            <w:vAlign w:val="center"/>
          </w:tcPr>
          <w:p w:rsidR="001548F9" w:rsidRPr="008A1551" w:rsidRDefault="001548F9" w:rsidP="009E1EA4">
            <w:pPr>
              <w:spacing w:before="29" w:line="288" w:lineRule="auto"/>
              <w:jc w:val="right"/>
              <w:rPr>
                <w:sz w:val="24"/>
              </w:rPr>
            </w:pPr>
            <w:r w:rsidRPr="008A1551">
              <w:rPr>
                <w:sz w:val="24"/>
              </w:rPr>
              <w:t>0.0240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2.52%</w:t>
            </w:r>
          </w:p>
        </w:tc>
        <w:tc>
          <w:tcPr>
            <w:tcW w:w="2558" w:type="dxa"/>
            <w:vAlign w:val="center"/>
          </w:tcPr>
          <w:p w:rsidR="001548F9" w:rsidRPr="008A1551" w:rsidRDefault="001548F9" w:rsidP="009E1EA4">
            <w:pPr>
              <w:spacing w:before="29" w:line="288" w:lineRule="auto"/>
              <w:jc w:val="right"/>
              <w:rPr>
                <w:sz w:val="24"/>
              </w:rPr>
            </w:pPr>
            <w:r w:rsidRPr="008A1551">
              <w:rPr>
                <w:sz w:val="24"/>
              </w:rPr>
              <w:t>2.31%</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银裕利纯债</w:t>
            </w:r>
            <w:proofErr w:type="gramEnd"/>
            <w:r w:rsidRPr="008A1551">
              <w:rPr>
                <w:color w:val="000000"/>
                <w:sz w:val="24"/>
              </w:rPr>
              <w:t>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银裕利纯债</w:t>
            </w:r>
            <w:proofErr w:type="gramEnd"/>
            <w:r w:rsidRPr="008A1551">
              <w:rPr>
                <w:color w:val="000000"/>
                <w:sz w:val="24"/>
              </w:rPr>
              <w:t>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0.0180</w:t>
            </w:r>
          </w:p>
        </w:tc>
        <w:tc>
          <w:tcPr>
            <w:tcW w:w="2558" w:type="dxa"/>
            <w:vAlign w:val="center"/>
          </w:tcPr>
          <w:p w:rsidR="001548F9" w:rsidRPr="008A1551" w:rsidRDefault="001548F9" w:rsidP="009E1EA4">
            <w:pPr>
              <w:spacing w:before="29" w:line="288" w:lineRule="auto"/>
              <w:jc w:val="right"/>
              <w:rPr>
                <w:sz w:val="24"/>
              </w:rPr>
            </w:pPr>
            <w:r w:rsidRPr="008A1551">
              <w:rPr>
                <w:sz w:val="24"/>
              </w:rPr>
              <w:t>0.0544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3,457,714,062.90</w:t>
            </w:r>
          </w:p>
        </w:tc>
        <w:tc>
          <w:tcPr>
            <w:tcW w:w="2558" w:type="dxa"/>
            <w:vAlign w:val="center"/>
          </w:tcPr>
          <w:p w:rsidR="001548F9" w:rsidRPr="008A1551" w:rsidRDefault="001548F9" w:rsidP="009E1EA4">
            <w:pPr>
              <w:spacing w:before="29" w:line="288" w:lineRule="auto"/>
              <w:jc w:val="right"/>
              <w:rPr>
                <w:sz w:val="24"/>
              </w:rPr>
            </w:pPr>
            <w:r w:rsidRPr="008A1551">
              <w:rPr>
                <w:sz w:val="24"/>
              </w:rPr>
              <w:t>133,536.65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1.0222</w:t>
            </w:r>
          </w:p>
        </w:tc>
        <w:tc>
          <w:tcPr>
            <w:tcW w:w="2558" w:type="dxa"/>
            <w:vAlign w:val="center"/>
          </w:tcPr>
          <w:p w:rsidR="001548F9" w:rsidRPr="008A1551" w:rsidRDefault="001548F9" w:rsidP="009E1EA4">
            <w:pPr>
              <w:spacing w:before="29" w:line="288" w:lineRule="auto"/>
              <w:jc w:val="right"/>
              <w:rPr>
                <w:sz w:val="24"/>
              </w:rPr>
            </w:pPr>
            <w:r w:rsidRPr="008A1551">
              <w:rPr>
                <w:sz w:val="24"/>
              </w:rPr>
              <w:t>1.0586</w:t>
            </w:r>
          </w:p>
        </w:tc>
      </w:tr>
    </w:tbl>
    <w:p w:rsidR="009B078B" w:rsidRDefault="00C17D1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9B078B" w:rsidRDefault="00C17D1C">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w:t>
      </w:r>
      <w:r>
        <w:rPr>
          <w:kern w:val="0"/>
          <w:sz w:val="24"/>
        </w:rPr>
        <w:lastRenderedPageBreak/>
        <w:t>益）扣除相关费用后的余额，本期利润为本期已实现收益加上本期公允价值变动收益。</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银裕利纯债</w:t>
      </w:r>
      <w:proofErr w:type="gramEnd"/>
      <w:r w:rsidRPr="008A1551">
        <w:rPr>
          <w:rFonts w:ascii="Times New Roman" w:hAnsi="Times New Roman"/>
          <w:color w:val="auto"/>
        </w:rPr>
        <w:t>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B078B">
        <w:tc>
          <w:tcPr>
            <w:tcW w:w="1497" w:type="dxa"/>
            <w:vAlign w:val="center"/>
          </w:tcPr>
          <w:p w:rsidR="009B078B" w:rsidRDefault="00C17D1C">
            <w:pPr>
              <w:jc w:val="left"/>
            </w:pPr>
            <w:r>
              <w:rPr>
                <w:color w:val="000000"/>
                <w:sz w:val="24"/>
              </w:rPr>
              <w:t>过去一个月</w:t>
            </w:r>
          </w:p>
        </w:tc>
        <w:tc>
          <w:tcPr>
            <w:tcW w:w="1251" w:type="dxa"/>
            <w:vAlign w:val="center"/>
          </w:tcPr>
          <w:p w:rsidR="009B078B" w:rsidRDefault="00C17D1C">
            <w:pPr>
              <w:jc w:val="center"/>
            </w:pPr>
            <w:r>
              <w:rPr>
                <w:color w:val="000000"/>
                <w:sz w:val="24"/>
              </w:rPr>
              <w:t>0.43%</w:t>
            </w:r>
          </w:p>
        </w:tc>
        <w:tc>
          <w:tcPr>
            <w:tcW w:w="1250" w:type="dxa"/>
            <w:vAlign w:val="center"/>
          </w:tcPr>
          <w:p w:rsidR="009B078B" w:rsidRDefault="00C17D1C">
            <w:pPr>
              <w:jc w:val="center"/>
            </w:pPr>
            <w:r>
              <w:rPr>
                <w:color w:val="000000"/>
                <w:sz w:val="24"/>
              </w:rPr>
              <w:t>0.02%</w:t>
            </w:r>
          </w:p>
        </w:tc>
        <w:tc>
          <w:tcPr>
            <w:tcW w:w="1250" w:type="dxa"/>
            <w:vAlign w:val="center"/>
          </w:tcPr>
          <w:p w:rsidR="009B078B" w:rsidRDefault="00C17D1C">
            <w:pPr>
              <w:jc w:val="center"/>
            </w:pPr>
            <w:r>
              <w:rPr>
                <w:color w:val="000000"/>
                <w:sz w:val="24"/>
              </w:rPr>
              <w:t>0.35%</w:t>
            </w:r>
          </w:p>
        </w:tc>
        <w:tc>
          <w:tcPr>
            <w:tcW w:w="1250" w:type="dxa"/>
            <w:vAlign w:val="center"/>
          </w:tcPr>
          <w:p w:rsidR="009B078B" w:rsidRDefault="00C17D1C">
            <w:pPr>
              <w:jc w:val="center"/>
            </w:pPr>
            <w:r>
              <w:rPr>
                <w:color w:val="000000"/>
                <w:sz w:val="24"/>
              </w:rPr>
              <w:t>0.06%</w:t>
            </w:r>
          </w:p>
        </w:tc>
        <w:tc>
          <w:tcPr>
            <w:tcW w:w="1250" w:type="dxa"/>
            <w:vAlign w:val="center"/>
          </w:tcPr>
          <w:p w:rsidR="009B078B" w:rsidRDefault="00C17D1C">
            <w:pPr>
              <w:jc w:val="center"/>
            </w:pPr>
            <w:r>
              <w:rPr>
                <w:color w:val="000000"/>
                <w:sz w:val="24"/>
              </w:rPr>
              <w:t>0.08%</w:t>
            </w:r>
          </w:p>
        </w:tc>
        <w:tc>
          <w:tcPr>
            <w:tcW w:w="1250" w:type="dxa"/>
            <w:vAlign w:val="center"/>
          </w:tcPr>
          <w:p w:rsidR="009B078B" w:rsidRDefault="00C17D1C">
            <w:pPr>
              <w:jc w:val="center"/>
            </w:pPr>
            <w:r>
              <w:rPr>
                <w:color w:val="000000"/>
                <w:sz w:val="24"/>
              </w:rPr>
              <w:t>-0.04%</w:t>
            </w:r>
          </w:p>
        </w:tc>
      </w:tr>
      <w:tr w:rsidR="009B078B">
        <w:tc>
          <w:tcPr>
            <w:tcW w:w="1497" w:type="dxa"/>
            <w:vAlign w:val="center"/>
          </w:tcPr>
          <w:p w:rsidR="009B078B" w:rsidRDefault="00C17D1C">
            <w:pPr>
              <w:jc w:val="left"/>
            </w:pPr>
            <w:r>
              <w:rPr>
                <w:color w:val="000000"/>
                <w:sz w:val="24"/>
              </w:rPr>
              <w:t>过去三个月</w:t>
            </w:r>
          </w:p>
        </w:tc>
        <w:tc>
          <w:tcPr>
            <w:tcW w:w="1251" w:type="dxa"/>
            <w:vAlign w:val="center"/>
          </w:tcPr>
          <w:p w:rsidR="009B078B" w:rsidRDefault="00C17D1C">
            <w:pPr>
              <w:jc w:val="center"/>
            </w:pPr>
            <w:r>
              <w:rPr>
                <w:color w:val="000000"/>
                <w:sz w:val="24"/>
              </w:rPr>
              <w:t>1.16%</w:t>
            </w:r>
          </w:p>
        </w:tc>
        <w:tc>
          <w:tcPr>
            <w:tcW w:w="1250" w:type="dxa"/>
            <w:vAlign w:val="center"/>
          </w:tcPr>
          <w:p w:rsidR="009B078B" w:rsidRDefault="00C17D1C">
            <w:pPr>
              <w:jc w:val="center"/>
            </w:pPr>
            <w:r>
              <w:rPr>
                <w:color w:val="000000"/>
                <w:sz w:val="24"/>
              </w:rPr>
              <w:t>0.02%</w:t>
            </w:r>
          </w:p>
        </w:tc>
        <w:tc>
          <w:tcPr>
            <w:tcW w:w="1250" w:type="dxa"/>
            <w:vAlign w:val="center"/>
          </w:tcPr>
          <w:p w:rsidR="009B078B" w:rsidRDefault="00C17D1C">
            <w:pPr>
              <w:jc w:val="center"/>
            </w:pPr>
            <w:r>
              <w:rPr>
                <w:color w:val="000000"/>
                <w:sz w:val="24"/>
              </w:rPr>
              <w:t>1.01%</w:t>
            </w:r>
          </w:p>
        </w:tc>
        <w:tc>
          <w:tcPr>
            <w:tcW w:w="1250" w:type="dxa"/>
            <w:vAlign w:val="center"/>
          </w:tcPr>
          <w:p w:rsidR="009B078B" w:rsidRDefault="00C17D1C">
            <w:pPr>
              <w:jc w:val="center"/>
            </w:pPr>
            <w:r>
              <w:rPr>
                <w:color w:val="000000"/>
                <w:sz w:val="24"/>
              </w:rPr>
              <w:t>0.10%</w:t>
            </w:r>
          </w:p>
        </w:tc>
        <w:tc>
          <w:tcPr>
            <w:tcW w:w="1250" w:type="dxa"/>
            <w:vAlign w:val="center"/>
          </w:tcPr>
          <w:p w:rsidR="009B078B" w:rsidRDefault="00C17D1C">
            <w:pPr>
              <w:jc w:val="center"/>
            </w:pPr>
            <w:r>
              <w:rPr>
                <w:color w:val="000000"/>
                <w:sz w:val="24"/>
              </w:rPr>
              <w:t>0.15%</w:t>
            </w:r>
          </w:p>
        </w:tc>
        <w:tc>
          <w:tcPr>
            <w:tcW w:w="1250" w:type="dxa"/>
            <w:vAlign w:val="center"/>
          </w:tcPr>
          <w:p w:rsidR="009B078B" w:rsidRDefault="00C17D1C">
            <w:pPr>
              <w:jc w:val="center"/>
            </w:pPr>
            <w:r>
              <w:rPr>
                <w:color w:val="000000"/>
                <w:sz w:val="24"/>
              </w:rPr>
              <w:t>-0.08%</w:t>
            </w:r>
          </w:p>
        </w:tc>
      </w:tr>
      <w:tr w:rsidR="009B078B">
        <w:tc>
          <w:tcPr>
            <w:tcW w:w="1497" w:type="dxa"/>
            <w:vAlign w:val="center"/>
          </w:tcPr>
          <w:p w:rsidR="009B078B" w:rsidRDefault="00C17D1C">
            <w:pPr>
              <w:jc w:val="left"/>
            </w:pPr>
            <w:r>
              <w:rPr>
                <w:color w:val="000000"/>
                <w:sz w:val="24"/>
              </w:rPr>
              <w:t>过去六个月</w:t>
            </w:r>
          </w:p>
        </w:tc>
        <w:tc>
          <w:tcPr>
            <w:tcW w:w="1251" w:type="dxa"/>
            <w:vAlign w:val="center"/>
          </w:tcPr>
          <w:p w:rsidR="009B078B" w:rsidRDefault="00C17D1C">
            <w:pPr>
              <w:jc w:val="center"/>
            </w:pPr>
            <w:r>
              <w:rPr>
                <w:color w:val="000000"/>
                <w:sz w:val="24"/>
              </w:rPr>
              <w:t>2.52%</w:t>
            </w:r>
          </w:p>
        </w:tc>
        <w:tc>
          <w:tcPr>
            <w:tcW w:w="1250" w:type="dxa"/>
            <w:vAlign w:val="center"/>
          </w:tcPr>
          <w:p w:rsidR="009B078B" w:rsidRDefault="00C17D1C">
            <w:pPr>
              <w:jc w:val="center"/>
            </w:pPr>
            <w:r>
              <w:rPr>
                <w:color w:val="000000"/>
                <w:sz w:val="24"/>
              </w:rPr>
              <w:t>0.02%</w:t>
            </w:r>
          </w:p>
        </w:tc>
        <w:tc>
          <w:tcPr>
            <w:tcW w:w="1250" w:type="dxa"/>
            <w:vAlign w:val="center"/>
          </w:tcPr>
          <w:p w:rsidR="009B078B" w:rsidRDefault="00C17D1C">
            <w:pPr>
              <w:jc w:val="center"/>
            </w:pPr>
            <w:r>
              <w:rPr>
                <w:color w:val="000000"/>
                <w:sz w:val="24"/>
              </w:rPr>
              <w:t>2.16%</w:t>
            </w:r>
          </w:p>
        </w:tc>
        <w:tc>
          <w:tcPr>
            <w:tcW w:w="1250" w:type="dxa"/>
            <w:vAlign w:val="center"/>
          </w:tcPr>
          <w:p w:rsidR="009B078B" w:rsidRDefault="00C17D1C">
            <w:pPr>
              <w:jc w:val="center"/>
            </w:pPr>
            <w:r>
              <w:rPr>
                <w:color w:val="000000"/>
                <w:sz w:val="24"/>
              </w:rPr>
              <w:t>0.08%</w:t>
            </w:r>
          </w:p>
        </w:tc>
        <w:tc>
          <w:tcPr>
            <w:tcW w:w="1250" w:type="dxa"/>
            <w:vAlign w:val="center"/>
          </w:tcPr>
          <w:p w:rsidR="009B078B" w:rsidRDefault="00C17D1C">
            <w:pPr>
              <w:jc w:val="center"/>
            </w:pPr>
            <w:r>
              <w:rPr>
                <w:color w:val="000000"/>
                <w:sz w:val="24"/>
              </w:rPr>
              <w:t>0.36%</w:t>
            </w:r>
          </w:p>
        </w:tc>
        <w:tc>
          <w:tcPr>
            <w:tcW w:w="1250" w:type="dxa"/>
            <w:vAlign w:val="center"/>
          </w:tcPr>
          <w:p w:rsidR="009B078B" w:rsidRDefault="00C17D1C">
            <w:pPr>
              <w:jc w:val="center"/>
            </w:pPr>
            <w:r>
              <w:rPr>
                <w:color w:val="000000"/>
                <w:sz w:val="24"/>
              </w:rPr>
              <w:t>-0.06%</w:t>
            </w:r>
          </w:p>
        </w:tc>
      </w:tr>
      <w:tr w:rsidR="009B078B">
        <w:tc>
          <w:tcPr>
            <w:tcW w:w="1497" w:type="dxa"/>
            <w:vAlign w:val="center"/>
          </w:tcPr>
          <w:p w:rsidR="009B078B" w:rsidRDefault="00C17D1C">
            <w:pPr>
              <w:jc w:val="left"/>
            </w:pPr>
            <w:r>
              <w:rPr>
                <w:color w:val="000000"/>
                <w:sz w:val="24"/>
              </w:rPr>
              <w:t>过去一年</w:t>
            </w:r>
          </w:p>
        </w:tc>
        <w:tc>
          <w:tcPr>
            <w:tcW w:w="1251" w:type="dxa"/>
            <w:vAlign w:val="center"/>
          </w:tcPr>
          <w:p w:rsidR="009B078B" w:rsidRDefault="00C17D1C">
            <w:pPr>
              <w:jc w:val="center"/>
            </w:pPr>
            <w:r>
              <w:rPr>
                <w:color w:val="000000"/>
                <w:sz w:val="24"/>
              </w:rPr>
              <w:t>4.40%</w:t>
            </w:r>
          </w:p>
        </w:tc>
        <w:tc>
          <w:tcPr>
            <w:tcW w:w="1250" w:type="dxa"/>
            <w:vAlign w:val="center"/>
          </w:tcPr>
          <w:p w:rsidR="009B078B" w:rsidRDefault="00C17D1C">
            <w:pPr>
              <w:jc w:val="center"/>
            </w:pPr>
            <w:r>
              <w:rPr>
                <w:color w:val="000000"/>
                <w:sz w:val="24"/>
              </w:rPr>
              <w:t>0.02%</w:t>
            </w:r>
          </w:p>
        </w:tc>
        <w:tc>
          <w:tcPr>
            <w:tcW w:w="1250" w:type="dxa"/>
            <w:vAlign w:val="center"/>
          </w:tcPr>
          <w:p w:rsidR="009B078B" w:rsidRDefault="00C17D1C">
            <w:pPr>
              <w:jc w:val="center"/>
            </w:pPr>
            <w:r>
              <w:rPr>
                <w:color w:val="000000"/>
                <w:sz w:val="24"/>
              </w:rPr>
              <w:t>0.83%</w:t>
            </w:r>
          </w:p>
        </w:tc>
        <w:tc>
          <w:tcPr>
            <w:tcW w:w="1250" w:type="dxa"/>
            <w:vAlign w:val="center"/>
          </w:tcPr>
          <w:p w:rsidR="009B078B" w:rsidRDefault="00C17D1C">
            <w:pPr>
              <w:jc w:val="center"/>
            </w:pPr>
            <w:r>
              <w:rPr>
                <w:color w:val="000000"/>
                <w:sz w:val="24"/>
              </w:rPr>
              <w:t>0.07%</w:t>
            </w:r>
          </w:p>
        </w:tc>
        <w:tc>
          <w:tcPr>
            <w:tcW w:w="1250" w:type="dxa"/>
            <w:vAlign w:val="center"/>
          </w:tcPr>
          <w:p w:rsidR="009B078B" w:rsidRDefault="00C17D1C">
            <w:pPr>
              <w:jc w:val="center"/>
            </w:pPr>
            <w:r>
              <w:rPr>
                <w:color w:val="000000"/>
                <w:sz w:val="24"/>
              </w:rPr>
              <w:t>3.57%</w:t>
            </w:r>
          </w:p>
        </w:tc>
        <w:tc>
          <w:tcPr>
            <w:tcW w:w="1250" w:type="dxa"/>
            <w:vAlign w:val="center"/>
          </w:tcPr>
          <w:p w:rsidR="009B078B" w:rsidRDefault="00C17D1C">
            <w:pPr>
              <w:jc w:val="center"/>
            </w:pPr>
            <w:r>
              <w:rPr>
                <w:color w:val="000000"/>
                <w:sz w:val="24"/>
              </w:rPr>
              <w:t>-0.05%</w:t>
            </w:r>
          </w:p>
        </w:tc>
      </w:tr>
      <w:tr w:rsidR="009B078B">
        <w:tc>
          <w:tcPr>
            <w:tcW w:w="1497" w:type="dxa"/>
            <w:vAlign w:val="center"/>
          </w:tcPr>
          <w:p w:rsidR="009B078B" w:rsidRDefault="00C17D1C">
            <w:pPr>
              <w:jc w:val="left"/>
            </w:pPr>
            <w:r>
              <w:rPr>
                <w:color w:val="000000"/>
                <w:sz w:val="24"/>
              </w:rPr>
              <w:t>自基金合同生效起至今</w:t>
            </w:r>
          </w:p>
        </w:tc>
        <w:tc>
          <w:tcPr>
            <w:tcW w:w="1251" w:type="dxa"/>
            <w:vAlign w:val="center"/>
          </w:tcPr>
          <w:p w:rsidR="009B078B" w:rsidRDefault="00C17D1C">
            <w:pPr>
              <w:jc w:val="center"/>
            </w:pPr>
            <w:r>
              <w:rPr>
                <w:color w:val="000000"/>
                <w:sz w:val="24"/>
              </w:rPr>
              <w:t>6.54%</w:t>
            </w:r>
          </w:p>
        </w:tc>
        <w:tc>
          <w:tcPr>
            <w:tcW w:w="1250" w:type="dxa"/>
            <w:vAlign w:val="center"/>
          </w:tcPr>
          <w:p w:rsidR="009B078B" w:rsidRDefault="00C17D1C">
            <w:pPr>
              <w:jc w:val="center"/>
            </w:pPr>
            <w:r>
              <w:rPr>
                <w:color w:val="000000"/>
                <w:sz w:val="24"/>
              </w:rPr>
              <w:t>0.02%</w:t>
            </w:r>
          </w:p>
        </w:tc>
        <w:tc>
          <w:tcPr>
            <w:tcW w:w="1250" w:type="dxa"/>
            <w:vAlign w:val="center"/>
          </w:tcPr>
          <w:p w:rsidR="009B078B" w:rsidRDefault="00C17D1C">
            <w:pPr>
              <w:jc w:val="center"/>
            </w:pPr>
            <w:r>
              <w:rPr>
                <w:color w:val="000000"/>
                <w:sz w:val="24"/>
              </w:rPr>
              <w:t>-3.03%</w:t>
            </w:r>
          </w:p>
        </w:tc>
        <w:tc>
          <w:tcPr>
            <w:tcW w:w="1250" w:type="dxa"/>
            <w:vAlign w:val="center"/>
          </w:tcPr>
          <w:p w:rsidR="009B078B" w:rsidRDefault="00C17D1C">
            <w:pPr>
              <w:jc w:val="center"/>
            </w:pPr>
            <w:r>
              <w:rPr>
                <w:color w:val="000000"/>
                <w:sz w:val="24"/>
              </w:rPr>
              <w:t>0.09%</w:t>
            </w:r>
          </w:p>
        </w:tc>
        <w:tc>
          <w:tcPr>
            <w:tcW w:w="1250" w:type="dxa"/>
            <w:vAlign w:val="center"/>
          </w:tcPr>
          <w:p w:rsidR="009B078B" w:rsidRDefault="00C17D1C">
            <w:pPr>
              <w:jc w:val="center"/>
            </w:pPr>
            <w:r>
              <w:rPr>
                <w:color w:val="000000"/>
                <w:sz w:val="24"/>
              </w:rPr>
              <w:t>9.57%</w:t>
            </w:r>
          </w:p>
        </w:tc>
        <w:tc>
          <w:tcPr>
            <w:tcW w:w="1250" w:type="dxa"/>
            <w:vAlign w:val="center"/>
          </w:tcPr>
          <w:p w:rsidR="009B078B" w:rsidRDefault="00C17D1C">
            <w:pPr>
              <w:jc w:val="center"/>
            </w:pPr>
            <w:r>
              <w:rPr>
                <w:color w:val="000000"/>
                <w:sz w:val="24"/>
              </w:rPr>
              <w:t>-0.07%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w:t>
      </w:r>
      <w:proofErr w:type="gramStart"/>
      <w:r w:rsidRPr="008A1551">
        <w:rPr>
          <w:kern w:val="0"/>
          <w:sz w:val="24"/>
        </w:rPr>
        <w:t>债综合全价指数</w:t>
      </w:r>
      <w:proofErr w:type="gramEnd"/>
      <w:r w:rsidRPr="008A1551">
        <w:rPr>
          <w:kern w:val="0"/>
          <w:sz w:val="24"/>
        </w:rPr>
        <w:t>收益率。</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银裕利纯债</w:t>
      </w:r>
      <w:proofErr w:type="gramEnd"/>
      <w:r w:rsidRPr="008A1551">
        <w:rPr>
          <w:rFonts w:ascii="Times New Roman" w:hAnsi="Times New Roman"/>
          <w:color w:val="auto"/>
        </w:rPr>
        <w:t>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9B078B">
        <w:tc>
          <w:tcPr>
            <w:tcW w:w="1497" w:type="dxa"/>
            <w:vAlign w:val="center"/>
          </w:tcPr>
          <w:p w:rsidR="009B078B" w:rsidRDefault="00C17D1C">
            <w:pPr>
              <w:jc w:val="left"/>
            </w:pPr>
            <w:r>
              <w:rPr>
                <w:color w:val="000000"/>
                <w:sz w:val="24"/>
              </w:rPr>
              <w:t>过去一个月</w:t>
            </w:r>
          </w:p>
        </w:tc>
        <w:tc>
          <w:tcPr>
            <w:tcW w:w="1251" w:type="dxa"/>
            <w:vAlign w:val="center"/>
          </w:tcPr>
          <w:p w:rsidR="009B078B" w:rsidRDefault="00C17D1C">
            <w:pPr>
              <w:jc w:val="center"/>
            </w:pPr>
            <w:r>
              <w:rPr>
                <w:color w:val="000000"/>
                <w:sz w:val="24"/>
              </w:rPr>
              <w:t>0.40%</w:t>
            </w:r>
          </w:p>
        </w:tc>
        <w:tc>
          <w:tcPr>
            <w:tcW w:w="1250" w:type="dxa"/>
            <w:vAlign w:val="center"/>
          </w:tcPr>
          <w:p w:rsidR="009B078B" w:rsidRDefault="00C17D1C">
            <w:pPr>
              <w:jc w:val="center"/>
            </w:pPr>
            <w:r>
              <w:rPr>
                <w:color w:val="000000"/>
                <w:sz w:val="24"/>
              </w:rPr>
              <w:t>0.02%</w:t>
            </w:r>
          </w:p>
        </w:tc>
        <w:tc>
          <w:tcPr>
            <w:tcW w:w="1250" w:type="dxa"/>
            <w:vAlign w:val="center"/>
          </w:tcPr>
          <w:p w:rsidR="009B078B" w:rsidRDefault="00C17D1C">
            <w:pPr>
              <w:jc w:val="center"/>
            </w:pPr>
            <w:r>
              <w:rPr>
                <w:color w:val="000000"/>
                <w:sz w:val="24"/>
              </w:rPr>
              <w:t>0.35%</w:t>
            </w:r>
          </w:p>
        </w:tc>
        <w:tc>
          <w:tcPr>
            <w:tcW w:w="1250" w:type="dxa"/>
            <w:vAlign w:val="center"/>
          </w:tcPr>
          <w:p w:rsidR="009B078B" w:rsidRDefault="00C17D1C">
            <w:pPr>
              <w:jc w:val="center"/>
            </w:pPr>
            <w:r>
              <w:rPr>
                <w:color w:val="000000"/>
                <w:sz w:val="24"/>
              </w:rPr>
              <w:t>0.06%</w:t>
            </w:r>
          </w:p>
        </w:tc>
        <w:tc>
          <w:tcPr>
            <w:tcW w:w="1250" w:type="dxa"/>
            <w:vAlign w:val="center"/>
          </w:tcPr>
          <w:p w:rsidR="009B078B" w:rsidRDefault="00C17D1C">
            <w:pPr>
              <w:jc w:val="center"/>
            </w:pPr>
            <w:r>
              <w:rPr>
                <w:color w:val="000000"/>
                <w:sz w:val="24"/>
              </w:rPr>
              <w:t>0.05%</w:t>
            </w:r>
          </w:p>
        </w:tc>
        <w:tc>
          <w:tcPr>
            <w:tcW w:w="1250" w:type="dxa"/>
            <w:vAlign w:val="center"/>
          </w:tcPr>
          <w:p w:rsidR="009B078B" w:rsidRDefault="00C17D1C">
            <w:pPr>
              <w:jc w:val="center"/>
            </w:pPr>
            <w:r>
              <w:rPr>
                <w:color w:val="000000"/>
                <w:sz w:val="24"/>
              </w:rPr>
              <w:t>-0.04%</w:t>
            </w:r>
          </w:p>
        </w:tc>
      </w:tr>
      <w:tr w:rsidR="009B078B">
        <w:tc>
          <w:tcPr>
            <w:tcW w:w="1497" w:type="dxa"/>
            <w:vAlign w:val="center"/>
          </w:tcPr>
          <w:p w:rsidR="009B078B" w:rsidRDefault="00C17D1C">
            <w:pPr>
              <w:jc w:val="left"/>
            </w:pPr>
            <w:r>
              <w:rPr>
                <w:color w:val="000000"/>
                <w:sz w:val="24"/>
              </w:rPr>
              <w:t>过去三个月</w:t>
            </w:r>
          </w:p>
        </w:tc>
        <w:tc>
          <w:tcPr>
            <w:tcW w:w="1251" w:type="dxa"/>
            <w:vAlign w:val="center"/>
          </w:tcPr>
          <w:p w:rsidR="009B078B" w:rsidRDefault="00C17D1C">
            <w:pPr>
              <w:jc w:val="center"/>
            </w:pPr>
            <w:r>
              <w:rPr>
                <w:color w:val="000000"/>
                <w:sz w:val="24"/>
              </w:rPr>
              <w:t>1.06%</w:t>
            </w:r>
          </w:p>
        </w:tc>
        <w:tc>
          <w:tcPr>
            <w:tcW w:w="1250" w:type="dxa"/>
            <w:vAlign w:val="center"/>
          </w:tcPr>
          <w:p w:rsidR="009B078B" w:rsidRDefault="00C17D1C">
            <w:pPr>
              <w:jc w:val="center"/>
            </w:pPr>
            <w:r>
              <w:rPr>
                <w:color w:val="000000"/>
                <w:sz w:val="24"/>
              </w:rPr>
              <w:t>0.02%</w:t>
            </w:r>
          </w:p>
        </w:tc>
        <w:tc>
          <w:tcPr>
            <w:tcW w:w="1250" w:type="dxa"/>
            <w:vAlign w:val="center"/>
          </w:tcPr>
          <w:p w:rsidR="009B078B" w:rsidRDefault="00C17D1C">
            <w:pPr>
              <w:jc w:val="center"/>
            </w:pPr>
            <w:r>
              <w:rPr>
                <w:color w:val="000000"/>
                <w:sz w:val="24"/>
              </w:rPr>
              <w:t>1.01%</w:t>
            </w:r>
          </w:p>
        </w:tc>
        <w:tc>
          <w:tcPr>
            <w:tcW w:w="1250" w:type="dxa"/>
            <w:vAlign w:val="center"/>
          </w:tcPr>
          <w:p w:rsidR="009B078B" w:rsidRDefault="00C17D1C">
            <w:pPr>
              <w:jc w:val="center"/>
            </w:pPr>
            <w:r>
              <w:rPr>
                <w:color w:val="000000"/>
                <w:sz w:val="24"/>
              </w:rPr>
              <w:t>0.10%</w:t>
            </w:r>
          </w:p>
        </w:tc>
        <w:tc>
          <w:tcPr>
            <w:tcW w:w="1250" w:type="dxa"/>
            <w:vAlign w:val="center"/>
          </w:tcPr>
          <w:p w:rsidR="009B078B" w:rsidRDefault="00C17D1C">
            <w:pPr>
              <w:jc w:val="center"/>
            </w:pPr>
            <w:r>
              <w:rPr>
                <w:color w:val="000000"/>
                <w:sz w:val="24"/>
              </w:rPr>
              <w:t>0.05%</w:t>
            </w:r>
          </w:p>
        </w:tc>
        <w:tc>
          <w:tcPr>
            <w:tcW w:w="1250" w:type="dxa"/>
            <w:vAlign w:val="center"/>
          </w:tcPr>
          <w:p w:rsidR="009B078B" w:rsidRDefault="00C17D1C">
            <w:pPr>
              <w:jc w:val="center"/>
            </w:pPr>
            <w:r>
              <w:rPr>
                <w:color w:val="000000"/>
                <w:sz w:val="24"/>
              </w:rPr>
              <w:t>-0.08%</w:t>
            </w:r>
          </w:p>
        </w:tc>
      </w:tr>
      <w:tr w:rsidR="009B078B">
        <w:tc>
          <w:tcPr>
            <w:tcW w:w="1497" w:type="dxa"/>
            <w:vAlign w:val="center"/>
          </w:tcPr>
          <w:p w:rsidR="009B078B" w:rsidRDefault="00C17D1C">
            <w:pPr>
              <w:jc w:val="left"/>
            </w:pPr>
            <w:r>
              <w:rPr>
                <w:color w:val="000000"/>
                <w:sz w:val="24"/>
              </w:rPr>
              <w:t>过去六个月</w:t>
            </w:r>
          </w:p>
        </w:tc>
        <w:tc>
          <w:tcPr>
            <w:tcW w:w="1251" w:type="dxa"/>
            <w:vAlign w:val="center"/>
          </w:tcPr>
          <w:p w:rsidR="009B078B" w:rsidRDefault="00C17D1C">
            <w:pPr>
              <w:jc w:val="center"/>
            </w:pPr>
            <w:r>
              <w:rPr>
                <w:color w:val="000000"/>
                <w:sz w:val="24"/>
              </w:rPr>
              <w:t>2.31%</w:t>
            </w:r>
          </w:p>
        </w:tc>
        <w:tc>
          <w:tcPr>
            <w:tcW w:w="1250" w:type="dxa"/>
            <w:vAlign w:val="center"/>
          </w:tcPr>
          <w:p w:rsidR="009B078B" w:rsidRDefault="00C17D1C">
            <w:pPr>
              <w:jc w:val="center"/>
            </w:pPr>
            <w:r>
              <w:rPr>
                <w:color w:val="000000"/>
                <w:sz w:val="24"/>
              </w:rPr>
              <w:t>0.02%</w:t>
            </w:r>
          </w:p>
        </w:tc>
        <w:tc>
          <w:tcPr>
            <w:tcW w:w="1250" w:type="dxa"/>
            <w:vAlign w:val="center"/>
          </w:tcPr>
          <w:p w:rsidR="009B078B" w:rsidRDefault="00C17D1C">
            <w:pPr>
              <w:jc w:val="center"/>
            </w:pPr>
            <w:r>
              <w:rPr>
                <w:color w:val="000000"/>
                <w:sz w:val="24"/>
              </w:rPr>
              <w:t>2.16%</w:t>
            </w:r>
          </w:p>
        </w:tc>
        <w:tc>
          <w:tcPr>
            <w:tcW w:w="1250" w:type="dxa"/>
            <w:vAlign w:val="center"/>
          </w:tcPr>
          <w:p w:rsidR="009B078B" w:rsidRDefault="00C17D1C">
            <w:pPr>
              <w:jc w:val="center"/>
            </w:pPr>
            <w:r>
              <w:rPr>
                <w:color w:val="000000"/>
                <w:sz w:val="24"/>
              </w:rPr>
              <w:t>0.08%</w:t>
            </w:r>
          </w:p>
        </w:tc>
        <w:tc>
          <w:tcPr>
            <w:tcW w:w="1250" w:type="dxa"/>
            <w:vAlign w:val="center"/>
          </w:tcPr>
          <w:p w:rsidR="009B078B" w:rsidRDefault="00C17D1C">
            <w:pPr>
              <w:jc w:val="center"/>
            </w:pPr>
            <w:r>
              <w:rPr>
                <w:color w:val="000000"/>
                <w:sz w:val="24"/>
              </w:rPr>
              <w:t>0.15%</w:t>
            </w:r>
          </w:p>
        </w:tc>
        <w:tc>
          <w:tcPr>
            <w:tcW w:w="1250" w:type="dxa"/>
            <w:vAlign w:val="center"/>
          </w:tcPr>
          <w:p w:rsidR="009B078B" w:rsidRDefault="00C17D1C">
            <w:pPr>
              <w:jc w:val="center"/>
            </w:pPr>
            <w:r>
              <w:rPr>
                <w:color w:val="000000"/>
                <w:sz w:val="24"/>
              </w:rPr>
              <w:t>-0.06%</w:t>
            </w:r>
          </w:p>
        </w:tc>
      </w:tr>
      <w:tr w:rsidR="009B078B">
        <w:tc>
          <w:tcPr>
            <w:tcW w:w="1497" w:type="dxa"/>
            <w:vAlign w:val="center"/>
          </w:tcPr>
          <w:p w:rsidR="009B078B" w:rsidRDefault="00C17D1C">
            <w:pPr>
              <w:jc w:val="left"/>
            </w:pPr>
            <w:r>
              <w:rPr>
                <w:color w:val="000000"/>
                <w:sz w:val="24"/>
              </w:rPr>
              <w:t>过去一年</w:t>
            </w:r>
          </w:p>
        </w:tc>
        <w:tc>
          <w:tcPr>
            <w:tcW w:w="1251" w:type="dxa"/>
            <w:vAlign w:val="center"/>
          </w:tcPr>
          <w:p w:rsidR="009B078B" w:rsidRDefault="00C17D1C">
            <w:pPr>
              <w:jc w:val="center"/>
            </w:pPr>
            <w:r>
              <w:rPr>
                <w:color w:val="000000"/>
                <w:sz w:val="24"/>
              </w:rPr>
              <w:t>4.00%</w:t>
            </w:r>
          </w:p>
        </w:tc>
        <w:tc>
          <w:tcPr>
            <w:tcW w:w="1250" w:type="dxa"/>
            <w:vAlign w:val="center"/>
          </w:tcPr>
          <w:p w:rsidR="009B078B" w:rsidRDefault="00C17D1C">
            <w:pPr>
              <w:jc w:val="center"/>
            </w:pPr>
            <w:r>
              <w:rPr>
                <w:color w:val="000000"/>
                <w:sz w:val="24"/>
              </w:rPr>
              <w:t>0.02%</w:t>
            </w:r>
          </w:p>
        </w:tc>
        <w:tc>
          <w:tcPr>
            <w:tcW w:w="1250" w:type="dxa"/>
            <w:vAlign w:val="center"/>
          </w:tcPr>
          <w:p w:rsidR="009B078B" w:rsidRDefault="00C17D1C">
            <w:pPr>
              <w:jc w:val="center"/>
            </w:pPr>
            <w:r>
              <w:rPr>
                <w:color w:val="000000"/>
                <w:sz w:val="24"/>
              </w:rPr>
              <w:t>0.83%</w:t>
            </w:r>
          </w:p>
        </w:tc>
        <w:tc>
          <w:tcPr>
            <w:tcW w:w="1250" w:type="dxa"/>
            <w:vAlign w:val="center"/>
          </w:tcPr>
          <w:p w:rsidR="009B078B" w:rsidRDefault="00C17D1C">
            <w:pPr>
              <w:jc w:val="center"/>
            </w:pPr>
            <w:r>
              <w:rPr>
                <w:color w:val="000000"/>
                <w:sz w:val="24"/>
              </w:rPr>
              <w:t>0.07%</w:t>
            </w:r>
          </w:p>
        </w:tc>
        <w:tc>
          <w:tcPr>
            <w:tcW w:w="1250" w:type="dxa"/>
            <w:vAlign w:val="center"/>
          </w:tcPr>
          <w:p w:rsidR="009B078B" w:rsidRDefault="00C17D1C">
            <w:pPr>
              <w:jc w:val="center"/>
            </w:pPr>
            <w:r>
              <w:rPr>
                <w:color w:val="000000"/>
                <w:sz w:val="24"/>
              </w:rPr>
              <w:t>3.17%</w:t>
            </w:r>
          </w:p>
        </w:tc>
        <w:tc>
          <w:tcPr>
            <w:tcW w:w="1250" w:type="dxa"/>
            <w:vAlign w:val="center"/>
          </w:tcPr>
          <w:p w:rsidR="009B078B" w:rsidRDefault="00C17D1C">
            <w:pPr>
              <w:jc w:val="center"/>
            </w:pPr>
            <w:r>
              <w:rPr>
                <w:color w:val="000000"/>
                <w:sz w:val="24"/>
              </w:rPr>
              <w:t>-0.05%</w:t>
            </w:r>
          </w:p>
        </w:tc>
      </w:tr>
      <w:tr w:rsidR="009B078B">
        <w:tc>
          <w:tcPr>
            <w:tcW w:w="1497" w:type="dxa"/>
            <w:vAlign w:val="center"/>
          </w:tcPr>
          <w:p w:rsidR="009B078B" w:rsidRDefault="00C17D1C">
            <w:pPr>
              <w:jc w:val="left"/>
            </w:pPr>
            <w:r>
              <w:rPr>
                <w:color w:val="000000"/>
                <w:sz w:val="24"/>
              </w:rPr>
              <w:t>自基金合同生效起至今</w:t>
            </w:r>
          </w:p>
        </w:tc>
        <w:tc>
          <w:tcPr>
            <w:tcW w:w="1251" w:type="dxa"/>
            <w:vAlign w:val="center"/>
          </w:tcPr>
          <w:p w:rsidR="009B078B" w:rsidRDefault="00C17D1C">
            <w:pPr>
              <w:jc w:val="center"/>
            </w:pPr>
            <w:r>
              <w:rPr>
                <w:color w:val="000000"/>
                <w:sz w:val="24"/>
              </w:rPr>
              <w:t>5.86%</w:t>
            </w:r>
          </w:p>
        </w:tc>
        <w:tc>
          <w:tcPr>
            <w:tcW w:w="1250" w:type="dxa"/>
            <w:vAlign w:val="center"/>
          </w:tcPr>
          <w:p w:rsidR="009B078B" w:rsidRDefault="00C17D1C">
            <w:pPr>
              <w:jc w:val="center"/>
            </w:pPr>
            <w:r>
              <w:rPr>
                <w:color w:val="000000"/>
                <w:sz w:val="24"/>
              </w:rPr>
              <w:t>0.02%</w:t>
            </w:r>
          </w:p>
        </w:tc>
        <w:tc>
          <w:tcPr>
            <w:tcW w:w="1250" w:type="dxa"/>
            <w:vAlign w:val="center"/>
          </w:tcPr>
          <w:p w:rsidR="009B078B" w:rsidRDefault="00C17D1C">
            <w:pPr>
              <w:jc w:val="center"/>
            </w:pPr>
            <w:r>
              <w:rPr>
                <w:color w:val="000000"/>
                <w:sz w:val="24"/>
              </w:rPr>
              <w:t>-3.03%</w:t>
            </w:r>
          </w:p>
        </w:tc>
        <w:tc>
          <w:tcPr>
            <w:tcW w:w="1250" w:type="dxa"/>
            <w:vAlign w:val="center"/>
          </w:tcPr>
          <w:p w:rsidR="009B078B" w:rsidRDefault="00C17D1C">
            <w:pPr>
              <w:jc w:val="center"/>
            </w:pPr>
            <w:r>
              <w:rPr>
                <w:color w:val="000000"/>
                <w:sz w:val="24"/>
              </w:rPr>
              <w:t>0.09%</w:t>
            </w:r>
          </w:p>
        </w:tc>
        <w:tc>
          <w:tcPr>
            <w:tcW w:w="1250" w:type="dxa"/>
            <w:vAlign w:val="center"/>
          </w:tcPr>
          <w:p w:rsidR="009B078B" w:rsidRDefault="00C17D1C">
            <w:pPr>
              <w:jc w:val="center"/>
            </w:pPr>
            <w:r>
              <w:rPr>
                <w:color w:val="000000"/>
                <w:sz w:val="24"/>
              </w:rPr>
              <w:t>8.89%</w:t>
            </w:r>
          </w:p>
        </w:tc>
        <w:tc>
          <w:tcPr>
            <w:tcW w:w="1250" w:type="dxa"/>
            <w:vAlign w:val="center"/>
          </w:tcPr>
          <w:p w:rsidR="009B078B" w:rsidRDefault="00C17D1C">
            <w:pPr>
              <w:jc w:val="center"/>
            </w:pPr>
            <w:r>
              <w:rPr>
                <w:color w:val="000000"/>
                <w:sz w:val="24"/>
              </w:rPr>
              <w:t>-0.07%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w:t>
      </w:r>
      <w:proofErr w:type="gramStart"/>
      <w:r w:rsidRPr="008A1551">
        <w:rPr>
          <w:kern w:val="0"/>
          <w:sz w:val="24"/>
        </w:rPr>
        <w:t>债综合全价指数</w:t>
      </w:r>
      <w:proofErr w:type="gramEnd"/>
      <w:r w:rsidRPr="008A1551">
        <w:rPr>
          <w:kern w:val="0"/>
          <w:sz w:val="24"/>
        </w:rPr>
        <w:t>收益率。</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lastRenderedPageBreak/>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w:t>
      </w:r>
      <w:proofErr w:type="gramStart"/>
      <w:r w:rsidRPr="008A1551">
        <w:rPr>
          <w:kern w:val="0"/>
          <w:sz w:val="24"/>
        </w:rPr>
        <w:t>裕利纯债</w:t>
      </w:r>
      <w:proofErr w:type="gramEnd"/>
      <w:r w:rsidRPr="008A1551">
        <w:rPr>
          <w:kern w:val="0"/>
          <w:sz w:val="24"/>
        </w:rPr>
        <w:t>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11</w:t>
      </w:r>
      <w:r w:rsidR="001548F9" w:rsidRPr="008A1551">
        <w:rPr>
          <w:rFonts w:ascii="Times New Roman" w:hAnsi="Times New Roman"/>
          <w:sz w:val="24"/>
          <w:szCs w:val="24"/>
        </w:rPr>
        <w:t>月</w:t>
      </w:r>
      <w:r w:rsidR="001548F9" w:rsidRPr="008A1551">
        <w:rPr>
          <w:rFonts w:ascii="Times New Roman" w:hAnsi="Times New Roman"/>
          <w:sz w:val="24"/>
          <w:szCs w:val="24"/>
        </w:rPr>
        <w:t>23</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w:t>
      </w:r>
      <w:proofErr w:type="gramStart"/>
      <w:r w:rsidRPr="008A1551">
        <w:rPr>
          <w:rFonts w:ascii="Times New Roman" w:hAnsi="Times New Roman"/>
          <w:color w:val="auto"/>
        </w:rPr>
        <w:t>银裕利纯债</w:t>
      </w:r>
      <w:proofErr w:type="gramEnd"/>
      <w:r w:rsidRPr="008A1551">
        <w:rPr>
          <w:rFonts w:ascii="Times New Roman" w:hAnsi="Times New Roman"/>
          <w:color w:val="auto"/>
        </w:rPr>
        <w:t>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银裕利纯债</w:t>
      </w:r>
      <w:proofErr w:type="gramEnd"/>
      <w:r w:rsidRPr="008A1551">
        <w:rPr>
          <w:rFonts w:ascii="Times New Roman" w:hAnsi="Times New Roman"/>
          <w:color w:val="auto"/>
        </w:rPr>
        <w:t>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9B078B" w:rsidRDefault="00C17D1C">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9B078B">
        <w:tc>
          <w:tcPr>
            <w:tcW w:w="1033" w:type="dxa"/>
            <w:vAlign w:val="center"/>
          </w:tcPr>
          <w:p w:rsidR="009B078B" w:rsidRDefault="00C17D1C">
            <w:pPr>
              <w:jc w:val="center"/>
            </w:pPr>
            <w:r>
              <w:rPr>
                <w:color w:val="000000"/>
                <w:sz w:val="24"/>
              </w:rPr>
              <w:t>连端清</w:t>
            </w:r>
          </w:p>
        </w:tc>
        <w:tc>
          <w:tcPr>
            <w:tcW w:w="1416" w:type="dxa"/>
            <w:vAlign w:val="center"/>
          </w:tcPr>
          <w:p w:rsidR="009B078B" w:rsidRDefault="00C17D1C">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126" w:type="dxa"/>
            <w:vAlign w:val="center"/>
          </w:tcPr>
          <w:p w:rsidR="009B078B" w:rsidRDefault="00C17D1C">
            <w:pPr>
              <w:jc w:val="center"/>
            </w:pPr>
            <w:r>
              <w:rPr>
                <w:color w:val="000000"/>
                <w:sz w:val="24"/>
              </w:rPr>
              <w:t>2017-03-31</w:t>
            </w:r>
          </w:p>
        </w:tc>
        <w:tc>
          <w:tcPr>
            <w:tcW w:w="1192" w:type="dxa"/>
            <w:vAlign w:val="center"/>
          </w:tcPr>
          <w:p w:rsidR="009B078B" w:rsidRDefault="00C17D1C">
            <w:pPr>
              <w:jc w:val="center"/>
            </w:pPr>
            <w:r>
              <w:rPr>
                <w:color w:val="000000"/>
                <w:sz w:val="24"/>
              </w:rPr>
              <w:t>-</w:t>
            </w:r>
          </w:p>
        </w:tc>
        <w:tc>
          <w:tcPr>
            <w:tcW w:w="1169" w:type="dxa"/>
            <w:vAlign w:val="center"/>
          </w:tcPr>
          <w:p w:rsidR="009B078B" w:rsidRDefault="00C17D1C">
            <w:pPr>
              <w:jc w:val="center"/>
            </w:pPr>
            <w:r>
              <w:rPr>
                <w:color w:val="000000"/>
                <w:sz w:val="24"/>
              </w:rPr>
              <w:t>5</w:t>
            </w:r>
            <w:r>
              <w:rPr>
                <w:color w:val="000000"/>
                <w:sz w:val="24"/>
              </w:rPr>
              <w:t>年</w:t>
            </w:r>
          </w:p>
        </w:tc>
        <w:tc>
          <w:tcPr>
            <w:tcW w:w="3062" w:type="dxa"/>
            <w:vAlign w:val="center"/>
          </w:tcPr>
          <w:p w:rsidR="009B078B" w:rsidRDefault="00C17D1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B078B" w:rsidRDefault="00C17D1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9B078B" w:rsidRDefault="00C17D1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9B078B" w:rsidRDefault="00C17D1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w:t>
      </w:r>
      <w:r>
        <w:rPr>
          <w:color w:val="000000"/>
          <w:sz w:val="24"/>
        </w:rPr>
        <w:t>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w:t>
      </w:r>
      <w:proofErr w:type="gramStart"/>
      <w:r w:rsidRPr="008A1551">
        <w:rPr>
          <w:color w:val="000000"/>
          <w:sz w:val="24"/>
        </w:rPr>
        <w:t>规</w:t>
      </w:r>
      <w:proofErr w:type="gramEnd"/>
      <w:r w:rsidRPr="008A1551">
        <w:rPr>
          <w:color w:val="000000"/>
          <w:sz w:val="24"/>
        </w:rPr>
        <w:t>合法，无不当内幕交易和关联交易，基金投资范</w:t>
      </w:r>
      <w:r w:rsidRPr="008A1551">
        <w:rPr>
          <w:color w:val="000000"/>
          <w:sz w:val="24"/>
        </w:rPr>
        <w:lastRenderedPageBreak/>
        <w:t>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9B078B" w:rsidRDefault="00C17D1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B078B" w:rsidRDefault="00C17D1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B078B" w:rsidRDefault="00C17D1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9B078B" w:rsidRDefault="00C17D1C">
      <w:pPr>
        <w:spacing w:before="29" w:line="288" w:lineRule="auto"/>
        <w:ind w:firstLineChars="200" w:firstLine="480"/>
        <w:rPr>
          <w:color w:val="000000"/>
          <w:sz w:val="24"/>
        </w:rPr>
      </w:pPr>
      <w:r>
        <w:rPr>
          <w:color w:val="000000"/>
          <w:sz w:val="24"/>
        </w:rPr>
        <w:t>2018</w:t>
      </w:r>
      <w:r>
        <w:rPr>
          <w:color w:val="000000"/>
          <w:sz w:val="24"/>
        </w:rPr>
        <w:t>年上半年，国内经济整体上呈稳中放缓态势，二季度中美贸易战如乌云压顶，经济悲观预期加深。国内制造业景气</w:t>
      </w:r>
      <w:proofErr w:type="gramStart"/>
      <w:r>
        <w:rPr>
          <w:color w:val="000000"/>
          <w:sz w:val="24"/>
        </w:rPr>
        <w:t>度保持</w:t>
      </w:r>
      <w:proofErr w:type="gramEnd"/>
      <w:r>
        <w:rPr>
          <w:color w:val="000000"/>
          <w:sz w:val="24"/>
        </w:rPr>
        <w:t>高位扩张，制造业</w:t>
      </w:r>
      <w:r>
        <w:rPr>
          <w:color w:val="000000"/>
          <w:sz w:val="24"/>
        </w:rPr>
        <w:t>FAI</w:t>
      </w:r>
      <w:r>
        <w:rPr>
          <w:color w:val="000000"/>
          <w:sz w:val="24"/>
        </w:rPr>
        <w:t>同比增速上半年处于上升通道，尽管房地产投资增速也保持较高增长，但是受基建投资大幅下行拖累，上半年固定资产投资不断下滑。同时，中美贸易摩擦加剧，国内进口上升较快，上半年净出口对</w:t>
      </w:r>
      <w:r>
        <w:rPr>
          <w:color w:val="000000"/>
          <w:sz w:val="24"/>
        </w:rPr>
        <w:t>GDP</w:t>
      </w:r>
      <w:r>
        <w:rPr>
          <w:color w:val="000000"/>
          <w:sz w:val="24"/>
        </w:rPr>
        <w:t>的贡献率</w:t>
      </w:r>
      <w:proofErr w:type="gramStart"/>
      <w:r>
        <w:rPr>
          <w:color w:val="000000"/>
          <w:sz w:val="24"/>
        </w:rPr>
        <w:t>大幅转</w:t>
      </w:r>
      <w:proofErr w:type="gramEnd"/>
      <w:r>
        <w:rPr>
          <w:color w:val="000000"/>
          <w:sz w:val="24"/>
        </w:rPr>
        <w:t>负。受</w:t>
      </w:r>
      <w:proofErr w:type="gramStart"/>
      <w:r>
        <w:rPr>
          <w:color w:val="000000"/>
          <w:sz w:val="24"/>
        </w:rPr>
        <w:t>资管新规</w:t>
      </w:r>
      <w:proofErr w:type="gramEnd"/>
      <w:r>
        <w:rPr>
          <w:color w:val="000000"/>
          <w:sz w:val="24"/>
        </w:rPr>
        <w:t>影响发力，上半年企业的融资条件趋紧，企业信贷利率走高，而且广义理财规模收缩与信托委</w:t>
      </w:r>
      <w:proofErr w:type="gramStart"/>
      <w:r>
        <w:rPr>
          <w:color w:val="000000"/>
          <w:sz w:val="24"/>
        </w:rPr>
        <w:t>贷下降</w:t>
      </w:r>
      <w:proofErr w:type="gramEnd"/>
      <w:r>
        <w:rPr>
          <w:color w:val="000000"/>
          <w:sz w:val="24"/>
        </w:rPr>
        <w:t>造成表外融资规模收缩，依赖表外融资的企业信用风险大幅上升。货币政策上，上半年央行</w:t>
      </w:r>
      <w:r>
        <w:rPr>
          <w:color w:val="000000"/>
          <w:sz w:val="24"/>
        </w:rPr>
        <w:t>执行了中性偏松的货币政</w:t>
      </w:r>
      <w:r>
        <w:rPr>
          <w:color w:val="000000"/>
          <w:sz w:val="24"/>
        </w:rPr>
        <w:lastRenderedPageBreak/>
        <w:t>策操作，通过</w:t>
      </w:r>
      <w:proofErr w:type="gramStart"/>
      <w:r>
        <w:rPr>
          <w:color w:val="000000"/>
          <w:sz w:val="24"/>
        </w:rPr>
        <w:t>多次降准</w:t>
      </w:r>
      <w:proofErr w:type="gramEnd"/>
      <w:r>
        <w:rPr>
          <w:color w:val="000000"/>
          <w:sz w:val="24"/>
        </w:rPr>
        <w:t>释放了充沛的流动性以应对表外融资渠道收缩及中美贸易战带来的不确定性。一季度，</w:t>
      </w:r>
      <w:proofErr w:type="gramStart"/>
      <w:r>
        <w:rPr>
          <w:color w:val="000000"/>
          <w:sz w:val="24"/>
        </w:rPr>
        <w:t>定向降准落地</w:t>
      </w:r>
      <w:proofErr w:type="gramEnd"/>
      <w:r>
        <w:rPr>
          <w:color w:val="000000"/>
          <w:sz w:val="24"/>
        </w:rPr>
        <w:t>以及</w:t>
      </w:r>
      <w:r>
        <w:rPr>
          <w:color w:val="000000"/>
          <w:sz w:val="24"/>
        </w:rPr>
        <w:t>“</w:t>
      </w:r>
      <w:r>
        <w:rPr>
          <w:color w:val="000000"/>
          <w:sz w:val="24"/>
        </w:rPr>
        <w:t>临时准备金动用安排</w:t>
      </w:r>
      <w:r>
        <w:rPr>
          <w:color w:val="000000"/>
          <w:sz w:val="24"/>
        </w:rPr>
        <w:t>”</w:t>
      </w:r>
      <w:r>
        <w:rPr>
          <w:color w:val="000000"/>
          <w:sz w:val="24"/>
        </w:rPr>
        <w:t>释放了大量流动性，为二月份</w:t>
      </w:r>
      <w:proofErr w:type="gramStart"/>
      <w:r>
        <w:rPr>
          <w:color w:val="000000"/>
          <w:sz w:val="24"/>
        </w:rPr>
        <w:t>跨春节</w:t>
      </w:r>
      <w:proofErr w:type="gramEnd"/>
      <w:r>
        <w:rPr>
          <w:color w:val="000000"/>
          <w:sz w:val="24"/>
        </w:rPr>
        <w:t>假期及三月份跨季提供了充裕的流动性。二季度，央行分别于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proofErr w:type="gramStart"/>
      <w:r>
        <w:rPr>
          <w:color w:val="000000"/>
          <w:sz w:val="24"/>
        </w:rPr>
        <w:t>万亿</w:t>
      </w:r>
      <w:proofErr w:type="gramEnd"/>
      <w:r>
        <w:rPr>
          <w:color w:val="000000"/>
          <w:sz w:val="24"/>
        </w:rPr>
        <w:t>元。</w:t>
      </w:r>
    </w:p>
    <w:p w:rsidR="009B078B" w:rsidRDefault="00C17D1C">
      <w:pPr>
        <w:spacing w:before="29" w:line="288" w:lineRule="auto"/>
        <w:ind w:firstLineChars="200" w:firstLine="480"/>
        <w:rPr>
          <w:color w:val="000000"/>
          <w:sz w:val="24"/>
        </w:rPr>
      </w:pPr>
      <w:r>
        <w:rPr>
          <w:color w:val="000000"/>
          <w:sz w:val="24"/>
        </w:rPr>
        <w:t>资金面上，受央行</w:t>
      </w:r>
      <w:proofErr w:type="gramStart"/>
      <w:r>
        <w:rPr>
          <w:color w:val="000000"/>
          <w:sz w:val="24"/>
        </w:rPr>
        <w:t>持续降准影响</w:t>
      </w:r>
      <w:proofErr w:type="gramEnd"/>
      <w:r>
        <w:rPr>
          <w:color w:val="000000"/>
          <w:sz w:val="24"/>
        </w:rPr>
        <w:t>，上半年市场资金面较为宽松。六月底</w:t>
      </w:r>
      <w:r>
        <w:rPr>
          <w:color w:val="000000"/>
          <w:sz w:val="24"/>
        </w:rPr>
        <w:t>R001</w:t>
      </w:r>
      <w:r>
        <w:rPr>
          <w:color w:val="000000"/>
          <w:sz w:val="24"/>
        </w:rPr>
        <w:t>较</w:t>
      </w:r>
      <w:r>
        <w:rPr>
          <w:color w:val="000000"/>
          <w:sz w:val="24"/>
        </w:rPr>
        <w:t>2017</w:t>
      </w:r>
      <w:r>
        <w:rPr>
          <w:color w:val="000000"/>
          <w:sz w:val="24"/>
        </w:rPr>
        <w:t>年年</w:t>
      </w:r>
      <w:proofErr w:type="gramStart"/>
      <w:r>
        <w:rPr>
          <w:color w:val="000000"/>
          <w:sz w:val="24"/>
        </w:rPr>
        <w:t>底下降</w:t>
      </w:r>
      <w:proofErr w:type="gramEnd"/>
      <w:r>
        <w:rPr>
          <w:color w:val="000000"/>
          <w:sz w:val="24"/>
        </w:rPr>
        <w:t>43</w:t>
      </w:r>
      <w:r>
        <w:rPr>
          <w:color w:val="000000"/>
          <w:sz w:val="24"/>
        </w:rPr>
        <w:t>个</w:t>
      </w:r>
      <w:r>
        <w:rPr>
          <w:color w:val="000000"/>
          <w:sz w:val="24"/>
        </w:rPr>
        <w:t>BP</w:t>
      </w:r>
      <w:r>
        <w:rPr>
          <w:color w:val="000000"/>
          <w:sz w:val="24"/>
        </w:rPr>
        <w:t>以上。受资金持续宽松等因素影响，二季度同业存款及同业存单利率大幅下行。资金面宽松叠加中美贸易战加深经济悲</w:t>
      </w:r>
      <w:r>
        <w:rPr>
          <w:color w:val="000000"/>
          <w:sz w:val="24"/>
        </w:rPr>
        <w:t>观预期等影响，上半年利率债大幅上涨。六月底</w:t>
      </w:r>
      <w:r>
        <w:rPr>
          <w:color w:val="000000"/>
          <w:sz w:val="24"/>
        </w:rPr>
        <w:t>10</w:t>
      </w:r>
      <w:r>
        <w:rPr>
          <w:color w:val="000000"/>
          <w:sz w:val="24"/>
        </w:rPr>
        <w:t>年期</w:t>
      </w:r>
      <w:proofErr w:type="gramStart"/>
      <w:r>
        <w:rPr>
          <w:color w:val="000000"/>
          <w:sz w:val="24"/>
        </w:rPr>
        <w:t>国开债</w:t>
      </w:r>
      <w:proofErr w:type="gramEnd"/>
      <w:r>
        <w:rPr>
          <w:color w:val="000000"/>
          <w:sz w:val="24"/>
        </w:rPr>
        <w:t>YTM</w:t>
      </w:r>
      <w:r>
        <w:rPr>
          <w:color w:val="000000"/>
          <w:sz w:val="24"/>
        </w:rPr>
        <w:t>较</w:t>
      </w:r>
      <w:r>
        <w:rPr>
          <w:color w:val="000000"/>
          <w:sz w:val="24"/>
        </w:rPr>
        <w:t>2017</w:t>
      </w:r>
      <w:r>
        <w:rPr>
          <w:color w:val="000000"/>
          <w:sz w:val="24"/>
        </w:rPr>
        <w:t>年年底回落</w:t>
      </w:r>
      <w:r>
        <w:rPr>
          <w:color w:val="000000"/>
          <w:sz w:val="24"/>
        </w:rPr>
        <w:t>56</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w:t>
      </w:r>
      <w:r>
        <w:rPr>
          <w:color w:val="000000"/>
          <w:sz w:val="24"/>
        </w:rPr>
        <w:t>2017</w:t>
      </w:r>
      <w:r>
        <w:rPr>
          <w:color w:val="000000"/>
          <w:sz w:val="24"/>
        </w:rPr>
        <w:t>年年底回落</w:t>
      </w:r>
      <w:r>
        <w:rPr>
          <w:color w:val="000000"/>
          <w:sz w:val="24"/>
        </w:rPr>
        <w:t>74</w:t>
      </w:r>
      <w:r>
        <w:rPr>
          <w:color w:val="000000"/>
          <w:sz w:val="24"/>
        </w:rPr>
        <w:t>个</w:t>
      </w:r>
      <w:r>
        <w:rPr>
          <w:color w:val="000000"/>
          <w:sz w:val="24"/>
        </w:rPr>
        <w:t>BP</w:t>
      </w:r>
      <w:r>
        <w:rPr>
          <w:color w:val="000000"/>
          <w:sz w:val="24"/>
        </w:rPr>
        <w:t>以上，但低评级</w:t>
      </w:r>
      <w:proofErr w:type="gramStart"/>
      <w:r>
        <w:rPr>
          <w:color w:val="000000"/>
          <w:sz w:val="24"/>
        </w:rPr>
        <w:t>信用债受信用</w:t>
      </w:r>
      <w:proofErr w:type="gramEnd"/>
      <w:r>
        <w:rPr>
          <w:color w:val="000000"/>
          <w:sz w:val="24"/>
        </w:rPr>
        <w:t>事件冲击，上半年涨幅相对较小。</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基金操作方面，报告期内本基金顺应市场走势调整持仓债券，调整组合杆与久期，管控信用风险，为持有人创造稳健的回报。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考虑中美贸易战风险、贷款利率高企及表外融资收缩等问题，我们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努力</w:t>
      </w:r>
      <w:proofErr w:type="gramStart"/>
      <w:r w:rsidRPr="008A1551">
        <w:rPr>
          <w:color w:val="000000"/>
          <w:sz w:val="24"/>
        </w:rPr>
        <w:t>研</w:t>
      </w:r>
      <w:proofErr w:type="gramEnd"/>
      <w:r w:rsidRPr="008A1551">
        <w:rPr>
          <w:color w:val="000000"/>
          <w:sz w:val="24"/>
        </w:rPr>
        <w:t>判宏观经济走势，密切跟踪央行货币政策操作与金融监管政策动态，尽力控制信用风险，积极跟踪把握市场机会，努力为份额持有人创造稳健的回报。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9B078B" w:rsidRDefault="00C17D1C">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9B078B" w:rsidRDefault="00C17D1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w:t>
      </w:r>
      <w:r w:rsidRPr="008A1551">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根据相关法律法规和基金合同要求，本基金本报告期内对本报告期可供分配利润进行了收益分配，具体情况参见半年度报告正文</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9B078B" w:rsidRDefault="00C17D1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w:t>
      </w:r>
      <w:r w:rsidRPr="008A1551">
        <w:rPr>
          <w:color w:val="000000"/>
          <w:sz w:val="24"/>
        </w:rPr>
        <w:t>A</w:t>
      </w:r>
      <w:proofErr w:type="gramStart"/>
      <w:r w:rsidRPr="008A1551">
        <w:rPr>
          <w:color w:val="000000"/>
          <w:sz w:val="24"/>
        </w:rPr>
        <w:t>级实施</w:t>
      </w:r>
      <w:proofErr w:type="gramEnd"/>
      <w:r w:rsidRPr="008A1551">
        <w:rPr>
          <w:color w:val="000000"/>
          <w:sz w:val="24"/>
        </w:rPr>
        <w:t>利润分配的金额为</w:t>
      </w:r>
      <w:r w:rsidRPr="008A1551">
        <w:rPr>
          <w:color w:val="000000"/>
          <w:sz w:val="24"/>
        </w:rPr>
        <w:t>30,444,434.2</w:t>
      </w:r>
      <w:r w:rsidRPr="008A1551">
        <w:rPr>
          <w:color w:val="000000"/>
          <w:sz w:val="24"/>
        </w:rPr>
        <w:t>元，</w:t>
      </w:r>
      <w:r w:rsidRPr="008A1551">
        <w:rPr>
          <w:color w:val="000000"/>
          <w:sz w:val="24"/>
        </w:rPr>
        <w:t>C</w:t>
      </w:r>
      <w:proofErr w:type="gramStart"/>
      <w:r w:rsidRPr="008A1551">
        <w:rPr>
          <w:color w:val="000000"/>
          <w:sz w:val="24"/>
        </w:rPr>
        <w:t>级未实施</w:t>
      </w:r>
      <w:proofErr w:type="gramEnd"/>
      <w:r w:rsidRPr="008A1551">
        <w:rPr>
          <w:color w:val="000000"/>
          <w:sz w:val="24"/>
        </w:rPr>
        <w:t>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w:t>
      </w:r>
      <w:proofErr w:type="gramStart"/>
      <w:r w:rsidRPr="008A1551">
        <w:rPr>
          <w:color w:val="000000"/>
          <w:sz w:val="24"/>
        </w:rPr>
        <w:t>裕利纯债</w:t>
      </w:r>
      <w:proofErr w:type="gramEnd"/>
      <w:r w:rsidRPr="008A1551">
        <w:rPr>
          <w:color w:val="000000"/>
          <w:sz w:val="24"/>
        </w:rPr>
        <w:t>债券型证券投资基金</w:t>
      </w:r>
    </w:p>
    <w:p w:rsidR="00F74D21" w:rsidRPr="008A1551" w:rsidRDefault="00F74D21" w:rsidP="009E1EA4">
      <w:pPr>
        <w:spacing w:before="29" w:line="288" w:lineRule="auto"/>
        <w:rPr>
          <w:color w:val="000000"/>
          <w:sz w:val="24"/>
        </w:rPr>
      </w:pPr>
      <w:r w:rsidRPr="008A1551">
        <w:rPr>
          <w:color w:val="000000"/>
          <w:sz w:val="24"/>
        </w:rPr>
        <w:lastRenderedPageBreak/>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301,258,962.29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11,384,750.70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 xml:space="preserve">6.4.7.2 </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3,420,742,000.00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3,360,026,000.00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3,420,742,000.00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3,242,906,000.00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117,120,000.00</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59,283,767.51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43,142,744.04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3,781,285,129.80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3,414,553,494.74</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321,693,157.45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850,330.85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879,656.91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283,443.63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293,218.94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47.30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34,495.07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21,127.24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300,590.53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106,865.61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168,603.31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323,437,530.25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1,474,050.39</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3,382,864,296.49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3,392,611,438.94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74,983,303.06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20,468,005.41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3,457,847,599.55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3,413,079,444.35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3,781,285,129.80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3,414,553,494.74</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1.0222</w:t>
      </w:r>
      <w:r w:rsidRPr="008A1551">
        <w:rPr>
          <w:kern w:val="0"/>
          <w:sz w:val="24"/>
        </w:rPr>
        <w:t>元，</w:t>
      </w:r>
      <w:r w:rsidRPr="008A1551">
        <w:rPr>
          <w:kern w:val="0"/>
          <w:sz w:val="24"/>
        </w:rPr>
        <w:t>C</w:t>
      </w:r>
      <w:r w:rsidRPr="008A1551">
        <w:rPr>
          <w:kern w:val="0"/>
          <w:sz w:val="24"/>
        </w:rPr>
        <w:t>类基金份额净值</w:t>
      </w:r>
      <w:r w:rsidRPr="008A1551">
        <w:rPr>
          <w:kern w:val="0"/>
          <w:sz w:val="24"/>
        </w:rPr>
        <w:t>1.0586</w:t>
      </w:r>
      <w:r w:rsidRPr="008A1551">
        <w:rPr>
          <w:kern w:val="0"/>
          <w:sz w:val="24"/>
        </w:rPr>
        <w:t>元，基金份额总额</w:t>
      </w:r>
      <w:r w:rsidRPr="008A1551">
        <w:rPr>
          <w:kern w:val="0"/>
          <w:sz w:val="24"/>
        </w:rPr>
        <w:t>3,382,864,296.49</w:t>
      </w:r>
      <w:r w:rsidRPr="008A1551">
        <w:rPr>
          <w:kern w:val="0"/>
          <w:sz w:val="24"/>
        </w:rPr>
        <w:t>份，其中</w:t>
      </w:r>
      <w:r w:rsidRPr="008A1551">
        <w:rPr>
          <w:kern w:val="0"/>
          <w:sz w:val="24"/>
        </w:rPr>
        <w:t>A</w:t>
      </w:r>
      <w:r w:rsidRPr="008A1551">
        <w:rPr>
          <w:kern w:val="0"/>
          <w:sz w:val="24"/>
        </w:rPr>
        <w:t>类基金份额</w:t>
      </w:r>
      <w:r w:rsidRPr="008A1551">
        <w:rPr>
          <w:kern w:val="0"/>
          <w:sz w:val="24"/>
        </w:rPr>
        <w:t>3,382,738,151.09</w:t>
      </w:r>
      <w:r w:rsidRPr="008A1551">
        <w:rPr>
          <w:kern w:val="0"/>
          <w:sz w:val="24"/>
        </w:rPr>
        <w:t>份，</w:t>
      </w:r>
      <w:r w:rsidRPr="008A1551">
        <w:rPr>
          <w:kern w:val="0"/>
          <w:sz w:val="24"/>
        </w:rPr>
        <w:t>C</w:t>
      </w:r>
      <w:r w:rsidRPr="008A1551">
        <w:rPr>
          <w:kern w:val="0"/>
          <w:sz w:val="24"/>
        </w:rPr>
        <w:t>类基金份额</w:t>
      </w:r>
      <w:r w:rsidRPr="008A1551">
        <w:rPr>
          <w:kern w:val="0"/>
          <w:sz w:val="24"/>
        </w:rPr>
        <w:t>126,145.40</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w:t>
      </w:r>
      <w:proofErr w:type="gramStart"/>
      <w:r w:rsidRPr="008A1551">
        <w:rPr>
          <w:kern w:val="0"/>
          <w:sz w:val="24"/>
        </w:rPr>
        <w:t>裕利纯债</w:t>
      </w:r>
      <w:proofErr w:type="gramEnd"/>
      <w:r w:rsidRPr="008A1551">
        <w:rPr>
          <w:kern w:val="0"/>
          <w:sz w:val="24"/>
        </w:rPr>
        <w:t>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96,076,896.48</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47,824,776.55</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75,272,476.74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37,431,277.55</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lastRenderedPageBreak/>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3,523,375.20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3,310,233.59</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70,976,987.27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33,189,251.80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711,553.58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893,874.76</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60,560.69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37,917.40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9,401,563.60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1,185,536.40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9,430,878.67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1,185,536.40</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-29,315.07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11,400,389.78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9,207,962.21</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2,466.36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0.39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11,038,160.48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6,519,916.56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5,105,109.90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3,293,947.26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1,701,703.32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1,097,982.42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265.41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175.16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25,000.00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24,000.00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3,814,620.49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1,966,664.62</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3,814,620.49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1,966,664.62</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193,854.34</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197,607.02</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137,147.10</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85,038,736.00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41,304,859.99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85,038,736.00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41,304,859.99</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w:t>
      </w:r>
      <w:proofErr w:type="gramStart"/>
      <w:r w:rsidRPr="008A1551">
        <w:rPr>
          <w:kern w:val="0"/>
          <w:sz w:val="24"/>
        </w:rPr>
        <w:t>裕利纯债</w:t>
      </w:r>
      <w:proofErr w:type="gramEnd"/>
      <w:r w:rsidRPr="008A1551">
        <w:rPr>
          <w:kern w:val="0"/>
          <w:sz w:val="24"/>
        </w:rPr>
        <w:t>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3,392,611,438.94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20,468,005.41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3,413,079,444.35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85,038,736.00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85,038,736.00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-9,747,142.45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-79,004.15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-9,826,146.60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42,177.62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730.42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42,908.04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-9,789,320.07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-79,734.57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-9,869,054.64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-30,444,434.20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-30,444,434.20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3,382,864,296.49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74,983,303.06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3,457,847,599.55</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210,054,067.69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650,296.54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210,704,364.23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41,304,859.99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41,304,859.99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3,172,776,553.29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27,334,617.85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3,200,111,171.14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3,172,780,393.64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27,334,657.85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3,200,115,051.49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-3,840.35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-40.00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-3,880.35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3,382,830,620.98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69,289,774.38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3,452,120,395.36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9B078B" w:rsidRDefault="00C17D1C">
      <w:pPr>
        <w:spacing w:before="29" w:line="288" w:lineRule="auto"/>
        <w:ind w:firstLineChars="200" w:firstLine="480"/>
        <w:rPr>
          <w:color w:val="000000"/>
          <w:sz w:val="24"/>
        </w:rPr>
      </w:pPr>
      <w:r>
        <w:rPr>
          <w:color w:val="000000"/>
          <w:sz w:val="24"/>
        </w:rPr>
        <w:t>交银施罗德</w:t>
      </w:r>
      <w:proofErr w:type="gramStart"/>
      <w:r>
        <w:rPr>
          <w:color w:val="000000"/>
          <w:sz w:val="24"/>
        </w:rPr>
        <w:t>裕利纯债</w:t>
      </w:r>
      <w:proofErr w:type="gramEnd"/>
      <w:r>
        <w:rPr>
          <w:color w:val="000000"/>
          <w:sz w:val="24"/>
        </w:rPr>
        <w:t>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1924</w:t>
      </w:r>
      <w:r>
        <w:rPr>
          <w:color w:val="00000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color w:val="000000"/>
          <w:sz w:val="24"/>
        </w:rPr>
        <w:t>210,025,833.86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w:t>
      </w:r>
      <w:r>
        <w:rPr>
          <w:color w:val="000000"/>
          <w:sz w:val="24"/>
        </w:rPr>
        <w:t>第</w:t>
      </w:r>
      <w:r>
        <w:rPr>
          <w:color w:val="000000"/>
          <w:sz w:val="24"/>
        </w:rPr>
        <w:t>1519</w:t>
      </w:r>
      <w:r>
        <w:rPr>
          <w:color w:val="000000"/>
          <w:sz w:val="24"/>
        </w:rPr>
        <w:t>号验资报告予以验证。经向中国证监会备案，《交银施罗德裕利纯债债券型证券投资基金基金合同》于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日正式生效，基金合同生效日的基金份额总额为</w:t>
      </w:r>
      <w:r>
        <w:rPr>
          <w:color w:val="000000"/>
          <w:sz w:val="24"/>
        </w:rPr>
        <w:t>210,054,187.70</w:t>
      </w:r>
      <w:r>
        <w:rPr>
          <w:color w:val="000000"/>
          <w:sz w:val="24"/>
        </w:rPr>
        <w:t>份基金份额，其中认购资金利息折合</w:t>
      </w:r>
      <w:r>
        <w:rPr>
          <w:color w:val="000000"/>
          <w:sz w:val="24"/>
        </w:rPr>
        <w:t>28,353.84</w:t>
      </w:r>
      <w:r>
        <w:rPr>
          <w:color w:val="000000"/>
          <w:sz w:val="24"/>
        </w:rPr>
        <w:t>份基金份额。本基金的基金管理人为交银施罗德基金管理有限公司，基金托管人为中国建设银行股份有限公司。</w:t>
      </w:r>
    </w:p>
    <w:p w:rsidR="009B078B" w:rsidRDefault="009B078B">
      <w:pPr>
        <w:spacing w:before="29" w:line="288" w:lineRule="auto"/>
        <w:ind w:firstLineChars="200" w:firstLine="480"/>
        <w:rPr>
          <w:color w:val="000000"/>
          <w:sz w:val="24"/>
        </w:rPr>
      </w:pPr>
    </w:p>
    <w:p w:rsidR="009B078B" w:rsidRDefault="00C17D1C">
      <w:pPr>
        <w:spacing w:before="29" w:line="288" w:lineRule="auto"/>
        <w:ind w:firstLineChars="200" w:firstLine="480"/>
        <w:rPr>
          <w:color w:val="000000"/>
          <w:sz w:val="24"/>
        </w:rPr>
      </w:pPr>
      <w:r>
        <w:rPr>
          <w:color w:val="000000"/>
          <w:sz w:val="24"/>
        </w:rPr>
        <w:t>根据《交银施罗德裕利纯债债券型证券投资基金基金合同》和《交银施罗德裕利纯债债券型证券投资基金招募说明书》，本基金根据认购</w:t>
      </w:r>
      <w:r>
        <w:rPr>
          <w:color w:val="000000"/>
          <w:sz w:val="24"/>
        </w:rPr>
        <w:t>/</w:t>
      </w:r>
      <w:r>
        <w:rPr>
          <w:color w:val="000000"/>
          <w:sz w:val="24"/>
        </w:rPr>
        <w:t>申购费用、赎回费用、销售服务费收取方式的不同，</w:t>
      </w:r>
      <w:r>
        <w:rPr>
          <w:color w:val="000000"/>
          <w:sz w:val="24"/>
        </w:rPr>
        <w:t>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9B078B" w:rsidRDefault="009B078B">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w:t>
      </w:r>
      <w:r w:rsidRPr="008A1551">
        <w:rPr>
          <w:color w:val="000000"/>
          <w:sz w:val="24"/>
        </w:rPr>
        <w:lastRenderedPageBreak/>
        <w:t>私募债、中期票据、短期融资</w:t>
      </w:r>
      <w:proofErr w:type="gramStart"/>
      <w:r w:rsidRPr="008A1551">
        <w:rPr>
          <w:color w:val="000000"/>
          <w:sz w:val="24"/>
        </w:rPr>
        <w:t>券</w:t>
      </w:r>
      <w:proofErr w:type="gramEnd"/>
      <w:r w:rsidRPr="008A1551">
        <w:rPr>
          <w:color w:val="000000"/>
          <w:sz w:val="24"/>
        </w:rPr>
        <w:t>、超级短期融资</w:t>
      </w:r>
      <w:proofErr w:type="gramStart"/>
      <w:r w:rsidRPr="008A1551">
        <w:rPr>
          <w:color w:val="000000"/>
          <w:sz w:val="24"/>
        </w:rPr>
        <w:t>券</w:t>
      </w:r>
      <w:proofErr w:type="gramEnd"/>
      <w:r w:rsidRPr="008A1551">
        <w:rPr>
          <w:color w:val="000000"/>
          <w:sz w:val="24"/>
        </w:rPr>
        <w:t>、资产支持证券、次级债、可分离交易可转债</w:t>
      </w:r>
      <w:proofErr w:type="gramStart"/>
      <w:r w:rsidRPr="008A1551">
        <w:rPr>
          <w:color w:val="000000"/>
          <w:sz w:val="24"/>
        </w:rPr>
        <w:t>的纯债部分</w:t>
      </w:r>
      <w:proofErr w:type="gramEnd"/>
      <w:r w:rsidRPr="008A1551">
        <w:rPr>
          <w:color w:val="000000"/>
          <w:sz w:val="24"/>
        </w:rPr>
        <w:t>、债券回购、银行存款、货币市场工具以及法律法规或中国证监会允许基金投资的其他金融工具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。本基金不投资于股票、权证等权益类资产，也不投资于可转换债券</w:t>
      </w:r>
      <w:r w:rsidRPr="008A1551">
        <w:rPr>
          <w:color w:val="000000"/>
          <w:sz w:val="24"/>
        </w:rPr>
        <w:t>(</w:t>
      </w:r>
      <w:r w:rsidRPr="008A1551">
        <w:rPr>
          <w:color w:val="000000"/>
          <w:sz w:val="24"/>
        </w:rPr>
        <w:t>可分离交易可转债的</w:t>
      </w:r>
      <w:proofErr w:type="gramStart"/>
      <w:r w:rsidRPr="008A1551">
        <w:rPr>
          <w:color w:val="000000"/>
          <w:sz w:val="24"/>
        </w:rPr>
        <w:t>纯债部分</w:t>
      </w:r>
      <w:proofErr w:type="gramEnd"/>
      <w:r w:rsidRPr="008A1551">
        <w:rPr>
          <w:color w:val="000000"/>
          <w:sz w:val="24"/>
        </w:rPr>
        <w:t>除外</w:t>
      </w:r>
      <w:r w:rsidRPr="008A1551">
        <w:rPr>
          <w:color w:val="000000"/>
          <w:sz w:val="24"/>
        </w:rPr>
        <w:t>)</w:t>
      </w:r>
      <w:r w:rsidRPr="008A1551">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sidRPr="008A1551">
        <w:rPr>
          <w:color w:val="000000"/>
          <w:sz w:val="24"/>
        </w:rPr>
        <w:t>80%</w:t>
      </w:r>
      <w:r w:rsidRPr="008A1551">
        <w:rPr>
          <w:color w:val="000000"/>
          <w:sz w:val="24"/>
        </w:rPr>
        <w:t>，现金或到期日在一年以内的政府债券的投资比例合计不低于基金资产净值的</w:t>
      </w:r>
      <w:r w:rsidRPr="008A1551">
        <w:rPr>
          <w:color w:val="000000"/>
          <w:sz w:val="24"/>
        </w:rPr>
        <w:t>5%</w:t>
      </w:r>
      <w:r w:rsidRPr="008A1551">
        <w:rPr>
          <w:color w:val="000000"/>
          <w:sz w:val="24"/>
        </w:rPr>
        <w:t>。本基金的业绩比较基准为中</w:t>
      </w:r>
      <w:proofErr w:type="gramStart"/>
      <w:r w:rsidRPr="008A1551">
        <w:rPr>
          <w:color w:val="000000"/>
          <w:sz w:val="24"/>
        </w:rPr>
        <w:t>债综合全价指数</w:t>
      </w:r>
      <w:proofErr w:type="gramEnd"/>
      <w:r w:rsidRPr="008A1551">
        <w:rPr>
          <w:color w:val="000000"/>
          <w:sz w:val="24"/>
        </w:rPr>
        <w:t>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颁布的《证券投资基金会计核算业务指引》、《交银施罗德裕利纯债债券型证券投资基金基金合同》和在财务报表附注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9B078B" w:rsidRDefault="00C17D1C">
      <w:pPr>
        <w:spacing w:before="29" w:line="288" w:lineRule="auto"/>
        <w:ind w:firstLineChars="200" w:firstLine="480"/>
        <w:rPr>
          <w:color w:val="000000"/>
          <w:sz w:val="24"/>
        </w:rPr>
      </w:pPr>
      <w:r>
        <w:rPr>
          <w:color w:val="000000"/>
          <w:sz w:val="24"/>
        </w:rPr>
        <w:lastRenderedPageBreak/>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w:t>
      </w:r>
      <w:r>
        <w:rPr>
          <w:color w:val="000000"/>
          <w:sz w:val="24"/>
        </w:rPr>
        <w:t>税</w:t>
      </w:r>
      <w:r>
        <w:rPr>
          <w:color w:val="000000"/>
          <w:sz w:val="24"/>
        </w:rPr>
        <w:t>[2017]90</w:t>
      </w:r>
      <w:r>
        <w:rPr>
          <w:color w:val="000000"/>
          <w:sz w:val="24"/>
        </w:rPr>
        <w:t>号《关于租入固定资产进项税额抵扣等增值税政策的通知》及其他相关财税法规和实务操作，主要税项列示如下：</w:t>
      </w:r>
    </w:p>
    <w:p w:rsidR="009B078B" w:rsidRDefault="009B078B">
      <w:pPr>
        <w:spacing w:before="29" w:line="288" w:lineRule="auto"/>
        <w:ind w:firstLineChars="200" w:firstLine="480"/>
        <w:rPr>
          <w:color w:val="000000"/>
          <w:sz w:val="24"/>
        </w:rPr>
      </w:pPr>
    </w:p>
    <w:p w:rsidR="009B078B" w:rsidRDefault="00C17D1C">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管理人以后月份的增值税应纳税额中抵减。对证券投资基金管理人运用基金买卖债券的转让收入免</w:t>
      </w:r>
      <w:r>
        <w:rPr>
          <w:color w:val="000000"/>
          <w:sz w:val="24"/>
        </w:rPr>
        <w:t>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B078B" w:rsidRDefault="009B078B">
      <w:pPr>
        <w:spacing w:before="29" w:line="288" w:lineRule="auto"/>
        <w:ind w:firstLineChars="200" w:firstLine="480"/>
        <w:rPr>
          <w:color w:val="000000"/>
          <w:sz w:val="24"/>
        </w:rPr>
      </w:pPr>
    </w:p>
    <w:p w:rsidR="009B078B" w:rsidRDefault="00C17D1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9B078B" w:rsidRDefault="009B078B">
      <w:pPr>
        <w:spacing w:before="29" w:line="288" w:lineRule="auto"/>
        <w:ind w:firstLineChars="200" w:firstLine="480"/>
        <w:rPr>
          <w:color w:val="000000"/>
          <w:sz w:val="24"/>
        </w:rPr>
      </w:pPr>
    </w:p>
    <w:p w:rsidR="009B078B" w:rsidRDefault="00C17D1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9B078B" w:rsidRDefault="009B078B">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9B078B">
        <w:tc>
          <w:tcPr>
            <w:tcW w:w="5219" w:type="dxa"/>
            <w:vAlign w:val="center"/>
          </w:tcPr>
          <w:p w:rsidR="009B078B" w:rsidRDefault="00C17D1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B078B" w:rsidRDefault="00C17D1C">
            <w:pPr>
              <w:jc w:val="left"/>
            </w:pPr>
            <w:r>
              <w:rPr>
                <w:color w:val="000000"/>
                <w:sz w:val="24"/>
              </w:rPr>
              <w:t>基金管理人、基金销售机构</w:t>
            </w:r>
          </w:p>
        </w:tc>
      </w:tr>
      <w:tr w:rsidR="009B078B">
        <w:tc>
          <w:tcPr>
            <w:tcW w:w="5219" w:type="dxa"/>
            <w:vAlign w:val="center"/>
          </w:tcPr>
          <w:p w:rsidR="009B078B" w:rsidRDefault="00C17D1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B078B" w:rsidRDefault="00C17D1C">
            <w:pPr>
              <w:jc w:val="left"/>
            </w:pPr>
            <w:r>
              <w:rPr>
                <w:color w:val="000000"/>
                <w:sz w:val="24"/>
              </w:rPr>
              <w:t>基金托管人</w:t>
            </w:r>
          </w:p>
        </w:tc>
      </w:tr>
      <w:tr w:rsidR="009B078B">
        <w:tc>
          <w:tcPr>
            <w:tcW w:w="5219" w:type="dxa"/>
            <w:vAlign w:val="center"/>
          </w:tcPr>
          <w:p w:rsidR="009B078B" w:rsidRDefault="00C17D1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B078B" w:rsidRDefault="00C17D1C">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5,105,109.90</w:t>
            </w:r>
          </w:p>
        </w:tc>
        <w:tc>
          <w:tcPr>
            <w:tcW w:w="2657" w:type="dxa"/>
            <w:vAlign w:val="center"/>
          </w:tcPr>
          <w:p w:rsidR="001548F9" w:rsidRPr="008A1551" w:rsidRDefault="001548F9" w:rsidP="009E1EA4">
            <w:pPr>
              <w:spacing w:before="29" w:line="288" w:lineRule="auto"/>
              <w:jc w:val="right"/>
              <w:rPr>
                <w:sz w:val="24"/>
              </w:rPr>
            </w:pPr>
            <w:r w:rsidRPr="008A1551">
              <w:rPr>
                <w:sz w:val="24"/>
              </w:rPr>
              <w:t>3,293,947.26</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93.25</w:t>
            </w:r>
          </w:p>
        </w:tc>
        <w:tc>
          <w:tcPr>
            <w:tcW w:w="2657" w:type="dxa"/>
            <w:vAlign w:val="center"/>
          </w:tcPr>
          <w:p w:rsidR="001548F9" w:rsidRPr="008A1551" w:rsidRDefault="001548F9" w:rsidP="009E1EA4">
            <w:pPr>
              <w:spacing w:before="29" w:line="288" w:lineRule="auto"/>
              <w:jc w:val="right"/>
              <w:rPr>
                <w:sz w:val="24"/>
              </w:rPr>
            </w:pPr>
            <w:r w:rsidRPr="008A1551">
              <w:rPr>
                <w:sz w:val="24"/>
              </w:rPr>
              <w:t>56.75</w:t>
            </w:r>
          </w:p>
        </w:tc>
      </w:tr>
    </w:tbl>
    <w:p w:rsidR="009B078B" w:rsidRDefault="00C17D1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9B078B" w:rsidRDefault="00C17D1C">
      <w:pPr>
        <w:tabs>
          <w:tab w:val="left" w:pos="426"/>
        </w:tabs>
        <w:spacing w:before="29" w:line="288" w:lineRule="auto"/>
        <w:jc w:val="left"/>
        <w:rPr>
          <w:kern w:val="0"/>
          <w:sz w:val="24"/>
        </w:rPr>
      </w:pPr>
      <w:r>
        <w:rPr>
          <w:kern w:val="0"/>
          <w:sz w:val="24"/>
        </w:rPr>
        <w:t>日管理人报酬＝前一日基金资产净值</w:t>
      </w:r>
      <w:r>
        <w:rPr>
          <w:kern w:val="0"/>
          <w:sz w:val="24"/>
        </w:rPr>
        <w:t>×0.3%÷</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1,701,703.32</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1,097,982.42</w:t>
            </w:r>
          </w:p>
        </w:tc>
      </w:tr>
    </w:tbl>
    <w:p w:rsidR="009B078B" w:rsidRDefault="00C17D1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9B078B" w:rsidRDefault="00C17D1C">
      <w:pPr>
        <w:tabs>
          <w:tab w:val="left" w:pos="426"/>
        </w:tabs>
        <w:spacing w:before="29" w:line="288" w:lineRule="auto"/>
        <w:jc w:val="left"/>
        <w:rPr>
          <w:kern w:val="0"/>
          <w:sz w:val="24"/>
        </w:rPr>
      </w:pPr>
      <w:r>
        <w:rPr>
          <w:kern w:val="0"/>
          <w:sz w:val="24"/>
        </w:rPr>
        <w:t>日托管费＝前一日基金资产净值</w:t>
      </w:r>
      <w:r>
        <w:rPr>
          <w:kern w:val="0"/>
          <w:sz w:val="24"/>
        </w:rPr>
        <w:t>×0.1%÷</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9B078B">
        <w:tc>
          <w:tcPr>
            <w:tcW w:w="2000" w:type="dxa"/>
            <w:vAlign w:val="center"/>
          </w:tcPr>
          <w:p w:rsidR="009B078B" w:rsidRDefault="00C17D1C">
            <w:pPr>
              <w:jc w:val="left"/>
            </w:pPr>
            <w:r>
              <w:rPr>
                <w:sz w:val="24"/>
              </w:rPr>
              <w:t>交银施罗德基金公司</w:t>
            </w:r>
          </w:p>
        </w:tc>
        <w:tc>
          <w:tcPr>
            <w:tcW w:w="1766" w:type="dxa"/>
            <w:vAlign w:val="center"/>
          </w:tcPr>
          <w:p w:rsidR="009B078B" w:rsidRDefault="00C17D1C">
            <w:pPr>
              <w:jc w:val="right"/>
            </w:pPr>
            <w:r>
              <w:rPr>
                <w:sz w:val="24"/>
              </w:rPr>
              <w:t>-</w:t>
            </w:r>
          </w:p>
        </w:tc>
        <w:tc>
          <w:tcPr>
            <w:tcW w:w="2162" w:type="dxa"/>
            <w:vAlign w:val="center"/>
          </w:tcPr>
          <w:p w:rsidR="009B078B" w:rsidRDefault="00C17D1C">
            <w:pPr>
              <w:jc w:val="right"/>
            </w:pPr>
            <w:r>
              <w:rPr>
                <w:sz w:val="24"/>
              </w:rPr>
              <w:t>1.81</w:t>
            </w:r>
          </w:p>
        </w:tc>
        <w:tc>
          <w:tcPr>
            <w:tcW w:w="3070" w:type="dxa"/>
            <w:vAlign w:val="center"/>
          </w:tcPr>
          <w:p w:rsidR="009B078B" w:rsidRDefault="00C17D1C">
            <w:pPr>
              <w:jc w:val="right"/>
            </w:pPr>
            <w:r>
              <w:rPr>
                <w:sz w:val="24"/>
              </w:rPr>
              <w:t>1.81</w:t>
            </w:r>
          </w:p>
        </w:tc>
      </w:tr>
      <w:tr w:rsidR="009B078B">
        <w:tc>
          <w:tcPr>
            <w:tcW w:w="2000" w:type="dxa"/>
            <w:vAlign w:val="center"/>
          </w:tcPr>
          <w:p w:rsidR="009B078B" w:rsidRDefault="00C17D1C">
            <w:pPr>
              <w:jc w:val="left"/>
            </w:pPr>
            <w:r>
              <w:rPr>
                <w:sz w:val="24"/>
              </w:rPr>
              <w:t>交通银行</w:t>
            </w:r>
          </w:p>
        </w:tc>
        <w:tc>
          <w:tcPr>
            <w:tcW w:w="1766" w:type="dxa"/>
            <w:vAlign w:val="center"/>
          </w:tcPr>
          <w:p w:rsidR="009B078B" w:rsidRDefault="00C17D1C">
            <w:pPr>
              <w:jc w:val="right"/>
            </w:pPr>
            <w:r>
              <w:rPr>
                <w:sz w:val="24"/>
              </w:rPr>
              <w:t>-</w:t>
            </w:r>
          </w:p>
        </w:tc>
        <w:tc>
          <w:tcPr>
            <w:tcW w:w="2162" w:type="dxa"/>
            <w:vAlign w:val="center"/>
          </w:tcPr>
          <w:p w:rsidR="009B078B" w:rsidRDefault="00C17D1C">
            <w:pPr>
              <w:jc w:val="right"/>
            </w:pPr>
            <w:r>
              <w:rPr>
                <w:sz w:val="24"/>
              </w:rPr>
              <w:t>263.65</w:t>
            </w:r>
          </w:p>
        </w:tc>
        <w:tc>
          <w:tcPr>
            <w:tcW w:w="3070" w:type="dxa"/>
            <w:vAlign w:val="center"/>
          </w:tcPr>
          <w:p w:rsidR="009B078B" w:rsidRDefault="00C17D1C">
            <w:pPr>
              <w:jc w:val="right"/>
            </w:pPr>
            <w:r>
              <w:rPr>
                <w:sz w:val="24"/>
              </w:rPr>
              <w:t>263.65</w:t>
            </w:r>
          </w:p>
        </w:tc>
      </w:tr>
      <w:tr w:rsidR="009B078B">
        <w:tc>
          <w:tcPr>
            <w:tcW w:w="2000" w:type="dxa"/>
            <w:vAlign w:val="center"/>
          </w:tcPr>
          <w:p w:rsidR="009B078B" w:rsidRDefault="00C17D1C">
            <w:pPr>
              <w:jc w:val="left"/>
            </w:pPr>
            <w:r>
              <w:rPr>
                <w:sz w:val="24"/>
              </w:rPr>
              <w:t>中国建设银行</w:t>
            </w:r>
          </w:p>
        </w:tc>
        <w:tc>
          <w:tcPr>
            <w:tcW w:w="1766" w:type="dxa"/>
            <w:vAlign w:val="center"/>
          </w:tcPr>
          <w:p w:rsidR="009B078B" w:rsidRDefault="00C17D1C">
            <w:pPr>
              <w:jc w:val="right"/>
            </w:pPr>
            <w:r>
              <w:rPr>
                <w:sz w:val="24"/>
              </w:rPr>
              <w:t>-</w:t>
            </w:r>
          </w:p>
        </w:tc>
        <w:tc>
          <w:tcPr>
            <w:tcW w:w="2162" w:type="dxa"/>
            <w:vAlign w:val="center"/>
          </w:tcPr>
          <w:p w:rsidR="009B078B" w:rsidRDefault="00C17D1C">
            <w:pPr>
              <w:jc w:val="right"/>
            </w:pPr>
            <w:r>
              <w:rPr>
                <w:sz w:val="24"/>
              </w:rPr>
              <w:t>-</w:t>
            </w:r>
          </w:p>
        </w:tc>
        <w:tc>
          <w:tcPr>
            <w:tcW w:w="3070" w:type="dxa"/>
            <w:vAlign w:val="center"/>
          </w:tcPr>
          <w:p w:rsidR="009B078B" w:rsidRDefault="00C17D1C">
            <w:pPr>
              <w:jc w:val="right"/>
            </w:pPr>
            <w:r>
              <w:rPr>
                <w:sz w:val="24"/>
              </w:rPr>
              <w:t>0.00</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265.46</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265.46</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9B078B">
        <w:tc>
          <w:tcPr>
            <w:tcW w:w="2000" w:type="dxa"/>
            <w:vAlign w:val="center"/>
          </w:tcPr>
          <w:p w:rsidR="009B078B" w:rsidRDefault="00C17D1C">
            <w:pPr>
              <w:jc w:val="left"/>
            </w:pPr>
            <w:r>
              <w:rPr>
                <w:sz w:val="24"/>
              </w:rPr>
              <w:t>交银施罗德基金公司</w:t>
            </w:r>
          </w:p>
        </w:tc>
        <w:tc>
          <w:tcPr>
            <w:tcW w:w="1766" w:type="dxa"/>
            <w:vAlign w:val="center"/>
          </w:tcPr>
          <w:p w:rsidR="009B078B" w:rsidRDefault="00C17D1C">
            <w:pPr>
              <w:jc w:val="right"/>
            </w:pPr>
            <w:r>
              <w:rPr>
                <w:sz w:val="24"/>
              </w:rPr>
              <w:t>-</w:t>
            </w:r>
          </w:p>
        </w:tc>
        <w:tc>
          <w:tcPr>
            <w:tcW w:w="2162" w:type="dxa"/>
            <w:vAlign w:val="center"/>
          </w:tcPr>
          <w:p w:rsidR="009B078B" w:rsidRDefault="00C17D1C">
            <w:pPr>
              <w:jc w:val="right"/>
            </w:pPr>
            <w:r>
              <w:rPr>
                <w:sz w:val="24"/>
              </w:rPr>
              <w:t>1.81</w:t>
            </w:r>
          </w:p>
        </w:tc>
        <w:tc>
          <w:tcPr>
            <w:tcW w:w="3070" w:type="dxa"/>
            <w:vAlign w:val="center"/>
          </w:tcPr>
          <w:p w:rsidR="009B078B" w:rsidRDefault="00C17D1C">
            <w:pPr>
              <w:jc w:val="right"/>
            </w:pPr>
            <w:r>
              <w:rPr>
                <w:sz w:val="24"/>
              </w:rPr>
              <w:t>1.81</w:t>
            </w:r>
          </w:p>
        </w:tc>
      </w:tr>
      <w:tr w:rsidR="009B078B">
        <w:tc>
          <w:tcPr>
            <w:tcW w:w="2000" w:type="dxa"/>
            <w:vAlign w:val="center"/>
          </w:tcPr>
          <w:p w:rsidR="009B078B" w:rsidRDefault="00C17D1C">
            <w:pPr>
              <w:jc w:val="left"/>
            </w:pPr>
            <w:r>
              <w:rPr>
                <w:sz w:val="24"/>
              </w:rPr>
              <w:t>交通银行</w:t>
            </w:r>
          </w:p>
        </w:tc>
        <w:tc>
          <w:tcPr>
            <w:tcW w:w="1766" w:type="dxa"/>
            <w:vAlign w:val="center"/>
          </w:tcPr>
          <w:p w:rsidR="009B078B" w:rsidRDefault="00C17D1C">
            <w:pPr>
              <w:jc w:val="right"/>
            </w:pPr>
            <w:r>
              <w:rPr>
                <w:sz w:val="24"/>
              </w:rPr>
              <w:t>-</w:t>
            </w:r>
          </w:p>
        </w:tc>
        <w:tc>
          <w:tcPr>
            <w:tcW w:w="2162" w:type="dxa"/>
            <w:vAlign w:val="center"/>
          </w:tcPr>
          <w:p w:rsidR="009B078B" w:rsidRDefault="00C17D1C">
            <w:pPr>
              <w:jc w:val="right"/>
            </w:pPr>
            <w:r>
              <w:rPr>
                <w:sz w:val="24"/>
              </w:rPr>
              <w:t>174.11</w:t>
            </w:r>
          </w:p>
        </w:tc>
        <w:tc>
          <w:tcPr>
            <w:tcW w:w="3070" w:type="dxa"/>
            <w:vAlign w:val="center"/>
          </w:tcPr>
          <w:p w:rsidR="009B078B" w:rsidRDefault="00C17D1C">
            <w:pPr>
              <w:jc w:val="right"/>
            </w:pPr>
            <w:r>
              <w:rPr>
                <w:sz w:val="24"/>
              </w:rPr>
              <w:t>174.11</w:t>
            </w:r>
          </w:p>
        </w:tc>
      </w:tr>
      <w:tr w:rsidR="009B078B">
        <w:tc>
          <w:tcPr>
            <w:tcW w:w="2000" w:type="dxa"/>
            <w:vAlign w:val="center"/>
          </w:tcPr>
          <w:p w:rsidR="009B078B" w:rsidRDefault="00C17D1C">
            <w:pPr>
              <w:jc w:val="left"/>
            </w:pPr>
            <w:r>
              <w:rPr>
                <w:sz w:val="24"/>
              </w:rPr>
              <w:t>中国建设银行</w:t>
            </w:r>
          </w:p>
        </w:tc>
        <w:tc>
          <w:tcPr>
            <w:tcW w:w="1766" w:type="dxa"/>
            <w:vAlign w:val="center"/>
          </w:tcPr>
          <w:p w:rsidR="009B078B" w:rsidRDefault="00C17D1C">
            <w:pPr>
              <w:jc w:val="right"/>
            </w:pPr>
            <w:r>
              <w:rPr>
                <w:sz w:val="24"/>
              </w:rPr>
              <w:t>-</w:t>
            </w:r>
          </w:p>
        </w:tc>
        <w:tc>
          <w:tcPr>
            <w:tcW w:w="2162" w:type="dxa"/>
            <w:vAlign w:val="center"/>
          </w:tcPr>
          <w:p w:rsidR="009B078B" w:rsidRDefault="00C17D1C">
            <w:pPr>
              <w:jc w:val="right"/>
            </w:pPr>
            <w:r>
              <w:rPr>
                <w:sz w:val="24"/>
              </w:rPr>
              <w:t>-</w:t>
            </w:r>
          </w:p>
        </w:tc>
        <w:tc>
          <w:tcPr>
            <w:tcW w:w="3070" w:type="dxa"/>
            <w:vAlign w:val="center"/>
          </w:tcPr>
          <w:p w:rsidR="009B078B" w:rsidRDefault="00C17D1C">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175.92</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175.92</w:t>
            </w:r>
          </w:p>
        </w:tc>
      </w:tr>
    </w:tbl>
    <w:p w:rsidR="009B078B" w:rsidRDefault="00C17D1C">
      <w:pPr>
        <w:tabs>
          <w:tab w:val="left" w:pos="426"/>
        </w:tabs>
        <w:spacing w:before="29" w:line="288" w:lineRule="auto"/>
        <w:jc w:val="left"/>
        <w:rPr>
          <w:kern w:val="0"/>
          <w:sz w:val="24"/>
        </w:rPr>
      </w:pPr>
      <w:r>
        <w:rPr>
          <w:kern w:val="0"/>
          <w:sz w:val="24"/>
        </w:rPr>
        <w:t>注：</w:t>
      </w: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8A1551" w:rsidTr="00F35FEF">
        <w:tc>
          <w:tcPr>
            <w:tcW w:w="9435" w:type="dxa"/>
            <w:gridSpan w:val="7"/>
            <w:vAlign w:val="center"/>
          </w:tcPr>
          <w:p w:rsidR="00822AF7"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本期</w:t>
            </w:r>
          </w:p>
          <w:p w:rsidR="001548F9" w:rsidRPr="008A1551" w:rsidRDefault="00822AF7" w:rsidP="00822AF7">
            <w:pPr>
              <w:widowControl/>
              <w:autoSpaceDE w:val="0"/>
              <w:autoSpaceDN w:val="0"/>
              <w:spacing w:before="29" w:line="288" w:lineRule="auto"/>
              <w:ind w:right="-15"/>
              <w:jc w:val="center"/>
              <w:textAlignment w:val="bottom"/>
              <w:rPr>
                <w:bCs/>
                <w:color w:val="000000"/>
                <w:sz w:val="24"/>
              </w:rPr>
            </w:pPr>
            <w:r w:rsidRPr="008A1551">
              <w:rPr>
                <w:bCs/>
                <w:color w:val="000000"/>
                <w:sz w:val="24"/>
              </w:rPr>
              <w:t>2018</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2018</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9B078B">
        <w:tc>
          <w:tcPr>
            <w:tcW w:w="1355" w:type="dxa"/>
            <w:vAlign w:val="center"/>
          </w:tcPr>
          <w:p w:rsidR="009B078B" w:rsidRDefault="00C17D1C">
            <w:pPr>
              <w:jc w:val="left"/>
            </w:pPr>
            <w:r>
              <w:rPr>
                <w:bCs/>
                <w:color w:val="000000"/>
                <w:sz w:val="24"/>
              </w:rPr>
              <w:t>中国建设银行股份有限公司</w:t>
            </w:r>
            <w:r>
              <w:rPr>
                <w:bCs/>
                <w:color w:val="000000"/>
                <w:sz w:val="24"/>
              </w:rPr>
              <w:t xml:space="preserve"> </w:t>
            </w:r>
          </w:p>
        </w:tc>
        <w:tc>
          <w:tcPr>
            <w:tcW w:w="1729" w:type="dxa"/>
            <w:vAlign w:val="center"/>
          </w:tcPr>
          <w:p w:rsidR="009B078B" w:rsidRDefault="00C17D1C">
            <w:pPr>
              <w:jc w:val="right"/>
            </w:pPr>
            <w:r>
              <w:rPr>
                <w:bCs/>
                <w:color w:val="000000"/>
                <w:sz w:val="24"/>
              </w:rPr>
              <w:t>100,401,995.89</w:t>
            </w:r>
          </w:p>
        </w:tc>
        <w:tc>
          <w:tcPr>
            <w:tcW w:w="1203" w:type="dxa"/>
            <w:vAlign w:val="center"/>
          </w:tcPr>
          <w:p w:rsidR="009B078B" w:rsidRDefault="00C17D1C">
            <w:pPr>
              <w:jc w:val="right"/>
            </w:pPr>
            <w:r>
              <w:rPr>
                <w:bCs/>
                <w:color w:val="000000"/>
                <w:sz w:val="24"/>
              </w:rPr>
              <w:t>-</w:t>
            </w:r>
          </w:p>
        </w:tc>
        <w:tc>
          <w:tcPr>
            <w:tcW w:w="1203" w:type="dxa"/>
            <w:vAlign w:val="center"/>
          </w:tcPr>
          <w:p w:rsidR="009B078B" w:rsidRDefault="00C17D1C">
            <w:pPr>
              <w:jc w:val="right"/>
            </w:pPr>
            <w:r>
              <w:rPr>
                <w:bCs/>
                <w:color w:val="000000"/>
                <w:sz w:val="24"/>
              </w:rPr>
              <w:t>-</w:t>
            </w:r>
          </w:p>
        </w:tc>
        <w:tc>
          <w:tcPr>
            <w:tcW w:w="1033" w:type="dxa"/>
            <w:vAlign w:val="center"/>
          </w:tcPr>
          <w:p w:rsidR="009B078B" w:rsidRDefault="00C17D1C">
            <w:pPr>
              <w:jc w:val="right"/>
            </w:pPr>
            <w:r>
              <w:rPr>
                <w:bCs/>
                <w:color w:val="000000"/>
                <w:sz w:val="24"/>
              </w:rPr>
              <w:t>-</w:t>
            </w:r>
          </w:p>
        </w:tc>
        <w:tc>
          <w:tcPr>
            <w:tcW w:w="1440" w:type="dxa"/>
            <w:vAlign w:val="center"/>
          </w:tcPr>
          <w:p w:rsidR="009B078B" w:rsidRDefault="00C17D1C">
            <w:pPr>
              <w:jc w:val="right"/>
            </w:pPr>
            <w:r>
              <w:rPr>
                <w:bCs/>
                <w:color w:val="000000"/>
                <w:sz w:val="24"/>
              </w:rPr>
              <w:t>162,063,000.00</w:t>
            </w:r>
          </w:p>
        </w:tc>
        <w:tc>
          <w:tcPr>
            <w:tcW w:w="1035" w:type="dxa"/>
            <w:vAlign w:val="center"/>
          </w:tcPr>
          <w:p w:rsidR="009B078B" w:rsidRDefault="00C17D1C">
            <w:pPr>
              <w:jc w:val="right"/>
            </w:pPr>
            <w:r>
              <w:rPr>
                <w:bCs/>
                <w:color w:val="000000"/>
                <w:sz w:val="24"/>
              </w:rPr>
              <w:t>43,290.80</w:t>
            </w:r>
          </w:p>
        </w:tc>
      </w:tr>
      <w:tr w:rsidR="001548F9" w:rsidRPr="008A1551" w:rsidTr="00F35FEF">
        <w:tc>
          <w:tcPr>
            <w:tcW w:w="9435" w:type="dxa"/>
            <w:gridSpan w:val="7"/>
            <w:vAlign w:val="center"/>
          </w:tcPr>
          <w:p w:rsidR="001548F9" w:rsidRPr="008A1551" w:rsidRDefault="001548F9" w:rsidP="009E1EA4">
            <w:pPr>
              <w:spacing w:before="29" w:line="288" w:lineRule="auto"/>
              <w:jc w:val="center"/>
              <w:rPr>
                <w:bCs/>
                <w:color w:val="000000"/>
                <w:sz w:val="24"/>
              </w:rPr>
            </w:pPr>
            <w:r w:rsidRPr="008A1551">
              <w:rPr>
                <w:bCs/>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bCs/>
                <w:color w:val="000000"/>
                <w:sz w:val="24"/>
              </w:rPr>
            </w:pPr>
            <w:r w:rsidRPr="008A1551">
              <w:rPr>
                <w:bCs/>
                <w:color w:val="000000"/>
                <w:sz w:val="24"/>
              </w:rPr>
              <w:t>2017</w:t>
            </w:r>
            <w:r w:rsidRPr="008A1551">
              <w:rPr>
                <w:bCs/>
                <w:color w:val="000000"/>
                <w:sz w:val="24"/>
              </w:rPr>
              <w:t>年</w:t>
            </w:r>
            <w:r w:rsidRPr="008A1551">
              <w:rPr>
                <w:bCs/>
                <w:color w:val="000000"/>
                <w:sz w:val="24"/>
              </w:rPr>
              <w:t>1</w:t>
            </w:r>
            <w:r w:rsidRPr="008A1551">
              <w:rPr>
                <w:bCs/>
                <w:color w:val="000000"/>
                <w:sz w:val="24"/>
              </w:rPr>
              <w:t>月</w:t>
            </w:r>
            <w:r w:rsidRPr="008A1551">
              <w:rPr>
                <w:bCs/>
                <w:color w:val="000000"/>
                <w:sz w:val="24"/>
              </w:rPr>
              <w:t>1</w:t>
            </w:r>
            <w:r w:rsidRPr="008A1551">
              <w:rPr>
                <w:bCs/>
                <w:color w:val="000000"/>
                <w:sz w:val="24"/>
              </w:rPr>
              <w:t>日至</w:t>
            </w:r>
            <w:r w:rsidRPr="008A1551">
              <w:rPr>
                <w:bCs/>
                <w:color w:val="000000"/>
                <w:sz w:val="24"/>
              </w:rPr>
              <w:t>2017</w:t>
            </w:r>
            <w:r w:rsidRPr="008A1551">
              <w:rPr>
                <w:bCs/>
                <w:color w:val="000000"/>
                <w:sz w:val="24"/>
              </w:rPr>
              <w:t>年</w:t>
            </w:r>
            <w:r w:rsidRPr="008A1551">
              <w:rPr>
                <w:bCs/>
                <w:color w:val="000000"/>
                <w:sz w:val="24"/>
              </w:rPr>
              <w:t>6</w:t>
            </w:r>
            <w:r w:rsidRPr="008A1551">
              <w:rPr>
                <w:bCs/>
                <w:color w:val="000000"/>
                <w:sz w:val="24"/>
              </w:rPr>
              <w:t>月</w:t>
            </w:r>
            <w:r w:rsidRPr="008A1551">
              <w:rPr>
                <w:bCs/>
                <w:color w:val="000000"/>
                <w:sz w:val="24"/>
              </w:rPr>
              <w:t>30</w:t>
            </w:r>
            <w:r w:rsidRPr="008A1551">
              <w:rPr>
                <w:bCs/>
                <w:color w:val="000000"/>
                <w:sz w:val="24"/>
              </w:rPr>
              <w:t>日</w:t>
            </w:r>
          </w:p>
        </w:tc>
      </w:tr>
      <w:tr w:rsidR="001548F9" w:rsidRPr="008A1551" w:rsidTr="00F35FEF">
        <w:tc>
          <w:tcPr>
            <w:tcW w:w="1422" w:type="dxa"/>
            <w:vMerge w:val="restart"/>
            <w:vAlign w:val="center"/>
          </w:tcPr>
          <w:p w:rsidR="001548F9" w:rsidRPr="008A1551" w:rsidRDefault="001548F9" w:rsidP="009E1EA4">
            <w:pPr>
              <w:spacing w:before="29" w:line="288" w:lineRule="auto"/>
              <w:jc w:val="center"/>
              <w:rPr>
                <w:bCs/>
                <w:color w:val="000000"/>
                <w:sz w:val="24"/>
              </w:rPr>
            </w:pPr>
            <w:r w:rsidRPr="008A1551">
              <w:rPr>
                <w:bCs/>
                <w:color w:val="000000"/>
                <w:sz w:val="24"/>
              </w:rPr>
              <w:t>银行间市</w:t>
            </w:r>
            <w:r w:rsidRPr="008A1551">
              <w:rPr>
                <w:bCs/>
                <w:color w:val="000000"/>
                <w:sz w:val="24"/>
              </w:rPr>
              <w:lastRenderedPageBreak/>
              <w:t>场交易的各关联方名称</w:t>
            </w:r>
          </w:p>
        </w:tc>
        <w:tc>
          <w:tcPr>
            <w:tcW w:w="3078"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lastRenderedPageBreak/>
              <w:t>债券交易金额</w:t>
            </w:r>
          </w:p>
        </w:tc>
        <w:tc>
          <w:tcPr>
            <w:tcW w:w="2340"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基金逆回购</w:t>
            </w:r>
          </w:p>
        </w:tc>
        <w:tc>
          <w:tcPr>
            <w:tcW w:w="2595" w:type="dxa"/>
            <w:gridSpan w:val="2"/>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基金正回购</w:t>
            </w:r>
          </w:p>
        </w:tc>
      </w:tr>
      <w:tr w:rsidR="001548F9" w:rsidRPr="008A1551" w:rsidTr="00F35FEF">
        <w:tc>
          <w:tcPr>
            <w:tcW w:w="9435" w:type="dxa"/>
            <w:vMerge/>
            <w:vAlign w:val="center"/>
          </w:tcPr>
          <w:p w:rsidR="001548F9" w:rsidRPr="008A1551" w:rsidRDefault="001548F9" w:rsidP="009E1EA4">
            <w:pPr>
              <w:widowControl/>
              <w:spacing w:before="29" w:line="288" w:lineRule="auto"/>
              <w:jc w:val="left"/>
              <w:rPr>
                <w:bCs/>
                <w:color w:val="000000"/>
                <w:sz w:val="24"/>
              </w:rPr>
            </w:pPr>
          </w:p>
        </w:tc>
        <w:tc>
          <w:tcPr>
            <w:tcW w:w="1818"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基金买入</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基金卖出</w:t>
            </w:r>
          </w:p>
        </w:tc>
        <w:tc>
          <w:tcPr>
            <w:tcW w:w="126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0"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利息收入</w:t>
            </w:r>
          </w:p>
        </w:tc>
        <w:tc>
          <w:tcPr>
            <w:tcW w:w="1512"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交易金额</w:t>
            </w:r>
          </w:p>
        </w:tc>
        <w:tc>
          <w:tcPr>
            <w:tcW w:w="1083" w:type="dxa"/>
            <w:vAlign w:val="center"/>
          </w:tcPr>
          <w:p w:rsidR="001548F9" w:rsidRPr="008A1551" w:rsidRDefault="001548F9" w:rsidP="009E1EA4">
            <w:pPr>
              <w:spacing w:before="29" w:line="288" w:lineRule="auto"/>
              <w:jc w:val="center"/>
              <w:rPr>
                <w:bCs/>
                <w:color w:val="000000"/>
                <w:sz w:val="24"/>
              </w:rPr>
            </w:pPr>
            <w:r w:rsidRPr="008A1551">
              <w:rPr>
                <w:bCs/>
                <w:color w:val="000000"/>
                <w:sz w:val="24"/>
              </w:rPr>
              <w:t>利息支出</w:t>
            </w:r>
          </w:p>
        </w:tc>
      </w:tr>
      <w:tr w:rsidR="009B078B">
        <w:tc>
          <w:tcPr>
            <w:tcW w:w="1355" w:type="dxa"/>
            <w:vAlign w:val="center"/>
          </w:tcPr>
          <w:p w:rsidR="009B078B" w:rsidRDefault="00C17D1C">
            <w:pPr>
              <w:jc w:val="left"/>
            </w:pPr>
            <w:r>
              <w:rPr>
                <w:bCs/>
                <w:color w:val="000000"/>
                <w:sz w:val="24"/>
              </w:rPr>
              <w:t>中国建设银行股份有限公司</w:t>
            </w:r>
            <w:r>
              <w:rPr>
                <w:bCs/>
                <w:color w:val="000000"/>
                <w:sz w:val="24"/>
              </w:rPr>
              <w:t xml:space="preserve"> </w:t>
            </w:r>
          </w:p>
        </w:tc>
        <w:tc>
          <w:tcPr>
            <w:tcW w:w="1729" w:type="dxa"/>
            <w:vAlign w:val="center"/>
          </w:tcPr>
          <w:p w:rsidR="009B078B" w:rsidRDefault="00C17D1C">
            <w:pPr>
              <w:jc w:val="right"/>
            </w:pPr>
            <w:r>
              <w:rPr>
                <w:bCs/>
                <w:color w:val="000000"/>
                <w:sz w:val="24"/>
              </w:rPr>
              <w:t>-</w:t>
            </w:r>
          </w:p>
        </w:tc>
        <w:tc>
          <w:tcPr>
            <w:tcW w:w="1203" w:type="dxa"/>
            <w:vAlign w:val="center"/>
          </w:tcPr>
          <w:p w:rsidR="009B078B" w:rsidRDefault="00C17D1C">
            <w:pPr>
              <w:jc w:val="right"/>
            </w:pPr>
            <w:r>
              <w:rPr>
                <w:bCs/>
                <w:color w:val="000000"/>
                <w:sz w:val="24"/>
              </w:rPr>
              <w:t>-</w:t>
            </w:r>
          </w:p>
        </w:tc>
        <w:tc>
          <w:tcPr>
            <w:tcW w:w="1203" w:type="dxa"/>
            <w:vAlign w:val="center"/>
          </w:tcPr>
          <w:p w:rsidR="009B078B" w:rsidRDefault="00C17D1C">
            <w:pPr>
              <w:jc w:val="right"/>
            </w:pPr>
            <w:r>
              <w:rPr>
                <w:bCs/>
                <w:color w:val="000000"/>
                <w:sz w:val="24"/>
              </w:rPr>
              <w:t>-</w:t>
            </w:r>
          </w:p>
        </w:tc>
        <w:tc>
          <w:tcPr>
            <w:tcW w:w="1033" w:type="dxa"/>
            <w:vAlign w:val="center"/>
          </w:tcPr>
          <w:p w:rsidR="009B078B" w:rsidRDefault="00C17D1C">
            <w:pPr>
              <w:jc w:val="right"/>
            </w:pPr>
            <w:r>
              <w:rPr>
                <w:bCs/>
                <w:color w:val="000000"/>
                <w:sz w:val="24"/>
              </w:rPr>
              <w:t>-</w:t>
            </w:r>
          </w:p>
        </w:tc>
        <w:tc>
          <w:tcPr>
            <w:tcW w:w="1440" w:type="dxa"/>
            <w:vAlign w:val="center"/>
          </w:tcPr>
          <w:p w:rsidR="009B078B" w:rsidRDefault="00C17D1C">
            <w:pPr>
              <w:jc w:val="right"/>
            </w:pPr>
            <w:r>
              <w:rPr>
                <w:bCs/>
                <w:color w:val="000000"/>
                <w:sz w:val="24"/>
              </w:rPr>
              <w:t>-</w:t>
            </w:r>
          </w:p>
        </w:tc>
        <w:tc>
          <w:tcPr>
            <w:tcW w:w="1035" w:type="dxa"/>
            <w:vAlign w:val="center"/>
          </w:tcPr>
          <w:p w:rsidR="009B078B" w:rsidRDefault="00C17D1C">
            <w:pPr>
              <w:jc w:val="right"/>
            </w:pPr>
            <w:r>
              <w:rPr>
                <w:bCs/>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105388" w:rsidRPr="008A1551" w:rsidRDefault="00105388" w:rsidP="009E1EA4">
      <w:pPr>
        <w:adjustRightInd w:val="0"/>
        <w:snapToGrid w:val="0"/>
        <w:spacing w:before="29" w:line="288" w:lineRule="auto"/>
        <w:rPr>
          <w:b/>
          <w:bCs/>
          <w:color w:val="000000"/>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A</w:t>
      </w:r>
    </w:p>
    <w:p w:rsidR="001548F9" w:rsidRPr="008A1551" w:rsidRDefault="001548F9" w:rsidP="009E1EA4">
      <w:pPr>
        <w:adjustRightInd w:val="0"/>
        <w:snapToGrid w:val="0"/>
        <w:spacing w:before="29" w:line="288" w:lineRule="auto"/>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8A1551" w:rsidTr="00DF0099">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rightChars="-51" w:right="-107"/>
              <w:jc w:val="center"/>
              <w:textAlignment w:val="bottom"/>
              <w:rPr>
                <w:sz w:val="24"/>
              </w:rPr>
            </w:pPr>
            <w:r w:rsidRPr="008A1551">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A</w:t>
            </w:r>
            <w:r w:rsidRPr="008A1551">
              <w:rPr>
                <w:sz w:val="24"/>
              </w:rPr>
              <w:t>本期末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tabs>
                <w:tab w:val="left" w:pos="2972"/>
              </w:tabs>
              <w:autoSpaceDE w:val="0"/>
              <w:autoSpaceDN w:val="0"/>
              <w:spacing w:before="29" w:line="288" w:lineRule="auto"/>
              <w:ind w:leftChars="-51" w:left="-107" w:rightChars="-51" w:right="-107"/>
              <w:jc w:val="center"/>
              <w:textAlignment w:val="bottom"/>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A</w:t>
            </w:r>
            <w:r w:rsidRPr="008A1551">
              <w:rPr>
                <w:sz w:val="24"/>
              </w:rPr>
              <w:t>上年度末</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12</w:t>
            </w:r>
            <w:r w:rsidRPr="008A1551">
              <w:rPr>
                <w:sz w:val="24"/>
              </w:rPr>
              <w:t>月</w:t>
            </w:r>
            <w:r w:rsidRPr="008A1551">
              <w:rPr>
                <w:sz w:val="24"/>
              </w:rPr>
              <w:t>31</w:t>
            </w:r>
            <w:r w:rsidRPr="008A1551">
              <w:rPr>
                <w:sz w:val="24"/>
              </w:rPr>
              <w:t>日</w:t>
            </w:r>
          </w:p>
        </w:tc>
      </w:tr>
      <w:tr w:rsidR="008C10DC" w:rsidRPr="008A1551" w:rsidTr="00DF0099">
        <w:tc>
          <w:tcPr>
            <w:tcW w:w="1928" w:type="dxa"/>
            <w:vMerge/>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w:t>
            </w:r>
          </w:p>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8C10DC" w:rsidRPr="008A1551" w:rsidRDefault="008C10DC" w:rsidP="009E1EA4">
            <w:pPr>
              <w:widowControl/>
              <w:autoSpaceDE w:val="0"/>
              <w:autoSpaceDN w:val="0"/>
              <w:spacing w:before="29" w:line="288" w:lineRule="auto"/>
              <w:ind w:leftChars="-51" w:left="-107" w:rightChars="-51" w:right="-107"/>
              <w:jc w:val="center"/>
              <w:textAlignment w:val="bottom"/>
              <w:rPr>
                <w:sz w:val="24"/>
              </w:rPr>
            </w:pPr>
            <w:r w:rsidRPr="008A1551">
              <w:rPr>
                <w:sz w:val="24"/>
              </w:rPr>
              <w:t>持有的基金份额占基金总份额的比例</w:t>
            </w:r>
          </w:p>
        </w:tc>
      </w:tr>
      <w:tr w:rsidR="00DF0099">
        <w:tc>
          <w:tcPr>
            <w:tcW w:w="1928" w:type="dxa"/>
            <w:vAlign w:val="center"/>
          </w:tcPr>
          <w:p w:rsidR="00DF0099" w:rsidRDefault="00DF0099" w:rsidP="00DF0099">
            <w:pPr>
              <w:jc w:val="center"/>
            </w:pPr>
            <w:r>
              <w:rPr>
                <w:sz w:val="24"/>
              </w:rPr>
              <w:t>交通银行股份有限公司</w:t>
            </w:r>
          </w:p>
        </w:tc>
        <w:tc>
          <w:tcPr>
            <w:tcW w:w="1994" w:type="dxa"/>
            <w:vAlign w:val="center"/>
          </w:tcPr>
          <w:p w:rsidR="00DF0099" w:rsidRDefault="00DF0099" w:rsidP="00DF0099">
            <w:pPr>
              <w:jc w:val="center"/>
            </w:pPr>
            <w:r>
              <w:rPr>
                <w:sz w:val="24"/>
              </w:rPr>
              <w:t>3,382,690,550.12</w:t>
            </w:r>
          </w:p>
        </w:tc>
        <w:tc>
          <w:tcPr>
            <w:tcW w:w="1551" w:type="dxa"/>
            <w:vAlign w:val="center"/>
          </w:tcPr>
          <w:p w:rsidR="00DF0099" w:rsidRDefault="00DF0099" w:rsidP="00DF0099">
            <w:pPr>
              <w:jc w:val="center"/>
            </w:pPr>
            <w:r>
              <w:rPr>
                <w:sz w:val="24"/>
              </w:rPr>
              <w:t>100.00%</w:t>
            </w:r>
          </w:p>
        </w:tc>
        <w:tc>
          <w:tcPr>
            <w:tcW w:w="1829" w:type="dxa"/>
            <w:vAlign w:val="center"/>
          </w:tcPr>
          <w:p w:rsidR="00DF0099" w:rsidRDefault="00DF0099" w:rsidP="00DF0099">
            <w:pPr>
              <w:jc w:val="center"/>
            </w:pPr>
            <w:r>
              <w:rPr>
                <w:sz w:val="24"/>
              </w:rPr>
              <w:t>3,382,690,550.12</w:t>
            </w:r>
          </w:p>
        </w:tc>
        <w:tc>
          <w:tcPr>
            <w:tcW w:w="1696" w:type="dxa"/>
            <w:vAlign w:val="center"/>
          </w:tcPr>
          <w:p w:rsidR="00DF0099" w:rsidRDefault="00DF0099" w:rsidP="00DF0099">
            <w:pPr>
              <w:jc w:val="center"/>
            </w:pPr>
            <w:r>
              <w:rPr>
                <w:sz w:val="24"/>
              </w:rPr>
              <w:t>99.71%</w:t>
            </w:r>
          </w:p>
        </w:tc>
      </w:tr>
    </w:tbl>
    <w:p w:rsidR="008C10DC" w:rsidRPr="008A1551" w:rsidRDefault="008C10DC" w:rsidP="009E1EA4">
      <w:pPr>
        <w:tabs>
          <w:tab w:val="left" w:pos="426"/>
        </w:tabs>
        <w:spacing w:before="29" w:line="288" w:lineRule="auto"/>
        <w:jc w:val="left"/>
        <w:rPr>
          <w:kern w:val="0"/>
          <w:sz w:val="24"/>
        </w:rPr>
      </w:pPr>
      <w:r w:rsidRPr="008A1551">
        <w:rPr>
          <w:kern w:val="0"/>
          <w:sz w:val="24"/>
        </w:rPr>
        <w:t>注：关联方投资本基金的费率按照基金合同和招募说明书规定的确定，符合公允性要求。</w:t>
      </w:r>
      <w:r w:rsidR="00105388" w:rsidRPr="008A1551">
        <w:rPr>
          <w:kern w:val="0"/>
          <w:sz w:val="24"/>
        </w:rPr>
        <w:t>、</w:t>
      </w:r>
    </w:p>
    <w:p w:rsidR="00105388" w:rsidRPr="008A1551" w:rsidRDefault="00105388" w:rsidP="009E1EA4">
      <w:pPr>
        <w:adjustRightInd w:val="0"/>
        <w:snapToGrid w:val="0"/>
        <w:spacing w:before="29" w:line="288" w:lineRule="auto"/>
        <w:rPr>
          <w:b/>
          <w:bCs/>
          <w:color w:val="000000"/>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C</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rPr>
          <w:color w:val="000000"/>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9B078B">
        <w:tc>
          <w:tcPr>
            <w:tcW w:w="2692" w:type="dxa"/>
            <w:vAlign w:val="center"/>
          </w:tcPr>
          <w:p w:rsidR="009B078B" w:rsidRDefault="00C17D1C">
            <w:pPr>
              <w:jc w:val="left"/>
            </w:pPr>
            <w:r>
              <w:rPr>
                <w:sz w:val="24"/>
              </w:rPr>
              <w:t>中国建设银行股份有限公司</w:t>
            </w:r>
          </w:p>
        </w:tc>
        <w:tc>
          <w:tcPr>
            <w:tcW w:w="1417" w:type="dxa"/>
            <w:vAlign w:val="center"/>
          </w:tcPr>
          <w:p w:rsidR="009B078B" w:rsidRDefault="00C17D1C">
            <w:pPr>
              <w:jc w:val="right"/>
            </w:pPr>
            <w:r>
              <w:rPr>
                <w:sz w:val="24"/>
              </w:rPr>
              <w:t>1,258,962.29</w:t>
            </w:r>
          </w:p>
        </w:tc>
        <w:tc>
          <w:tcPr>
            <w:tcW w:w="1736" w:type="dxa"/>
            <w:vAlign w:val="center"/>
          </w:tcPr>
          <w:p w:rsidR="009B078B" w:rsidRDefault="00C17D1C">
            <w:pPr>
              <w:jc w:val="right"/>
            </w:pPr>
            <w:r>
              <w:rPr>
                <w:sz w:val="24"/>
              </w:rPr>
              <w:t>37,263.96</w:t>
            </w:r>
          </w:p>
        </w:tc>
        <w:tc>
          <w:tcPr>
            <w:tcW w:w="1383" w:type="dxa"/>
            <w:vAlign w:val="center"/>
          </w:tcPr>
          <w:p w:rsidR="009B078B" w:rsidRDefault="00C17D1C">
            <w:pPr>
              <w:jc w:val="right"/>
            </w:pPr>
            <w:r>
              <w:rPr>
                <w:sz w:val="24"/>
              </w:rPr>
              <w:t>144,069,097.75</w:t>
            </w:r>
          </w:p>
        </w:tc>
        <w:tc>
          <w:tcPr>
            <w:tcW w:w="1770" w:type="dxa"/>
            <w:vAlign w:val="center"/>
          </w:tcPr>
          <w:p w:rsidR="009B078B" w:rsidRDefault="00C17D1C">
            <w:pPr>
              <w:jc w:val="right"/>
            </w:pPr>
            <w:r>
              <w:rPr>
                <w:sz w:val="24"/>
              </w:rPr>
              <w:t>35,821.68</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975ACA">
      <w:pPr>
        <w:widowControl/>
        <w:spacing w:line="360" w:lineRule="auto"/>
        <w:rPr>
          <w:rFonts w:eastAsiaTheme="minorEastAsia"/>
          <w:color w:val="000000" w:themeColor="text1"/>
          <w:kern w:val="0"/>
          <w:sz w:val="24"/>
        </w:rPr>
      </w:pPr>
      <w:r w:rsidRPr="00207C2A">
        <w:rPr>
          <w:rFonts w:eastAsiaTheme="minorEastAsia"/>
          <w:color w:val="000000" w:themeColor="text1"/>
          <w:kern w:val="0"/>
          <w:sz w:val="24"/>
        </w:rPr>
        <w:t>本基金本报告期内无其他关联交易事项。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本基金本报告期末未持有暂时停牌等流通受限的股票。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截至本报告期末，本基金从事银行间市场债券正回购交易形成的卖出回购证券款余额</w:t>
      </w:r>
      <w:r w:rsidRPr="008A1551">
        <w:rPr>
          <w:color w:val="000000"/>
          <w:sz w:val="24"/>
        </w:rPr>
        <w:t>321,693,157.45</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9B078B">
        <w:tc>
          <w:tcPr>
            <w:tcW w:w="1276" w:type="dxa"/>
            <w:vAlign w:val="center"/>
          </w:tcPr>
          <w:p w:rsidR="009B078B" w:rsidRDefault="00C17D1C">
            <w:pPr>
              <w:jc w:val="center"/>
            </w:pPr>
            <w:r>
              <w:rPr>
                <w:color w:val="000000"/>
                <w:kern w:val="0"/>
                <w:sz w:val="24"/>
              </w:rPr>
              <w:t>011800876</w:t>
            </w:r>
          </w:p>
        </w:tc>
        <w:tc>
          <w:tcPr>
            <w:tcW w:w="1843" w:type="dxa"/>
            <w:vAlign w:val="center"/>
          </w:tcPr>
          <w:p w:rsidR="009B078B" w:rsidRDefault="00C17D1C">
            <w:pPr>
              <w:jc w:val="center"/>
            </w:pPr>
            <w:r>
              <w:rPr>
                <w:color w:val="000000"/>
                <w:kern w:val="0"/>
                <w:sz w:val="24"/>
              </w:rPr>
              <w:t>18</w:t>
            </w:r>
            <w:r>
              <w:rPr>
                <w:color w:val="000000"/>
                <w:kern w:val="0"/>
                <w:sz w:val="24"/>
              </w:rPr>
              <w:t>京国资</w:t>
            </w:r>
            <w:r>
              <w:rPr>
                <w:color w:val="000000"/>
                <w:kern w:val="0"/>
                <w:sz w:val="24"/>
              </w:rPr>
              <w:t>SCP001</w:t>
            </w:r>
          </w:p>
        </w:tc>
        <w:tc>
          <w:tcPr>
            <w:tcW w:w="1559" w:type="dxa"/>
            <w:vAlign w:val="center"/>
          </w:tcPr>
          <w:p w:rsidR="009B078B" w:rsidRDefault="00C17D1C">
            <w:pPr>
              <w:jc w:val="center"/>
            </w:pPr>
            <w:r>
              <w:rPr>
                <w:color w:val="000000"/>
                <w:kern w:val="0"/>
                <w:sz w:val="24"/>
              </w:rPr>
              <w:t>2018-07-02</w:t>
            </w:r>
          </w:p>
        </w:tc>
        <w:tc>
          <w:tcPr>
            <w:tcW w:w="1058" w:type="dxa"/>
            <w:vAlign w:val="center"/>
          </w:tcPr>
          <w:p w:rsidR="009B078B" w:rsidRDefault="00C17D1C">
            <w:pPr>
              <w:jc w:val="right"/>
            </w:pPr>
            <w:r>
              <w:rPr>
                <w:color w:val="000000"/>
                <w:kern w:val="0"/>
                <w:sz w:val="24"/>
              </w:rPr>
              <w:t>100.09</w:t>
            </w:r>
          </w:p>
        </w:tc>
        <w:tc>
          <w:tcPr>
            <w:tcW w:w="1434" w:type="dxa"/>
            <w:vAlign w:val="center"/>
          </w:tcPr>
          <w:p w:rsidR="009B078B" w:rsidRDefault="00C17D1C">
            <w:pPr>
              <w:jc w:val="right"/>
            </w:pPr>
            <w:r>
              <w:rPr>
                <w:color w:val="000000"/>
                <w:kern w:val="0"/>
                <w:sz w:val="24"/>
              </w:rPr>
              <w:t>926,000</w:t>
            </w:r>
          </w:p>
        </w:tc>
        <w:tc>
          <w:tcPr>
            <w:tcW w:w="1828" w:type="dxa"/>
            <w:vAlign w:val="center"/>
          </w:tcPr>
          <w:p w:rsidR="009B078B" w:rsidRDefault="00C17D1C">
            <w:pPr>
              <w:jc w:val="right"/>
            </w:pPr>
            <w:r>
              <w:rPr>
                <w:color w:val="000000"/>
                <w:kern w:val="0"/>
                <w:sz w:val="24"/>
              </w:rPr>
              <w:t>92,683,340.00</w:t>
            </w:r>
          </w:p>
        </w:tc>
      </w:tr>
      <w:tr w:rsidR="009B078B">
        <w:tc>
          <w:tcPr>
            <w:tcW w:w="1276" w:type="dxa"/>
            <w:vAlign w:val="center"/>
          </w:tcPr>
          <w:p w:rsidR="009B078B" w:rsidRDefault="00C17D1C">
            <w:pPr>
              <w:jc w:val="center"/>
            </w:pPr>
            <w:r>
              <w:rPr>
                <w:color w:val="000000"/>
                <w:kern w:val="0"/>
                <w:sz w:val="24"/>
              </w:rPr>
              <w:t>170413</w:t>
            </w:r>
          </w:p>
        </w:tc>
        <w:tc>
          <w:tcPr>
            <w:tcW w:w="1843" w:type="dxa"/>
            <w:vAlign w:val="center"/>
          </w:tcPr>
          <w:p w:rsidR="009B078B" w:rsidRDefault="00C17D1C">
            <w:pPr>
              <w:jc w:val="center"/>
            </w:pPr>
            <w:r>
              <w:rPr>
                <w:color w:val="000000"/>
                <w:kern w:val="0"/>
                <w:sz w:val="24"/>
              </w:rPr>
              <w:t>17</w:t>
            </w:r>
            <w:r>
              <w:rPr>
                <w:color w:val="000000"/>
                <w:kern w:val="0"/>
                <w:sz w:val="24"/>
              </w:rPr>
              <w:t>农发</w:t>
            </w:r>
            <w:r>
              <w:rPr>
                <w:color w:val="000000"/>
                <w:kern w:val="0"/>
                <w:sz w:val="24"/>
              </w:rPr>
              <w:t>13</w:t>
            </w:r>
          </w:p>
        </w:tc>
        <w:tc>
          <w:tcPr>
            <w:tcW w:w="1559" w:type="dxa"/>
            <w:vAlign w:val="center"/>
          </w:tcPr>
          <w:p w:rsidR="009B078B" w:rsidRDefault="00C17D1C">
            <w:pPr>
              <w:jc w:val="center"/>
            </w:pPr>
            <w:r>
              <w:rPr>
                <w:color w:val="000000"/>
                <w:kern w:val="0"/>
                <w:sz w:val="24"/>
              </w:rPr>
              <w:t>2018-07-02</w:t>
            </w:r>
          </w:p>
        </w:tc>
        <w:tc>
          <w:tcPr>
            <w:tcW w:w="1058" w:type="dxa"/>
            <w:vAlign w:val="center"/>
          </w:tcPr>
          <w:p w:rsidR="009B078B" w:rsidRDefault="00C17D1C">
            <w:pPr>
              <w:jc w:val="right"/>
            </w:pPr>
            <w:r>
              <w:rPr>
                <w:color w:val="000000"/>
                <w:kern w:val="0"/>
                <w:sz w:val="24"/>
              </w:rPr>
              <w:t>100.23</w:t>
            </w:r>
          </w:p>
        </w:tc>
        <w:tc>
          <w:tcPr>
            <w:tcW w:w="1434" w:type="dxa"/>
            <w:vAlign w:val="center"/>
          </w:tcPr>
          <w:p w:rsidR="009B078B" w:rsidRDefault="00C17D1C">
            <w:pPr>
              <w:jc w:val="right"/>
            </w:pPr>
            <w:r>
              <w:rPr>
                <w:color w:val="000000"/>
                <w:kern w:val="0"/>
                <w:sz w:val="24"/>
              </w:rPr>
              <w:t>1,370,000</w:t>
            </w:r>
          </w:p>
        </w:tc>
        <w:tc>
          <w:tcPr>
            <w:tcW w:w="1828" w:type="dxa"/>
            <w:vAlign w:val="center"/>
          </w:tcPr>
          <w:p w:rsidR="009B078B" w:rsidRDefault="00C17D1C">
            <w:pPr>
              <w:jc w:val="right"/>
            </w:pPr>
            <w:r>
              <w:rPr>
                <w:color w:val="000000"/>
                <w:kern w:val="0"/>
                <w:sz w:val="24"/>
              </w:rPr>
              <w:t>137,315,100.00</w:t>
            </w:r>
          </w:p>
        </w:tc>
      </w:tr>
      <w:tr w:rsidR="009B078B">
        <w:tc>
          <w:tcPr>
            <w:tcW w:w="1276" w:type="dxa"/>
            <w:vAlign w:val="center"/>
          </w:tcPr>
          <w:p w:rsidR="009B078B" w:rsidRDefault="00C17D1C">
            <w:pPr>
              <w:jc w:val="center"/>
            </w:pPr>
            <w:r>
              <w:rPr>
                <w:color w:val="000000"/>
                <w:kern w:val="0"/>
                <w:sz w:val="24"/>
              </w:rPr>
              <w:t>170413</w:t>
            </w:r>
          </w:p>
        </w:tc>
        <w:tc>
          <w:tcPr>
            <w:tcW w:w="1843" w:type="dxa"/>
            <w:vAlign w:val="center"/>
          </w:tcPr>
          <w:p w:rsidR="009B078B" w:rsidRDefault="00C17D1C">
            <w:pPr>
              <w:jc w:val="center"/>
            </w:pPr>
            <w:r>
              <w:rPr>
                <w:color w:val="000000"/>
                <w:kern w:val="0"/>
                <w:sz w:val="24"/>
              </w:rPr>
              <w:t>17</w:t>
            </w:r>
            <w:r>
              <w:rPr>
                <w:color w:val="000000"/>
                <w:kern w:val="0"/>
                <w:sz w:val="24"/>
              </w:rPr>
              <w:t>农发</w:t>
            </w:r>
            <w:r>
              <w:rPr>
                <w:color w:val="000000"/>
                <w:kern w:val="0"/>
                <w:sz w:val="24"/>
              </w:rPr>
              <w:t>13</w:t>
            </w:r>
          </w:p>
        </w:tc>
        <w:tc>
          <w:tcPr>
            <w:tcW w:w="1559" w:type="dxa"/>
            <w:vAlign w:val="center"/>
          </w:tcPr>
          <w:p w:rsidR="009B078B" w:rsidRDefault="00C17D1C">
            <w:pPr>
              <w:jc w:val="center"/>
            </w:pPr>
            <w:r>
              <w:rPr>
                <w:color w:val="000000"/>
                <w:kern w:val="0"/>
                <w:sz w:val="24"/>
              </w:rPr>
              <w:t>2018-07-03</w:t>
            </w:r>
          </w:p>
        </w:tc>
        <w:tc>
          <w:tcPr>
            <w:tcW w:w="1058" w:type="dxa"/>
            <w:vAlign w:val="center"/>
          </w:tcPr>
          <w:p w:rsidR="009B078B" w:rsidRDefault="00C17D1C">
            <w:pPr>
              <w:jc w:val="right"/>
            </w:pPr>
            <w:r>
              <w:rPr>
                <w:color w:val="000000"/>
                <w:kern w:val="0"/>
                <w:sz w:val="24"/>
              </w:rPr>
              <w:t>100.23</w:t>
            </w:r>
          </w:p>
        </w:tc>
        <w:tc>
          <w:tcPr>
            <w:tcW w:w="1434" w:type="dxa"/>
            <w:vAlign w:val="center"/>
          </w:tcPr>
          <w:p w:rsidR="009B078B" w:rsidRDefault="00C17D1C">
            <w:pPr>
              <w:jc w:val="right"/>
            </w:pPr>
            <w:r>
              <w:rPr>
                <w:color w:val="000000"/>
                <w:kern w:val="0"/>
                <w:sz w:val="24"/>
              </w:rPr>
              <w:t>1,100,000</w:t>
            </w:r>
          </w:p>
        </w:tc>
        <w:tc>
          <w:tcPr>
            <w:tcW w:w="1828" w:type="dxa"/>
            <w:vAlign w:val="center"/>
          </w:tcPr>
          <w:p w:rsidR="009B078B" w:rsidRDefault="00C17D1C">
            <w:pPr>
              <w:jc w:val="right"/>
            </w:pPr>
            <w:r>
              <w:rPr>
                <w:color w:val="000000"/>
                <w:kern w:val="0"/>
                <w:sz w:val="24"/>
              </w:rPr>
              <w:t>110,253,000.00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3,396,000</w:t>
            </w:r>
          </w:p>
        </w:tc>
        <w:tc>
          <w:tcPr>
            <w:tcW w:w="1828" w:type="dxa"/>
            <w:vAlign w:val="center"/>
          </w:tcPr>
          <w:p w:rsidR="001548F9" w:rsidRPr="008A1551" w:rsidRDefault="001548F9" w:rsidP="009E1EA4">
            <w:pPr>
              <w:spacing w:before="29" w:line="288" w:lineRule="auto"/>
              <w:jc w:val="right"/>
              <w:rPr>
                <w:sz w:val="24"/>
              </w:rPr>
            </w:pPr>
            <w:r w:rsidRPr="008A1551">
              <w:rPr>
                <w:sz w:val="24"/>
              </w:rPr>
              <w:t>340,251,440.00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本基金本报告期末无从事交易所市场债券正回购交易形成的卖出回购证券款余额。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3,420,742,000.00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90.47</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3,420,742,000.00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90.47</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301,258,962.29</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7.97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59,284,167.51</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1.57</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3,781,285,129.80</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bookmarkStart w:id="64" w:name="_GoBack"/>
      <w:bookmarkEnd w:id="64"/>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573,743,000.00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16.59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250,575,000.00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7.25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342,976,000.00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9.92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1,765,735,000.00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51.06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449,228,000.00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12.99</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lastRenderedPageBreak/>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289,060,000.00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8.36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3,420,742,000.00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98.93</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9B078B">
        <w:tc>
          <w:tcPr>
            <w:tcW w:w="1320" w:type="dxa"/>
            <w:vAlign w:val="center"/>
          </w:tcPr>
          <w:p w:rsidR="009B078B" w:rsidRDefault="00C17D1C">
            <w:pPr>
              <w:jc w:val="center"/>
            </w:pPr>
            <w:r>
              <w:rPr>
                <w:color w:val="000000"/>
                <w:sz w:val="24"/>
              </w:rPr>
              <w:t>1</w:t>
            </w:r>
          </w:p>
        </w:tc>
        <w:tc>
          <w:tcPr>
            <w:tcW w:w="1382" w:type="dxa"/>
            <w:vAlign w:val="center"/>
          </w:tcPr>
          <w:p w:rsidR="009B078B" w:rsidRDefault="00C17D1C">
            <w:pPr>
              <w:jc w:val="center"/>
            </w:pPr>
            <w:r>
              <w:rPr>
                <w:color w:val="000000"/>
                <w:sz w:val="24"/>
              </w:rPr>
              <w:t>1312001</w:t>
            </w:r>
          </w:p>
        </w:tc>
        <w:tc>
          <w:tcPr>
            <w:tcW w:w="1353" w:type="dxa"/>
            <w:vAlign w:val="center"/>
          </w:tcPr>
          <w:p w:rsidR="009B078B" w:rsidRDefault="00C17D1C">
            <w:pPr>
              <w:jc w:val="center"/>
            </w:pPr>
            <w:r>
              <w:rPr>
                <w:color w:val="000000"/>
                <w:sz w:val="24"/>
              </w:rPr>
              <w:t>13</w:t>
            </w:r>
            <w:r>
              <w:rPr>
                <w:color w:val="000000"/>
                <w:sz w:val="24"/>
              </w:rPr>
              <w:t>中信银行债</w:t>
            </w:r>
          </w:p>
        </w:tc>
        <w:tc>
          <w:tcPr>
            <w:tcW w:w="1505" w:type="dxa"/>
            <w:vAlign w:val="center"/>
          </w:tcPr>
          <w:p w:rsidR="009B078B" w:rsidRDefault="00C17D1C">
            <w:pPr>
              <w:jc w:val="right"/>
            </w:pPr>
            <w:r>
              <w:rPr>
                <w:color w:val="000000"/>
                <w:sz w:val="24"/>
              </w:rPr>
              <w:t>3,000,000</w:t>
            </w:r>
          </w:p>
        </w:tc>
        <w:tc>
          <w:tcPr>
            <w:tcW w:w="1737" w:type="dxa"/>
            <w:vAlign w:val="center"/>
          </w:tcPr>
          <w:p w:rsidR="009B078B" w:rsidRDefault="00C17D1C">
            <w:pPr>
              <w:jc w:val="right"/>
            </w:pPr>
            <w:r>
              <w:rPr>
                <w:color w:val="000000"/>
                <w:sz w:val="24"/>
              </w:rPr>
              <w:t>303,300,000.00</w:t>
            </w:r>
          </w:p>
        </w:tc>
        <w:tc>
          <w:tcPr>
            <w:tcW w:w="1701" w:type="dxa"/>
            <w:vAlign w:val="center"/>
          </w:tcPr>
          <w:p w:rsidR="009B078B" w:rsidRDefault="00C17D1C">
            <w:pPr>
              <w:jc w:val="right"/>
            </w:pPr>
            <w:r>
              <w:rPr>
                <w:color w:val="000000"/>
                <w:sz w:val="24"/>
              </w:rPr>
              <w:t>8.77</w:t>
            </w:r>
          </w:p>
        </w:tc>
      </w:tr>
      <w:tr w:rsidR="009B078B">
        <w:tc>
          <w:tcPr>
            <w:tcW w:w="1320" w:type="dxa"/>
            <w:vAlign w:val="center"/>
          </w:tcPr>
          <w:p w:rsidR="009B078B" w:rsidRDefault="00C17D1C">
            <w:pPr>
              <w:jc w:val="center"/>
            </w:pPr>
            <w:r>
              <w:rPr>
                <w:color w:val="000000"/>
                <w:sz w:val="24"/>
              </w:rPr>
              <w:t>2</w:t>
            </w:r>
          </w:p>
        </w:tc>
        <w:tc>
          <w:tcPr>
            <w:tcW w:w="1382" w:type="dxa"/>
            <w:vAlign w:val="center"/>
          </w:tcPr>
          <w:p w:rsidR="009B078B" w:rsidRDefault="00C17D1C">
            <w:pPr>
              <w:jc w:val="center"/>
            </w:pPr>
            <w:r>
              <w:rPr>
                <w:color w:val="000000"/>
                <w:sz w:val="24"/>
              </w:rPr>
              <w:t>170413</w:t>
            </w:r>
          </w:p>
        </w:tc>
        <w:tc>
          <w:tcPr>
            <w:tcW w:w="1353" w:type="dxa"/>
            <w:vAlign w:val="center"/>
          </w:tcPr>
          <w:p w:rsidR="009B078B" w:rsidRDefault="00C17D1C">
            <w:pPr>
              <w:jc w:val="center"/>
            </w:pPr>
            <w:r>
              <w:rPr>
                <w:color w:val="000000"/>
                <w:sz w:val="24"/>
              </w:rPr>
              <w:t>17</w:t>
            </w:r>
            <w:r>
              <w:rPr>
                <w:color w:val="000000"/>
                <w:sz w:val="24"/>
              </w:rPr>
              <w:t>农发</w:t>
            </w:r>
            <w:r>
              <w:rPr>
                <w:color w:val="000000"/>
                <w:sz w:val="24"/>
              </w:rPr>
              <w:t>13</w:t>
            </w:r>
          </w:p>
        </w:tc>
        <w:tc>
          <w:tcPr>
            <w:tcW w:w="1505" w:type="dxa"/>
            <w:vAlign w:val="center"/>
          </w:tcPr>
          <w:p w:rsidR="009B078B" w:rsidRDefault="00C17D1C">
            <w:pPr>
              <w:jc w:val="right"/>
            </w:pPr>
            <w:r>
              <w:rPr>
                <w:color w:val="000000"/>
                <w:sz w:val="24"/>
              </w:rPr>
              <w:t>2,500,000</w:t>
            </w:r>
          </w:p>
        </w:tc>
        <w:tc>
          <w:tcPr>
            <w:tcW w:w="1737" w:type="dxa"/>
            <w:vAlign w:val="center"/>
          </w:tcPr>
          <w:p w:rsidR="009B078B" w:rsidRDefault="00C17D1C">
            <w:pPr>
              <w:jc w:val="right"/>
            </w:pPr>
            <w:r>
              <w:rPr>
                <w:color w:val="000000"/>
                <w:sz w:val="24"/>
              </w:rPr>
              <w:t>250,575,000.00</w:t>
            </w:r>
          </w:p>
        </w:tc>
        <w:tc>
          <w:tcPr>
            <w:tcW w:w="1701" w:type="dxa"/>
            <w:vAlign w:val="center"/>
          </w:tcPr>
          <w:p w:rsidR="009B078B" w:rsidRDefault="00C17D1C">
            <w:pPr>
              <w:jc w:val="right"/>
            </w:pPr>
            <w:r>
              <w:rPr>
                <w:color w:val="000000"/>
                <w:sz w:val="24"/>
              </w:rPr>
              <w:t>7.25</w:t>
            </w:r>
          </w:p>
        </w:tc>
      </w:tr>
      <w:tr w:rsidR="009B078B">
        <w:tc>
          <w:tcPr>
            <w:tcW w:w="1320" w:type="dxa"/>
            <w:vAlign w:val="center"/>
          </w:tcPr>
          <w:p w:rsidR="009B078B" w:rsidRDefault="00C17D1C">
            <w:pPr>
              <w:jc w:val="center"/>
            </w:pPr>
            <w:r>
              <w:rPr>
                <w:color w:val="000000"/>
                <w:sz w:val="24"/>
              </w:rPr>
              <w:t>3</w:t>
            </w:r>
          </w:p>
        </w:tc>
        <w:tc>
          <w:tcPr>
            <w:tcW w:w="1382" w:type="dxa"/>
            <w:vAlign w:val="center"/>
          </w:tcPr>
          <w:p w:rsidR="009B078B" w:rsidRDefault="00C17D1C">
            <w:pPr>
              <w:jc w:val="center"/>
            </w:pPr>
            <w:r>
              <w:rPr>
                <w:color w:val="000000"/>
                <w:sz w:val="24"/>
              </w:rPr>
              <w:t>0980165</w:t>
            </w:r>
          </w:p>
        </w:tc>
        <w:tc>
          <w:tcPr>
            <w:tcW w:w="1353" w:type="dxa"/>
            <w:vAlign w:val="center"/>
          </w:tcPr>
          <w:p w:rsidR="009B078B" w:rsidRDefault="00C17D1C">
            <w:pPr>
              <w:jc w:val="center"/>
            </w:pPr>
            <w:r>
              <w:rPr>
                <w:color w:val="000000"/>
                <w:sz w:val="24"/>
              </w:rPr>
              <w:t>09</w:t>
            </w:r>
            <w:r>
              <w:rPr>
                <w:color w:val="000000"/>
                <w:sz w:val="24"/>
              </w:rPr>
              <w:t>铁道</w:t>
            </w:r>
            <w:r>
              <w:rPr>
                <w:color w:val="000000"/>
                <w:sz w:val="24"/>
              </w:rPr>
              <w:t>09</w:t>
            </w:r>
          </w:p>
        </w:tc>
        <w:tc>
          <w:tcPr>
            <w:tcW w:w="1505" w:type="dxa"/>
            <w:vAlign w:val="center"/>
          </w:tcPr>
          <w:p w:rsidR="009B078B" w:rsidRDefault="00C17D1C">
            <w:pPr>
              <w:jc w:val="right"/>
            </w:pPr>
            <w:r>
              <w:rPr>
                <w:color w:val="000000"/>
                <w:sz w:val="24"/>
              </w:rPr>
              <w:t>2,000,000</w:t>
            </w:r>
          </w:p>
        </w:tc>
        <w:tc>
          <w:tcPr>
            <w:tcW w:w="1737" w:type="dxa"/>
            <w:vAlign w:val="center"/>
          </w:tcPr>
          <w:p w:rsidR="009B078B" w:rsidRDefault="00C17D1C">
            <w:pPr>
              <w:jc w:val="right"/>
            </w:pPr>
            <w:r>
              <w:rPr>
                <w:color w:val="000000"/>
                <w:sz w:val="24"/>
              </w:rPr>
              <w:t>201,460,000.00</w:t>
            </w:r>
          </w:p>
        </w:tc>
        <w:tc>
          <w:tcPr>
            <w:tcW w:w="1701" w:type="dxa"/>
            <w:vAlign w:val="center"/>
          </w:tcPr>
          <w:p w:rsidR="009B078B" w:rsidRDefault="00C17D1C">
            <w:pPr>
              <w:jc w:val="right"/>
            </w:pPr>
            <w:r>
              <w:rPr>
                <w:color w:val="000000"/>
                <w:sz w:val="24"/>
              </w:rPr>
              <w:t>5.83</w:t>
            </w:r>
          </w:p>
        </w:tc>
      </w:tr>
      <w:tr w:rsidR="009B078B">
        <w:tc>
          <w:tcPr>
            <w:tcW w:w="1320" w:type="dxa"/>
            <w:vAlign w:val="center"/>
          </w:tcPr>
          <w:p w:rsidR="009B078B" w:rsidRDefault="00C17D1C">
            <w:pPr>
              <w:jc w:val="center"/>
            </w:pPr>
            <w:r>
              <w:rPr>
                <w:color w:val="000000"/>
                <w:sz w:val="24"/>
              </w:rPr>
              <w:t>4</w:t>
            </w:r>
          </w:p>
        </w:tc>
        <w:tc>
          <w:tcPr>
            <w:tcW w:w="1382" w:type="dxa"/>
            <w:vAlign w:val="center"/>
          </w:tcPr>
          <w:p w:rsidR="009B078B" w:rsidRDefault="00C17D1C">
            <w:pPr>
              <w:jc w:val="center"/>
            </w:pPr>
            <w:r>
              <w:rPr>
                <w:color w:val="000000"/>
                <w:sz w:val="24"/>
              </w:rPr>
              <w:t>011800402</w:t>
            </w:r>
          </w:p>
        </w:tc>
        <w:tc>
          <w:tcPr>
            <w:tcW w:w="1353" w:type="dxa"/>
            <w:vAlign w:val="center"/>
          </w:tcPr>
          <w:p w:rsidR="009B078B" w:rsidRDefault="00C17D1C">
            <w:pPr>
              <w:jc w:val="center"/>
            </w:pPr>
            <w:r>
              <w:rPr>
                <w:color w:val="000000"/>
                <w:sz w:val="24"/>
              </w:rPr>
              <w:t>18</w:t>
            </w:r>
            <w:r>
              <w:rPr>
                <w:color w:val="000000"/>
                <w:sz w:val="24"/>
              </w:rPr>
              <w:t>浙能源</w:t>
            </w:r>
            <w:r>
              <w:rPr>
                <w:color w:val="000000"/>
                <w:sz w:val="24"/>
              </w:rPr>
              <w:t>SCP003</w:t>
            </w:r>
          </w:p>
        </w:tc>
        <w:tc>
          <w:tcPr>
            <w:tcW w:w="1505" w:type="dxa"/>
            <w:vAlign w:val="center"/>
          </w:tcPr>
          <w:p w:rsidR="009B078B" w:rsidRDefault="00C17D1C">
            <w:pPr>
              <w:jc w:val="right"/>
            </w:pPr>
            <w:r>
              <w:rPr>
                <w:color w:val="000000"/>
                <w:sz w:val="24"/>
              </w:rPr>
              <w:t>2,000,000</w:t>
            </w:r>
          </w:p>
        </w:tc>
        <w:tc>
          <w:tcPr>
            <w:tcW w:w="1737" w:type="dxa"/>
            <w:vAlign w:val="center"/>
          </w:tcPr>
          <w:p w:rsidR="009B078B" w:rsidRDefault="00C17D1C">
            <w:pPr>
              <w:jc w:val="right"/>
            </w:pPr>
            <w:r>
              <w:rPr>
                <w:color w:val="000000"/>
                <w:sz w:val="24"/>
              </w:rPr>
              <w:t>200,680,000.00</w:t>
            </w:r>
          </w:p>
        </w:tc>
        <w:tc>
          <w:tcPr>
            <w:tcW w:w="1701" w:type="dxa"/>
            <w:vAlign w:val="center"/>
          </w:tcPr>
          <w:p w:rsidR="009B078B" w:rsidRDefault="00C17D1C">
            <w:pPr>
              <w:jc w:val="right"/>
            </w:pPr>
            <w:r>
              <w:rPr>
                <w:color w:val="000000"/>
                <w:sz w:val="24"/>
              </w:rPr>
              <w:t>5.80</w:t>
            </w:r>
          </w:p>
        </w:tc>
      </w:tr>
      <w:tr w:rsidR="009B078B">
        <w:tc>
          <w:tcPr>
            <w:tcW w:w="1320" w:type="dxa"/>
            <w:vAlign w:val="center"/>
          </w:tcPr>
          <w:p w:rsidR="009B078B" w:rsidRDefault="00C17D1C">
            <w:pPr>
              <w:jc w:val="center"/>
            </w:pPr>
            <w:r>
              <w:rPr>
                <w:color w:val="000000"/>
                <w:sz w:val="24"/>
              </w:rPr>
              <w:t>5</w:t>
            </w:r>
          </w:p>
        </w:tc>
        <w:tc>
          <w:tcPr>
            <w:tcW w:w="1382" w:type="dxa"/>
            <w:vAlign w:val="center"/>
          </w:tcPr>
          <w:p w:rsidR="009B078B" w:rsidRDefault="00C17D1C">
            <w:pPr>
              <w:jc w:val="center"/>
            </w:pPr>
            <w:r>
              <w:rPr>
                <w:color w:val="000000"/>
                <w:sz w:val="24"/>
              </w:rPr>
              <w:t>011800261</w:t>
            </w:r>
          </w:p>
        </w:tc>
        <w:tc>
          <w:tcPr>
            <w:tcW w:w="1353" w:type="dxa"/>
            <w:vAlign w:val="center"/>
          </w:tcPr>
          <w:p w:rsidR="009B078B" w:rsidRDefault="00C17D1C">
            <w:pPr>
              <w:jc w:val="center"/>
            </w:pPr>
            <w:r>
              <w:rPr>
                <w:color w:val="000000"/>
                <w:sz w:val="24"/>
              </w:rPr>
              <w:t>18</w:t>
            </w:r>
            <w:proofErr w:type="gramStart"/>
            <w:r>
              <w:rPr>
                <w:color w:val="000000"/>
                <w:sz w:val="24"/>
              </w:rPr>
              <w:t>国电集</w:t>
            </w:r>
            <w:proofErr w:type="gramEnd"/>
            <w:r>
              <w:rPr>
                <w:color w:val="000000"/>
                <w:sz w:val="24"/>
              </w:rPr>
              <w:t>SCP001</w:t>
            </w:r>
          </w:p>
        </w:tc>
        <w:tc>
          <w:tcPr>
            <w:tcW w:w="1505" w:type="dxa"/>
            <w:vAlign w:val="center"/>
          </w:tcPr>
          <w:p w:rsidR="009B078B" w:rsidRDefault="00C17D1C">
            <w:pPr>
              <w:jc w:val="right"/>
            </w:pPr>
            <w:r>
              <w:rPr>
                <w:color w:val="000000"/>
                <w:sz w:val="24"/>
              </w:rPr>
              <w:t>1,500,000</w:t>
            </w:r>
          </w:p>
        </w:tc>
        <w:tc>
          <w:tcPr>
            <w:tcW w:w="1737" w:type="dxa"/>
            <w:vAlign w:val="center"/>
          </w:tcPr>
          <w:p w:rsidR="009B078B" w:rsidRDefault="00C17D1C">
            <w:pPr>
              <w:jc w:val="right"/>
            </w:pPr>
            <w:r>
              <w:rPr>
                <w:color w:val="000000"/>
                <w:sz w:val="24"/>
              </w:rPr>
              <w:t>150,540,000.00</w:t>
            </w:r>
          </w:p>
        </w:tc>
        <w:tc>
          <w:tcPr>
            <w:tcW w:w="1701" w:type="dxa"/>
            <w:vAlign w:val="center"/>
          </w:tcPr>
          <w:p w:rsidR="009B078B" w:rsidRDefault="00C17D1C">
            <w:pPr>
              <w:jc w:val="right"/>
            </w:pPr>
            <w:r>
              <w:rPr>
                <w:color w:val="000000"/>
                <w:sz w:val="24"/>
              </w:rPr>
              <w:t>4.35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lastRenderedPageBreak/>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59,283,767.51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400.00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59,284,167.51</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9B078B" w:rsidRDefault="00C17D1C">
      <w:pPr>
        <w:spacing w:before="29" w:line="288" w:lineRule="auto"/>
        <w:ind w:firstLineChars="200" w:firstLine="480"/>
        <w:rPr>
          <w:color w:val="000000"/>
          <w:sz w:val="24"/>
        </w:rPr>
      </w:pPr>
      <w:r>
        <w:rPr>
          <w:color w:val="000000"/>
          <w:sz w:val="24"/>
        </w:rPr>
        <w:t>由于四舍五入的原因，分项之和与合计项之间可能存在尾差。</w:t>
      </w:r>
    </w:p>
    <w:p w:rsidR="001548F9" w:rsidRPr="008A1551" w:rsidRDefault="001548F9" w:rsidP="009E1EA4">
      <w:pPr>
        <w:spacing w:before="29" w:line="288" w:lineRule="auto"/>
        <w:ind w:firstLineChars="200" w:firstLine="480"/>
        <w:rPr>
          <w:color w:val="000000"/>
          <w:sz w:val="24"/>
        </w:rPr>
      </w:pP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银裕利纯债</w:t>
            </w:r>
            <w:proofErr w:type="gramEnd"/>
            <w:r w:rsidRPr="008A1551">
              <w:rPr>
                <w:bCs/>
                <w:sz w:val="24"/>
              </w:rPr>
              <w:t>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34,517,736.24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47,600.97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交</w:t>
            </w:r>
            <w:proofErr w:type="gramStart"/>
            <w:r w:rsidRPr="008A1551">
              <w:rPr>
                <w:bCs/>
                <w:sz w:val="24"/>
              </w:rPr>
              <w:t>银裕利纯债</w:t>
            </w:r>
            <w:proofErr w:type="gramEnd"/>
            <w:r w:rsidRPr="008A1551">
              <w:rPr>
                <w:bCs/>
                <w:sz w:val="24"/>
              </w:rPr>
              <w:t>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1,261.45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126,145.40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198</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17,085,173.21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3,382,690,550.12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173,746.37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2,811.85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4,364.95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3.46%</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7,176.80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银裕利纯债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银裕利纯债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银裕利纯债</w:t>
            </w:r>
            <w:proofErr w:type="gramEnd"/>
            <w:r w:rsidRPr="008A1551">
              <w:rPr>
                <w:color w:val="000000"/>
                <w:kern w:val="0"/>
                <w:sz w:val="24"/>
              </w:rPr>
              <w:t>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银裕利纯债</w:t>
            </w:r>
            <w:proofErr w:type="gramEnd"/>
            <w:r w:rsidRPr="008A1551">
              <w:rPr>
                <w:color w:val="000000"/>
                <w:kern w:val="0"/>
                <w:sz w:val="24"/>
              </w:rPr>
              <w:t>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银裕利纯债</w:t>
            </w:r>
            <w:proofErr w:type="gramEnd"/>
            <w:r w:rsidRPr="008A1551">
              <w:rPr>
                <w:sz w:val="24"/>
              </w:rPr>
              <w:t>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11</w:t>
            </w:r>
            <w:r w:rsidRPr="008A1551">
              <w:rPr>
                <w:sz w:val="24"/>
              </w:rPr>
              <w:t>月</w:t>
            </w:r>
            <w:r w:rsidRPr="008A1551">
              <w:rPr>
                <w:sz w:val="24"/>
              </w:rPr>
              <w:t>23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210,034,626.77</w:t>
            </w:r>
          </w:p>
        </w:tc>
        <w:tc>
          <w:tcPr>
            <w:tcW w:w="1615" w:type="pct"/>
            <w:vAlign w:val="center"/>
          </w:tcPr>
          <w:p w:rsidR="001548F9" w:rsidRPr="008A1551" w:rsidRDefault="001548F9" w:rsidP="009E1EA4">
            <w:pPr>
              <w:spacing w:before="29" w:line="288" w:lineRule="auto"/>
              <w:jc w:val="right"/>
              <w:rPr>
                <w:sz w:val="24"/>
              </w:rPr>
            </w:pPr>
            <w:r w:rsidRPr="008A1551">
              <w:rPr>
                <w:sz w:val="24"/>
              </w:rPr>
              <w:t>19,560.93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3,392,475,347.66</w:t>
            </w:r>
          </w:p>
        </w:tc>
        <w:tc>
          <w:tcPr>
            <w:tcW w:w="1615" w:type="pct"/>
            <w:vAlign w:val="center"/>
          </w:tcPr>
          <w:p w:rsidR="001548F9" w:rsidRPr="008A1551" w:rsidRDefault="001548F9" w:rsidP="009E1EA4">
            <w:pPr>
              <w:spacing w:before="29" w:line="288" w:lineRule="auto"/>
              <w:jc w:val="right"/>
              <w:rPr>
                <w:sz w:val="24"/>
              </w:rPr>
            </w:pPr>
            <w:r w:rsidRPr="008A1551">
              <w:rPr>
                <w:sz w:val="24"/>
              </w:rPr>
              <w:t>136,091.28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39,105.14</w:t>
            </w:r>
          </w:p>
        </w:tc>
        <w:tc>
          <w:tcPr>
            <w:tcW w:w="1615" w:type="pct"/>
            <w:vAlign w:val="center"/>
          </w:tcPr>
          <w:p w:rsidR="001548F9" w:rsidRPr="008A1551" w:rsidRDefault="001548F9" w:rsidP="009E1EA4">
            <w:pPr>
              <w:spacing w:before="29" w:line="288" w:lineRule="auto"/>
              <w:jc w:val="right"/>
              <w:rPr>
                <w:sz w:val="24"/>
              </w:rPr>
            </w:pPr>
            <w:r w:rsidRPr="008A1551">
              <w:rPr>
                <w:sz w:val="24"/>
              </w:rPr>
              <w:t>3,072.48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lastRenderedPageBreak/>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9,776,301.71</w:t>
            </w:r>
          </w:p>
        </w:tc>
        <w:tc>
          <w:tcPr>
            <w:tcW w:w="1615" w:type="pct"/>
            <w:vAlign w:val="center"/>
          </w:tcPr>
          <w:p w:rsidR="001548F9" w:rsidRPr="008A1551" w:rsidRDefault="001548F9" w:rsidP="009E1EA4">
            <w:pPr>
              <w:spacing w:before="29" w:line="288" w:lineRule="auto"/>
              <w:jc w:val="right"/>
              <w:rPr>
                <w:sz w:val="24"/>
              </w:rPr>
            </w:pPr>
            <w:r w:rsidRPr="008A1551">
              <w:rPr>
                <w:sz w:val="24"/>
              </w:rPr>
              <w:t>13,018.36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3,382,738,151.09</w:t>
            </w:r>
          </w:p>
        </w:tc>
        <w:tc>
          <w:tcPr>
            <w:tcW w:w="1615" w:type="pct"/>
            <w:vAlign w:val="center"/>
          </w:tcPr>
          <w:p w:rsidR="001548F9" w:rsidRPr="008A1551" w:rsidRDefault="001548F9" w:rsidP="009E1EA4">
            <w:pPr>
              <w:spacing w:before="29" w:line="288" w:lineRule="auto"/>
              <w:jc w:val="right"/>
              <w:rPr>
                <w:sz w:val="24"/>
              </w:rPr>
            </w:pPr>
            <w:r w:rsidRPr="008A1551">
              <w:rPr>
                <w:sz w:val="24"/>
              </w:rPr>
              <w:t>126,145.40</w:t>
            </w:r>
          </w:p>
        </w:tc>
      </w:tr>
    </w:tbl>
    <w:p w:rsidR="009B078B" w:rsidRDefault="00C17D1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9B078B" w:rsidRDefault="00C17D1C">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B078B" w:rsidRDefault="00C17D1C">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B078B" w:rsidRDefault="00C17D1C">
      <w:pPr>
        <w:tabs>
          <w:tab w:val="left" w:pos="426"/>
        </w:tabs>
        <w:spacing w:before="29" w:line="288" w:lineRule="auto"/>
        <w:jc w:val="left"/>
        <w:rPr>
          <w:kern w:val="0"/>
          <w:sz w:val="24"/>
        </w:rPr>
      </w:pPr>
      <w:r>
        <w:rPr>
          <w:kern w:val="0"/>
          <w:sz w:val="24"/>
        </w:rPr>
        <w:lastRenderedPageBreak/>
        <w:t>基金管理人及其高级管理人员本报告期内未受监管部门稽查或处罚。</w:t>
      </w:r>
    </w:p>
    <w:p w:rsidR="009B078B" w:rsidRDefault="00C17D1C">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9B078B">
        <w:tc>
          <w:tcPr>
            <w:tcW w:w="1559" w:type="dxa"/>
            <w:vAlign w:val="center"/>
          </w:tcPr>
          <w:p w:rsidR="009B078B" w:rsidRDefault="00C17D1C">
            <w:pPr>
              <w:jc w:val="center"/>
            </w:pPr>
            <w:r>
              <w:rPr>
                <w:color w:val="000000"/>
                <w:sz w:val="24"/>
              </w:rPr>
              <w:t>华创证券有限责任公司</w:t>
            </w:r>
          </w:p>
        </w:tc>
        <w:tc>
          <w:tcPr>
            <w:tcW w:w="779" w:type="dxa"/>
            <w:vAlign w:val="center"/>
          </w:tcPr>
          <w:p w:rsidR="009B078B" w:rsidRDefault="00C17D1C">
            <w:pPr>
              <w:jc w:val="center"/>
            </w:pPr>
            <w:r>
              <w:rPr>
                <w:color w:val="000000"/>
                <w:sz w:val="24"/>
              </w:rPr>
              <w:t>2</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东吴证券股份有限公司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国信证券股份有限公司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第一创业证券股份有限公司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proofErr w:type="gramStart"/>
            <w:r>
              <w:rPr>
                <w:color w:val="000000"/>
                <w:sz w:val="24"/>
              </w:rPr>
              <w:t>川财证券</w:t>
            </w:r>
            <w:proofErr w:type="gramEnd"/>
            <w:r>
              <w:rPr>
                <w:color w:val="000000"/>
                <w:sz w:val="24"/>
              </w:rPr>
              <w:t>有限责任公司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长城证券股份有限公司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上海华信证券有限责任公司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西南证券股份有限公司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国联证券股份有限公司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瑞银证券有限责任公司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proofErr w:type="gramStart"/>
            <w:r>
              <w:rPr>
                <w:color w:val="000000"/>
                <w:sz w:val="24"/>
              </w:rPr>
              <w:t>申万宏源证券</w:t>
            </w:r>
            <w:proofErr w:type="gramEnd"/>
            <w:r>
              <w:rPr>
                <w:color w:val="000000"/>
                <w:sz w:val="24"/>
              </w:rPr>
              <w:t>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中国国际金融股份有限公司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招商证券股份有限公司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lastRenderedPageBreak/>
              <w:t>中</w:t>
            </w:r>
            <w:proofErr w:type="gramStart"/>
            <w:r>
              <w:rPr>
                <w:color w:val="000000"/>
                <w:sz w:val="24"/>
              </w:rPr>
              <w:t>信建投证券</w:t>
            </w:r>
            <w:proofErr w:type="gramEnd"/>
            <w:r>
              <w:rPr>
                <w:color w:val="000000"/>
                <w:sz w:val="24"/>
              </w:rPr>
              <w:t>股份有限公司</w:t>
            </w:r>
          </w:p>
        </w:tc>
        <w:tc>
          <w:tcPr>
            <w:tcW w:w="779" w:type="dxa"/>
            <w:vAlign w:val="center"/>
          </w:tcPr>
          <w:p w:rsidR="009B078B" w:rsidRDefault="00C17D1C">
            <w:pPr>
              <w:jc w:val="center"/>
            </w:pPr>
            <w:r>
              <w:rPr>
                <w:color w:val="000000"/>
                <w:sz w:val="24"/>
              </w:rPr>
              <w:t>2</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中国银河证券股份有限公司</w:t>
            </w:r>
          </w:p>
        </w:tc>
        <w:tc>
          <w:tcPr>
            <w:tcW w:w="779" w:type="dxa"/>
            <w:vAlign w:val="center"/>
          </w:tcPr>
          <w:p w:rsidR="009B078B" w:rsidRDefault="00C17D1C">
            <w:pPr>
              <w:jc w:val="center"/>
            </w:pPr>
            <w:r>
              <w:rPr>
                <w:color w:val="000000"/>
                <w:sz w:val="24"/>
              </w:rPr>
              <w:t>2</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东方证券股份有限公司</w:t>
            </w:r>
          </w:p>
        </w:tc>
        <w:tc>
          <w:tcPr>
            <w:tcW w:w="779" w:type="dxa"/>
            <w:vAlign w:val="center"/>
          </w:tcPr>
          <w:p w:rsidR="009B078B" w:rsidRDefault="00C17D1C">
            <w:pPr>
              <w:jc w:val="center"/>
            </w:pPr>
            <w:r>
              <w:rPr>
                <w:color w:val="000000"/>
                <w:sz w:val="24"/>
              </w:rPr>
              <w:t>2</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方正证券股份有限公司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北京高华证券有限责任公司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国金证券股份有限公司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国泰君安证券股份有限公司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兴业证券股份有限公司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中泰证券股份有限公司</w:t>
            </w:r>
          </w:p>
        </w:tc>
        <w:tc>
          <w:tcPr>
            <w:tcW w:w="779" w:type="dxa"/>
            <w:vAlign w:val="center"/>
          </w:tcPr>
          <w:p w:rsidR="009B078B" w:rsidRDefault="00C17D1C">
            <w:pPr>
              <w:jc w:val="center"/>
            </w:pPr>
            <w:r>
              <w:rPr>
                <w:color w:val="000000"/>
                <w:sz w:val="24"/>
              </w:rPr>
              <w:t>2</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西部证券股份有限公司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r w:rsidR="009B078B">
        <w:tc>
          <w:tcPr>
            <w:tcW w:w="1559" w:type="dxa"/>
            <w:vAlign w:val="center"/>
          </w:tcPr>
          <w:p w:rsidR="009B078B" w:rsidRDefault="00C17D1C">
            <w:pPr>
              <w:jc w:val="center"/>
            </w:pPr>
            <w:r>
              <w:rPr>
                <w:color w:val="000000"/>
                <w:sz w:val="24"/>
              </w:rPr>
              <w:t>中信证券股份有限公司</w:t>
            </w:r>
          </w:p>
        </w:tc>
        <w:tc>
          <w:tcPr>
            <w:tcW w:w="779" w:type="dxa"/>
            <w:vAlign w:val="center"/>
          </w:tcPr>
          <w:p w:rsidR="009B078B" w:rsidRDefault="00C17D1C">
            <w:pPr>
              <w:jc w:val="center"/>
            </w:pPr>
            <w:r>
              <w:rPr>
                <w:color w:val="000000"/>
                <w:sz w:val="24"/>
              </w:rPr>
              <w:t>1</w:t>
            </w:r>
          </w:p>
        </w:tc>
        <w:tc>
          <w:tcPr>
            <w:tcW w:w="180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620" w:type="dxa"/>
            <w:vAlign w:val="center"/>
          </w:tcPr>
          <w:p w:rsidR="009B078B" w:rsidRDefault="00C17D1C">
            <w:pPr>
              <w:jc w:val="right"/>
            </w:pPr>
            <w:r>
              <w:rPr>
                <w:color w:val="000000"/>
                <w:sz w:val="24"/>
              </w:rPr>
              <w:t>-</w:t>
            </w:r>
          </w:p>
        </w:tc>
        <w:tc>
          <w:tcPr>
            <w:tcW w:w="1080" w:type="dxa"/>
            <w:vAlign w:val="center"/>
          </w:tcPr>
          <w:p w:rsidR="009B078B" w:rsidRDefault="00C17D1C">
            <w:pPr>
              <w:jc w:val="right"/>
            </w:pPr>
            <w:r>
              <w:rPr>
                <w:color w:val="000000"/>
                <w:sz w:val="24"/>
              </w:rPr>
              <w:t>-</w:t>
            </w:r>
          </w:p>
        </w:tc>
        <w:tc>
          <w:tcPr>
            <w:tcW w:w="1080" w:type="dxa"/>
            <w:vAlign w:val="center"/>
          </w:tcPr>
          <w:p w:rsidR="009B078B" w:rsidRDefault="00C17D1C">
            <w:pPr>
              <w:jc w:val="left"/>
            </w:pPr>
            <w:r>
              <w:rPr>
                <w:color w:val="000000"/>
                <w:sz w:val="24"/>
              </w:rPr>
              <w:t>-</w:t>
            </w:r>
          </w:p>
        </w:tc>
      </w:tr>
    </w:tbl>
    <w:p w:rsidR="009B078B" w:rsidRDefault="00C17D1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B078B" w:rsidRDefault="00C17D1C">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tabs>
          <w:tab w:val="left" w:pos="426"/>
        </w:tabs>
        <w:spacing w:before="29" w:line="288" w:lineRule="auto"/>
        <w:jc w:val="left"/>
        <w:rPr>
          <w:kern w:val="0"/>
          <w:sz w:val="24"/>
        </w:rPr>
      </w:pPr>
      <w:r w:rsidRPr="008A1551">
        <w:rPr>
          <w:kern w:val="0"/>
          <w:sz w:val="24"/>
        </w:rPr>
        <w:t>无。</w:t>
      </w: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5"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5"/>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w:t>
            </w:r>
            <w:r w:rsidRPr="004F0662">
              <w:rPr>
                <w:rFonts w:ascii="宋体" w:hAnsi="宋体" w:hint="eastAsia"/>
                <w:color w:val="000000"/>
                <w:kern w:val="0"/>
                <w:szCs w:val="21"/>
              </w:rPr>
              <w:lastRenderedPageBreak/>
              <w:t>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lastRenderedPageBreak/>
              <w:t>期初份</w:t>
            </w:r>
            <w:r w:rsidRPr="004F0662">
              <w:rPr>
                <w:rFonts w:ascii="宋体" w:hAnsi="宋体" w:hint="eastAsia"/>
                <w:color w:val="000000"/>
                <w:kern w:val="0"/>
                <w:szCs w:val="21"/>
              </w:rPr>
              <w:lastRenderedPageBreak/>
              <w:t>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lastRenderedPageBreak/>
              <w:t>申购份</w:t>
            </w:r>
            <w:r w:rsidRPr="004F0662">
              <w:rPr>
                <w:rFonts w:ascii="宋体" w:hAnsi="宋体" w:hint="eastAsia"/>
                <w:color w:val="000000"/>
                <w:kern w:val="0"/>
                <w:szCs w:val="21"/>
              </w:rPr>
              <w:lastRenderedPageBreak/>
              <w:t>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lastRenderedPageBreak/>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B078B">
        <w:tc>
          <w:tcPr>
            <w:tcW w:w="993" w:type="dxa"/>
            <w:vMerge w:val="restart"/>
          </w:tcPr>
          <w:p w:rsidR="009B078B" w:rsidRDefault="009B078B"/>
          <w:p w:rsidR="009B078B" w:rsidRDefault="00C17D1C">
            <w:r>
              <w:rPr>
                <w:rFonts w:ascii="宋体" w:hAnsi="宋体" w:hint="eastAsia"/>
                <w:bCs/>
                <w:color w:val="000000"/>
                <w:kern w:val="0"/>
                <w:szCs w:val="21"/>
              </w:rPr>
              <w:t>机构</w:t>
            </w:r>
          </w:p>
        </w:tc>
        <w:tc>
          <w:tcPr>
            <w:tcW w:w="992" w:type="dxa"/>
            <w:vAlign w:val="center"/>
          </w:tcPr>
          <w:p w:rsidR="009B078B" w:rsidRDefault="00C17D1C">
            <w:pPr>
              <w:jc w:val="center"/>
            </w:pPr>
            <w:r>
              <w:rPr>
                <w:rFonts w:ascii="宋体" w:hAnsi="宋体"/>
                <w:color w:val="000000"/>
                <w:kern w:val="0"/>
                <w:szCs w:val="21"/>
              </w:rPr>
              <w:t>1</w:t>
            </w:r>
          </w:p>
        </w:tc>
        <w:tc>
          <w:tcPr>
            <w:tcW w:w="1843" w:type="dxa"/>
            <w:vAlign w:val="center"/>
          </w:tcPr>
          <w:p w:rsidR="009B078B" w:rsidRDefault="00C17D1C">
            <w:pPr>
              <w:jc w:val="center"/>
            </w:pPr>
            <w:r>
              <w:rPr>
                <w:rFonts w:ascii="宋体" w:hAnsi="宋体"/>
                <w:color w:val="000000"/>
                <w:kern w:val="0"/>
                <w:szCs w:val="21"/>
              </w:rPr>
              <w:t>2018/1/1-2018/6/30</w:t>
            </w:r>
          </w:p>
        </w:tc>
        <w:tc>
          <w:tcPr>
            <w:tcW w:w="851" w:type="dxa"/>
            <w:vAlign w:val="center"/>
          </w:tcPr>
          <w:p w:rsidR="009B078B" w:rsidRDefault="00C17D1C">
            <w:pPr>
              <w:jc w:val="center"/>
            </w:pPr>
            <w:r>
              <w:rPr>
                <w:rFonts w:ascii="宋体" w:hAnsi="宋体"/>
                <w:color w:val="000000"/>
                <w:kern w:val="0"/>
                <w:szCs w:val="21"/>
              </w:rPr>
              <w:t>3,382,690,550.12</w:t>
            </w:r>
          </w:p>
        </w:tc>
        <w:tc>
          <w:tcPr>
            <w:tcW w:w="850" w:type="dxa"/>
            <w:vAlign w:val="center"/>
          </w:tcPr>
          <w:p w:rsidR="009B078B" w:rsidRDefault="00C17D1C">
            <w:pPr>
              <w:jc w:val="center"/>
            </w:pPr>
            <w:r>
              <w:rPr>
                <w:rFonts w:ascii="宋体" w:hAnsi="宋体"/>
                <w:color w:val="000000"/>
                <w:kern w:val="0"/>
                <w:szCs w:val="21"/>
              </w:rPr>
              <w:t>-</w:t>
            </w:r>
          </w:p>
        </w:tc>
        <w:tc>
          <w:tcPr>
            <w:tcW w:w="1134" w:type="dxa"/>
            <w:vAlign w:val="center"/>
          </w:tcPr>
          <w:p w:rsidR="009B078B" w:rsidRDefault="00C17D1C">
            <w:pPr>
              <w:jc w:val="center"/>
            </w:pPr>
            <w:r>
              <w:rPr>
                <w:rFonts w:ascii="宋体" w:hAnsi="宋体"/>
                <w:color w:val="000000"/>
                <w:kern w:val="0"/>
                <w:szCs w:val="21"/>
              </w:rPr>
              <w:t>-</w:t>
            </w:r>
          </w:p>
        </w:tc>
        <w:tc>
          <w:tcPr>
            <w:tcW w:w="1419" w:type="dxa"/>
            <w:vAlign w:val="center"/>
          </w:tcPr>
          <w:p w:rsidR="009B078B" w:rsidRDefault="00C17D1C">
            <w:pPr>
              <w:jc w:val="center"/>
            </w:pPr>
            <w:r>
              <w:rPr>
                <w:rFonts w:ascii="宋体" w:hAnsi="宋体"/>
                <w:color w:val="000000"/>
                <w:kern w:val="0"/>
                <w:szCs w:val="21"/>
              </w:rPr>
              <w:t>3,382,690,550.12</w:t>
            </w:r>
          </w:p>
        </w:tc>
        <w:tc>
          <w:tcPr>
            <w:tcW w:w="1130" w:type="dxa"/>
            <w:vAlign w:val="center"/>
          </w:tcPr>
          <w:p w:rsidR="009B078B" w:rsidRDefault="00C17D1C">
            <w:pPr>
              <w:jc w:val="center"/>
            </w:pPr>
            <w:r>
              <w:rPr>
                <w:rFonts w:ascii="宋体" w:hAnsi="宋体"/>
                <w:color w:val="000000"/>
                <w:kern w:val="0"/>
                <w:szCs w:val="21"/>
              </w:rPr>
              <w:t>99.99%</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9B078B" w:rsidRDefault="00C17D1C">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C44" w:rsidRDefault="00054C44">
      <w:r>
        <w:separator/>
      </w:r>
    </w:p>
  </w:endnote>
  <w:endnote w:type="continuationSeparator" w:id="0">
    <w:p w:rsidR="00054C44" w:rsidRDefault="0005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C17D1C">
      <w:rPr>
        <w:noProof/>
        <w:kern w:val="0"/>
        <w:szCs w:val="21"/>
      </w:rPr>
      <w:t>28</w:t>
    </w:r>
    <w:r w:rsidR="00A212FB">
      <w:rPr>
        <w:kern w:val="0"/>
        <w:szCs w:val="21"/>
      </w:rPr>
      <w:fldChar w:fldCharType="end"/>
    </w:r>
    <w:proofErr w:type="gramStart"/>
    <w:r>
      <w:rPr>
        <w:rFonts w:hint="eastAsia"/>
        <w:kern w:val="0"/>
        <w:szCs w:val="21"/>
      </w:rPr>
      <w:t>页共</w:t>
    </w:r>
    <w:proofErr w:type="gramEnd"/>
    <w:r w:rsidR="00A212FB">
      <w:rPr>
        <w:kern w:val="0"/>
        <w:szCs w:val="21"/>
      </w:rPr>
      <w:fldChar w:fldCharType="begin"/>
    </w:r>
    <w:r>
      <w:rPr>
        <w:kern w:val="0"/>
        <w:szCs w:val="21"/>
      </w:rPr>
      <w:instrText xml:space="preserve"> NUMPAGES </w:instrText>
    </w:r>
    <w:r w:rsidR="00A212FB">
      <w:rPr>
        <w:kern w:val="0"/>
        <w:szCs w:val="21"/>
      </w:rPr>
      <w:fldChar w:fldCharType="separate"/>
    </w:r>
    <w:r w:rsidR="00C17D1C">
      <w:rPr>
        <w:noProof/>
        <w:kern w:val="0"/>
        <w:szCs w:val="21"/>
      </w:rPr>
      <w:t>30</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C44" w:rsidRDefault="00054C44">
      <w:r>
        <w:separator/>
      </w:r>
    </w:p>
  </w:footnote>
  <w:footnote w:type="continuationSeparator" w:id="0">
    <w:p w:rsidR="00054C44" w:rsidRDefault="00054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t>交银施罗德</w:t>
    </w:r>
    <w:proofErr w:type="gramStart"/>
    <w:r w:rsidRPr="003B6CAA">
      <w:t>裕利纯债</w:t>
    </w:r>
    <w:proofErr w:type="gramEnd"/>
    <w:r w:rsidRPr="003B6CAA">
      <w:t>债券型证券投资基金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5E6C"/>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5ACA"/>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8B"/>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17D1C"/>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0099"/>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30</Pages>
  <Words>3106</Words>
  <Characters>17708</Characters>
  <Application>Microsoft Office Word</Application>
  <DocSecurity>0</DocSecurity>
  <Lines>147</Lines>
  <Paragraphs>41</Paragraphs>
  <ScaleCrop>false</ScaleCrop>
  <Company/>
  <LinksUpToDate>false</LinksUpToDate>
  <CharactersWithSpaces>20773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biz-sunbinglei</cp:lastModifiedBy>
  <cp:revision>663</cp:revision>
  <cp:lastPrinted>2007-07-19T00:46:00Z</cp:lastPrinted>
  <dcterms:created xsi:type="dcterms:W3CDTF">2013-08-19T07:43:00Z</dcterms:created>
  <dcterms:modified xsi:type="dcterms:W3CDTF">2018-08-23T03:13:00Z</dcterms:modified>
</cp:coreProperties>
</file>