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w:t>
      </w:r>
      <w:proofErr w:type="gramStart"/>
      <w:r w:rsidRPr="008A1551">
        <w:rPr>
          <w:b/>
          <w:sz w:val="36"/>
          <w:szCs w:val="36"/>
        </w:rPr>
        <w:t>裕盈纯债</w:t>
      </w:r>
      <w:proofErr w:type="gramEnd"/>
      <w:r w:rsidRPr="008A1551">
        <w:rPr>
          <w:b/>
          <w:sz w:val="36"/>
          <w:szCs w:val="36"/>
        </w:rPr>
        <w:t>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基金托管人：兴业银行股份有限公司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兴业银行股份有限公司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519776</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519776</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11</w:t>
            </w:r>
            <w:r w:rsidRPr="008A1551">
              <w:rPr>
                <w:sz w:val="24"/>
              </w:rPr>
              <w:t>月</w:t>
            </w:r>
            <w:r w:rsidRPr="008A1551">
              <w:rPr>
                <w:sz w:val="24"/>
              </w:rPr>
              <w:t>4</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兴业银行股份有限公司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997,220,660.68</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519776</w:t>
            </w:r>
          </w:p>
        </w:tc>
        <w:tc>
          <w:tcPr>
            <w:tcW w:w="2596" w:type="dxa"/>
            <w:vAlign w:val="center"/>
          </w:tcPr>
          <w:p w:rsidR="0073136C" w:rsidRPr="008A1551" w:rsidRDefault="0073136C" w:rsidP="009E1EA4">
            <w:pPr>
              <w:spacing w:before="29" w:line="288" w:lineRule="auto"/>
              <w:jc w:val="center"/>
              <w:rPr>
                <w:sz w:val="24"/>
              </w:rPr>
            </w:pPr>
            <w:r w:rsidRPr="008A1551">
              <w:rPr>
                <w:sz w:val="24"/>
              </w:rPr>
              <w:t>519777</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997,188,831.47</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31,829.21</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本基金在严格控制风险和保持资产流动性的基础上，通过积极主动的投资管理，追求基金资产的长期稳健增值，力争实现超越业绩比较基准的投资回报。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w:t>
            </w:r>
            <w:proofErr w:type="gramStart"/>
            <w:r w:rsidRPr="008A1551">
              <w:rPr>
                <w:sz w:val="24"/>
              </w:rPr>
              <w:t>作出</w:t>
            </w:r>
            <w:proofErr w:type="gramEnd"/>
            <w:r w:rsidRPr="008A1551">
              <w:rPr>
                <w:sz w:val="24"/>
              </w:rPr>
              <w:t>分析和判断，对未来市场利率趋势及市场信用环境变化</w:t>
            </w:r>
            <w:proofErr w:type="gramStart"/>
            <w:r w:rsidRPr="008A1551">
              <w:rPr>
                <w:sz w:val="24"/>
              </w:rPr>
              <w:t>作出</w:t>
            </w:r>
            <w:proofErr w:type="gramEnd"/>
            <w:r w:rsidRPr="008A1551">
              <w:rPr>
                <w:sz w:val="24"/>
              </w:rPr>
              <w:t>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w:t>
            </w:r>
            <w:proofErr w:type="gramStart"/>
            <w:r w:rsidRPr="008A1551">
              <w:rPr>
                <w:sz w:val="24"/>
              </w:rPr>
              <w:t>债综合全价指数</w:t>
            </w:r>
            <w:proofErr w:type="gramEnd"/>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兴业银行股份有限公司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吴玉婷</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021-52629999-212052</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xxpl@jysld.com,disclosure@jysld.com</w:t>
            </w:r>
            <w:proofErr w:type="gramEnd"/>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015289@cib.com.cn</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95561</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021-62535823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23,803,110.07</w:t>
            </w:r>
          </w:p>
        </w:tc>
        <w:tc>
          <w:tcPr>
            <w:tcW w:w="2558" w:type="dxa"/>
            <w:vAlign w:val="center"/>
          </w:tcPr>
          <w:p w:rsidR="001548F9" w:rsidRPr="008A1551" w:rsidRDefault="001548F9" w:rsidP="009E1EA4">
            <w:pPr>
              <w:spacing w:before="29" w:line="288" w:lineRule="auto"/>
              <w:jc w:val="right"/>
              <w:rPr>
                <w:sz w:val="24"/>
              </w:rPr>
            </w:pPr>
            <w:r w:rsidRPr="008A1551">
              <w:rPr>
                <w:sz w:val="24"/>
              </w:rPr>
              <w:t>1,829.31</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35,917,196.61</w:t>
            </w:r>
          </w:p>
        </w:tc>
        <w:tc>
          <w:tcPr>
            <w:tcW w:w="2558" w:type="dxa"/>
            <w:vAlign w:val="center"/>
          </w:tcPr>
          <w:p w:rsidR="001548F9" w:rsidRPr="008A1551" w:rsidRDefault="001548F9" w:rsidP="009E1EA4">
            <w:pPr>
              <w:spacing w:before="29" w:line="288" w:lineRule="auto"/>
              <w:jc w:val="right"/>
              <w:rPr>
                <w:sz w:val="24"/>
              </w:rPr>
            </w:pPr>
            <w:r w:rsidRPr="008A1551">
              <w:rPr>
                <w:sz w:val="24"/>
              </w:rPr>
              <w:t>-16.41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0.0360</w:t>
            </w:r>
          </w:p>
        </w:tc>
        <w:tc>
          <w:tcPr>
            <w:tcW w:w="2558" w:type="dxa"/>
            <w:vAlign w:val="center"/>
          </w:tcPr>
          <w:p w:rsidR="001548F9" w:rsidRPr="008A1551" w:rsidRDefault="001548F9" w:rsidP="009E1EA4">
            <w:pPr>
              <w:spacing w:before="29" w:line="288" w:lineRule="auto"/>
              <w:jc w:val="right"/>
              <w:rPr>
                <w:sz w:val="24"/>
              </w:rPr>
            </w:pPr>
            <w:r w:rsidRPr="008A1551">
              <w:rPr>
                <w:sz w:val="24"/>
              </w:rPr>
              <w:t>-0.0002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3.53%</w:t>
            </w:r>
          </w:p>
        </w:tc>
        <w:tc>
          <w:tcPr>
            <w:tcW w:w="2558" w:type="dxa"/>
            <w:vAlign w:val="center"/>
          </w:tcPr>
          <w:p w:rsidR="001548F9" w:rsidRPr="008A1551" w:rsidRDefault="001548F9" w:rsidP="009E1EA4">
            <w:pPr>
              <w:spacing w:before="29" w:line="288" w:lineRule="auto"/>
              <w:jc w:val="right"/>
              <w:rPr>
                <w:sz w:val="24"/>
              </w:rPr>
            </w:pPr>
            <w:r w:rsidRPr="008A1551">
              <w:rPr>
                <w:sz w:val="24"/>
              </w:rPr>
              <w:t>4.72%</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银裕盈纯债</w:t>
            </w:r>
            <w:proofErr w:type="gramEnd"/>
            <w:r w:rsidRPr="008A1551">
              <w:rPr>
                <w:color w:val="000000"/>
                <w:sz w:val="24"/>
              </w:rPr>
              <w:t>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银裕盈纯债</w:t>
            </w:r>
            <w:proofErr w:type="gramEnd"/>
            <w:r w:rsidRPr="008A1551">
              <w:rPr>
                <w:color w:val="000000"/>
                <w:sz w:val="24"/>
              </w:rPr>
              <w:t>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0.057</w:t>
            </w:r>
          </w:p>
        </w:tc>
        <w:tc>
          <w:tcPr>
            <w:tcW w:w="2558" w:type="dxa"/>
            <w:vAlign w:val="center"/>
          </w:tcPr>
          <w:p w:rsidR="001548F9" w:rsidRPr="008A1551" w:rsidRDefault="001548F9" w:rsidP="009E1EA4">
            <w:pPr>
              <w:spacing w:before="29" w:line="288" w:lineRule="auto"/>
              <w:jc w:val="right"/>
              <w:rPr>
                <w:sz w:val="24"/>
              </w:rPr>
            </w:pPr>
            <w:r w:rsidRPr="008A1551">
              <w:rPr>
                <w:sz w:val="24"/>
              </w:rPr>
              <w:t>0.064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1,053,690,311.11</w:t>
            </w:r>
          </w:p>
        </w:tc>
        <w:tc>
          <w:tcPr>
            <w:tcW w:w="2558" w:type="dxa"/>
            <w:vAlign w:val="center"/>
          </w:tcPr>
          <w:p w:rsidR="001548F9" w:rsidRPr="008A1551" w:rsidRDefault="001548F9" w:rsidP="009E1EA4">
            <w:pPr>
              <w:spacing w:before="29" w:line="288" w:lineRule="auto"/>
              <w:jc w:val="right"/>
              <w:rPr>
                <w:sz w:val="24"/>
              </w:rPr>
            </w:pPr>
            <w:r w:rsidRPr="008A1551">
              <w:rPr>
                <w:sz w:val="24"/>
              </w:rPr>
              <w:t>33,861.79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1.057</w:t>
            </w:r>
          </w:p>
        </w:tc>
        <w:tc>
          <w:tcPr>
            <w:tcW w:w="2558" w:type="dxa"/>
            <w:vAlign w:val="center"/>
          </w:tcPr>
          <w:p w:rsidR="001548F9" w:rsidRPr="008A1551" w:rsidRDefault="001548F9" w:rsidP="009E1EA4">
            <w:pPr>
              <w:spacing w:before="29" w:line="288" w:lineRule="auto"/>
              <w:jc w:val="right"/>
              <w:rPr>
                <w:sz w:val="24"/>
              </w:rPr>
            </w:pPr>
            <w:r w:rsidRPr="008A1551">
              <w:rPr>
                <w:sz w:val="24"/>
              </w:rPr>
              <w:t>1.064</w:t>
            </w:r>
          </w:p>
        </w:tc>
      </w:tr>
    </w:tbl>
    <w:p w:rsidR="00572780" w:rsidRDefault="00E4225C">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银裕盈纯债</w:t>
      </w:r>
      <w:proofErr w:type="gramEnd"/>
      <w:r w:rsidRPr="008A1551">
        <w:rPr>
          <w:rFonts w:ascii="Times New Roman" w:hAnsi="Times New Roman"/>
          <w:color w:val="auto"/>
        </w:rPr>
        <w:t>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72780">
        <w:tc>
          <w:tcPr>
            <w:tcW w:w="1497" w:type="dxa"/>
            <w:vAlign w:val="center"/>
          </w:tcPr>
          <w:p w:rsidR="00572780" w:rsidRDefault="00E4225C">
            <w:pPr>
              <w:jc w:val="left"/>
            </w:pPr>
            <w:r>
              <w:rPr>
                <w:color w:val="000000"/>
                <w:sz w:val="24"/>
              </w:rPr>
              <w:t>过去一个月</w:t>
            </w:r>
          </w:p>
        </w:tc>
        <w:tc>
          <w:tcPr>
            <w:tcW w:w="1251" w:type="dxa"/>
            <w:vAlign w:val="center"/>
          </w:tcPr>
          <w:p w:rsidR="00572780" w:rsidRDefault="00E4225C">
            <w:pPr>
              <w:jc w:val="center"/>
            </w:pPr>
            <w:r>
              <w:rPr>
                <w:color w:val="000000"/>
                <w:sz w:val="24"/>
              </w:rPr>
              <w:t>0.48%</w:t>
            </w:r>
          </w:p>
        </w:tc>
        <w:tc>
          <w:tcPr>
            <w:tcW w:w="1250" w:type="dxa"/>
            <w:vAlign w:val="center"/>
          </w:tcPr>
          <w:p w:rsidR="00572780" w:rsidRDefault="00E4225C">
            <w:pPr>
              <w:jc w:val="center"/>
            </w:pPr>
            <w:r>
              <w:rPr>
                <w:color w:val="000000"/>
                <w:sz w:val="24"/>
              </w:rPr>
              <w:t>0.05%</w:t>
            </w:r>
          </w:p>
        </w:tc>
        <w:tc>
          <w:tcPr>
            <w:tcW w:w="1250" w:type="dxa"/>
            <w:vAlign w:val="center"/>
          </w:tcPr>
          <w:p w:rsidR="00572780" w:rsidRDefault="00E4225C">
            <w:pPr>
              <w:jc w:val="center"/>
            </w:pPr>
            <w:r>
              <w:rPr>
                <w:color w:val="000000"/>
                <w:sz w:val="24"/>
              </w:rPr>
              <w:t>0.34%</w:t>
            </w:r>
          </w:p>
        </w:tc>
        <w:tc>
          <w:tcPr>
            <w:tcW w:w="1250" w:type="dxa"/>
            <w:vAlign w:val="center"/>
          </w:tcPr>
          <w:p w:rsidR="00572780" w:rsidRDefault="00E4225C">
            <w:pPr>
              <w:jc w:val="center"/>
            </w:pPr>
            <w:r>
              <w:rPr>
                <w:color w:val="000000"/>
                <w:sz w:val="24"/>
              </w:rPr>
              <w:t>0.06%</w:t>
            </w:r>
          </w:p>
        </w:tc>
        <w:tc>
          <w:tcPr>
            <w:tcW w:w="1250" w:type="dxa"/>
            <w:vAlign w:val="center"/>
          </w:tcPr>
          <w:p w:rsidR="00572780" w:rsidRDefault="00E4225C">
            <w:pPr>
              <w:jc w:val="center"/>
            </w:pPr>
            <w:r>
              <w:rPr>
                <w:color w:val="000000"/>
                <w:sz w:val="24"/>
              </w:rPr>
              <w:t>0.14%</w:t>
            </w:r>
          </w:p>
        </w:tc>
        <w:tc>
          <w:tcPr>
            <w:tcW w:w="1250" w:type="dxa"/>
            <w:vAlign w:val="center"/>
          </w:tcPr>
          <w:p w:rsidR="00572780" w:rsidRDefault="00E4225C">
            <w:pPr>
              <w:jc w:val="center"/>
            </w:pPr>
            <w:r>
              <w:rPr>
                <w:color w:val="000000"/>
                <w:sz w:val="24"/>
              </w:rPr>
              <w:t>-0.01%</w:t>
            </w:r>
          </w:p>
        </w:tc>
      </w:tr>
      <w:tr w:rsidR="00572780">
        <w:tc>
          <w:tcPr>
            <w:tcW w:w="1497" w:type="dxa"/>
            <w:vAlign w:val="center"/>
          </w:tcPr>
          <w:p w:rsidR="00572780" w:rsidRDefault="00E4225C">
            <w:pPr>
              <w:jc w:val="left"/>
            </w:pPr>
            <w:r>
              <w:rPr>
                <w:color w:val="000000"/>
                <w:sz w:val="24"/>
              </w:rPr>
              <w:t>过去三个月</w:t>
            </w:r>
          </w:p>
        </w:tc>
        <w:tc>
          <w:tcPr>
            <w:tcW w:w="1251" w:type="dxa"/>
            <w:vAlign w:val="center"/>
          </w:tcPr>
          <w:p w:rsidR="00572780" w:rsidRDefault="00E4225C">
            <w:pPr>
              <w:jc w:val="center"/>
            </w:pPr>
            <w:r>
              <w:rPr>
                <w:color w:val="000000"/>
                <w:sz w:val="24"/>
              </w:rPr>
              <w:t>1.44%</w:t>
            </w:r>
          </w:p>
        </w:tc>
        <w:tc>
          <w:tcPr>
            <w:tcW w:w="1250" w:type="dxa"/>
            <w:vAlign w:val="center"/>
          </w:tcPr>
          <w:p w:rsidR="00572780" w:rsidRDefault="00E4225C">
            <w:pPr>
              <w:jc w:val="center"/>
            </w:pPr>
            <w:r>
              <w:rPr>
                <w:color w:val="000000"/>
                <w:sz w:val="24"/>
              </w:rPr>
              <w:t>0.08%</w:t>
            </w:r>
          </w:p>
        </w:tc>
        <w:tc>
          <w:tcPr>
            <w:tcW w:w="1250" w:type="dxa"/>
            <w:vAlign w:val="center"/>
          </w:tcPr>
          <w:p w:rsidR="00572780" w:rsidRDefault="00E4225C">
            <w:pPr>
              <w:jc w:val="center"/>
            </w:pPr>
            <w:r>
              <w:rPr>
                <w:color w:val="000000"/>
                <w:sz w:val="24"/>
              </w:rPr>
              <w:t>1.01%</w:t>
            </w:r>
          </w:p>
        </w:tc>
        <w:tc>
          <w:tcPr>
            <w:tcW w:w="1250" w:type="dxa"/>
            <w:vAlign w:val="center"/>
          </w:tcPr>
          <w:p w:rsidR="00572780" w:rsidRDefault="00E4225C">
            <w:pPr>
              <w:jc w:val="center"/>
            </w:pPr>
            <w:r>
              <w:rPr>
                <w:color w:val="000000"/>
                <w:sz w:val="24"/>
              </w:rPr>
              <w:t>0.10%</w:t>
            </w:r>
          </w:p>
        </w:tc>
        <w:tc>
          <w:tcPr>
            <w:tcW w:w="1250" w:type="dxa"/>
            <w:vAlign w:val="center"/>
          </w:tcPr>
          <w:p w:rsidR="00572780" w:rsidRDefault="00E4225C">
            <w:pPr>
              <w:jc w:val="center"/>
            </w:pPr>
            <w:r>
              <w:rPr>
                <w:color w:val="000000"/>
                <w:sz w:val="24"/>
              </w:rPr>
              <w:t>0.43%</w:t>
            </w:r>
          </w:p>
        </w:tc>
        <w:tc>
          <w:tcPr>
            <w:tcW w:w="1250" w:type="dxa"/>
            <w:vAlign w:val="center"/>
          </w:tcPr>
          <w:p w:rsidR="00572780" w:rsidRDefault="00E4225C">
            <w:pPr>
              <w:jc w:val="center"/>
            </w:pPr>
            <w:r>
              <w:rPr>
                <w:color w:val="000000"/>
                <w:sz w:val="24"/>
              </w:rPr>
              <w:t>-0.02%</w:t>
            </w:r>
          </w:p>
        </w:tc>
      </w:tr>
      <w:tr w:rsidR="00572780">
        <w:tc>
          <w:tcPr>
            <w:tcW w:w="1497" w:type="dxa"/>
            <w:vAlign w:val="center"/>
          </w:tcPr>
          <w:p w:rsidR="00572780" w:rsidRDefault="00E4225C">
            <w:pPr>
              <w:jc w:val="left"/>
            </w:pPr>
            <w:r>
              <w:rPr>
                <w:color w:val="000000"/>
                <w:sz w:val="24"/>
              </w:rPr>
              <w:t>过去六个月</w:t>
            </w:r>
          </w:p>
        </w:tc>
        <w:tc>
          <w:tcPr>
            <w:tcW w:w="1251" w:type="dxa"/>
            <w:vAlign w:val="center"/>
          </w:tcPr>
          <w:p w:rsidR="00572780" w:rsidRDefault="00E4225C">
            <w:pPr>
              <w:jc w:val="center"/>
            </w:pPr>
            <w:r>
              <w:rPr>
                <w:color w:val="000000"/>
                <w:sz w:val="24"/>
              </w:rPr>
              <w:t>3.53%</w:t>
            </w:r>
          </w:p>
        </w:tc>
        <w:tc>
          <w:tcPr>
            <w:tcW w:w="1250" w:type="dxa"/>
            <w:vAlign w:val="center"/>
          </w:tcPr>
          <w:p w:rsidR="00572780" w:rsidRDefault="00E4225C">
            <w:pPr>
              <w:jc w:val="center"/>
            </w:pPr>
            <w:r>
              <w:rPr>
                <w:color w:val="000000"/>
                <w:sz w:val="24"/>
              </w:rPr>
              <w:t>0.07%</w:t>
            </w:r>
          </w:p>
        </w:tc>
        <w:tc>
          <w:tcPr>
            <w:tcW w:w="1250" w:type="dxa"/>
            <w:vAlign w:val="center"/>
          </w:tcPr>
          <w:p w:rsidR="00572780" w:rsidRDefault="00E4225C">
            <w:pPr>
              <w:jc w:val="center"/>
            </w:pPr>
            <w:r>
              <w:rPr>
                <w:color w:val="000000"/>
                <w:sz w:val="24"/>
              </w:rPr>
              <w:t>2.16%</w:t>
            </w:r>
          </w:p>
        </w:tc>
        <w:tc>
          <w:tcPr>
            <w:tcW w:w="1250" w:type="dxa"/>
            <w:vAlign w:val="center"/>
          </w:tcPr>
          <w:p w:rsidR="00572780" w:rsidRDefault="00E4225C">
            <w:pPr>
              <w:jc w:val="center"/>
            </w:pPr>
            <w:r>
              <w:rPr>
                <w:color w:val="000000"/>
                <w:sz w:val="24"/>
              </w:rPr>
              <w:t>0.08%</w:t>
            </w:r>
          </w:p>
        </w:tc>
        <w:tc>
          <w:tcPr>
            <w:tcW w:w="1250" w:type="dxa"/>
            <w:vAlign w:val="center"/>
          </w:tcPr>
          <w:p w:rsidR="00572780" w:rsidRDefault="00E4225C">
            <w:pPr>
              <w:jc w:val="center"/>
            </w:pPr>
            <w:r>
              <w:rPr>
                <w:color w:val="000000"/>
                <w:sz w:val="24"/>
              </w:rPr>
              <w:t>1.37%</w:t>
            </w:r>
          </w:p>
        </w:tc>
        <w:tc>
          <w:tcPr>
            <w:tcW w:w="1250" w:type="dxa"/>
            <w:vAlign w:val="center"/>
          </w:tcPr>
          <w:p w:rsidR="00572780" w:rsidRDefault="00E4225C">
            <w:pPr>
              <w:jc w:val="center"/>
            </w:pPr>
            <w:r>
              <w:rPr>
                <w:color w:val="000000"/>
                <w:sz w:val="24"/>
              </w:rPr>
              <w:t>-0.01%</w:t>
            </w:r>
          </w:p>
        </w:tc>
      </w:tr>
      <w:tr w:rsidR="00572780">
        <w:tc>
          <w:tcPr>
            <w:tcW w:w="1497" w:type="dxa"/>
            <w:vAlign w:val="center"/>
          </w:tcPr>
          <w:p w:rsidR="00572780" w:rsidRDefault="00E4225C">
            <w:pPr>
              <w:jc w:val="left"/>
            </w:pPr>
            <w:r>
              <w:rPr>
                <w:color w:val="000000"/>
                <w:sz w:val="24"/>
              </w:rPr>
              <w:t>过去一年</w:t>
            </w:r>
          </w:p>
        </w:tc>
        <w:tc>
          <w:tcPr>
            <w:tcW w:w="1251" w:type="dxa"/>
            <w:vAlign w:val="center"/>
          </w:tcPr>
          <w:p w:rsidR="00572780" w:rsidRDefault="00E4225C">
            <w:pPr>
              <w:jc w:val="center"/>
            </w:pPr>
            <w:r>
              <w:rPr>
                <w:color w:val="000000"/>
                <w:sz w:val="24"/>
              </w:rPr>
              <w:t>4.14%</w:t>
            </w:r>
          </w:p>
        </w:tc>
        <w:tc>
          <w:tcPr>
            <w:tcW w:w="1250" w:type="dxa"/>
            <w:vAlign w:val="center"/>
          </w:tcPr>
          <w:p w:rsidR="00572780" w:rsidRDefault="00E4225C">
            <w:pPr>
              <w:jc w:val="center"/>
            </w:pPr>
            <w:r>
              <w:rPr>
                <w:color w:val="000000"/>
                <w:sz w:val="24"/>
              </w:rPr>
              <w:t>0.06%</w:t>
            </w:r>
          </w:p>
        </w:tc>
        <w:tc>
          <w:tcPr>
            <w:tcW w:w="1250" w:type="dxa"/>
            <w:vAlign w:val="center"/>
          </w:tcPr>
          <w:p w:rsidR="00572780" w:rsidRDefault="00E4225C">
            <w:pPr>
              <w:jc w:val="center"/>
            </w:pPr>
            <w:r>
              <w:rPr>
                <w:color w:val="000000"/>
                <w:sz w:val="24"/>
              </w:rPr>
              <w:t>0.83%</w:t>
            </w:r>
          </w:p>
        </w:tc>
        <w:tc>
          <w:tcPr>
            <w:tcW w:w="1250" w:type="dxa"/>
            <w:vAlign w:val="center"/>
          </w:tcPr>
          <w:p w:rsidR="00572780" w:rsidRDefault="00E4225C">
            <w:pPr>
              <w:jc w:val="center"/>
            </w:pPr>
            <w:r>
              <w:rPr>
                <w:color w:val="000000"/>
                <w:sz w:val="24"/>
              </w:rPr>
              <w:t>0.06%</w:t>
            </w:r>
          </w:p>
        </w:tc>
        <w:tc>
          <w:tcPr>
            <w:tcW w:w="1250" w:type="dxa"/>
            <w:vAlign w:val="center"/>
          </w:tcPr>
          <w:p w:rsidR="00572780" w:rsidRDefault="00E4225C">
            <w:pPr>
              <w:jc w:val="center"/>
            </w:pPr>
            <w:r>
              <w:rPr>
                <w:color w:val="000000"/>
                <w:sz w:val="24"/>
              </w:rPr>
              <w:t>3.31%</w:t>
            </w:r>
          </w:p>
        </w:tc>
        <w:tc>
          <w:tcPr>
            <w:tcW w:w="1250" w:type="dxa"/>
            <w:vAlign w:val="center"/>
          </w:tcPr>
          <w:p w:rsidR="00572780" w:rsidRDefault="00E4225C">
            <w:pPr>
              <w:jc w:val="center"/>
            </w:pPr>
            <w:r>
              <w:rPr>
                <w:color w:val="000000"/>
                <w:sz w:val="24"/>
              </w:rPr>
              <w:t>0.00%</w:t>
            </w:r>
          </w:p>
        </w:tc>
      </w:tr>
      <w:tr w:rsidR="00572780">
        <w:tc>
          <w:tcPr>
            <w:tcW w:w="1497" w:type="dxa"/>
            <w:vAlign w:val="center"/>
          </w:tcPr>
          <w:p w:rsidR="00572780" w:rsidRDefault="00E4225C">
            <w:pPr>
              <w:jc w:val="left"/>
            </w:pPr>
            <w:r>
              <w:rPr>
                <w:color w:val="000000"/>
                <w:sz w:val="24"/>
              </w:rPr>
              <w:t>自基金合同生效起至今</w:t>
            </w:r>
          </w:p>
        </w:tc>
        <w:tc>
          <w:tcPr>
            <w:tcW w:w="1251" w:type="dxa"/>
            <w:vAlign w:val="center"/>
          </w:tcPr>
          <w:p w:rsidR="00572780" w:rsidRDefault="00E4225C">
            <w:pPr>
              <w:jc w:val="center"/>
            </w:pPr>
            <w:r>
              <w:rPr>
                <w:color w:val="000000"/>
                <w:sz w:val="24"/>
              </w:rPr>
              <w:t>5.70%</w:t>
            </w:r>
          </w:p>
        </w:tc>
        <w:tc>
          <w:tcPr>
            <w:tcW w:w="1250" w:type="dxa"/>
            <w:vAlign w:val="center"/>
          </w:tcPr>
          <w:p w:rsidR="00572780" w:rsidRDefault="00E4225C">
            <w:pPr>
              <w:jc w:val="center"/>
            </w:pPr>
            <w:r>
              <w:rPr>
                <w:color w:val="000000"/>
                <w:sz w:val="24"/>
              </w:rPr>
              <w:t>0.06%</w:t>
            </w:r>
          </w:p>
        </w:tc>
        <w:tc>
          <w:tcPr>
            <w:tcW w:w="1250" w:type="dxa"/>
            <w:vAlign w:val="center"/>
          </w:tcPr>
          <w:p w:rsidR="00572780" w:rsidRDefault="00E4225C">
            <w:pPr>
              <w:jc w:val="center"/>
            </w:pPr>
            <w:r>
              <w:rPr>
                <w:color w:val="000000"/>
                <w:sz w:val="24"/>
              </w:rPr>
              <w:t>-3.72%</w:t>
            </w:r>
          </w:p>
        </w:tc>
        <w:tc>
          <w:tcPr>
            <w:tcW w:w="1250" w:type="dxa"/>
            <w:vAlign w:val="center"/>
          </w:tcPr>
          <w:p w:rsidR="00572780" w:rsidRDefault="00E4225C">
            <w:pPr>
              <w:jc w:val="center"/>
            </w:pPr>
            <w:r>
              <w:rPr>
                <w:color w:val="000000"/>
                <w:sz w:val="24"/>
              </w:rPr>
              <w:t>0.09%</w:t>
            </w:r>
          </w:p>
        </w:tc>
        <w:tc>
          <w:tcPr>
            <w:tcW w:w="1250" w:type="dxa"/>
            <w:vAlign w:val="center"/>
          </w:tcPr>
          <w:p w:rsidR="00572780" w:rsidRDefault="00E4225C">
            <w:pPr>
              <w:jc w:val="center"/>
            </w:pPr>
            <w:r>
              <w:rPr>
                <w:color w:val="000000"/>
                <w:sz w:val="24"/>
              </w:rPr>
              <w:t>9.42%</w:t>
            </w:r>
          </w:p>
        </w:tc>
        <w:tc>
          <w:tcPr>
            <w:tcW w:w="1250" w:type="dxa"/>
            <w:vAlign w:val="center"/>
          </w:tcPr>
          <w:p w:rsidR="00572780" w:rsidRDefault="00E4225C">
            <w:pPr>
              <w:jc w:val="center"/>
            </w:pPr>
            <w:r>
              <w:rPr>
                <w:color w:val="000000"/>
                <w:sz w:val="24"/>
              </w:rP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w:t>
      </w:r>
      <w:proofErr w:type="gramEnd"/>
      <w:r w:rsidRPr="008A1551">
        <w:rPr>
          <w:kern w:val="0"/>
          <w:sz w:val="24"/>
        </w:rPr>
        <w:t>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银裕盈纯债</w:t>
      </w:r>
      <w:proofErr w:type="gramEnd"/>
      <w:r w:rsidRPr="008A1551">
        <w:rPr>
          <w:rFonts w:ascii="Times New Roman" w:hAnsi="Times New Roman"/>
          <w:color w:val="auto"/>
        </w:rPr>
        <w:t>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72780">
        <w:tc>
          <w:tcPr>
            <w:tcW w:w="1497" w:type="dxa"/>
            <w:vAlign w:val="center"/>
          </w:tcPr>
          <w:p w:rsidR="00572780" w:rsidRDefault="00E4225C">
            <w:pPr>
              <w:jc w:val="left"/>
            </w:pPr>
            <w:r>
              <w:rPr>
                <w:color w:val="000000"/>
                <w:sz w:val="24"/>
              </w:rPr>
              <w:t>过去一个月</w:t>
            </w:r>
          </w:p>
        </w:tc>
        <w:tc>
          <w:tcPr>
            <w:tcW w:w="1251" w:type="dxa"/>
            <w:vAlign w:val="center"/>
          </w:tcPr>
          <w:p w:rsidR="00572780" w:rsidRDefault="00E4225C">
            <w:pPr>
              <w:jc w:val="center"/>
            </w:pPr>
            <w:r>
              <w:rPr>
                <w:color w:val="000000"/>
                <w:sz w:val="24"/>
              </w:rPr>
              <w:t>1.04%</w:t>
            </w:r>
          </w:p>
        </w:tc>
        <w:tc>
          <w:tcPr>
            <w:tcW w:w="1250" w:type="dxa"/>
            <w:vAlign w:val="center"/>
          </w:tcPr>
          <w:p w:rsidR="00572780" w:rsidRDefault="00E4225C">
            <w:pPr>
              <w:jc w:val="center"/>
            </w:pPr>
            <w:r>
              <w:rPr>
                <w:color w:val="000000"/>
                <w:sz w:val="24"/>
              </w:rPr>
              <w:t>0.13%</w:t>
            </w:r>
          </w:p>
        </w:tc>
        <w:tc>
          <w:tcPr>
            <w:tcW w:w="1250" w:type="dxa"/>
            <w:vAlign w:val="center"/>
          </w:tcPr>
          <w:p w:rsidR="00572780" w:rsidRDefault="00E4225C">
            <w:pPr>
              <w:jc w:val="center"/>
            </w:pPr>
            <w:r>
              <w:rPr>
                <w:color w:val="000000"/>
                <w:sz w:val="24"/>
              </w:rPr>
              <w:t>0.34%</w:t>
            </w:r>
          </w:p>
        </w:tc>
        <w:tc>
          <w:tcPr>
            <w:tcW w:w="1250" w:type="dxa"/>
            <w:vAlign w:val="center"/>
          </w:tcPr>
          <w:p w:rsidR="00572780" w:rsidRDefault="00E4225C">
            <w:pPr>
              <w:jc w:val="center"/>
            </w:pPr>
            <w:r>
              <w:rPr>
                <w:color w:val="000000"/>
                <w:sz w:val="24"/>
              </w:rPr>
              <w:t>0.06%</w:t>
            </w:r>
          </w:p>
        </w:tc>
        <w:tc>
          <w:tcPr>
            <w:tcW w:w="1250" w:type="dxa"/>
            <w:vAlign w:val="center"/>
          </w:tcPr>
          <w:p w:rsidR="00572780" w:rsidRDefault="00E4225C">
            <w:pPr>
              <w:jc w:val="center"/>
            </w:pPr>
            <w:r>
              <w:rPr>
                <w:color w:val="000000"/>
                <w:sz w:val="24"/>
              </w:rPr>
              <w:t>0.70%</w:t>
            </w:r>
          </w:p>
        </w:tc>
        <w:tc>
          <w:tcPr>
            <w:tcW w:w="1250" w:type="dxa"/>
            <w:vAlign w:val="center"/>
          </w:tcPr>
          <w:p w:rsidR="00572780" w:rsidRDefault="00E4225C">
            <w:pPr>
              <w:jc w:val="center"/>
            </w:pPr>
            <w:r>
              <w:rPr>
                <w:color w:val="000000"/>
                <w:sz w:val="24"/>
              </w:rPr>
              <w:t>0.07%</w:t>
            </w:r>
          </w:p>
        </w:tc>
      </w:tr>
      <w:tr w:rsidR="00572780">
        <w:tc>
          <w:tcPr>
            <w:tcW w:w="1497" w:type="dxa"/>
            <w:vAlign w:val="center"/>
          </w:tcPr>
          <w:p w:rsidR="00572780" w:rsidRDefault="00E4225C">
            <w:pPr>
              <w:jc w:val="left"/>
            </w:pPr>
            <w:r>
              <w:rPr>
                <w:color w:val="000000"/>
                <w:sz w:val="24"/>
              </w:rPr>
              <w:t>过去三个月</w:t>
            </w:r>
          </w:p>
        </w:tc>
        <w:tc>
          <w:tcPr>
            <w:tcW w:w="1251" w:type="dxa"/>
            <w:vAlign w:val="center"/>
          </w:tcPr>
          <w:p w:rsidR="00572780" w:rsidRDefault="00E4225C">
            <w:pPr>
              <w:jc w:val="center"/>
            </w:pPr>
            <w:r>
              <w:rPr>
                <w:color w:val="000000"/>
                <w:sz w:val="24"/>
              </w:rPr>
              <w:t>2.70%</w:t>
            </w:r>
          </w:p>
        </w:tc>
        <w:tc>
          <w:tcPr>
            <w:tcW w:w="1250" w:type="dxa"/>
            <w:vAlign w:val="center"/>
          </w:tcPr>
          <w:p w:rsidR="00572780" w:rsidRDefault="00E4225C">
            <w:pPr>
              <w:jc w:val="center"/>
            </w:pPr>
            <w:r>
              <w:rPr>
                <w:color w:val="000000"/>
                <w:sz w:val="24"/>
              </w:rPr>
              <w:t>0.14%</w:t>
            </w:r>
          </w:p>
        </w:tc>
        <w:tc>
          <w:tcPr>
            <w:tcW w:w="1250" w:type="dxa"/>
            <w:vAlign w:val="center"/>
          </w:tcPr>
          <w:p w:rsidR="00572780" w:rsidRDefault="00E4225C">
            <w:pPr>
              <w:jc w:val="center"/>
            </w:pPr>
            <w:r>
              <w:rPr>
                <w:color w:val="000000"/>
                <w:sz w:val="24"/>
              </w:rPr>
              <w:t>1.01%</w:t>
            </w:r>
          </w:p>
        </w:tc>
        <w:tc>
          <w:tcPr>
            <w:tcW w:w="1250" w:type="dxa"/>
            <w:vAlign w:val="center"/>
          </w:tcPr>
          <w:p w:rsidR="00572780" w:rsidRDefault="00E4225C">
            <w:pPr>
              <w:jc w:val="center"/>
            </w:pPr>
            <w:r>
              <w:rPr>
                <w:color w:val="000000"/>
                <w:sz w:val="24"/>
              </w:rPr>
              <w:t>0.10%</w:t>
            </w:r>
          </w:p>
        </w:tc>
        <w:tc>
          <w:tcPr>
            <w:tcW w:w="1250" w:type="dxa"/>
            <w:vAlign w:val="center"/>
          </w:tcPr>
          <w:p w:rsidR="00572780" w:rsidRDefault="00E4225C">
            <w:pPr>
              <w:jc w:val="center"/>
            </w:pPr>
            <w:r>
              <w:rPr>
                <w:color w:val="000000"/>
                <w:sz w:val="24"/>
              </w:rPr>
              <w:t>1.69%</w:t>
            </w:r>
          </w:p>
        </w:tc>
        <w:tc>
          <w:tcPr>
            <w:tcW w:w="1250" w:type="dxa"/>
            <w:vAlign w:val="center"/>
          </w:tcPr>
          <w:p w:rsidR="00572780" w:rsidRDefault="00E4225C">
            <w:pPr>
              <w:jc w:val="center"/>
            </w:pPr>
            <w:r>
              <w:rPr>
                <w:color w:val="000000"/>
                <w:sz w:val="24"/>
              </w:rPr>
              <w:t>0.04%</w:t>
            </w:r>
          </w:p>
        </w:tc>
      </w:tr>
      <w:tr w:rsidR="00572780">
        <w:tc>
          <w:tcPr>
            <w:tcW w:w="1497" w:type="dxa"/>
            <w:vAlign w:val="center"/>
          </w:tcPr>
          <w:p w:rsidR="00572780" w:rsidRDefault="00E4225C">
            <w:pPr>
              <w:jc w:val="left"/>
            </w:pPr>
            <w:r>
              <w:rPr>
                <w:color w:val="000000"/>
                <w:sz w:val="24"/>
              </w:rPr>
              <w:t>过去六个月</w:t>
            </w:r>
          </w:p>
        </w:tc>
        <w:tc>
          <w:tcPr>
            <w:tcW w:w="1251" w:type="dxa"/>
            <w:vAlign w:val="center"/>
          </w:tcPr>
          <w:p w:rsidR="00572780" w:rsidRDefault="00E4225C">
            <w:pPr>
              <w:jc w:val="center"/>
            </w:pPr>
            <w:r>
              <w:rPr>
                <w:color w:val="000000"/>
                <w:sz w:val="24"/>
              </w:rPr>
              <w:t>4.72%</w:t>
            </w:r>
          </w:p>
        </w:tc>
        <w:tc>
          <w:tcPr>
            <w:tcW w:w="1250" w:type="dxa"/>
            <w:vAlign w:val="center"/>
          </w:tcPr>
          <w:p w:rsidR="00572780" w:rsidRDefault="00E4225C">
            <w:pPr>
              <w:jc w:val="center"/>
            </w:pPr>
            <w:r>
              <w:rPr>
                <w:color w:val="000000"/>
                <w:sz w:val="24"/>
              </w:rPr>
              <w:t>0.11%</w:t>
            </w:r>
          </w:p>
        </w:tc>
        <w:tc>
          <w:tcPr>
            <w:tcW w:w="1250" w:type="dxa"/>
            <w:vAlign w:val="center"/>
          </w:tcPr>
          <w:p w:rsidR="00572780" w:rsidRDefault="00E4225C">
            <w:pPr>
              <w:jc w:val="center"/>
            </w:pPr>
            <w:r>
              <w:rPr>
                <w:color w:val="000000"/>
                <w:sz w:val="24"/>
              </w:rPr>
              <w:t>2.16%</w:t>
            </w:r>
          </w:p>
        </w:tc>
        <w:tc>
          <w:tcPr>
            <w:tcW w:w="1250" w:type="dxa"/>
            <w:vAlign w:val="center"/>
          </w:tcPr>
          <w:p w:rsidR="00572780" w:rsidRDefault="00E4225C">
            <w:pPr>
              <w:jc w:val="center"/>
            </w:pPr>
            <w:r>
              <w:rPr>
                <w:color w:val="000000"/>
                <w:sz w:val="24"/>
              </w:rPr>
              <w:t>0.08%</w:t>
            </w:r>
          </w:p>
        </w:tc>
        <w:tc>
          <w:tcPr>
            <w:tcW w:w="1250" w:type="dxa"/>
            <w:vAlign w:val="center"/>
          </w:tcPr>
          <w:p w:rsidR="00572780" w:rsidRDefault="00E4225C">
            <w:pPr>
              <w:jc w:val="center"/>
            </w:pPr>
            <w:r>
              <w:rPr>
                <w:color w:val="000000"/>
                <w:sz w:val="24"/>
              </w:rPr>
              <w:t>2.56%</w:t>
            </w:r>
          </w:p>
        </w:tc>
        <w:tc>
          <w:tcPr>
            <w:tcW w:w="1250" w:type="dxa"/>
            <w:vAlign w:val="center"/>
          </w:tcPr>
          <w:p w:rsidR="00572780" w:rsidRDefault="00E4225C">
            <w:pPr>
              <w:jc w:val="center"/>
            </w:pPr>
            <w:r>
              <w:rPr>
                <w:color w:val="000000"/>
                <w:sz w:val="24"/>
              </w:rPr>
              <w:t>0.03%</w:t>
            </w:r>
          </w:p>
        </w:tc>
      </w:tr>
      <w:tr w:rsidR="00572780">
        <w:tc>
          <w:tcPr>
            <w:tcW w:w="1497" w:type="dxa"/>
            <w:vAlign w:val="center"/>
          </w:tcPr>
          <w:p w:rsidR="00572780" w:rsidRDefault="00E4225C">
            <w:pPr>
              <w:jc w:val="left"/>
            </w:pPr>
            <w:r>
              <w:rPr>
                <w:color w:val="000000"/>
                <w:sz w:val="24"/>
              </w:rPr>
              <w:t>过去一年</w:t>
            </w:r>
          </w:p>
        </w:tc>
        <w:tc>
          <w:tcPr>
            <w:tcW w:w="1251" w:type="dxa"/>
            <w:vAlign w:val="center"/>
          </w:tcPr>
          <w:p w:rsidR="00572780" w:rsidRDefault="00E4225C">
            <w:pPr>
              <w:jc w:val="center"/>
            </w:pPr>
            <w:r>
              <w:rPr>
                <w:color w:val="000000"/>
                <w:sz w:val="24"/>
              </w:rPr>
              <w:t>5.03%</w:t>
            </w:r>
          </w:p>
        </w:tc>
        <w:tc>
          <w:tcPr>
            <w:tcW w:w="1250" w:type="dxa"/>
            <w:vAlign w:val="center"/>
          </w:tcPr>
          <w:p w:rsidR="00572780" w:rsidRDefault="00E4225C">
            <w:pPr>
              <w:jc w:val="center"/>
            </w:pPr>
            <w:r>
              <w:rPr>
                <w:color w:val="000000"/>
                <w:sz w:val="24"/>
              </w:rPr>
              <w:t>0.08%</w:t>
            </w:r>
          </w:p>
        </w:tc>
        <w:tc>
          <w:tcPr>
            <w:tcW w:w="1250" w:type="dxa"/>
            <w:vAlign w:val="center"/>
          </w:tcPr>
          <w:p w:rsidR="00572780" w:rsidRDefault="00E4225C">
            <w:pPr>
              <w:jc w:val="center"/>
            </w:pPr>
            <w:r>
              <w:rPr>
                <w:color w:val="000000"/>
                <w:sz w:val="24"/>
              </w:rPr>
              <w:t>0.83%</w:t>
            </w:r>
          </w:p>
        </w:tc>
        <w:tc>
          <w:tcPr>
            <w:tcW w:w="1250" w:type="dxa"/>
            <w:vAlign w:val="center"/>
          </w:tcPr>
          <w:p w:rsidR="00572780" w:rsidRDefault="00E4225C">
            <w:pPr>
              <w:jc w:val="center"/>
            </w:pPr>
            <w:r>
              <w:rPr>
                <w:color w:val="000000"/>
                <w:sz w:val="24"/>
              </w:rPr>
              <w:t>0.06%</w:t>
            </w:r>
          </w:p>
        </w:tc>
        <w:tc>
          <w:tcPr>
            <w:tcW w:w="1250" w:type="dxa"/>
            <w:vAlign w:val="center"/>
          </w:tcPr>
          <w:p w:rsidR="00572780" w:rsidRDefault="00E4225C">
            <w:pPr>
              <w:jc w:val="center"/>
            </w:pPr>
            <w:r>
              <w:rPr>
                <w:color w:val="000000"/>
                <w:sz w:val="24"/>
              </w:rPr>
              <w:t>4.20%</w:t>
            </w:r>
          </w:p>
        </w:tc>
        <w:tc>
          <w:tcPr>
            <w:tcW w:w="1250" w:type="dxa"/>
            <w:vAlign w:val="center"/>
          </w:tcPr>
          <w:p w:rsidR="00572780" w:rsidRDefault="00E4225C">
            <w:pPr>
              <w:jc w:val="center"/>
            </w:pPr>
            <w:r>
              <w:rPr>
                <w:color w:val="000000"/>
                <w:sz w:val="24"/>
              </w:rPr>
              <w:t>0.02%</w:t>
            </w:r>
          </w:p>
        </w:tc>
      </w:tr>
      <w:tr w:rsidR="00572780">
        <w:tc>
          <w:tcPr>
            <w:tcW w:w="1497" w:type="dxa"/>
            <w:vAlign w:val="center"/>
          </w:tcPr>
          <w:p w:rsidR="00572780" w:rsidRDefault="00E4225C">
            <w:pPr>
              <w:jc w:val="left"/>
            </w:pPr>
            <w:r>
              <w:rPr>
                <w:color w:val="000000"/>
                <w:sz w:val="24"/>
              </w:rPr>
              <w:t>自基金合同生效起至今</w:t>
            </w:r>
          </w:p>
        </w:tc>
        <w:tc>
          <w:tcPr>
            <w:tcW w:w="1251" w:type="dxa"/>
            <w:vAlign w:val="center"/>
          </w:tcPr>
          <w:p w:rsidR="00572780" w:rsidRDefault="00E4225C">
            <w:pPr>
              <w:jc w:val="center"/>
            </w:pPr>
            <w:r>
              <w:rPr>
                <w:color w:val="000000"/>
                <w:sz w:val="24"/>
              </w:rPr>
              <w:t>6.40%</w:t>
            </w:r>
          </w:p>
        </w:tc>
        <w:tc>
          <w:tcPr>
            <w:tcW w:w="1250" w:type="dxa"/>
            <w:vAlign w:val="center"/>
          </w:tcPr>
          <w:p w:rsidR="00572780" w:rsidRDefault="00E4225C">
            <w:pPr>
              <w:jc w:val="center"/>
            </w:pPr>
            <w:r>
              <w:rPr>
                <w:color w:val="000000"/>
                <w:sz w:val="24"/>
              </w:rPr>
              <w:t>0.08%</w:t>
            </w:r>
          </w:p>
        </w:tc>
        <w:tc>
          <w:tcPr>
            <w:tcW w:w="1250" w:type="dxa"/>
            <w:vAlign w:val="center"/>
          </w:tcPr>
          <w:p w:rsidR="00572780" w:rsidRDefault="00E4225C">
            <w:pPr>
              <w:jc w:val="center"/>
            </w:pPr>
            <w:r>
              <w:rPr>
                <w:color w:val="000000"/>
                <w:sz w:val="24"/>
              </w:rPr>
              <w:t>-3.72%</w:t>
            </w:r>
          </w:p>
        </w:tc>
        <w:tc>
          <w:tcPr>
            <w:tcW w:w="1250" w:type="dxa"/>
            <w:vAlign w:val="center"/>
          </w:tcPr>
          <w:p w:rsidR="00572780" w:rsidRDefault="00E4225C">
            <w:pPr>
              <w:jc w:val="center"/>
            </w:pPr>
            <w:r>
              <w:rPr>
                <w:color w:val="000000"/>
                <w:sz w:val="24"/>
              </w:rPr>
              <w:t>0.09%</w:t>
            </w:r>
          </w:p>
        </w:tc>
        <w:tc>
          <w:tcPr>
            <w:tcW w:w="1250" w:type="dxa"/>
            <w:vAlign w:val="center"/>
          </w:tcPr>
          <w:p w:rsidR="00572780" w:rsidRDefault="00E4225C">
            <w:pPr>
              <w:jc w:val="center"/>
            </w:pPr>
            <w:r>
              <w:rPr>
                <w:color w:val="000000"/>
                <w:sz w:val="24"/>
              </w:rPr>
              <w:t>10.12%</w:t>
            </w:r>
          </w:p>
        </w:tc>
        <w:tc>
          <w:tcPr>
            <w:tcW w:w="1250" w:type="dxa"/>
            <w:vAlign w:val="center"/>
          </w:tcPr>
          <w:p w:rsidR="00572780" w:rsidRDefault="00E4225C">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w:t>
      </w:r>
      <w:proofErr w:type="gramEnd"/>
      <w:r w:rsidRPr="008A1551">
        <w:rPr>
          <w:kern w:val="0"/>
          <w:sz w:val="24"/>
        </w:rPr>
        <w:t>全价指数。</w:t>
      </w:r>
    </w:p>
    <w:p w:rsidR="001548F9" w:rsidRPr="008A1551" w:rsidRDefault="001548F9" w:rsidP="009E1EA4">
      <w:pPr>
        <w:pStyle w:val="22"/>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lastRenderedPageBreak/>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w:t>
      </w:r>
      <w:proofErr w:type="gramStart"/>
      <w:r w:rsidRPr="008A1551">
        <w:rPr>
          <w:kern w:val="0"/>
          <w:sz w:val="24"/>
        </w:rPr>
        <w:t>裕盈纯债</w:t>
      </w:r>
      <w:proofErr w:type="gramEnd"/>
      <w:r w:rsidRPr="008A1551">
        <w:rPr>
          <w:kern w:val="0"/>
          <w:sz w:val="24"/>
        </w:rPr>
        <w:t>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6"/>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11</w:t>
      </w:r>
      <w:r w:rsidR="001548F9" w:rsidRPr="008A1551">
        <w:rPr>
          <w:rFonts w:ascii="Times New Roman" w:hAnsi="Times New Roman"/>
          <w:sz w:val="24"/>
          <w:szCs w:val="24"/>
        </w:rPr>
        <w:t>月</w:t>
      </w:r>
      <w:r w:rsidR="001548F9" w:rsidRPr="008A1551">
        <w:rPr>
          <w:rFonts w:ascii="Times New Roman" w:hAnsi="Times New Roman"/>
          <w:sz w:val="24"/>
          <w:szCs w:val="24"/>
        </w:rPr>
        <w:t>4</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2"/>
        <w:spacing w:before="29" w:line="288" w:lineRule="auto"/>
        <w:ind w:firstLineChars="0" w:firstLine="0"/>
        <w:rPr>
          <w:rFonts w:ascii="Times New Roman" w:hAnsi="Times New Roman"/>
        </w:rPr>
      </w:pPr>
      <w:r w:rsidRPr="008A1551">
        <w:rPr>
          <w:rFonts w:ascii="Times New Roman" w:hAnsi="Times New Roman"/>
          <w:color w:val="auto"/>
        </w:rPr>
        <w:t>交</w:t>
      </w:r>
      <w:proofErr w:type="gramStart"/>
      <w:r w:rsidRPr="008A1551">
        <w:rPr>
          <w:rFonts w:ascii="Times New Roman" w:hAnsi="Times New Roman"/>
          <w:color w:val="auto"/>
        </w:rPr>
        <w:t>银裕盈纯债</w:t>
      </w:r>
      <w:proofErr w:type="gramEnd"/>
      <w:r w:rsidRPr="008A1551">
        <w:rPr>
          <w:rFonts w:ascii="Times New Roman" w:hAnsi="Times New Roman"/>
          <w:color w:val="auto"/>
        </w:rPr>
        <w:t>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银裕盈纯债</w:t>
      </w:r>
      <w:proofErr w:type="gramEnd"/>
      <w:r w:rsidRPr="008A1551">
        <w:rPr>
          <w:rFonts w:ascii="Times New Roman" w:hAnsi="Times New Roman"/>
          <w:color w:val="auto"/>
        </w:rPr>
        <w:t>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572780" w:rsidRDefault="00E4225C">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572780">
        <w:tc>
          <w:tcPr>
            <w:tcW w:w="1033" w:type="dxa"/>
            <w:vAlign w:val="center"/>
          </w:tcPr>
          <w:p w:rsidR="00572780" w:rsidRDefault="00E4225C">
            <w:pPr>
              <w:jc w:val="center"/>
            </w:pPr>
            <w:r>
              <w:rPr>
                <w:color w:val="000000"/>
                <w:sz w:val="24"/>
              </w:rPr>
              <w:t>连端清</w:t>
            </w:r>
          </w:p>
        </w:tc>
        <w:tc>
          <w:tcPr>
            <w:tcW w:w="1416" w:type="dxa"/>
            <w:vAlign w:val="center"/>
          </w:tcPr>
          <w:p w:rsidR="00572780" w:rsidRDefault="00E4225C">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126" w:type="dxa"/>
            <w:vAlign w:val="center"/>
          </w:tcPr>
          <w:p w:rsidR="00572780" w:rsidRDefault="00E4225C">
            <w:pPr>
              <w:jc w:val="center"/>
            </w:pPr>
            <w:r>
              <w:rPr>
                <w:color w:val="000000"/>
                <w:sz w:val="24"/>
              </w:rPr>
              <w:t>2017-03-31</w:t>
            </w:r>
          </w:p>
        </w:tc>
        <w:tc>
          <w:tcPr>
            <w:tcW w:w="1192" w:type="dxa"/>
            <w:vAlign w:val="center"/>
          </w:tcPr>
          <w:p w:rsidR="00572780" w:rsidRDefault="00E4225C">
            <w:pPr>
              <w:jc w:val="center"/>
            </w:pPr>
            <w:r>
              <w:rPr>
                <w:color w:val="000000"/>
                <w:sz w:val="24"/>
              </w:rPr>
              <w:t>-</w:t>
            </w:r>
          </w:p>
        </w:tc>
        <w:tc>
          <w:tcPr>
            <w:tcW w:w="1169" w:type="dxa"/>
            <w:vAlign w:val="center"/>
          </w:tcPr>
          <w:p w:rsidR="00572780" w:rsidRDefault="00E4225C">
            <w:pPr>
              <w:jc w:val="center"/>
            </w:pPr>
            <w:r>
              <w:rPr>
                <w:color w:val="000000"/>
                <w:sz w:val="24"/>
              </w:rPr>
              <w:t>5</w:t>
            </w:r>
            <w:r>
              <w:rPr>
                <w:color w:val="000000"/>
                <w:sz w:val="24"/>
              </w:rPr>
              <w:t>年</w:t>
            </w:r>
          </w:p>
        </w:tc>
        <w:tc>
          <w:tcPr>
            <w:tcW w:w="3062" w:type="dxa"/>
            <w:vAlign w:val="center"/>
          </w:tcPr>
          <w:p w:rsidR="00572780" w:rsidRDefault="00E4225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572780" w:rsidRDefault="00E4225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572780" w:rsidRDefault="00E4225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572780" w:rsidRDefault="00E4225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w:t>
      </w:r>
      <w:r w:rsidRPr="008A1551">
        <w:rPr>
          <w:color w:val="000000"/>
          <w:sz w:val="24"/>
        </w:rPr>
        <w:lastRenderedPageBreak/>
        <w:t>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572780" w:rsidRDefault="00E4225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2780" w:rsidRDefault="00E4225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72780" w:rsidRDefault="00E4225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572780" w:rsidRDefault="00E4225C">
      <w:pPr>
        <w:spacing w:before="29" w:line="288" w:lineRule="auto"/>
        <w:ind w:firstLineChars="200" w:firstLine="480"/>
        <w:rPr>
          <w:color w:val="000000"/>
          <w:sz w:val="24"/>
        </w:rPr>
      </w:pPr>
      <w:r>
        <w:rPr>
          <w:color w:val="000000"/>
          <w:sz w:val="24"/>
        </w:rPr>
        <w:t>2018</w:t>
      </w:r>
      <w:r>
        <w:rPr>
          <w:color w:val="000000"/>
          <w:sz w:val="24"/>
        </w:rPr>
        <w:t>年上半年，国内经济整体上呈稳中放缓态势，二季度中美贸易战如乌云压顶，经济悲观预期加深。国内制造业景气</w:t>
      </w:r>
      <w:proofErr w:type="gramStart"/>
      <w:r>
        <w:rPr>
          <w:color w:val="000000"/>
          <w:sz w:val="24"/>
        </w:rPr>
        <w:t>度保持</w:t>
      </w:r>
      <w:proofErr w:type="gramEnd"/>
      <w:r>
        <w:rPr>
          <w:color w:val="000000"/>
          <w:sz w:val="24"/>
        </w:rPr>
        <w:t>高位扩张，制造业</w:t>
      </w:r>
      <w:r>
        <w:rPr>
          <w:color w:val="000000"/>
          <w:sz w:val="24"/>
        </w:rPr>
        <w:t>FAI</w:t>
      </w:r>
      <w:r>
        <w:rPr>
          <w:color w:val="000000"/>
          <w:sz w:val="24"/>
        </w:rPr>
        <w:t>同比增速上半年处于上升通道。尽管房地产投资增速也保持较高增长，但是受基建投资大幅下行拖累，上半年固定资产投资不断下滑。同时，中美贸易摩擦加剧，国内进口上升较快，上半年净出口对</w:t>
      </w:r>
      <w:r>
        <w:rPr>
          <w:color w:val="000000"/>
          <w:sz w:val="24"/>
        </w:rPr>
        <w:t>GDP</w:t>
      </w:r>
      <w:r>
        <w:rPr>
          <w:color w:val="000000"/>
          <w:sz w:val="24"/>
        </w:rPr>
        <w:t>的贡献率</w:t>
      </w:r>
      <w:proofErr w:type="gramStart"/>
      <w:r>
        <w:rPr>
          <w:color w:val="000000"/>
          <w:sz w:val="24"/>
        </w:rPr>
        <w:t>大幅转</w:t>
      </w:r>
      <w:proofErr w:type="gramEnd"/>
      <w:r>
        <w:rPr>
          <w:color w:val="000000"/>
          <w:sz w:val="24"/>
        </w:rPr>
        <w:t>负。受</w:t>
      </w:r>
      <w:proofErr w:type="gramStart"/>
      <w:r>
        <w:rPr>
          <w:color w:val="000000"/>
          <w:sz w:val="24"/>
        </w:rPr>
        <w:t>资管新规</w:t>
      </w:r>
      <w:proofErr w:type="gramEnd"/>
      <w:r>
        <w:rPr>
          <w:color w:val="000000"/>
          <w:sz w:val="24"/>
        </w:rPr>
        <w:t>影响发力，上半年企业的融资条件趋紧，企业信贷利率走高，而且广义理财规模收缩与信托委</w:t>
      </w:r>
      <w:proofErr w:type="gramStart"/>
      <w:r>
        <w:rPr>
          <w:color w:val="000000"/>
          <w:sz w:val="24"/>
        </w:rPr>
        <w:t>贷下降</w:t>
      </w:r>
      <w:proofErr w:type="gramEnd"/>
      <w:r>
        <w:rPr>
          <w:color w:val="000000"/>
          <w:sz w:val="24"/>
        </w:rPr>
        <w:t>造成表外融资规模收缩，依赖表外融资的企业信用风险大幅上升。货币政策上，上半年央行执行了中性偏松的货币政</w:t>
      </w:r>
      <w:r>
        <w:rPr>
          <w:color w:val="000000"/>
          <w:sz w:val="24"/>
        </w:rPr>
        <w:lastRenderedPageBreak/>
        <w:t>策操作，通过</w:t>
      </w:r>
      <w:proofErr w:type="gramStart"/>
      <w:r>
        <w:rPr>
          <w:color w:val="000000"/>
          <w:sz w:val="24"/>
        </w:rPr>
        <w:t>多次降准</w:t>
      </w:r>
      <w:proofErr w:type="gramEnd"/>
      <w:r>
        <w:rPr>
          <w:color w:val="000000"/>
          <w:sz w:val="24"/>
        </w:rPr>
        <w:t>释放了充沛的流动性以应对表外融资渠道收缩及中美贸易战带来的不确定性。一季度，</w:t>
      </w:r>
      <w:proofErr w:type="gramStart"/>
      <w:r>
        <w:rPr>
          <w:color w:val="000000"/>
          <w:sz w:val="24"/>
        </w:rPr>
        <w:t>定向降准落地</w:t>
      </w:r>
      <w:proofErr w:type="gramEnd"/>
      <w:r>
        <w:rPr>
          <w:color w:val="000000"/>
          <w:sz w:val="24"/>
        </w:rPr>
        <w:t>以及</w:t>
      </w:r>
      <w:r>
        <w:rPr>
          <w:color w:val="000000"/>
          <w:sz w:val="24"/>
        </w:rPr>
        <w:t>“</w:t>
      </w:r>
      <w:r>
        <w:rPr>
          <w:color w:val="000000"/>
          <w:sz w:val="24"/>
        </w:rPr>
        <w:t>临时准备金动用安排</w:t>
      </w:r>
      <w:r>
        <w:rPr>
          <w:color w:val="000000"/>
          <w:sz w:val="24"/>
        </w:rPr>
        <w:t>”</w:t>
      </w:r>
      <w:r>
        <w:rPr>
          <w:color w:val="000000"/>
          <w:sz w:val="24"/>
        </w:rPr>
        <w:t>释放了大量流动性，为二月份</w:t>
      </w:r>
      <w:proofErr w:type="gramStart"/>
      <w:r>
        <w:rPr>
          <w:color w:val="000000"/>
          <w:sz w:val="24"/>
        </w:rPr>
        <w:t>跨春节</w:t>
      </w:r>
      <w:proofErr w:type="gramEnd"/>
      <w:r>
        <w:rPr>
          <w:color w:val="000000"/>
          <w:sz w:val="24"/>
        </w:rPr>
        <w:t>假期及三月份跨季提供了充裕的流动性。二季度，央行分别于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proofErr w:type="gramStart"/>
      <w:r>
        <w:rPr>
          <w:color w:val="000000"/>
          <w:sz w:val="24"/>
        </w:rPr>
        <w:t>万亿</w:t>
      </w:r>
      <w:proofErr w:type="gramEnd"/>
      <w:r>
        <w:rPr>
          <w:color w:val="000000"/>
          <w:sz w:val="24"/>
        </w:rPr>
        <w:t>元。</w:t>
      </w:r>
    </w:p>
    <w:p w:rsidR="00572780" w:rsidRDefault="00E4225C">
      <w:pPr>
        <w:spacing w:before="29" w:line="288" w:lineRule="auto"/>
        <w:ind w:firstLineChars="200" w:firstLine="480"/>
        <w:rPr>
          <w:color w:val="000000"/>
          <w:sz w:val="24"/>
        </w:rPr>
      </w:pPr>
      <w:r>
        <w:rPr>
          <w:color w:val="000000"/>
          <w:sz w:val="24"/>
        </w:rPr>
        <w:t>资金面上，受央行</w:t>
      </w:r>
      <w:proofErr w:type="gramStart"/>
      <w:r>
        <w:rPr>
          <w:color w:val="000000"/>
          <w:sz w:val="24"/>
        </w:rPr>
        <w:t>持续降准影响</w:t>
      </w:r>
      <w:proofErr w:type="gramEnd"/>
      <w:r>
        <w:rPr>
          <w:color w:val="000000"/>
          <w:sz w:val="24"/>
        </w:rPr>
        <w:t>，上半年市场资金面较为宽松。六月底</w:t>
      </w:r>
      <w:r>
        <w:rPr>
          <w:color w:val="000000"/>
          <w:sz w:val="24"/>
        </w:rPr>
        <w:t>R001</w:t>
      </w:r>
      <w:r>
        <w:rPr>
          <w:color w:val="000000"/>
          <w:sz w:val="24"/>
        </w:rPr>
        <w:t>较</w:t>
      </w:r>
      <w:r>
        <w:rPr>
          <w:color w:val="000000"/>
          <w:sz w:val="24"/>
        </w:rPr>
        <w:t>2017</w:t>
      </w:r>
      <w:r>
        <w:rPr>
          <w:color w:val="000000"/>
          <w:sz w:val="24"/>
        </w:rPr>
        <w:t>年年</w:t>
      </w:r>
      <w:proofErr w:type="gramStart"/>
      <w:r>
        <w:rPr>
          <w:color w:val="000000"/>
          <w:sz w:val="24"/>
        </w:rPr>
        <w:t>底下降</w:t>
      </w:r>
      <w:proofErr w:type="gramEnd"/>
      <w:r>
        <w:rPr>
          <w:color w:val="000000"/>
          <w:sz w:val="24"/>
        </w:rPr>
        <w:t>43</w:t>
      </w:r>
      <w:r>
        <w:rPr>
          <w:color w:val="000000"/>
          <w:sz w:val="24"/>
        </w:rPr>
        <w:t>个</w:t>
      </w:r>
      <w:r>
        <w:rPr>
          <w:color w:val="000000"/>
          <w:sz w:val="24"/>
        </w:rPr>
        <w:t>BP</w:t>
      </w:r>
      <w:r>
        <w:rPr>
          <w:color w:val="000000"/>
          <w:sz w:val="24"/>
        </w:rPr>
        <w:t>以上。受资金持续宽松等因素影响，二季度同业存款及同业存单利率大幅下行。资金面宽松叠加中美贸易战加深经济悲观预期等影响，上半年利率债大幅上涨。六月底</w:t>
      </w:r>
      <w:r>
        <w:rPr>
          <w:color w:val="000000"/>
          <w:sz w:val="24"/>
        </w:rPr>
        <w:t>10</w:t>
      </w:r>
      <w:r>
        <w:rPr>
          <w:color w:val="000000"/>
          <w:sz w:val="24"/>
        </w:rPr>
        <w:t>年期</w:t>
      </w:r>
      <w:proofErr w:type="gramStart"/>
      <w:r>
        <w:rPr>
          <w:color w:val="000000"/>
          <w:sz w:val="24"/>
        </w:rPr>
        <w:t>国开债</w:t>
      </w:r>
      <w:proofErr w:type="gramEnd"/>
      <w:r>
        <w:rPr>
          <w:color w:val="000000"/>
          <w:sz w:val="24"/>
        </w:rPr>
        <w:t>YTM</w:t>
      </w:r>
      <w:r>
        <w:rPr>
          <w:color w:val="000000"/>
          <w:sz w:val="24"/>
        </w:rPr>
        <w:t>较</w:t>
      </w:r>
      <w:r>
        <w:rPr>
          <w:color w:val="000000"/>
          <w:sz w:val="24"/>
        </w:rPr>
        <w:t>2017</w:t>
      </w:r>
      <w:r>
        <w:rPr>
          <w:color w:val="000000"/>
          <w:sz w:val="24"/>
        </w:rPr>
        <w:t>年年底回落</w:t>
      </w:r>
      <w:r>
        <w:rPr>
          <w:color w:val="000000"/>
          <w:sz w:val="24"/>
        </w:rPr>
        <w:t>56</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较去年底回落</w:t>
      </w:r>
      <w:r>
        <w:rPr>
          <w:color w:val="000000"/>
          <w:sz w:val="24"/>
        </w:rPr>
        <w:t>74</w:t>
      </w:r>
      <w:r>
        <w:rPr>
          <w:color w:val="000000"/>
          <w:sz w:val="24"/>
        </w:rPr>
        <w:t>个</w:t>
      </w:r>
      <w:r>
        <w:rPr>
          <w:color w:val="000000"/>
          <w:sz w:val="24"/>
        </w:rPr>
        <w:t>BP</w:t>
      </w:r>
      <w:r>
        <w:rPr>
          <w:color w:val="000000"/>
          <w:sz w:val="24"/>
        </w:rPr>
        <w:t>以上，但低评级</w:t>
      </w:r>
      <w:proofErr w:type="gramStart"/>
      <w:r>
        <w:rPr>
          <w:color w:val="000000"/>
          <w:sz w:val="24"/>
        </w:rPr>
        <w:t>信用债受信用</w:t>
      </w:r>
      <w:proofErr w:type="gramEnd"/>
      <w:r>
        <w:rPr>
          <w:color w:val="000000"/>
          <w:sz w:val="24"/>
        </w:rPr>
        <w:t>事件冲击，上半年涨幅相对较小。</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基金操作方面，报告期内本基金把握市场走势，提升组合杠杆，增持同业存单与债券，管控信用风险，为持有人创造稳健的回报。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考虑中美贸易战风险、贷款利率高企及表外融资收缩等问题，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努力</w:t>
      </w:r>
      <w:proofErr w:type="gramStart"/>
      <w:r w:rsidRPr="008A1551">
        <w:rPr>
          <w:color w:val="000000"/>
          <w:sz w:val="24"/>
        </w:rPr>
        <w:t>研</w:t>
      </w:r>
      <w:proofErr w:type="gramEnd"/>
      <w:r w:rsidRPr="008A1551">
        <w:rPr>
          <w:color w:val="000000"/>
          <w:sz w:val="24"/>
        </w:rPr>
        <w:t>判宏观经济走势，密切跟踪央行货币政策操作与金融监管政策动态，尽力控制信用风险，积极跟踪把握市场机会，努力为份额持有人创造稳健的回报。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572780" w:rsidRDefault="00E4225C">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572780" w:rsidRDefault="00E4225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w:t>
      </w:r>
      <w:r w:rsidRPr="008A1551">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本基金本报告期内曾连续二十个工作日以上出现基金份额持有人数量不满</w:t>
      </w:r>
      <w:r w:rsidRPr="008A1551">
        <w:rPr>
          <w:kern w:val="0"/>
          <w:sz w:val="24"/>
        </w:rPr>
        <w:t>200</w:t>
      </w:r>
      <w:r w:rsidRPr="008A1551">
        <w:rPr>
          <w:kern w:val="0"/>
          <w:sz w:val="24"/>
        </w:rPr>
        <w:t>人的情形，截至本报告期末，本</w:t>
      </w:r>
      <w:proofErr w:type="gramStart"/>
      <w:r w:rsidRPr="008A1551">
        <w:rPr>
          <w:kern w:val="0"/>
          <w:sz w:val="24"/>
        </w:rPr>
        <w:t>基金基金</w:t>
      </w:r>
      <w:proofErr w:type="gramEnd"/>
      <w:r w:rsidRPr="008A1551">
        <w:rPr>
          <w:kern w:val="0"/>
          <w:sz w:val="24"/>
        </w:rPr>
        <w:t>份额持有人数量已高于</w:t>
      </w:r>
      <w:r w:rsidRPr="008A1551">
        <w:rPr>
          <w:kern w:val="0"/>
          <w:sz w:val="24"/>
        </w:rPr>
        <w:t>200</w:t>
      </w:r>
      <w:r w:rsidRPr="008A1551">
        <w:rPr>
          <w:kern w:val="0"/>
          <w:sz w:val="24"/>
        </w:rPr>
        <w:t>人。</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本托管人认真复核</w:t>
      </w:r>
      <w:proofErr w:type="gramStart"/>
      <w:r w:rsidRPr="008A1551">
        <w:rPr>
          <w:color w:val="000000"/>
          <w:sz w:val="24"/>
        </w:rPr>
        <w:t>了本半年度</w:t>
      </w:r>
      <w:proofErr w:type="gramEnd"/>
      <w:r w:rsidRPr="008A1551">
        <w:rPr>
          <w:color w:val="000000"/>
          <w:sz w:val="24"/>
        </w:rPr>
        <w:t>报告中的财务指标、净值表现、收益分配情况、财务会计报告、投资组合报告等内容，认为其真实、准确和完整，不存在虚假记载、误导性陈述或者重大遗漏。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w:t>
      </w:r>
      <w:proofErr w:type="gramStart"/>
      <w:r w:rsidRPr="008A1551">
        <w:rPr>
          <w:color w:val="000000"/>
          <w:sz w:val="24"/>
        </w:rPr>
        <w:t>裕盈纯债</w:t>
      </w:r>
      <w:proofErr w:type="gramEnd"/>
      <w:r w:rsidRPr="008A1551">
        <w:rPr>
          <w:color w:val="000000"/>
          <w:sz w:val="24"/>
        </w:rPr>
        <w:t>债券型证券投资基金</w:t>
      </w:r>
    </w:p>
    <w:p w:rsidR="00F74D21" w:rsidRPr="008A1551" w:rsidRDefault="00F74D21" w:rsidP="009E1EA4">
      <w:pPr>
        <w:spacing w:before="29" w:line="288" w:lineRule="auto"/>
        <w:rPr>
          <w:color w:val="000000"/>
          <w:sz w:val="24"/>
        </w:rPr>
      </w:pPr>
      <w:r w:rsidRPr="008A1551">
        <w:rPr>
          <w:color w:val="000000"/>
          <w:sz w:val="24"/>
        </w:rPr>
        <w:lastRenderedPageBreak/>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488,008.24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8,960,077.93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1,421,391,500.00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1,318,500,000.00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1,421,391,500.00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1,318,500,000.00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22,936,728.04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25,433,053.06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23,167.15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1,444,839,403.43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1,352,893,130.99</w:t>
            </w:r>
          </w:p>
        </w:tc>
      </w:tr>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390,218,896.83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334,769,432.61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48,483.08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40.26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258,905.98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259,090.55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86,301.99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86,363.54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38,985.83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21,267.04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127,612.50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172,349.88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102,232.32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163,682.11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246,000.02</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391,115,230.53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335,484,430.99</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997,220,660.68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996,842,174.44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56,503,512.22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20,566,525.56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1,053,724,172.90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1,017,408,700.00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1,444,839,403.43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1,352,893,130.99</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1.057</w:t>
      </w:r>
      <w:r w:rsidRPr="008A1551">
        <w:rPr>
          <w:kern w:val="0"/>
          <w:sz w:val="24"/>
        </w:rPr>
        <w:t>元，</w:t>
      </w:r>
      <w:r w:rsidRPr="008A1551">
        <w:rPr>
          <w:kern w:val="0"/>
          <w:sz w:val="24"/>
        </w:rPr>
        <w:t>C</w:t>
      </w:r>
      <w:r w:rsidRPr="008A1551">
        <w:rPr>
          <w:kern w:val="0"/>
          <w:sz w:val="24"/>
        </w:rPr>
        <w:t>类基金份额净值</w:t>
      </w:r>
      <w:r w:rsidRPr="008A1551">
        <w:rPr>
          <w:kern w:val="0"/>
          <w:sz w:val="24"/>
        </w:rPr>
        <w:t>1.064</w:t>
      </w:r>
      <w:r w:rsidRPr="008A1551">
        <w:rPr>
          <w:kern w:val="0"/>
          <w:sz w:val="24"/>
        </w:rPr>
        <w:t>元，基金份额总额</w:t>
      </w:r>
      <w:r w:rsidRPr="008A1551">
        <w:rPr>
          <w:kern w:val="0"/>
          <w:sz w:val="24"/>
        </w:rPr>
        <w:t>997,220,660.68</w:t>
      </w:r>
      <w:r w:rsidRPr="008A1551">
        <w:rPr>
          <w:kern w:val="0"/>
          <w:sz w:val="24"/>
        </w:rPr>
        <w:t>份，其中</w:t>
      </w:r>
      <w:r w:rsidRPr="008A1551">
        <w:rPr>
          <w:kern w:val="0"/>
          <w:sz w:val="24"/>
        </w:rPr>
        <w:t>A</w:t>
      </w:r>
      <w:r w:rsidRPr="008A1551">
        <w:rPr>
          <w:kern w:val="0"/>
          <w:sz w:val="24"/>
        </w:rPr>
        <w:t>类基金份额</w:t>
      </w:r>
      <w:r w:rsidRPr="008A1551">
        <w:rPr>
          <w:kern w:val="0"/>
          <w:sz w:val="24"/>
        </w:rPr>
        <w:t>997,188,831.47</w:t>
      </w:r>
      <w:r w:rsidRPr="008A1551">
        <w:rPr>
          <w:kern w:val="0"/>
          <w:sz w:val="24"/>
        </w:rPr>
        <w:t>份，</w:t>
      </w:r>
      <w:r w:rsidRPr="008A1551">
        <w:rPr>
          <w:kern w:val="0"/>
          <w:sz w:val="24"/>
        </w:rPr>
        <w:t>C</w:t>
      </w:r>
      <w:r w:rsidRPr="008A1551">
        <w:rPr>
          <w:kern w:val="0"/>
          <w:sz w:val="24"/>
        </w:rPr>
        <w:t>类基金份额</w:t>
      </w:r>
      <w:r w:rsidRPr="008A1551">
        <w:rPr>
          <w:kern w:val="0"/>
          <w:sz w:val="24"/>
        </w:rPr>
        <w:t>31,829.21</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w:t>
      </w:r>
      <w:proofErr w:type="gramStart"/>
      <w:r w:rsidRPr="008A1551">
        <w:rPr>
          <w:kern w:val="0"/>
          <w:sz w:val="24"/>
        </w:rPr>
        <w:t>裕盈纯债</w:t>
      </w:r>
      <w:proofErr w:type="gramEnd"/>
      <w:r w:rsidRPr="008A1551">
        <w:rPr>
          <w:kern w:val="0"/>
          <w:sz w:val="24"/>
        </w:rPr>
        <w:t>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43,780,908.54</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12,427,526.77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32,183,246.45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18,006,340.22</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lastRenderedPageBreak/>
              <w:t>其中：存款利息收入</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19,014.70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149,212.93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32,159,915.40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16,860,231.55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4,316.35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996,895.74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-514,848.44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-64,100.00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-514,848.44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-64,100.00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12,112,240.82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-5,514,714.11</w:t>
            </w:r>
          </w:p>
        </w:tc>
      </w:tr>
      <w:tr w:rsidR="00C04CCE" w:rsidRPr="008A1551" w:rsidTr="00207C2A">
        <w:tc>
          <w:tcPr>
            <w:tcW w:w="3420" w:type="dxa"/>
            <w:vAlign w:val="center"/>
          </w:tcPr>
          <w:p w:rsidR="00C04CCE" w:rsidRPr="008A1551" w:rsidRDefault="00C04CCE" w:rsidP="009E1EA4">
            <w:pPr>
              <w:pStyle w:val="aff1"/>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f1"/>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269.71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0.66</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7,863,728.34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1,984,542.23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1,543,134.47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1,119,715.02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514,378.05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373,238.41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161.67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27.81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3,300.00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7,237.50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5,537,922.79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346,597.50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5,537,922.79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346,597.50</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f1"/>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77,312.12</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f1"/>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187,519.24</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137,725.99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35,917,180.20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10,442,984.54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35,917,180.20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10,442,984.54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w:t>
      </w:r>
      <w:proofErr w:type="gramStart"/>
      <w:r w:rsidRPr="008A1551">
        <w:rPr>
          <w:kern w:val="0"/>
          <w:sz w:val="24"/>
        </w:rPr>
        <w:t>裕盈纯债</w:t>
      </w:r>
      <w:proofErr w:type="gramEnd"/>
      <w:r w:rsidRPr="008A1551">
        <w:rPr>
          <w:kern w:val="0"/>
          <w:sz w:val="24"/>
        </w:rPr>
        <w:t>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996,842,174.44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20,566,525.56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1,017,408,700.00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35,917,180.20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35,917,180.20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378,486.24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19,806.46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398,292.70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844,490.66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41,636.38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886,127.04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-466,004.42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-21,829.92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-487,834.34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997,220,660.68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56,503,512.22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1,053,724,172.90</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200,226,253.73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1,126,956.76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201,353,210.49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10,442,984.54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10,442,984.54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796,810,401.30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3,187,242.86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799,997,644.16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796,816,869.71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3,187,272.90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800,004,142.61</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-6,468.41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-30.04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-6,498.45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997,036,655.03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14,757,184.16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1,011,793,839.19</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572780" w:rsidRDefault="00E4225C" w:rsidP="00A96567">
      <w:pPr>
        <w:spacing w:before="29" w:line="288" w:lineRule="auto"/>
        <w:ind w:firstLineChars="200" w:firstLine="480"/>
        <w:rPr>
          <w:rFonts w:hint="eastAsia"/>
          <w:color w:val="000000"/>
          <w:sz w:val="24"/>
        </w:rPr>
      </w:pPr>
      <w:r>
        <w:rPr>
          <w:color w:val="000000"/>
          <w:sz w:val="24"/>
        </w:rPr>
        <w:t>交银施罗德</w:t>
      </w:r>
      <w:proofErr w:type="gramStart"/>
      <w:r>
        <w:rPr>
          <w:color w:val="000000"/>
          <w:sz w:val="24"/>
        </w:rPr>
        <w:t>裕盈纯债</w:t>
      </w:r>
      <w:proofErr w:type="gramEnd"/>
      <w:r>
        <w:rPr>
          <w:color w:val="000000"/>
          <w:sz w:val="24"/>
        </w:rPr>
        <w:t>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1209</w:t>
      </w:r>
      <w:r>
        <w:rPr>
          <w:color w:val="00000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Pr>
          <w:color w:val="000000"/>
          <w:sz w:val="24"/>
        </w:rPr>
        <w:t>200,217,243.74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1395</w:t>
      </w:r>
      <w:r>
        <w:rPr>
          <w:color w:val="000000"/>
          <w:sz w:val="24"/>
        </w:rPr>
        <w:t>号验资报告予以验证。经向中国证监会备案，《交银施罗德裕盈纯债债券型证券投资基金基金合同》于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日正式生效，基金合同生效日的基金份额总额为</w:t>
      </w:r>
      <w:r>
        <w:rPr>
          <w:color w:val="000000"/>
          <w:sz w:val="24"/>
        </w:rPr>
        <w:t>200,226,253.73</w:t>
      </w:r>
      <w:r>
        <w:rPr>
          <w:color w:val="000000"/>
          <w:sz w:val="24"/>
        </w:rPr>
        <w:t>份基金份额，其中认购资金利息折合</w:t>
      </w:r>
      <w:r>
        <w:rPr>
          <w:color w:val="000000"/>
          <w:sz w:val="24"/>
        </w:rPr>
        <w:t>9,009.99</w:t>
      </w:r>
      <w:r>
        <w:rPr>
          <w:color w:val="000000"/>
          <w:sz w:val="24"/>
        </w:rPr>
        <w:t>份基金份额。本基金的基金管理人为交银施罗德基金管理有限公司，基金托管人为兴业银行股份有限公司。</w:t>
      </w:r>
    </w:p>
    <w:p w:rsidR="00572780" w:rsidRDefault="00E4225C" w:rsidP="00A96567">
      <w:pPr>
        <w:spacing w:before="29" w:line="288" w:lineRule="auto"/>
        <w:ind w:firstLineChars="200" w:firstLine="480"/>
        <w:rPr>
          <w:rFonts w:hint="eastAsia"/>
          <w:color w:val="000000"/>
          <w:sz w:val="24"/>
        </w:rPr>
      </w:pPr>
      <w:r>
        <w:rPr>
          <w:color w:val="000000"/>
          <w:sz w:val="24"/>
        </w:rPr>
        <w:t>根据《交银施罗德裕盈纯债债券型证券投资基金基金合同》和《交银施罗德裕盈纯债债券型证券投资基金招募说明书》，本基金根据认购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w:t>
      </w:r>
      <w:proofErr w:type="gramStart"/>
      <w:r w:rsidRPr="008A1551">
        <w:rPr>
          <w:color w:val="000000"/>
          <w:sz w:val="24"/>
        </w:rPr>
        <w:t>券</w:t>
      </w:r>
      <w:proofErr w:type="gramEnd"/>
      <w:r w:rsidRPr="008A1551">
        <w:rPr>
          <w:color w:val="000000"/>
          <w:sz w:val="24"/>
        </w:rPr>
        <w:t>、超级短期融资</w:t>
      </w:r>
      <w:proofErr w:type="gramStart"/>
      <w:r w:rsidRPr="008A1551">
        <w:rPr>
          <w:color w:val="000000"/>
          <w:sz w:val="24"/>
        </w:rPr>
        <w:t>券</w:t>
      </w:r>
      <w:proofErr w:type="gramEnd"/>
      <w:r w:rsidRPr="008A1551">
        <w:rPr>
          <w:color w:val="000000"/>
          <w:sz w:val="24"/>
        </w:rPr>
        <w:t>、资产支持证券、次级债、可分离交易可转债</w:t>
      </w:r>
      <w:proofErr w:type="gramStart"/>
      <w:r w:rsidRPr="008A1551">
        <w:rPr>
          <w:color w:val="000000"/>
          <w:sz w:val="24"/>
        </w:rPr>
        <w:t>的纯债部分</w:t>
      </w:r>
      <w:proofErr w:type="gramEnd"/>
      <w:r w:rsidRPr="008A1551">
        <w:rPr>
          <w:color w:val="000000"/>
          <w:sz w:val="24"/>
        </w:rPr>
        <w:t>、债券回购、银行存款、货币市场工具以及法律法规或中国证监会</w:t>
      </w:r>
      <w:r w:rsidRPr="008A1551">
        <w:rPr>
          <w:color w:val="000000"/>
          <w:sz w:val="24"/>
        </w:rPr>
        <w:lastRenderedPageBreak/>
        <w:t>允许基金投资的其他金融工具（但须符合中国证监会相关规定）。本基金不投资于股票、权证等权益类资产，也不投资于可转换债券（可分离交易可转债的</w:t>
      </w:r>
      <w:proofErr w:type="gramStart"/>
      <w:r w:rsidRPr="008A1551">
        <w:rPr>
          <w:color w:val="000000"/>
          <w:sz w:val="24"/>
        </w:rPr>
        <w:t>纯债部分</w:t>
      </w:r>
      <w:proofErr w:type="gramEnd"/>
      <w:r w:rsidRPr="008A1551">
        <w:rPr>
          <w:color w:val="000000"/>
          <w:sz w:val="24"/>
        </w:rPr>
        <w:t>除外）、可交换债券。如法律法规或监管机构以后允许基金投资其他品种，基金管理人在履行适当程序后，可以将其纳入投资范围。本基金的投资组合比例为：债券资产的比例不低于基金资产的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w:t>
      </w:r>
      <w:proofErr w:type="gramStart"/>
      <w:r w:rsidRPr="008A1551">
        <w:rPr>
          <w:color w:val="000000"/>
          <w:sz w:val="24"/>
        </w:rPr>
        <w:t>债综合</w:t>
      </w:r>
      <w:proofErr w:type="gramEnd"/>
      <w:r w:rsidRPr="008A1551">
        <w:rPr>
          <w:color w:val="000000"/>
          <w:sz w:val="24"/>
        </w:rPr>
        <w:t>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w:t>
      </w:r>
      <w:r w:rsidRPr="008A1551">
        <w:rPr>
          <w:color w:val="000000"/>
          <w:sz w:val="24"/>
        </w:rPr>
        <w:t>-</w:t>
      </w:r>
      <w:r w:rsidRPr="008A1551">
        <w:rPr>
          <w:color w:val="000000"/>
          <w:sz w:val="24"/>
        </w:rPr>
        <w:t>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颁布的《证券投资基金会计核算业务指引》、《交银施罗德裕盈纯债债券型证券投资基金基金合同》和在财务报表附注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572780" w:rsidRDefault="00E4225C" w:rsidP="00A96567">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w:t>
      </w:r>
      <w:r>
        <w:rPr>
          <w:color w:val="000000"/>
          <w:sz w:val="24"/>
        </w:rPr>
        <w:lastRenderedPageBreak/>
        <w:t>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72780" w:rsidRDefault="00E4225C">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572780" w:rsidRDefault="00E4225C" w:rsidP="00A96567">
      <w:pPr>
        <w:spacing w:before="29" w:line="288" w:lineRule="auto"/>
        <w:ind w:firstLineChars="200" w:firstLine="480"/>
        <w:rPr>
          <w:rFonts w:hint="eastAsia"/>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572780" w:rsidRDefault="00E4225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572780" w:rsidRDefault="00E4225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572780">
        <w:tc>
          <w:tcPr>
            <w:tcW w:w="5219" w:type="dxa"/>
            <w:vAlign w:val="center"/>
          </w:tcPr>
          <w:p w:rsidR="00572780" w:rsidRDefault="00E4225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72780" w:rsidRDefault="00E4225C">
            <w:pPr>
              <w:jc w:val="left"/>
            </w:pPr>
            <w:r>
              <w:rPr>
                <w:color w:val="000000"/>
                <w:sz w:val="24"/>
              </w:rPr>
              <w:t>基金管理人、基金销售机构</w:t>
            </w:r>
          </w:p>
        </w:tc>
      </w:tr>
      <w:tr w:rsidR="00572780">
        <w:tc>
          <w:tcPr>
            <w:tcW w:w="5219" w:type="dxa"/>
            <w:vAlign w:val="center"/>
          </w:tcPr>
          <w:p w:rsidR="00572780" w:rsidRDefault="00E4225C">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572780" w:rsidRDefault="00E4225C">
            <w:pPr>
              <w:jc w:val="left"/>
            </w:pPr>
            <w:r>
              <w:rPr>
                <w:color w:val="000000"/>
                <w:sz w:val="24"/>
              </w:rPr>
              <w:t>基金托管人</w:t>
            </w:r>
          </w:p>
        </w:tc>
      </w:tr>
      <w:tr w:rsidR="00572780">
        <w:tc>
          <w:tcPr>
            <w:tcW w:w="5219" w:type="dxa"/>
            <w:vAlign w:val="center"/>
          </w:tcPr>
          <w:p w:rsidR="00572780" w:rsidRDefault="00E4225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72780" w:rsidRDefault="00E4225C">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1,543,134.47</w:t>
            </w:r>
          </w:p>
        </w:tc>
        <w:tc>
          <w:tcPr>
            <w:tcW w:w="2657" w:type="dxa"/>
            <w:vAlign w:val="center"/>
          </w:tcPr>
          <w:p w:rsidR="001548F9" w:rsidRPr="008A1551" w:rsidRDefault="001548F9" w:rsidP="009E1EA4">
            <w:pPr>
              <w:spacing w:before="29" w:line="288" w:lineRule="auto"/>
              <w:jc w:val="right"/>
              <w:rPr>
                <w:sz w:val="24"/>
              </w:rPr>
            </w:pPr>
            <w:r w:rsidRPr="008A1551">
              <w:rPr>
                <w:sz w:val="24"/>
              </w:rPr>
              <w:t>1,119,715.02</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118.44</w:t>
            </w:r>
          </w:p>
        </w:tc>
        <w:tc>
          <w:tcPr>
            <w:tcW w:w="2657" w:type="dxa"/>
            <w:vAlign w:val="center"/>
          </w:tcPr>
          <w:p w:rsidR="001548F9" w:rsidRPr="008A1551" w:rsidRDefault="001548F9" w:rsidP="009E1EA4">
            <w:pPr>
              <w:spacing w:before="29" w:line="288" w:lineRule="auto"/>
              <w:jc w:val="right"/>
              <w:rPr>
                <w:sz w:val="24"/>
              </w:rPr>
            </w:pPr>
            <w:r w:rsidRPr="008A1551">
              <w:rPr>
                <w:sz w:val="24"/>
              </w:rPr>
              <w:t>3.88</w:t>
            </w:r>
          </w:p>
        </w:tc>
      </w:tr>
    </w:tbl>
    <w:p w:rsidR="00572780" w:rsidRDefault="00E4225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514,378.05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373,238.41</w:t>
            </w:r>
          </w:p>
        </w:tc>
      </w:tr>
    </w:tbl>
    <w:p w:rsidR="00572780" w:rsidRDefault="00E4225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×0.10%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72780">
        <w:tc>
          <w:tcPr>
            <w:tcW w:w="2000" w:type="dxa"/>
            <w:vAlign w:val="center"/>
          </w:tcPr>
          <w:p w:rsidR="00572780" w:rsidRDefault="00E4225C">
            <w:pPr>
              <w:jc w:val="left"/>
            </w:pPr>
            <w:r>
              <w:rPr>
                <w:sz w:val="24"/>
              </w:rPr>
              <w:t>交银施罗德基金公司</w:t>
            </w:r>
          </w:p>
        </w:tc>
        <w:tc>
          <w:tcPr>
            <w:tcW w:w="1766" w:type="dxa"/>
            <w:vAlign w:val="center"/>
          </w:tcPr>
          <w:p w:rsidR="00572780" w:rsidRDefault="00E4225C">
            <w:pPr>
              <w:jc w:val="right"/>
            </w:pPr>
            <w:r>
              <w:rPr>
                <w:sz w:val="24"/>
              </w:rPr>
              <w:t>-</w:t>
            </w:r>
          </w:p>
        </w:tc>
        <w:tc>
          <w:tcPr>
            <w:tcW w:w="2162" w:type="dxa"/>
            <w:vAlign w:val="center"/>
          </w:tcPr>
          <w:p w:rsidR="00572780" w:rsidRDefault="00E4225C">
            <w:pPr>
              <w:jc w:val="right"/>
            </w:pPr>
            <w:r>
              <w:rPr>
                <w:sz w:val="24"/>
              </w:rPr>
              <w:t>20.30</w:t>
            </w:r>
          </w:p>
        </w:tc>
        <w:tc>
          <w:tcPr>
            <w:tcW w:w="3070" w:type="dxa"/>
            <w:vAlign w:val="center"/>
          </w:tcPr>
          <w:p w:rsidR="00572780" w:rsidRDefault="00E4225C">
            <w:pPr>
              <w:jc w:val="right"/>
            </w:pPr>
            <w:r>
              <w:rPr>
                <w:sz w:val="24"/>
              </w:rPr>
              <w:t>20.30</w:t>
            </w:r>
          </w:p>
        </w:tc>
      </w:tr>
      <w:tr w:rsidR="00572780">
        <w:tc>
          <w:tcPr>
            <w:tcW w:w="2000" w:type="dxa"/>
            <w:vAlign w:val="center"/>
          </w:tcPr>
          <w:p w:rsidR="00572780" w:rsidRDefault="00E4225C">
            <w:pPr>
              <w:jc w:val="left"/>
            </w:pPr>
            <w:r>
              <w:rPr>
                <w:sz w:val="24"/>
              </w:rPr>
              <w:t>交通银行</w:t>
            </w:r>
          </w:p>
        </w:tc>
        <w:tc>
          <w:tcPr>
            <w:tcW w:w="1766" w:type="dxa"/>
            <w:vAlign w:val="center"/>
          </w:tcPr>
          <w:p w:rsidR="00572780" w:rsidRDefault="00E4225C">
            <w:pPr>
              <w:jc w:val="right"/>
            </w:pPr>
            <w:r>
              <w:rPr>
                <w:sz w:val="24"/>
              </w:rPr>
              <w:t>-</w:t>
            </w:r>
          </w:p>
        </w:tc>
        <w:tc>
          <w:tcPr>
            <w:tcW w:w="2162" w:type="dxa"/>
            <w:vAlign w:val="center"/>
          </w:tcPr>
          <w:p w:rsidR="00572780" w:rsidRDefault="00E4225C">
            <w:pPr>
              <w:jc w:val="right"/>
            </w:pPr>
            <w:r>
              <w:rPr>
                <w:sz w:val="24"/>
              </w:rPr>
              <w:t>19.52</w:t>
            </w:r>
          </w:p>
        </w:tc>
        <w:tc>
          <w:tcPr>
            <w:tcW w:w="3070" w:type="dxa"/>
            <w:vAlign w:val="center"/>
          </w:tcPr>
          <w:p w:rsidR="00572780" w:rsidRDefault="00E4225C">
            <w:pPr>
              <w:jc w:val="right"/>
            </w:pPr>
            <w:r>
              <w:rPr>
                <w:sz w:val="24"/>
              </w:rPr>
              <w:t>19.52</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39.82</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39.82</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w:t>
            </w:r>
            <w:r w:rsidRPr="008A1551">
              <w:rPr>
                <w:sz w:val="24"/>
              </w:rPr>
              <w:lastRenderedPageBreak/>
              <w:t>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lastRenderedPageBreak/>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lastRenderedPageBreak/>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72780">
        <w:tc>
          <w:tcPr>
            <w:tcW w:w="2000" w:type="dxa"/>
            <w:vAlign w:val="center"/>
          </w:tcPr>
          <w:p w:rsidR="00572780" w:rsidRDefault="00E4225C">
            <w:pPr>
              <w:jc w:val="left"/>
            </w:pPr>
            <w:r>
              <w:rPr>
                <w:sz w:val="24"/>
              </w:rPr>
              <w:t>交银施罗德基金公司</w:t>
            </w:r>
          </w:p>
        </w:tc>
        <w:tc>
          <w:tcPr>
            <w:tcW w:w="1766" w:type="dxa"/>
            <w:vAlign w:val="center"/>
          </w:tcPr>
          <w:p w:rsidR="00572780" w:rsidRDefault="00E4225C">
            <w:pPr>
              <w:jc w:val="right"/>
            </w:pPr>
            <w:r>
              <w:rPr>
                <w:sz w:val="24"/>
              </w:rPr>
              <w:t>-</w:t>
            </w:r>
          </w:p>
        </w:tc>
        <w:tc>
          <w:tcPr>
            <w:tcW w:w="2162" w:type="dxa"/>
            <w:vAlign w:val="center"/>
          </w:tcPr>
          <w:p w:rsidR="00572780" w:rsidRDefault="00E4225C">
            <w:pPr>
              <w:jc w:val="right"/>
            </w:pPr>
            <w:r>
              <w:rPr>
                <w:sz w:val="24"/>
              </w:rPr>
              <w:t>19.91</w:t>
            </w:r>
          </w:p>
        </w:tc>
        <w:tc>
          <w:tcPr>
            <w:tcW w:w="3070" w:type="dxa"/>
            <w:vAlign w:val="center"/>
          </w:tcPr>
          <w:p w:rsidR="00572780" w:rsidRDefault="00E4225C">
            <w:pPr>
              <w:jc w:val="right"/>
            </w:pPr>
            <w:r>
              <w:rPr>
                <w:sz w:val="24"/>
              </w:rPr>
              <w:t>19.91</w:t>
            </w:r>
          </w:p>
        </w:tc>
      </w:tr>
      <w:tr w:rsidR="00572780">
        <w:tc>
          <w:tcPr>
            <w:tcW w:w="2000" w:type="dxa"/>
            <w:vAlign w:val="center"/>
          </w:tcPr>
          <w:p w:rsidR="00572780" w:rsidRDefault="00E4225C">
            <w:pPr>
              <w:jc w:val="left"/>
            </w:pPr>
            <w:r>
              <w:rPr>
                <w:sz w:val="24"/>
              </w:rPr>
              <w:t>交通银行</w:t>
            </w:r>
          </w:p>
        </w:tc>
        <w:tc>
          <w:tcPr>
            <w:tcW w:w="1766" w:type="dxa"/>
            <w:vAlign w:val="center"/>
          </w:tcPr>
          <w:p w:rsidR="00572780" w:rsidRDefault="00E4225C">
            <w:pPr>
              <w:jc w:val="right"/>
            </w:pPr>
            <w:r>
              <w:rPr>
                <w:sz w:val="24"/>
              </w:rPr>
              <w:t>-</w:t>
            </w:r>
          </w:p>
        </w:tc>
        <w:tc>
          <w:tcPr>
            <w:tcW w:w="2162" w:type="dxa"/>
            <w:vAlign w:val="center"/>
          </w:tcPr>
          <w:p w:rsidR="00572780" w:rsidRDefault="00E4225C">
            <w:pPr>
              <w:jc w:val="right"/>
            </w:pPr>
            <w:r>
              <w:rPr>
                <w:sz w:val="24"/>
              </w:rPr>
              <w:t>7.84</w:t>
            </w:r>
          </w:p>
        </w:tc>
        <w:tc>
          <w:tcPr>
            <w:tcW w:w="3070" w:type="dxa"/>
            <w:vAlign w:val="center"/>
          </w:tcPr>
          <w:p w:rsidR="00572780" w:rsidRDefault="00E4225C">
            <w:pPr>
              <w:jc w:val="right"/>
            </w:pPr>
            <w:r>
              <w:rPr>
                <w:sz w:val="24"/>
              </w:rPr>
              <w:t>7.84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27.75</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27.75</w:t>
            </w:r>
          </w:p>
        </w:tc>
      </w:tr>
    </w:tbl>
    <w:p w:rsidR="00572780" w:rsidRDefault="00E4225C">
      <w:pPr>
        <w:tabs>
          <w:tab w:val="left" w:pos="426"/>
        </w:tabs>
        <w:spacing w:before="29" w:line="288" w:lineRule="auto"/>
        <w:jc w:val="left"/>
        <w:rPr>
          <w:kern w:val="0"/>
          <w:sz w:val="24"/>
        </w:rPr>
      </w:pPr>
      <w:r>
        <w:rPr>
          <w:kern w:val="0"/>
          <w:sz w:val="24"/>
        </w:rPr>
        <w:t>注：</w:t>
      </w:r>
    </w:p>
    <w:p w:rsidR="00572780" w:rsidRDefault="00E4225C">
      <w:pPr>
        <w:tabs>
          <w:tab w:val="left" w:pos="426"/>
        </w:tabs>
        <w:spacing w:before="29" w:line="288"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572780">
        <w:tc>
          <w:tcPr>
            <w:tcW w:w="2692" w:type="dxa"/>
            <w:vAlign w:val="center"/>
          </w:tcPr>
          <w:p w:rsidR="00572780" w:rsidRDefault="00E4225C">
            <w:pPr>
              <w:jc w:val="left"/>
            </w:pPr>
            <w:r>
              <w:rPr>
                <w:sz w:val="24"/>
              </w:rPr>
              <w:t>兴业银行股份有限公司</w:t>
            </w:r>
          </w:p>
        </w:tc>
        <w:tc>
          <w:tcPr>
            <w:tcW w:w="1417" w:type="dxa"/>
            <w:vAlign w:val="center"/>
          </w:tcPr>
          <w:p w:rsidR="00572780" w:rsidRDefault="00E4225C">
            <w:pPr>
              <w:jc w:val="right"/>
            </w:pPr>
            <w:r>
              <w:rPr>
                <w:sz w:val="24"/>
              </w:rPr>
              <w:t>488,008.24</w:t>
            </w:r>
          </w:p>
        </w:tc>
        <w:tc>
          <w:tcPr>
            <w:tcW w:w="1736" w:type="dxa"/>
            <w:vAlign w:val="center"/>
          </w:tcPr>
          <w:p w:rsidR="00572780" w:rsidRDefault="00E4225C">
            <w:pPr>
              <w:jc w:val="right"/>
            </w:pPr>
            <w:r>
              <w:rPr>
                <w:sz w:val="24"/>
              </w:rPr>
              <w:t>19,014.68</w:t>
            </w:r>
          </w:p>
        </w:tc>
        <w:tc>
          <w:tcPr>
            <w:tcW w:w="1383" w:type="dxa"/>
            <w:vAlign w:val="center"/>
          </w:tcPr>
          <w:p w:rsidR="00572780" w:rsidRDefault="00E4225C">
            <w:pPr>
              <w:jc w:val="right"/>
            </w:pPr>
            <w:r>
              <w:rPr>
                <w:sz w:val="24"/>
              </w:rPr>
              <w:t>3,775,857.99</w:t>
            </w:r>
          </w:p>
        </w:tc>
        <w:tc>
          <w:tcPr>
            <w:tcW w:w="1770" w:type="dxa"/>
            <w:vAlign w:val="center"/>
          </w:tcPr>
          <w:p w:rsidR="00572780" w:rsidRDefault="00E4225C">
            <w:pPr>
              <w:jc w:val="right"/>
            </w:pPr>
            <w:r>
              <w:rPr>
                <w:sz w:val="24"/>
              </w:rPr>
              <w:t>128,119.79</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390,218,896.83</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572780">
        <w:tc>
          <w:tcPr>
            <w:tcW w:w="1276" w:type="dxa"/>
            <w:vAlign w:val="center"/>
          </w:tcPr>
          <w:p w:rsidR="00572780" w:rsidRDefault="00E4225C">
            <w:pPr>
              <w:jc w:val="center"/>
            </w:pPr>
            <w:r>
              <w:rPr>
                <w:color w:val="000000"/>
                <w:kern w:val="0"/>
                <w:sz w:val="24"/>
              </w:rPr>
              <w:t>170403</w:t>
            </w:r>
          </w:p>
        </w:tc>
        <w:tc>
          <w:tcPr>
            <w:tcW w:w="1843" w:type="dxa"/>
            <w:vAlign w:val="center"/>
          </w:tcPr>
          <w:p w:rsidR="00572780" w:rsidRDefault="00E4225C">
            <w:pPr>
              <w:jc w:val="center"/>
            </w:pPr>
            <w:r>
              <w:rPr>
                <w:color w:val="000000"/>
                <w:kern w:val="0"/>
                <w:sz w:val="24"/>
              </w:rPr>
              <w:t>17</w:t>
            </w:r>
            <w:r>
              <w:rPr>
                <w:color w:val="000000"/>
                <w:kern w:val="0"/>
                <w:sz w:val="24"/>
              </w:rPr>
              <w:t>农发</w:t>
            </w:r>
            <w:r>
              <w:rPr>
                <w:color w:val="000000"/>
                <w:kern w:val="0"/>
                <w:sz w:val="24"/>
              </w:rPr>
              <w:t>03</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98.48</w:t>
            </w:r>
          </w:p>
        </w:tc>
        <w:tc>
          <w:tcPr>
            <w:tcW w:w="1434" w:type="dxa"/>
            <w:vAlign w:val="center"/>
          </w:tcPr>
          <w:p w:rsidR="00572780" w:rsidRDefault="00E4225C">
            <w:pPr>
              <w:jc w:val="right"/>
            </w:pPr>
            <w:r>
              <w:rPr>
                <w:color w:val="000000"/>
                <w:kern w:val="0"/>
                <w:sz w:val="24"/>
              </w:rPr>
              <w:t>200,000</w:t>
            </w:r>
          </w:p>
        </w:tc>
        <w:tc>
          <w:tcPr>
            <w:tcW w:w="1828" w:type="dxa"/>
            <w:vAlign w:val="center"/>
          </w:tcPr>
          <w:p w:rsidR="00572780" w:rsidRDefault="00E4225C">
            <w:pPr>
              <w:jc w:val="right"/>
            </w:pPr>
            <w:r>
              <w:rPr>
                <w:color w:val="000000"/>
                <w:kern w:val="0"/>
                <w:sz w:val="24"/>
              </w:rPr>
              <w:t>19,696,000.00</w:t>
            </w:r>
          </w:p>
        </w:tc>
      </w:tr>
      <w:tr w:rsidR="00572780">
        <w:tc>
          <w:tcPr>
            <w:tcW w:w="1276" w:type="dxa"/>
            <w:vAlign w:val="center"/>
          </w:tcPr>
          <w:p w:rsidR="00572780" w:rsidRDefault="00E4225C">
            <w:pPr>
              <w:jc w:val="center"/>
            </w:pPr>
            <w:r>
              <w:rPr>
                <w:color w:val="000000"/>
                <w:kern w:val="0"/>
                <w:sz w:val="24"/>
              </w:rPr>
              <w:t>160218</w:t>
            </w:r>
          </w:p>
        </w:tc>
        <w:tc>
          <w:tcPr>
            <w:tcW w:w="1843" w:type="dxa"/>
            <w:vAlign w:val="center"/>
          </w:tcPr>
          <w:p w:rsidR="00572780" w:rsidRDefault="00E4225C">
            <w:pPr>
              <w:jc w:val="center"/>
            </w:pPr>
            <w:r>
              <w:rPr>
                <w:color w:val="000000"/>
                <w:kern w:val="0"/>
                <w:sz w:val="24"/>
              </w:rPr>
              <w:t>16</w:t>
            </w:r>
            <w:r>
              <w:rPr>
                <w:color w:val="000000"/>
                <w:kern w:val="0"/>
                <w:sz w:val="24"/>
              </w:rPr>
              <w:t>国开</w:t>
            </w:r>
            <w:r>
              <w:rPr>
                <w:color w:val="000000"/>
                <w:kern w:val="0"/>
                <w:sz w:val="24"/>
              </w:rPr>
              <w:t>18</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97.61</w:t>
            </w:r>
          </w:p>
        </w:tc>
        <w:tc>
          <w:tcPr>
            <w:tcW w:w="1434" w:type="dxa"/>
            <w:vAlign w:val="center"/>
          </w:tcPr>
          <w:p w:rsidR="00572780" w:rsidRDefault="00E4225C">
            <w:pPr>
              <w:jc w:val="right"/>
            </w:pPr>
            <w:r>
              <w:rPr>
                <w:color w:val="000000"/>
                <w:kern w:val="0"/>
                <w:sz w:val="24"/>
              </w:rPr>
              <w:t>200,000</w:t>
            </w:r>
          </w:p>
        </w:tc>
        <w:tc>
          <w:tcPr>
            <w:tcW w:w="1828" w:type="dxa"/>
            <w:vAlign w:val="center"/>
          </w:tcPr>
          <w:p w:rsidR="00572780" w:rsidRDefault="00E4225C">
            <w:pPr>
              <w:jc w:val="right"/>
            </w:pPr>
            <w:r>
              <w:rPr>
                <w:color w:val="000000"/>
                <w:kern w:val="0"/>
                <w:sz w:val="24"/>
              </w:rPr>
              <w:t>19,522,000.00</w:t>
            </w:r>
          </w:p>
        </w:tc>
      </w:tr>
      <w:tr w:rsidR="00572780">
        <w:tc>
          <w:tcPr>
            <w:tcW w:w="1276" w:type="dxa"/>
            <w:vAlign w:val="center"/>
          </w:tcPr>
          <w:p w:rsidR="00572780" w:rsidRDefault="00E4225C">
            <w:pPr>
              <w:jc w:val="center"/>
            </w:pPr>
            <w:r>
              <w:rPr>
                <w:color w:val="000000"/>
                <w:kern w:val="0"/>
                <w:sz w:val="24"/>
              </w:rPr>
              <w:t>150313</w:t>
            </w:r>
          </w:p>
        </w:tc>
        <w:tc>
          <w:tcPr>
            <w:tcW w:w="1843" w:type="dxa"/>
            <w:vAlign w:val="center"/>
          </w:tcPr>
          <w:p w:rsidR="00572780" w:rsidRDefault="00E4225C">
            <w:pPr>
              <w:jc w:val="center"/>
            </w:pPr>
            <w:r>
              <w:rPr>
                <w:color w:val="000000"/>
                <w:kern w:val="0"/>
                <w:sz w:val="24"/>
              </w:rPr>
              <w:t>15</w:t>
            </w:r>
            <w:r>
              <w:rPr>
                <w:color w:val="000000"/>
                <w:kern w:val="0"/>
                <w:sz w:val="24"/>
              </w:rPr>
              <w:t>进出</w:t>
            </w:r>
            <w:r>
              <w:rPr>
                <w:color w:val="000000"/>
                <w:kern w:val="0"/>
                <w:sz w:val="24"/>
              </w:rPr>
              <w:t>13</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99.58</w:t>
            </w:r>
          </w:p>
        </w:tc>
        <w:tc>
          <w:tcPr>
            <w:tcW w:w="1434" w:type="dxa"/>
            <w:vAlign w:val="center"/>
          </w:tcPr>
          <w:p w:rsidR="00572780" w:rsidRDefault="00E4225C">
            <w:pPr>
              <w:jc w:val="right"/>
            </w:pPr>
            <w:r>
              <w:rPr>
                <w:color w:val="000000"/>
                <w:kern w:val="0"/>
                <w:sz w:val="24"/>
              </w:rPr>
              <w:t>200,000</w:t>
            </w:r>
          </w:p>
        </w:tc>
        <w:tc>
          <w:tcPr>
            <w:tcW w:w="1828" w:type="dxa"/>
            <w:vAlign w:val="center"/>
          </w:tcPr>
          <w:p w:rsidR="00572780" w:rsidRDefault="00E4225C">
            <w:pPr>
              <w:jc w:val="right"/>
            </w:pPr>
            <w:r>
              <w:rPr>
                <w:color w:val="000000"/>
                <w:kern w:val="0"/>
                <w:sz w:val="24"/>
              </w:rPr>
              <w:t>19,916,000.00</w:t>
            </w:r>
          </w:p>
        </w:tc>
      </w:tr>
      <w:tr w:rsidR="00572780">
        <w:tc>
          <w:tcPr>
            <w:tcW w:w="1276" w:type="dxa"/>
            <w:vAlign w:val="center"/>
          </w:tcPr>
          <w:p w:rsidR="00572780" w:rsidRDefault="00E4225C">
            <w:pPr>
              <w:jc w:val="center"/>
            </w:pPr>
            <w:r>
              <w:rPr>
                <w:color w:val="000000"/>
                <w:kern w:val="0"/>
                <w:sz w:val="24"/>
              </w:rPr>
              <w:t>180404</w:t>
            </w:r>
          </w:p>
        </w:tc>
        <w:tc>
          <w:tcPr>
            <w:tcW w:w="1843" w:type="dxa"/>
            <w:vAlign w:val="center"/>
          </w:tcPr>
          <w:p w:rsidR="00572780" w:rsidRDefault="00E4225C">
            <w:pPr>
              <w:jc w:val="center"/>
            </w:pPr>
            <w:r>
              <w:rPr>
                <w:color w:val="000000"/>
                <w:kern w:val="0"/>
                <w:sz w:val="24"/>
              </w:rPr>
              <w:t>18</w:t>
            </w:r>
            <w:r>
              <w:rPr>
                <w:color w:val="000000"/>
                <w:kern w:val="0"/>
                <w:sz w:val="24"/>
              </w:rPr>
              <w:t>农发</w:t>
            </w:r>
            <w:r>
              <w:rPr>
                <w:color w:val="000000"/>
                <w:kern w:val="0"/>
                <w:sz w:val="24"/>
              </w:rPr>
              <w:t>04</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100.30</w:t>
            </w:r>
          </w:p>
        </w:tc>
        <w:tc>
          <w:tcPr>
            <w:tcW w:w="1434" w:type="dxa"/>
            <w:vAlign w:val="center"/>
          </w:tcPr>
          <w:p w:rsidR="00572780" w:rsidRDefault="00E4225C">
            <w:pPr>
              <w:jc w:val="right"/>
            </w:pPr>
            <w:r>
              <w:rPr>
                <w:color w:val="000000"/>
                <w:kern w:val="0"/>
                <w:sz w:val="24"/>
              </w:rPr>
              <w:t>550,000</w:t>
            </w:r>
          </w:p>
        </w:tc>
        <w:tc>
          <w:tcPr>
            <w:tcW w:w="1828" w:type="dxa"/>
            <w:vAlign w:val="center"/>
          </w:tcPr>
          <w:p w:rsidR="00572780" w:rsidRDefault="00E4225C">
            <w:pPr>
              <w:jc w:val="right"/>
            </w:pPr>
            <w:r>
              <w:rPr>
                <w:color w:val="000000"/>
                <w:kern w:val="0"/>
                <w:sz w:val="24"/>
              </w:rPr>
              <w:t>55,165,000.00</w:t>
            </w:r>
          </w:p>
        </w:tc>
      </w:tr>
      <w:tr w:rsidR="00572780">
        <w:tc>
          <w:tcPr>
            <w:tcW w:w="1276" w:type="dxa"/>
            <w:vAlign w:val="center"/>
          </w:tcPr>
          <w:p w:rsidR="00572780" w:rsidRDefault="00E4225C">
            <w:pPr>
              <w:jc w:val="center"/>
            </w:pPr>
            <w:r>
              <w:rPr>
                <w:color w:val="000000"/>
                <w:kern w:val="0"/>
                <w:sz w:val="24"/>
              </w:rPr>
              <w:t>101668002</w:t>
            </w:r>
          </w:p>
        </w:tc>
        <w:tc>
          <w:tcPr>
            <w:tcW w:w="1843" w:type="dxa"/>
            <w:vAlign w:val="center"/>
          </w:tcPr>
          <w:p w:rsidR="00572780" w:rsidRDefault="00E4225C">
            <w:pPr>
              <w:jc w:val="center"/>
            </w:pPr>
            <w:r>
              <w:rPr>
                <w:color w:val="000000"/>
                <w:kern w:val="0"/>
                <w:sz w:val="24"/>
              </w:rPr>
              <w:t>16</w:t>
            </w:r>
            <w:proofErr w:type="gramStart"/>
            <w:r>
              <w:rPr>
                <w:color w:val="000000"/>
                <w:kern w:val="0"/>
                <w:sz w:val="24"/>
              </w:rPr>
              <w:t>电科院</w:t>
            </w:r>
            <w:proofErr w:type="gramEnd"/>
            <w:r>
              <w:rPr>
                <w:color w:val="000000"/>
                <w:kern w:val="0"/>
                <w:sz w:val="24"/>
              </w:rPr>
              <w:t>MTN001</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99.20</w:t>
            </w:r>
          </w:p>
        </w:tc>
        <w:tc>
          <w:tcPr>
            <w:tcW w:w="1434" w:type="dxa"/>
            <w:vAlign w:val="center"/>
          </w:tcPr>
          <w:p w:rsidR="00572780" w:rsidRDefault="00E4225C">
            <w:pPr>
              <w:jc w:val="right"/>
            </w:pPr>
            <w:r>
              <w:rPr>
                <w:color w:val="000000"/>
                <w:kern w:val="0"/>
                <w:sz w:val="24"/>
              </w:rPr>
              <w:t>400,000</w:t>
            </w:r>
          </w:p>
        </w:tc>
        <w:tc>
          <w:tcPr>
            <w:tcW w:w="1828" w:type="dxa"/>
            <w:vAlign w:val="center"/>
          </w:tcPr>
          <w:p w:rsidR="00572780" w:rsidRDefault="00E4225C">
            <w:pPr>
              <w:jc w:val="right"/>
            </w:pPr>
            <w:r>
              <w:rPr>
                <w:color w:val="000000"/>
                <w:kern w:val="0"/>
                <w:sz w:val="24"/>
              </w:rPr>
              <w:t>39,680,000.00</w:t>
            </w:r>
          </w:p>
        </w:tc>
      </w:tr>
      <w:tr w:rsidR="00572780">
        <w:tc>
          <w:tcPr>
            <w:tcW w:w="1276" w:type="dxa"/>
            <w:vAlign w:val="center"/>
          </w:tcPr>
          <w:p w:rsidR="00572780" w:rsidRDefault="00E4225C">
            <w:pPr>
              <w:jc w:val="center"/>
            </w:pPr>
            <w:r>
              <w:rPr>
                <w:color w:val="000000"/>
                <w:kern w:val="0"/>
                <w:sz w:val="24"/>
              </w:rPr>
              <w:t>101756034</w:t>
            </w:r>
          </w:p>
        </w:tc>
        <w:tc>
          <w:tcPr>
            <w:tcW w:w="1843" w:type="dxa"/>
            <w:vAlign w:val="center"/>
          </w:tcPr>
          <w:p w:rsidR="00572780" w:rsidRDefault="00E4225C">
            <w:pPr>
              <w:jc w:val="center"/>
            </w:pPr>
            <w:r>
              <w:rPr>
                <w:color w:val="000000"/>
                <w:kern w:val="0"/>
                <w:sz w:val="24"/>
              </w:rPr>
              <w:t>17</w:t>
            </w:r>
            <w:proofErr w:type="gramStart"/>
            <w:r>
              <w:rPr>
                <w:color w:val="000000"/>
                <w:kern w:val="0"/>
                <w:sz w:val="24"/>
              </w:rPr>
              <w:t>诚通控股</w:t>
            </w:r>
            <w:proofErr w:type="gramEnd"/>
            <w:r>
              <w:rPr>
                <w:color w:val="000000"/>
                <w:kern w:val="0"/>
                <w:sz w:val="24"/>
              </w:rPr>
              <w:t>MTN002</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100.88</w:t>
            </w:r>
          </w:p>
        </w:tc>
        <w:tc>
          <w:tcPr>
            <w:tcW w:w="1434" w:type="dxa"/>
            <w:vAlign w:val="center"/>
          </w:tcPr>
          <w:p w:rsidR="00572780" w:rsidRDefault="00E4225C">
            <w:pPr>
              <w:jc w:val="right"/>
            </w:pPr>
            <w:r>
              <w:rPr>
                <w:color w:val="000000"/>
                <w:kern w:val="0"/>
                <w:sz w:val="24"/>
              </w:rPr>
              <w:t>165,000</w:t>
            </w:r>
          </w:p>
        </w:tc>
        <w:tc>
          <w:tcPr>
            <w:tcW w:w="1828" w:type="dxa"/>
            <w:vAlign w:val="center"/>
          </w:tcPr>
          <w:p w:rsidR="00572780" w:rsidRDefault="00E4225C">
            <w:pPr>
              <w:jc w:val="right"/>
            </w:pPr>
            <w:r>
              <w:rPr>
                <w:color w:val="000000"/>
                <w:kern w:val="0"/>
                <w:sz w:val="24"/>
              </w:rPr>
              <w:t>16,645,200.00</w:t>
            </w:r>
          </w:p>
        </w:tc>
      </w:tr>
      <w:tr w:rsidR="00572780">
        <w:tc>
          <w:tcPr>
            <w:tcW w:w="1276" w:type="dxa"/>
            <w:vAlign w:val="center"/>
          </w:tcPr>
          <w:p w:rsidR="00572780" w:rsidRDefault="00E4225C">
            <w:pPr>
              <w:jc w:val="center"/>
            </w:pPr>
            <w:r>
              <w:rPr>
                <w:color w:val="000000"/>
                <w:kern w:val="0"/>
                <w:sz w:val="24"/>
              </w:rPr>
              <w:t>101653023</w:t>
            </w:r>
          </w:p>
        </w:tc>
        <w:tc>
          <w:tcPr>
            <w:tcW w:w="1843" w:type="dxa"/>
            <w:vAlign w:val="center"/>
          </w:tcPr>
          <w:p w:rsidR="00572780" w:rsidRDefault="00E4225C">
            <w:pPr>
              <w:jc w:val="center"/>
            </w:pPr>
            <w:r>
              <w:rPr>
                <w:color w:val="000000"/>
                <w:kern w:val="0"/>
                <w:sz w:val="24"/>
              </w:rPr>
              <w:t>16</w:t>
            </w:r>
            <w:r>
              <w:rPr>
                <w:color w:val="000000"/>
                <w:kern w:val="0"/>
                <w:sz w:val="24"/>
              </w:rPr>
              <w:t>光明</w:t>
            </w:r>
            <w:r>
              <w:rPr>
                <w:color w:val="000000"/>
                <w:kern w:val="0"/>
                <w:sz w:val="24"/>
              </w:rPr>
              <w:t>MTN001</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99.32</w:t>
            </w:r>
          </w:p>
        </w:tc>
        <w:tc>
          <w:tcPr>
            <w:tcW w:w="1434" w:type="dxa"/>
            <w:vAlign w:val="center"/>
          </w:tcPr>
          <w:p w:rsidR="00572780" w:rsidRDefault="00E4225C">
            <w:pPr>
              <w:jc w:val="right"/>
            </w:pPr>
            <w:r>
              <w:rPr>
                <w:color w:val="000000"/>
                <w:kern w:val="0"/>
                <w:sz w:val="24"/>
              </w:rPr>
              <w:t>400,000</w:t>
            </w:r>
          </w:p>
        </w:tc>
        <w:tc>
          <w:tcPr>
            <w:tcW w:w="1828" w:type="dxa"/>
            <w:vAlign w:val="center"/>
          </w:tcPr>
          <w:p w:rsidR="00572780" w:rsidRDefault="00E4225C">
            <w:pPr>
              <w:jc w:val="right"/>
            </w:pPr>
            <w:r>
              <w:rPr>
                <w:color w:val="000000"/>
                <w:kern w:val="0"/>
                <w:sz w:val="24"/>
              </w:rPr>
              <w:t>39,728,000.00</w:t>
            </w:r>
          </w:p>
        </w:tc>
      </w:tr>
      <w:tr w:rsidR="00572780">
        <w:tc>
          <w:tcPr>
            <w:tcW w:w="1276" w:type="dxa"/>
            <w:vAlign w:val="center"/>
          </w:tcPr>
          <w:p w:rsidR="00572780" w:rsidRDefault="00E4225C">
            <w:pPr>
              <w:jc w:val="center"/>
            </w:pPr>
            <w:r>
              <w:rPr>
                <w:color w:val="000000"/>
                <w:kern w:val="0"/>
                <w:sz w:val="24"/>
              </w:rPr>
              <w:t>111895447</w:t>
            </w:r>
          </w:p>
        </w:tc>
        <w:tc>
          <w:tcPr>
            <w:tcW w:w="1843" w:type="dxa"/>
            <w:vAlign w:val="center"/>
          </w:tcPr>
          <w:p w:rsidR="00572780" w:rsidRDefault="00E4225C">
            <w:pPr>
              <w:jc w:val="center"/>
            </w:pPr>
            <w:r>
              <w:rPr>
                <w:color w:val="000000"/>
                <w:kern w:val="0"/>
                <w:sz w:val="24"/>
              </w:rPr>
              <w:t>18</w:t>
            </w:r>
            <w:r>
              <w:rPr>
                <w:color w:val="000000"/>
                <w:kern w:val="0"/>
                <w:sz w:val="24"/>
              </w:rPr>
              <w:t>西安银行</w:t>
            </w:r>
            <w:r>
              <w:rPr>
                <w:color w:val="000000"/>
                <w:kern w:val="0"/>
                <w:sz w:val="24"/>
              </w:rPr>
              <w:t>CD016</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95.58</w:t>
            </w:r>
          </w:p>
        </w:tc>
        <w:tc>
          <w:tcPr>
            <w:tcW w:w="1434" w:type="dxa"/>
            <w:vAlign w:val="center"/>
          </w:tcPr>
          <w:p w:rsidR="00572780" w:rsidRDefault="00E4225C">
            <w:pPr>
              <w:jc w:val="right"/>
            </w:pPr>
            <w:r>
              <w:rPr>
                <w:color w:val="000000"/>
                <w:kern w:val="0"/>
                <w:sz w:val="24"/>
              </w:rPr>
              <w:t>500,000</w:t>
            </w:r>
          </w:p>
        </w:tc>
        <w:tc>
          <w:tcPr>
            <w:tcW w:w="1828" w:type="dxa"/>
            <w:vAlign w:val="center"/>
          </w:tcPr>
          <w:p w:rsidR="00572780" w:rsidRDefault="00E4225C">
            <w:pPr>
              <w:jc w:val="right"/>
            </w:pPr>
            <w:r>
              <w:rPr>
                <w:color w:val="000000"/>
                <w:kern w:val="0"/>
                <w:sz w:val="24"/>
              </w:rPr>
              <w:t>47,790,000.00</w:t>
            </w:r>
          </w:p>
        </w:tc>
      </w:tr>
      <w:tr w:rsidR="00572780">
        <w:tc>
          <w:tcPr>
            <w:tcW w:w="1276" w:type="dxa"/>
            <w:vAlign w:val="center"/>
          </w:tcPr>
          <w:p w:rsidR="00572780" w:rsidRDefault="00E4225C">
            <w:pPr>
              <w:jc w:val="center"/>
            </w:pPr>
            <w:r>
              <w:rPr>
                <w:color w:val="000000"/>
                <w:kern w:val="0"/>
                <w:sz w:val="24"/>
              </w:rPr>
              <w:t>111899940</w:t>
            </w:r>
          </w:p>
        </w:tc>
        <w:tc>
          <w:tcPr>
            <w:tcW w:w="1843" w:type="dxa"/>
            <w:vAlign w:val="center"/>
          </w:tcPr>
          <w:p w:rsidR="00572780" w:rsidRDefault="00E4225C">
            <w:pPr>
              <w:jc w:val="center"/>
            </w:pPr>
            <w:r>
              <w:rPr>
                <w:color w:val="000000"/>
                <w:kern w:val="0"/>
                <w:sz w:val="24"/>
              </w:rPr>
              <w:t>18</w:t>
            </w:r>
            <w:r>
              <w:rPr>
                <w:color w:val="000000"/>
                <w:kern w:val="0"/>
                <w:sz w:val="24"/>
              </w:rPr>
              <w:t>汉口银行</w:t>
            </w:r>
            <w:r>
              <w:rPr>
                <w:color w:val="000000"/>
                <w:kern w:val="0"/>
                <w:sz w:val="24"/>
              </w:rPr>
              <w:t>CD082</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95.62</w:t>
            </w:r>
          </w:p>
        </w:tc>
        <w:tc>
          <w:tcPr>
            <w:tcW w:w="1434" w:type="dxa"/>
            <w:vAlign w:val="center"/>
          </w:tcPr>
          <w:p w:rsidR="00572780" w:rsidRDefault="00E4225C">
            <w:pPr>
              <w:jc w:val="right"/>
            </w:pPr>
            <w:r>
              <w:rPr>
                <w:color w:val="000000"/>
                <w:kern w:val="0"/>
                <w:sz w:val="24"/>
              </w:rPr>
              <w:t>500,000</w:t>
            </w:r>
          </w:p>
        </w:tc>
        <w:tc>
          <w:tcPr>
            <w:tcW w:w="1828" w:type="dxa"/>
            <w:vAlign w:val="center"/>
          </w:tcPr>
          <w:p w:rsidR="00572780" w:rsidRDefault="00E4225C">
            <w:pPr>
              <w:jc w:val="right"/>
            </w:pPr>
            <w:r>
              <w:rPr>
                <w:color w:val="000000"/>
                <w:kern w:val="0"/>
                <w:sz w:val="24"/>
              </w:rPr>
              <w:t>47,810,000.00</w:t>
            </w:r>
          </w:p>
        </w:tc>
      </w:tr>
      <w:tr w:rsidR="00572780">
        <w:tc>
          <w:tcPr>
            <w:tcW w:w="1276" w:type="dxa"/>
            <w:vAlign w:val="center"/>
          </w:tcPr>
          <w:p w:rsidR="00572780" w:rsidRDefault="00E4225C">
            <w:pPr>
              <w:jc w:val="center"/>
            </w:pPr>
            <w:r>
              <w:rPr>
                <w:color w:val="000000"/>
                <w:kern w:val="0"/>
                <w:sz w:val="24"/>
              </w:rPr>
              <w:t>111770523</w:t>
            </w:r>
          </w:p>
        </w:tc>
        <w:tc>
          <w:tcPr>
            <w:tcW w:w="1843" w:type="dxa"/>
            <w:vAlign w:val="center"/>
          </w:tcPr>
          <w:p w:rsidR="00572780" w:rsidRDefault="00E4225C">
            <w:pPr>
              <w:jc w:val="center"/>
            </w:pPr>
            <w:r>
              <w:rPr>
                <w:color w:val="000000"/>
                <w:kern w:val="0"/>
                <w:sz w:val="24"/>
              </w:rPr>
              <w:t>17</w:t>
            </w:r>
            <w:r>
              <w:rPr>
                <w:color w:val="000000"/>
                <w:kern w:val="0"/>
                <w:sz w:val="24"/>
              </w:rPr>
              <w:t>广东南粤银行</w:t>
            </w:r>
            <w:r>
              <w:rPr>
                <w:color w:val="000000"/>
                <w:kern w:val="0"/>
                <w:sz w:val="24"/>
              </w:rPr>
              <w:t>CD153</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95.43</w:t>
            </w:r>
          </w:p>
        </w:tc>
        <w:tc>
          <w:tcPr>
            <w:tcW w:w="1434" w:type="dxa"/>
            <w:vAlign w:val="center"/>
          </w:tcPr>
          <w:p w:rsidR="00572780" w:rsidRDefault="00E4225C">
            <w:pPr>
              <w:jc w:val="right"/>
            </w:pPr>
            <w:r>
              <w:rPr>
                <w:color w:val="000000"/>
                <w:kern w:val="0"/>
                <w:sz w:val="24"/>
              </w:rPr>
              <w:t>500,000</w:t>
            </w:r>
          </w:p>
        </w:tc>
        <w:tc>
          <w:tcPr>
            <w:tcW w:w="1828" w:type="dxa"/>
            <w:vAlign w:val="center"/>
          </w:tcPr>
          <w:p w:rsidR="00572780" w:rsidRDefault="00E4225C">
            <w:pPr>
              <w:jc w:val="right"/>
            </w:pPr>
            <w:r>
              <w:rPr>
                <w:color w:val="000000"/>
                <w:kern w:val="0"/>
                <w:sz w:val="24"/>
              </w:rPr>
              <w:t>47,715,000.00</w:t>
            </w:r>
          </w:p>
        </w:tc>
      </w:tr>
      <w:tr w:rsidR="00572780">
        <w:tc>
          <w:tcPr>
            <w:tcW w:w="1276" w:type="dxa"/>
            <w:vAlign w:val="center"/>
          </w:tcPr>
          <w:p w:rsidR="00572780" w:rsidRDefault="00E4225C">
            <w:pPr>
              <w:jc w:val="center"/>
            </w:pPr>
            <w:r>
              <w:rPr>
                <w:color w:val="000000"/>
                <w:kern w:val="0"/>
                <w:sz w:val="24"/>
              </w:rPr>
              <w:t>111892634</w:t>
            </w:r>
          </w:p>
        </w:tc>
        <w:tc>
          <w:tcPr>
            <w:tcW w:w="1843" w:type="dxa"/>
            <w:vAlign w:val="center"/>
          </w:tcPr>
          <w:p w:rsidR="00572780" w:rsidRDefault="00E4225C">
            <w:pPr>
              <w:jc w:val="center"/>
            </w:pPr>
            <w:r>
              <w:rPr>
                <w:color w:val="000000"/>
                <w:kern w:val="0"/>
                <w:sz w:val="24"/>
              </w:rPr>
              <w:t>18</w:t>
            </w:r>
            <w:r>
              <w:rPr>
                <w:color w:val="000000"/>
                <w:kern w:val="0"/>
                <w:sz w:val="24"/>
              </w:rPr>
              <w:t>贵州银行</w:t>
            </w:r>
            <w:r>
              <w:rPr>
                <w:color w:val="000000"/>
                <w:kern w:val="0"/>
                <w:sz w:val="24"/>
              </w:rPr>
              <w:t>CD009</w:t>
            </w:r>
          </w:p>
        </w:tc>
        <w:tc>
          <w:tcPr>
            <w:tcW w:w="1559" w:type="dxa"/>
            <w:vAlign w:val="center"/>
          </w:tcPr>
          <w:p w:rsidR="00572780" w:rsidRDefault="00E4225C">
            <w:pPr>
              <w:jc w:val="center"/>
            </w:pPr>
            <w:r>
              <w:rPr>
                <w:color w:val="000000"/>
                <w:kern w:val="0"/>
                <w:sz w:val="24"/>
              </w:rPr>
              <w:t>2018-07-02</w:t>
            </w:r>
          </w:p>
        </w:tc>
        <w:tc>
          <w:tcPr>
            <w:tcW w:w="1058" w:type="dxa"/>
            <w:vAlign w:val="center"/>
          </w:tcPr>
          <w:p w:rsidR="00572780" w:rsidRDefault="00E4225C">
            <w:pPr>
              <w:jc w:val="right"/>
            </w:pPr>
            <w:r>
              <w:rPr>
                <w:color w:val="000000"/>
                <w:kern w:val="0"/>
                <w:sz w:val="24"/>
              </w:rPr>
              <w:t>95.47</w:t>
            </w:r>
          </w:p>
        </w:tc>
        <w:tc>
          <w:tcPr>
            <w:tcW w:w="1434" w:type="dxa"/>
            <w:vAlign w:val="center"/>
          </w:tcPr>
          <w:p w:rsidR="00572780" w:rsidRDefault="00E4225C">
            <w:pPr>
              <w:jc w:val="right"/>
            </w:pPr>
            <w:r>
              <w:rPr>
                <w:color w:val="000000"/>
                <w:kern w:val="0"/>
                <w:sz w:val="24"/>
              </w:rPr>
              <w:t>500,000</w:t>
            </w:r>
          </w:p>
        </w:tc>
        <w:tc>
          <w:tcPr>
            <w:tcW w:w="1828" w:type="dxa"/>
            <w:vAlign w:val="center"/>
          </w:tcPr>
          <w:p w:rsidR="00572780" w:rsidRDefault="00E4225C">
            <w:pPr>
              <w:jc w:val="right"/>
            </w:pPr>
            <w:r>
              <w:rPr>
                <w:color w:val="000000"/>
                <w:kern w:val="0"/>
                <w:sz w:val="24"/>
              </w:rPr>
              <w:t>47,735,000.00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4,115,000</w:t>
            </w:r>
          </w:p>
        </w:tc>
        <w:tc>
          <w:tcPr>
            <w:tcW w:w="1828" w:type="dxa"/>
            <w:vAlign w:val="center"/>
          </w:tcPr>
          <w:p w:rsidR="001548F9" w:rsidRPr="008A1551" w:rsidRDefault="001548F9" w:rsidP="009E1EA4">
            <w:pPr>
              <w:spacing w:before="29" w:line="288" w:lineRule="auto"/>
              <w:jc w:val="right"/>
              <w:rPr>
                <w:sz w:val="24"/>
              </w:rPr>
            </w:pPr>
            <w:r w:rsidRPr="008A1551">
              <w:rPr>
                <w:sz w:val="24"/>
              </w:rPr>
              <w:t>401,402,200.00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lastRenderedPageBreak/>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1,421,391,500.00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98.38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1,421,391,500.00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98.38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488,008.24</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22,959,895.19</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1.59</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1,444,839,403.43</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A96567" w:rsidRPr="008A1551" w:rsidRDefault="00A96567"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lastRenderedPageBreak/>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133,917,000.00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12.71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133,917,000.00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12.71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54,901,000.00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5.21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735,703,500.00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69.82</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496,870,000.00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47.15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1,421,391,500.00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134.89</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572780">
        <w:tc>
          <w:tcPr>
            <w:tcW w:w="1320" w:type="dxa"/>
            <w:vAlign w:val="center"/>
          </w:tcPr>
          <w:p w:rsidR="00572780" w:rsidRDefault="00E4225C">
            <w:pPr>
              <w:jc w:val="center"/>
            </w:pPr>
            <w:r>
              <w:rPr>
                <w:color w:val="000000"/>
                <w:sz w:val="24"/>
              </w:rPr>
              <w:t>1</w:t>
            </w:r>
          </w:p>
        </w:tc>
        <w:tc>
          <w:tcPr>
            <w:tcW w:w="1382" w:type="dxa"/>
            <w:vAlign w:val="center"/>
          </w:tcPr>
          <w:p w:rsidR="00572780" w:rsidRDefault="00E4225C">
            <w:pPr>
              <w:jc w:val="center"/>
            </w:pPr>
            <w:r>
              <w:rPr>
                <w:color w:val="000000"/>
                <w:sz w:val="24"/>
              </w:rPr>
              <w:t>111712304</w:t>
            </w:r>
          </w:p>
        </w:tc>
        <w:tc>
          <w:tcPr>
            <w:tcW w:w="1353" w:type="dxa"/>
            <w:vAlign w:val="center"/>
          </w:tcPr>
          <w:p w:rsidR="00572780" w:rsidRDefault="00E4225C">
            <w:pPr>
              <w:jc w:val="center"/>
            </w:pPr>
            <w:r>
              <w:rPr>
                <w:color w:val="000000"/>
                <w:sz w:val="24"/>
              </w:rPr>
              <w:t>17</w:t>
            </w:r>
            <w:r>
              <w:rPr>
                <w:color w:val="000000"/>
                <w:sz w:val="24"/>
              </w:rPr>
              <w:t>北京银行</w:t>
            </w:r>
            <w:r>
              <w:rPr>
                <w:color w:val="000000"/>
                <w:sz w:val="24"/>
              </w:rPr>
              <w:t>CD304</w:t>
            </w:r>
          </w:p>
        </w:tc>
        <w:tc>
          <w:tcPr>
            <w:tcW w:w="1505" w:type="dxa"/>
            <w:vAlign w:val="center"/>
          </w:tcPr>
          <w:p w:rsidR="00572780" w:rsidRDefault="00E4225C">
            <w:pPr>
              <w:jc w:val="right"/>
            </w:pPr>
            <w:r>
              <w:rPr>
                <w:color w:val="000000"/>
                <w:sz w:val="24"/>
              </w:rPr>
              <w:t>1,000,000</w:t>
            </w:r>
          </w:p>
        </w:tc>
        <w:tc>
          <w:tcPr>
            <w:tcW w:w="1737" w:type="dxa"/>
            <w:vAlign w:val="center"/>
          </w:tcPr>
          <w:p w:rsidR="00572780" w:rsidRDefault="00E4225C">
            <w:pPr>
              <w:jc w:val="right"/>
            </w:pPr>
            <w:r>
              <w:rPr>
                <w:color w:val="000000"/>
                <w:sz w:val="24"/>
              </w:rPr>
              <w:t>95,620,000.00</w:t>
            </w:r>
          </w:p>
        </w:tc>
        <w:tc>
          <w:tcPr>
            <w:tcW w:w="1701" w:type="dxa"/>
            <w:vAlign w:val="center"/>
          </w:tcPr>
          <w:p w:rsidR="00572780" w:rsidRDefault="00E4225C">
            <w:pPr>
              <w:jc w:val="right"/>
            </w:pPr>
            <w:r>
              <w:rPr>
                <w:color w:val="000000"/>
                <w:sz w:val="24"/>
              </w:rPr>
              <w:t>9.07</w:t>
            </w:r>
          </w:p>
        </w:tc>
      </w:tr>
      <w:tr w:rsidR="00572780">
        <w:tc>
          <w:tcPr>
            <w:tcW w:w="1320" w:type="dxa"/>
            <w:vAlign w:val="center"/>
          </w:tcPr>
          <w:p w:rsidR="00572780" w:rsidRDefault="00E4225C">
            <w:pPr>
              <w:jc w:val="center"/>
            </w:pPr>
            <w:r>
              <w:rPr>
                <w:color w:val="000000"/>
                <w:sz w:val="24"/>
              </w:rPr>
              <w:t>2</w:t>
            </w:r>
          </w:p>
        </w:tc>
        <w:tc>
          <w:tcPr>
            <w:tcW w:w="1382" w:type="dxa"/>
            <w:vAlign w:val="center"/>
          </w:tcPr>
          <w:p w:rsidR="00572780" w:rsidRDefault="00E4225C">
            <w:pPr>
              <w:jc w:val="center"/>
            </w:pPr>
            <w:r>
              <w:rPr>
                <w:color w:val="000000"/>
                <w:sz w:val="24"/>
              </w:rPr>
              <w:t>101761002</w:t>
            </w:r>
          </w:p>
        </w:tc>
        <w:tc>
          <w:tcPr>
            <w:tcW w:w="1353" w:type="dxa"/>
            <w:vAlign w:val="center"/>
          </w:tcPr>
          <w:p w:rsidR="00572780" w:rsidRDefault="00E4225C">
            <w:pPr>
              <w:jc w:val="center"/>
            </w:pPr>
            <w:r>
              <w:rPr>
                <w:color w:val="000000"/>
                <w:sz w:val="24"/>
              </w:rPr>
              <w:t>17</w:t>
            </w:r>
            <w:r>
              <w:rPr>
                <w:color w:val="000000"/>
                <w:sz w:val="24"/>
              </w:rPr>
              <w:t>光大集团</w:t>
            </w:r>
            <w:r>
              <w:rPr>
                <w:color w:val="000000"/>
                <w:sz w:val="24"/>
              </w:rPr>
              <w:t>MTN001</w:t>
            </w:r>
          </w:p>
        </w:tc>
        <w:tc>
          <w:tcPr>
            <w:tcW w:w="1505" w:type="dxa"/>
            <w:vAlign w:val="center"/>
          </w:tcPr>
          <w:p w:rsidR="00572780" w:rsidRDefault="00E4225C">
            <w:pPr>
              <w:jc w:val="right"/>
            </w:pPr>
            <w:r>
              <w:rPr>
                <w:color w:val="000000"/>
                <w:sz w:val="24"/>
              </w:rPr>
              <w:t>800,000</w:t>
            </w:r>
          </w:p>
        </w:tc>
        <w:tc>
          <w:tcPr>
            <w:tcW w:w="1737" w:type="dxa"/>
            <w:vAlign w:val="center"/>
          </w:tcPr>
          <w:p w:rsidR="00572780" w:rsidRDefault="00E4225C">
            <w:pPr>
              <w:jc w:val="right"/>
            </w:pPr>
            <w:r>
              <w:rPr>
                <w:color w:val="000000"/>
                <w:sz w:val="24"/>
              </w:rPr>
              <w:t>80,032,000.00</w:t>
            </w:r>
          </w:p>
        </w:tc>
        <w:tc>
          <w:tcPr>
            <w:tcW w:w="1701" w:type="dxa"/>
            <w:vAlign w:val="center"/>
          </w:tcPr>
          <w:p w:rsidR="00572780" w:rsidRDefault="00E4225C">
            <w:pPr>
              <w:jc w:val="right"/>
            </w:pPr>
            <w:r>
              <w:rPr>
                <w:color w:val="000000"/>
                <w:sz w:val="24"/>
              </w:rPr>
              <w:t>7.60</w:t>
            </w:r>
          </w:p>
        </w:tc>
      </w:tr>
      <w:tr w:rsidR="00572780">
        <w:tc>
          <w:tcPr>
            <w:tcW w:w="1320" w:type="dxa"/>
            <w:vAlign w:val="center"/>
          </w:tcPr>
          <w:p w:rsidR="00572780" w:rsidRDefault="00E4225C">
            <w:pPr>
              <w:jc w:val="center"/>
            </w:pPr>
            <w:r>
              <w:rPr>
                <w:color w:val="000000"/>
                <w:sz w:val="24"/>
              </w:rPr>
              <w:t>3</w:t>
            </w:r>
          </w:p>
        </w:tc>
        <w:tc>
          <w:tcPr>
            <w:tcW w:w="1382" w:type="dxa"/>
            <w:vAlign w:val="center"/>
          </w:tcPr>
          <w:p w:rsidR="00572780" w:rsidRDefault="00E4225C">
            <w:pPr>
              <w:jc w:val="center"/>
            </w:pPr>
            <w:r>
              <w:rPr>
                <w:color w:val="000000"/>
                <w:sz w:val="24"/>
              </w:rPr>
              <w:t>111819091</w:t>
            </w:r>
          </w:p>
        </w:tc>
        <w:tc>
          <w:tcPr>
            <w:tcW w:w="1353" w:type="dxa"/>
            <w:vAlign w:val="center"/>
          </w:tcPr>
          <w:p w:rsidR="00572780" w:rsidRDefault="00E4225C">
            <w:pPr>
              <w:jc w:val="center"/>
            </w:pPr>
            <w:r>
              <w:rPr>
                <w:color w:val="000000"/>
                <w:sz w:val="24"/>
              </w:rPr>
              <w:t>18</w:t>
            </w:r>
            <w:r>
              <w:rPr>
                <w:color w:val="000000"/>
                <w:sz w:val="24"/>
              </w:rPr>
              <w:t>恒丰银行</w:t>
            </w:r>
            <w:r>
              <w:rPr>
                <w:color w:val="000000"/>
                <w:sz w:val="24"/>
              </w:rPr>
              <w:t>CD091</w:t>
            </w:r>
          </w:p>
        </w:tc>
        <w:tc>
          <w:tcPr>
            <w:tcW w:w="1505" w:type="dxa"/>
            <w:vAlign w:val="center"/>
          </w:tcPr>
          <w:p w:rsidR="00572780" w:rsidRDefault="00E4225C">
            <w:pPr>
              <w:jc w:val="right"/>
            </w:pPr>
            <w:r>
              <w:rPr>
                <w:color w:val="000000"/>
                <w:sz w:val="24"/>
              </w:rPr>
              <w:t>700,000</w:t>
            </w:r>
          </w:p>
        </w:tc>
        <w:tc>
          <w:tcPr>
            <w:tcW w:w="1737" w:type="dxa"/>
            <w:vAlign w:val="center"/>
          </w:tcPr>
          <w:p w:rsidR="00572780" w:rsidRDefault="00E4225C">
            <w:pPr>
              <w:jc w:val="right"/>
            </w:pPr>
            <w:r>
              <w:rPr>
                <w:color w:val="000000"/>
                <w:sz w:val="24"/>
              </w:rPr>
              <w:t>66,955,000.00</w:t>
            </w:r>
          </w:p>
        </w:tc>
        <w:tc>
          <w:tcPr>
            <w:tcW w:w="1701" w:type="dxa"/>
            <w:vAlign w:val="center"/>
          </w:tcPr>
          <w:p w:rsidR="00572780" w:rsidRDefault="00E4225C">
            <w:pPr>
              <w:jc w:val="right"/>
            </w:pPr>
            <w:r>
              <w:rPr>
                <w:color w:val="000000"/>
                <w:sz w:val="24"/>
              </w:rPr>
              <w:t>6.35</w:t>
            </w:r>
          </w:p>
        </w:tc>
      </w:tr>
      <w:tr w:rsidR="00572780">
        <w:tc>
          <w:tcPr>
            <w:tcW w:w="1320" w:type="dxa"/>
            <w:vAlign w:val="center"/>
          </w:tcPr>
          <w:p w:rsidR="00572780" w:rsidRDefault="00E4225C">
            <w:pPr>
              <w:jc w:val="center"/>
            </w:pPr>
            <w:r>
              <w:rPr>
                <w:color w:val="000000"/>
                <w:sz w:val="24"/>
              </w:rPr>
              <w:t>4</w:t>
            </w:r>
          </w:p>
        </w:tc>
        <w:tc>
          <w:tcPr>
            <w:tcW w:w="1382" w:type="dxa"/>
            <w:vAlign w:val="center"/>
          </w:tcPr>
          <w:p w:rsidR="00572780" w:rsidRDefault="00E4225C">
            <w:pPr>
              <w:jc w:val="center"/>
            </w:pPr>
            <w:r>
              <w:rPr>
                <w:color w:val="000000"/>
                <w:sz w:val="24"/>
              </w:rPr>
              <w:t>101564026</w:t>
            </w:r>
          </w:p>
        </w:tc>
        <w:tc>
          <w:tcPr>
            <w:tcW w:w="1353" w:type="dxa"/>
            <w:vAlign w:val="center"/>
          </w:tcPr>
          <w:p w:rsidR="00572780" w:rsidRDefault="00E4225C">
            <w:pPr>
              <w:jc w:val="center"/>
            </w:pPr>
            <w:r>
              <w:rPr>
                <w:color w:val="000000"/>
                <w:sz w:val="24"/>
              </w:rPr>
              <w:t>15</w:t>
            </w:r>
            <w:proofErr w:type="gramStart"/>
            <w:r>
              <w:rPr>
                <w:color w:val="000000"/>
                <w:sz w:val="24"/>
              </w:rPr>
              <w:t>赣水投</w:t>
            </w:r>
            <w:proofErr w:type="gramEnd"/>
            <w:r>
              <w:rPr>
                <w:color w:val="000000"/>
                <w:sz w:val="24"/>
              </w:rPr>
              <w:t>MTN001</w:t>
            </w:r>
          </w:p>
        </w:tc>
        <w:tc>
          <w:tcPr>
            <w:tcW w:w="1505" w:type="dxa"/>
            <w:vAlign w:val="center"/>
          </w:tcPr>
          <w:p w:rsidR="00572780" w:rsidRDefault="00E4225C">
            <w:pPr>
              <w:jc w:val="right"/>
            </w:pPr>
            <w:r>
              <w:rPr>
                <w:color w:val="000000"/>
                <w:sz w:val="24"/>
              </w:rPr>
              <w:t>600,000</w:t>
            </w:r>
          </w:p>
        </w:tc>
        <w:tc>
          <w:tcPr>
            <w:tcW w:w="1737" w:type="dxa"/>
            <w:vAlign w:val="center"/>
          </w:tcPr>
          <w:p w:rsidR="00572780" w:rsidRDefault="00E4225C">
            <w:pPr>
              <w:jc w:val="right"/>
            </w:pPr>
            <w:r>
              <w:rPr>
                <w:color w:val="000000"/>
                <w:sz w:val="24"/>
              </w:rPr>
              <w:t>60,378,000.00</w:t>
            </w:r>
          </w:p>
        </w:tc>
        <w:tc>
          <w:tcPr>
            <w:tcW w:w="1701" w:type="dxa"/>
            <w:vAlign w:val="center"/>
          </w:tcPr>
          <w:p w:rsidR="00572780" w:rsidRDefault="00E4225C">
            <w:pPr>
              <w:jc w:val="right"/>
            </w:pPr>
            <w:r>
              <w:rPr>
                <w:color w:val="000000"/>
                <w:sz w:val="24"/>
              </w:rPr>
              <w:t>5.73</w:t>
            </w:r>
          </w:p>
        </w:tc>
      </w:tr>
      <w:tr w:rsidR="00572780">
        <w:tc>
          <w:tcPr>
            <w:tcW w:w="1320" w:type="dxa"/>
            <w:vAlign w:val="center"/>
          </w:tcPr>
          <w:p w:rsidR="00572780" w:rsidRDefault="00E4225C">
            <w:pPr>
              <w:jc w:val="center"/>
            </w:pPr>
            <w:r>
              <w:rPr>
                <w:color w:val="000000"/>
                <w:sz w:val="24"/>
              </w:rPr>
              <w:t>5</w:t>
            </w:r>
          </w:p>
        </w:tc>
        <w:tc>
          <w:tcPr>
            <w:tcW w:w="1382" w:type="dxa"/>
            <w:vAlign w:val="center"/>
          </w:tcPr>
          <w:p w:rsidR="00572780" w:rsidRDefault="00E4225C">
            <w:pPr>
              <w:jc w:val="center"/>
            </w:pPr>
            <w:r>
              <w:rPr>
                <w:color w:val="000000"/>
                <w:sz w:val="24"/>
              </w:rPr>
              <w:t>180404</w:t>
            </w:r>
          </w:p>
        </w:tc>
        <w:tc>
          <w:tcPr>
            <w:tcW w:w="1353" w:type="dxa"/>
            <w:vAlign w:val="center"/>
          </w:tcPr>
          <w:p w:rsidR="00572780" w:rsidRDefault="00E4225C">
            <w:pPr>
              <w:jc w:val="center"/>
            </w:pPr>
            <w:r>
              <w:rPr>
                <w:color w:val="000000"/>
                <w:sz w:val="24"/>
              </w:rPr>
              <w:t>18</w:t>
            </w:r>
            <w:r>
              <w:rPr>
                <w:color w:val="000000"/>
                <w:sz w:val="24"/>
              </w:rPr>
              <w:t>农发</w:t>
            </w:r>
            <w:r>
              <w:rPr>
                <w:color w:val="000000"/>
                <w:sz w:val="24"/>
              </w:rPr>
              <w:t>04</w:t>
            </w:r>
          </w:p>
        </w:tc>
        <w:tc>
          <w:tcPr>
            <w:tcW w:w="1505" w:type="dxa"/>
            <w:vAlign w:val="center"/>
          </w:tcPr>
          <w:p w:rsidR="00572780" w:rsidRDefault="00E4225C">
            <w:pPr>
              <w:jc w:val="right"/>
            </w:pPr>
            <w:r>
              <w:rPr>
                <w:color w:val="000000"/>
                <w:sz w:val="24"/>
              </w:rPr>
              <w:t>550,000</w:t>
            </w:r>
          </w:p>
        </w:tc>
        <w:tc>
          <w:tcPr>
            <w:tcW w:w="1737" w:type="dxa"/>
            <w:vAlign w:val="center"/>
          </w:tcPr>
          <w:p w:rsidR="00572780" w:rsidRDefault="00E4225C">
            <w:pPr>
              <w:jc w:val="right"/>
            </w:pPr>
            <w:r>
              <w:rPr>
                <w:color w:val="000000"/>
                <w:sz w:val="24"/>
              </w:rPr>
              <w:t>55,165,000.00</w:t>
            </w:r>
          </w:p>
        </w:tc>
        <w:tc>
          <w:tcPr>
            <w:tcW w:w="1701" w:type="dxa"/>
            <w:vAlign w:val="center"/>
          </w:tcPr>
          <w:p w:rsidR="00572780" w:rsidRDefault="00E4225C">
            <w:pPr>
              <w:jc w:val="right"/>
            </w:pPr>
            <w:r>
              <w:rPr>
                <w:color w:val="000000"/>
                <w:sz w:val="24"/>
              </w:rPr>
              <w:t>5.24</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lastRenderedPageBreak/>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22,936,728.04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23,167.15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22,959,895.19</w:t>
            </w:r>
          </w:p>
        </w:tc>
      </w:tr>
    </w:tbl>
    <w:p w:rsidR="001548F9" w:rsidRPr="008A1551" w:rsidRDefault="001548F9" w:rsidP="009E1EA4">
      <w:pPr>
        <w:pStyle w:val="aff1"/>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lastRenderedPageBreak/>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银裕盈纯债</w:t>
            </w:r>
            <w:proofErr w:type="gramEnd"/>
            <w:r w:rsidRPr="008A1551">
              <w:rPr>
                <w:bCs/>
                <w:sz w:val="24"/>
              </w:rPr>
              <w:t>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4,086,839.47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368,578.48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0.04%</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银裕盈纯债</w:t>
            </w:r>
            <w:proofErr w:type="gramEnd"/>
            <w:r w:rsidRPr="008A1551">
              <w:rPr>
                <w:bCs/>
                <w:sz w:val="24"/>
              </w:rPr>
              <w:t>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318.29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31,829.21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344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2,898,897.27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400,407.69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188.52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1,170.19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3.68%</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1,358.71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银裕盈纯债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银裕盈纯债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银裕盈纯债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银裕盈纯债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11</w:t>
            </w:r>
            <w:r w:rsidRPr="008A1551">
              <w:rPr>
                <w:sz w:val="24"/>
              </w:rPr>
              <w:t>月</w:t>
            </w:r>
            <w:r w:rsidRPr="008A1551">
              <w:rPr>
                <w:sz w:val="24"/>
              </w:rPr>
              <w:t>4</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200,210,606.41</w:t>
            </w:r>
          </w:p>
        </w:tc>
        <w:tc>
          <w:tcPr>
            <w:tcW w:w="1615" w:type="pct"/>
            <w:vAlign w:val="center"/>
          </w:tcPr>
          <w:p w:rsidR="001548F9" w:rsidRPr="008A1551" w:rsidRDefault="001548F9" w:rsidP="009E1EA4">
            <w:pPr>
              <w:spacing w:before="29" w:line="288" w:lineRule="auto"/>
              <w:jc w:val="right"/>
              <w:rPr>
                <w:sz w:val="24"/>
              </w:rPr>
            </w:pPr>
            <w:r w:rsidRPr="008A1551">
              <w:rPr>
                <w:sz w:val="24"/>
              </w:rPr>
              <w:t>15,647.32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996,828,842.54</w:t>
            </w:r>
          </w:p>
        </w:tc>
        <w:tc>
          <w:tcPr>
            <w:tcW w:w="1615" w:type="pct"/>
            <w:vAlign w:val="center"/>
          </w:tcPr>
          <w:p w:rsidR="001548F9" w:rsidRPr="008A1551" w:rsidRDefault="001548F9" w:rsidP="009E1EA4">
            <w:pPr>
              <w:spacing w:before="29" w:line="288" w:lineRule="auto"/>
              <w:jc w:val="right"/>
              <w:rPr>
                <w:sz w:val="24"/>
              </w:rPr>
            </w:pPr>
            <w:r w:rsidRPr="008A1551">
              <w:rPr>
                <w:sz w:val="24"/>
              </w:rPr>
              <w:t>13,331.90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462,792.02</w:t>
            </w:r>
          </w:p>
        </w:tc>
        <w:tc>
          <w:tcPr>
            <w:tcW w:w="1615" w:type="pct"/>
            <w:vAlign w:val="center"/>
          </w:tcPr>
          <w:p w:rsidR="001548F9" w:rsidRPr="008A1551" w:rsidRDefault="001548F9" w:rsidP="009E1EA4">
            <w:pPr>
              <w:spacing w:before="29" w:line="288" w:lineRule="auto"/>
              <w:jc w:val="right"/>
              <w:rPr>
                <w:sz w:val="24"/>
              </w:rPr>
            </w:pPr>
            <w:r w:rsidRPr="008A1551">
              <w:rPr>
                <w:sz w:val="24"/>
              </w:rPr>
              <w:t>381,698.64</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102,803.09</w:t>
            </w:r>
          </w:p>
        </w:tc>
        <w:tc>
          <w:tcPr>
            <w:tcW w:w="1615" w:type="pct"/>
            <w:vAlign w:val="center"/>
          </w:tcPr>
          <w:p w:rsidR="001548F9" w:rsidRPr="008A1551" w:rsidRDefault="001548F9" w:rsidP="009E1EA4">
            <w:pPr>
              <w:spacing w:before="29" w:line="288" w:lineRule="auto"/>
              <w:jc w:val="right"/>
              <w:rPr>
                <w:sz w:val="24"/>
              </w:rPr>
            </w:pPr>
            <w:r w:rsidRPr="008A1551">
              <w:rPr>
                <w:sz w:val="24"/>
              </w:rPr>
              <w:t>363,201.33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997,188,831.47</w:t>
            </w:r>
          </w:p>
        </w:tc>
        <w:tc>
          <w:tcPr>
            <w:tcW w:w="1615" w:type="pct"/>
            <w:vAlign w:val="center"/>
          </w:tcPr>
          <w:p w:rsidR="001548F9" w:rsidRPr="008A1551" w:rsidRDefault="001548F9" w:rsidP="009E1EA4">
            <w:pPr>
              <w:spacing w:before="29" w:line="288" w:lineRule="auto"/>
              <w:jc w:val="right"/>
              <w:rPr>
                <w:sz w:val="24"/>
              </w:rPr>
            </w:pPr>
            <w:r w:rsidRPr="008A1551">
              <w:rPr>
                <w:sz w:val="24"/>
              </w:rPr>
              <w:t>31,829.21</w:t>
            </w:r>
          </w:p>
        </w:tc>
      </w:tr>
    </w:tbl>
    <w:p w:rsidR="00572780" w:rsidRDefault="00E4225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A9656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90177"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A96567" w:rsidP="00990177">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90177" w:rsidRPr="00690ED2">
        <w:rPr>
          <w:rFonts w:ascii="Times New Roman" w:hAnsi="Times New Roman" w:hint="eastAsia"/>
          <w:kern w:val="0"/>
          <w:szCs w:val="24"/>
        </w:rPr>
        <w:t>基金管理人、基金托管人的专门基金托管部门的重大人事变动</w:t>
      </w:r>
      <w:bookmarkEnd w:id="104"/>
      <w:bookmarkEnd w:id="105"/>
    </w:p>
    <w:p w:rsidR="00572780" w:rsidRDefault="00E4225C">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A96567" w:rsidP="00990177">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90177"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A96567" w:rsidP="00990177">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lastRenderedPageBreak/>
        <w:t>10.4</w:t>
      </w:r>
      <w:bookmarkStart w:id="110" w:name="_GoBack"/>
      <w:bookmarkEnd w:id="110"/>
      <w:r w:rsidR="00990177"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572780" w:rsidRDefault="00E4225C">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72780" w:rsidRDefault="00E4225C">
      <w:pPr>
        <w:tabs>
          <w:tab w:val="left" w:pos="426"/>
        </w:tabs>
        <w:spacing w:before="29" w:line="288" w:lineRule="auto"/>
        <w:jc w:val="left"/>
        <w:rPr>
          <w:kern w:val="0"/>
          <w:sz w:val="24"/>
        </w:rPr>
      </w:pPr>
      <w:r>
        <w:rPr>
          <w:kern w:val="0"/>
          <w:sz w:val="24"/>
        </w:rPr>
        <w:t>基金管理人及其高级管理人员本报告期内未受监管部门稽查或处罚。</w:t>
      </w:r>
    </w:p>
    <w:p w:rsidR="00572780" w:rsidRDefault="00E4225C">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572780">
        <w:tc>
          <w:tcPr>
            <w:tcW w:w="1559" w:type="dxa"/>
            <w:vAlign w:val="center"/>
          </w:tcPr>
          <w:p w:rsidR="00572780" w:rsidRDefault="00E4225C">
            <w:pPr>
              <w:jc w:val="center"/>
            </w:pPr>
            <w:r>
              <w:rPr>
                <w:color w:val="000000"/>
                <w:sz w:val="24"/>
              </w:rPr>
              <w:t>长江证券股份有限公司</w:t>
            </w:r>
          </w:p>
        </w:tc>
        <w:tc>
          <w:tcPr>
            <w:tcW w:w="779" w:type="dxa"/>
            <w:vAlign w:val="center"/>
          </w:tcPr>
          <w:p w:rsidR="00572780" w:rsidRDefault="00E4225C">
            <w:pPr>
              <w:jc w:val="center"/>
            </w:pPr>
            <w:r>
              <w:rPr>
                <w:color w:val="000000"/>
                <w:sz w:val="24"/>
              </w:rPr>
              <w:t>2</w:t>
            </w:r>
          </w:p>
        </w:tc>
        <w:tc>
          <w:tcPr>
            <w:tcW w:w="1800" w:type="dxa"/>
            <w:vAlign w:val="center"/>
          </w:tcPr>
          <w:p w:rsidR="00572780" w:rsidRDefault="00E4225C">
            <w:pPr>
              <w:jc w:val="right"/>
            </w:pPr>
            <w:r>
              <w:rPr>
                <w:color w:val="000000"/>
                <w:sz w:val="24"/>
              </w:rPr>
              <w:t>-</w:t>
            </w:r>
          </w:p>
        </w:tc>
        <w:tc>
          <w:tcPr>
            <w:tcW w:w="1080" w:type="dxa"/>
            <w:vAlign w:val="center"/>
          </w:tcPr>
          <w:p w:rsidR="00572780" w:rsidRDefault="00E4225C">
            <w:pPr>
              <w:jc w:val="right"/>
            </w:pPr>
            <w:r>
              <w:rPr>
                <w:color w:val="000000"/>
                <w:sz w:val="24"/>
              </w:rPr>
              <w:t>-</w:t>
            </w:r>
          </w:p>
        </w:tc>
        <w:tc>
          <w:tcPr>
            <w:tcW w:w="1620" w:type="dxa"/>
            <w:vAlign w:val="center"/>
          </w:tcPr>
          <w:p w:rsidR="00572780" w:rsidRDefault="00E4225C">
            <w:pPr>
              <w:jc w:val="right"/>
            </w:pPr>
            <w:r>
              <w:rPr>
                <w:color w:val="000000"/>
                <w:sz w:val="24"/>
              </w:rPr>
              <w:t>-</w:t>
            </w:r>
          </w:p>
        </w:tc>
        <w:tc>
          <w:tcPr>
            <w:tcW w:w="1080" w:type="dxa"/>
            <w:vAlign w:val="center"/>
          </w:tcPr>
          <w:p w:rsidR="00572780" w:rsidRDefault="00E4225C">
            <w:pPr>
              <w:jc w:val="right"/>
            </w:pPr>
            <w:r>
              <w:rPr>
                <w:color w:val="000000"/>
                <w:sz w:val="24"/>
              </w:rPr>
              <w:t>-</w:t>
            </w:r>
          </w:p>
        </w:tc>
        <w:tc>
          <w:tcPr>
            <w:tcW w:w="1080" w:type="dxa"/>
            <w:vAlign w:val="center"/>
          </w:tcPr>
          <w:p w:rsidR="00572780" w:rsidRDefault="00E4225C">
            <w:pPr>
              <w:jc w:val="left"/>
            </w:pPr>
            <w:r>
              <w:rPr>
                <w:color w:val="000000"/>
                <w:sz w:val="24"/>
              </w:rPr>
              <w:t>-</w:t>
            </w:r>
          </w:p>
        </w:tc>
      </w:tr>
    </w:tbl>
    <w:p w:rsidR="00572780" w:rsidRDefault="00E4225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72780" w:rsidRDefault="00E4225C">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387C54" w:rsidRPr="001B7979" w:rsidRDefault="00387C54" w:rsidP="00387C54">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p>
    <w:p w:rsidR="00387C54" w:rsidRPr="001B7979" w:rsidRDefault="00387C54" w:rsidP="00387C54">
      <w:pPr>
        <w:autoSpaceDE w:val="0"/>
        <w:autoSpaceDN w:val="0"/>
        <w:adjustRightInd w:val="0"/>
        <w:spacing w:line="360" w:lineRule="auto"/>
        <w:jc w:val="left"/>
        <w:rPr>
          <w:rFonts w:eastAsiaTheme="minorEastAsia"/>
          <w:sz w:val="24"/>
        </w:rPr>
      </w:pPr>
      <w:r>
        <w:rPr>
          <w:rFonts w:eastAsiaTheme="minorEastAsia" w:hint="eastAsia"/>
          <w:sz w:val="24"/>
        </w:rPr>
        <w:t>无</w:t>
      </w:r>
      <w:r>
        <w:rPr>
          <w:rFonts w:eastAsiaTheme="minorEastAsia"/>
          <w:sz w:val="24"/>
        </w:rPr>
        <w:t>。</w:t>
      </w:r>
    </w:p>
    <w:p w:rsidR="001548F9" w:rsidRPr="00387C54" w:rsidRDefault="001548F9" w:rsidP="009E1EA4">
      <w:pPr>
        <w:spacing w:before="29" w:line="288" w:lineRule="auto"/>
        <w:rPr>
          <w:color w:val="00000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21" w:name="_Toc361324902"/>
      <w:r w:rsidRPr="0045565B">
        <w:rPr>
          <w:rFonts w:eastAsiaTheme="minorEastAsia"/>
          <w:b/>
          <w:bCs/>
          <w:sz w:val="21"/>
          <w:szCs w:val="21"/>
          <w:lang w:val="en-US"/>
        </w:rPr>
        <w:lastRenderedPageBreak/>
        <w:t xml:space="preserve">11  </w:t>
      </w:r>
      <w:r w:rsidRPr="0045565B">
        <w:rPr>
          <w:rFonts w:eastAsiaTheme="minorEastAsia"/>
          <w:b/>
          <w:bCs/>
          <w:sz w:val="21"/>
          <w:szCs w:val="21"/>
          <w:lang w:val="en-US"/>
        </w:rPr>
        <w:t>影响投资者决策的其他重要信息</w:t>
      </w:r>
      <w:bookmarkEnd w:id="121"/>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72780">
        <w:tc>
          <w:tcPr>
            <w:tcW w:w="993" w:type="dxa"/>
            <w:vMerge w:val="restart"/>
          </w:tcPr>
          <w:p w:rsidR="00572780" w:rsidRDefault="00572780"/>
          <w:p w:rsidR="00572780" w:rsidRDefault="00E4225C">
            <w:r>
              <w:rPr>
                <w:rFonts w:ascii="宋体" w:hAnsi="宋体" w:hint="eastAsia"/>
                <w:bCs/>
                <w:color w:val="000000"/>
                <w:kern w:val="0"/>
                <w:szCs w:val="21"/>
              </w:rPr>
              <w:t>机构</w:t>
            </w:r>
          </w:p>
        </w:tc>
        <w:tc>
          <w:tcPr>
            <w:tcW w:w="992" w:type="dxa"/>
            <w:vAlign w:val="center"/>
          </w:tcPr>
          <w:p w:rsidR="00572780" w:rsidRDefault="00E4225C">
            <w:pPr>
              <w:jc w:val="center"/>
            </w:pPr>
            <w:r>
              <w:rPr>
                <w:rFonts w:ascii="宋体" w:hAnsi="宋体"/>
                <w:color w:val="000000"/>
                <w:kern w:val="0"/>
                <w:szCs w:val="21"/>
              </w:rPr>
              <w:t>1</w:t>
            </w:r>
          </w:p>
        </w:tc>
        <w:tc>
          <w:tcPr>
            <w:tcW w:w="1843" w:type="dxa"/>
            <w:vAlign w:val="center"/>
          </w:tcPr>
          <w:p w:rsidR="00572780" w:rsidRDefault="00E4225C">
            <w:pPr>
              <w:jc w:val="center"/>
            </w:pPr>
            <w:r>
              <w:rPr>
                <w:rFonts w:ascii="宋体" w:hAnsi="宋体"/>
                <w:color w:val="000000"/>
                <w:kern w:val="0"/>
                <w:szCs w:val="21"/>
              </w:rPr>
              <w:t>2018/1/1-2018/6/30</w:t>
            </w:r>
          </w:p>
        </w:tc>
        <w:tc>
          <w:tcPr>
            <w:tcW w:w="851" w:type="dxa"/>
            <w:vAlign w:val="center"/>
          </w:tcPr>
          <w:p w:rsidR="00572780" w:rsidRDefault="00E4225C">
            <w:pPr>
              <w:jc w:val="center"/>
            </w:pPr>
            <w:r>
              <w:rPr>
                <w:rFonts w:ascii="宋体" w:hAnsi="宋体"/>
                <w:color w:val="000000"/>
                <w:kern w:val="0"/>
                <w:szCs w:val="21"/>
              </w:rPr>
              <w:t>996,820,252.99</w:t>
            </w:r>
          </w:p>
        </w:tc>
        <w:tc>
          <w:tcPr>
            <w:tcW w:w="850" w:type="dxa"/>
            <w:vAlign w:val="center"/>
          </w:tcPr>
          <w:p w:rsidR="00572780" w:rsidRDefault="00E4225C">
            <w:pPr>
              <w:jc w:val="center"/>
            </w:pPr>
            <w:r>
              <w:rPr>
                <w:rFonts w:ascii="宋体" w:hAnsi="宋体"/>
                <w:color w:val="000000"/>
                <w:kern w:val="0"/>
                <w:szCs w:val="21"/>
              </w:rPr>
              <w:t>-</w:t>
            </w:r>
          </w:p>
        </w:tc>
        <w:tc>
          <w:tcPr>
            <w:tcW w:w="1134" w:type="dxa"/>
            <w:vAlign w:val="center"/>
          </w:tcPr>
          <w:p w:rsidR="00572780" w:rsidRDefault="00E4225C">
            <w:pPr>
              <w:jc w:val="center"/>
            </w:pPr>
            <w:r>
              <w:rPr>
                <w:rFonts w:ascii="宋体" w:hAnsi="宋体"/>
                <w:color w:val="000000"/>
                <w:kern w:val="0"/>
                <w:szCs w:val="21"/>
              </w:rPr>
              <w:t>-</w:t>
            </w:r>
          </w:p>
        </w:tc>
        <w:tc>
          <w:tcPr>
            <w:tcW w:w="1419" w:type="dxa"/>
            <w:vAlign w:val="center"/>
          </w:tcPr>
          <w:p w:rsidR="00572780" w:rsidRDefault="00E4225C">
            <w:pPr>
              <w:jc w:val="center"/>
            </w:pPr>
            <w:r>
              <w:rPr>
                <w:rFonts w:ascii="宋体" w:hAnsi="宋体"/>
                <w:color w:val="000000"/>
                <w:kern w:val="0"/>
                <w:szCs w:val="21"/>
              </w:rPr>
              <w:t>996,820,252.99</w:t>
            </w:r>
          </w:p>
        </w:tc>
        <w:tc>
          <w:tcPr>
            <w:tcW w:w="1130" w:type="dxa"/>
            <w:vAlign w:val="center"/>
          </w:tcPr>
          <w:p w:rsidR="00572780" w:rsidRDefault="00E4225C">
            <w:pPr>
              <w:jc w:val="center"/>
            </w:pPr>
            <w:r>
              <w:rPr>
                <w:rFonts w:ascii="宋体" w:hAnsi="宋体"/>
                <w:color w:val="000000"/>
                <w:kern w:val="0"/>
                <w:szCs w:val="21"/>
              </w:rPr>
              <w:t>99.96%</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72780" w:rsidRDefault="00E4225C">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8B" w:rsidRDefault="00EB528B">
      <w:r>
        <w:separator/>
      </w:r>
    </w:p>
  </w:endnote>
  <w:endnote w:type="continuationSeparator" w:id="0">
    <w:p w:rsidR="00EB528B" w:rsidRDefault="00EB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Default="00A212FB" w:rsidP="00C03B3A">
    <w:pPr>
      <w:pStyle w:val="a8"/>
      <w:framePr w:wrap="around" w:vAnchor="text" w:hAnchor="margin" w:xAlign="right" w:y="1"/>
      <w:rPr>
        <w:rStyle w:val="aa"/>
      </w:rPr>
    </w:pPr>
    <w:r>
      <w:rPr>
        <w:rStyle w:val="aa"/>
      </w:rPr>
      <w:fldChar w:fldCharType="begin"/>
    </w:r>
    <w:r w:rsidR="000B7A0A">
      <w:rPr>
        <w:rStyle w:val="aa"/>
      </w:rPr>
      <w:instrText xml:space="preserve">PAGE  </w:instrText>
    </w:r>
    <w:r>
      <w:rPr>
        <w:rStyle w:val="aa"/>
      </w:rPr>
      <w:fldChar w:fldCharType="end"/>
    </w:r>
  </w:p>
  <w:p w:rsidR="000B7A0A" w:rsidRDefault="000B7A0A"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Default="000B7A0A" w:rsidP="00C03B3A">
    <w:pPr>
      <w:pStyle w:val="a8"/>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A96567">
      <w:rPr>
        <w:noProof/>
        <w:kern w:val="0"/>
        <w:szCs w:val="21"/>
      </w:rPr>
      <w:t>27</w:t>
    </w:r>
    <w:r w:rsidR="00A212FB">
      <w:rPr>
        <w:kern w:val="0"/>
        <w:szCs w:val="21"/>
      </w:rPr>
      <w:fldChar w:fldCharType="end"/>
    </w:r>
    <w:proofErr w:type="gramStart"/>
    <w:r>
      <w:rPr>
        <w:rFonts w:hint="eastAsia"/>
        <w:kern w:val="0"/>
        <w:szCs w:val="21"/>
      </w:rPr>
      <w:t>页共</w:t>
    </w:r>
    <w:proofErr w:type="gramEnd"/>
    <w:r w:rsidR="00A212FB">
      <w:rPr>
        <w:kern w:val="0"/>
        <w:szCs w:val="21"/>
      </w:rPr>
      <w:fldChar w:fldCharType="begin"/>
    </w:r>
    <w:r>
      <w:rPr>
        <w:kern w:val="0"/>
        <w:szCs w:val="21"/>
      </w:rPr>
      <w:instrText xml:space="preserve"> NUMPAGES </w:instrText>
    </w:r>
    <w:r w:rsidR="00A212FB">
      <w:rPr>
        <w:kern w:val="0"/>
        <w:szCs w:val="21"/>
      </w:rPr>
      <w:fldChar w:fldCharType="separate"/>
    </w:r>
    <w:r w:rsidR="00A96567">
      <w:rPr>
        <w:noProof/>
        <w:kern w:val="0"/>
        <w:szCs w:val="21"/>
      </w:rPr>
      <w:t>28</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8B" w:rsidRDefault="00EB528B">
      <w:r>
        <w:separator/>
      </w:r>
    </w:p>
  </w:footnote>
  <w:footnote w:type="continuationSeparator" w:id="0">
    <w:p w:rsidR="00EB528B" w:rsidRDefault="00EB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Pr="003B6CAA" w:rsidRDefault="000B7A0A" w:rsidP="002243A3">
    <w:pPr>
      <w:pStyle w:val="ac"/>
      <w:pBdr>
        <w:bottom w:val="single" w:sz="6" w:space="0" w:color="auto"/>
      </w:pBdr>
      <w:jc w:val="right"/>
    </w:pPr>
    <w:r w:rsidRPr="003B6CAA">
      <w:t>交银施罗德</w:t>
    </w:r>
    <w:proofErr w:type="gramStart"/>
    <w:r w:rsidRPr="003B6CAA">
      <w:t>裕盈纯债</w:t>
    </w:r>
    <w:proofErr w:type="gramEnd"/>
    <w:r w:rsidRPr="003B6CAA">
      <w:t>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87C54"/>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780"/>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567"/>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25C"/>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28B"/>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BDB8F6"/>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2981</Words>
  <Characters>16995</Characters>
  <Application>Microsoft Office Word</Application>
  <DocSecurity>0</DocSecurity>
  <Lines>141</Lines>
  <Paragraphs>39</Paragraphs>
  <ScaleCrop>false</ScaleCrop>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663</cp:revision>
  <cp:lastPrinted>2007-07-19T00:46:00Z</cp:lastPrinted>
  <dcterms:created xsi:type="dcterms:W3CDTF">2013-08-19T07:43:00Z</dcterms:created>
  <dcterms:modified xsi:type="dcterms:W3CDTF">2018-08-24T02:09:00Z</dcterms:modified>
</cp:coreProperties>
</file>