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交银施罗德沪港深价值精选灵活配置混合型证券投资基金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交银沪港深价值精选混合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519779</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519779</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11</w:t>
            </w:r>
            <w:r w:rsidRPr="005C672D">
              <w:rPr>
                <w:sz w:val="24"/>
              </w:rPr>
              <w:t>月</w:t>
            </w:r>
            <w:r w:rsidRPr="005C672D">
              <w:rPr>
                <w:sz w:val="24"/>
              </w:rPr>
              <w:t>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607,447,811.14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本基金通过优化资产配置和灵活运用多种投资策略，把握沪港通及后续资本市场开放政策带来的投资机会，力争实现基金资产的长期稳定增值。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×40%+</w:t>
            </w:r>
            <w:r w:rsidRPr="005C672D">
              <w:rPr>
                <w:sz w:val="24"/>
              </w:rPr>
              <w:t>恒生指数收益率</w:t>
            </w:r>
            <w:r w:rsidRPr="005C672D">
              <w:rPr>
                <w:sz w:val="24"/>
              </w:rPr>
              <w:t>×40%+</w:t>
            </w:r>
            <w:r w:rsidRPr="005C672D">
              <w:rPr>
                <w:sz w:val="24"/>
              </w:rPr>
              <w:t>中证综合债券指数收益率</w:t>
            </w:r>
            <w:r w:rsidRPr="005C672D">
              <w:rPr>
                <w:sz w:val="24"/>
              </w:rPr>
              <w:t>×20%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883270" w:rsidRDefault="00264EFC">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548F9" w:rsidRPr="005C672D" w:rsidRDefault="001548F9" w:rsidP="00AC6DDA">
            <w:pPr>
              <w:spacing w:before="29" w:line="288" w:lineRule="auto"/>
              <w:rPr>
                <w:sz w:val="24"/>
              </w:rPr>
            </w:pPr>
            <w:r w:rsidRPr="005C672D">
              <w:rPr>
                <w:sz w:val="24"/>
              </w:rPr>
              <w:t>本基金可投资港股通标的股票，会面临港股通机制下因投资环境、投资标的、市场制度以及交易规则等差异带来的特有风险。</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-31,960,268.50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-55,254,233.39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-0.1217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-6.24%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696,187,023.86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1.146</w:t>
            </w:r>
          </w:p>
        </w:tc>
      </w:tr>
    </w:tbl>
    <w:bookmarkEnd w:id="13"/>
    <w:bookmarkEnd w:id="14"/>
    <w:p w:rsidR="00883270" w:rsidRDefault="00264EF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83270">
        <w:tc>
          <w:tcPr>
            <w:tcW w:w="1497" w:type="dxa"/>
            <w:vAlign w:val="center"/>
          </w:tcPr>
          <w:p w:rsidR="00883270" w:rsidRDefault="00264EFC">
            <w:pPr>
              <w:jc w:val="left"/>
            </w:pPr>
            <w:r>
              <w:rPr>
                <w:color w:val="000000"/>
                <w:sz w:val="24"/>
              </w:rPr>
              <w:t>过去一个月</w:t>
            </w:r>
          </w:p>
        </w:tc>
        <w:tc>
          <w:tcPr>
            <w:tcW w:w="1251" w:type="dxa"/>
            <w:vAlign w:val="center"/>
          </w:tcPr>
          <w:p w:rsidR="00883270" w:rsidRDefault="00264EFC">
            <w:pPr>
              <w:jc w:val="center"/>
            </w:pPr>
            <w:r>
              <w:rPr>
                <w:color w:val="000000"/>
                <w:sz w:val="24"/>
              </w:rPr>
              <w:t>-2.39%</w:t>
            </w:r>
          </w:p>
        </w:tc>
        <w:tc>
          <w:tcPr>
            <w:tcW w:w="1250" w:type="dxa"/>
            <w:vAlign w:val="center"/>
          </w:tcPr>
          <w:p w:rsidR="00883270" w:rsidRDefault="00264EFC">
            <w:pPr>
              <w:jc w:val="center"/>
            </w:pPr>
            <w:r>
              <w:rPr>
                <w:color w:val="000000"/>
                <w:sz w:val="24"/>
              </w:rPr>
              <w:t>1.07%</w:t>
            </w:r>
          </w:p>
        </w:tc>
        <w:tc>
          <w:tcPr>
            <w:tcW w:w="1250" w:type="dxa"/>
            <w:vAlign w:val="center"/>
          </w:tcPr>
          <w:p w:rsidR="00883270" w:rsidRDefault="00264EFC">
            <w:pPr>
              <w:jc w:val="center"/>
            </w:pPr>
            <w:r>
              <w:rPr>
                <w:color w:val="000000"/>
                <w:sz w:val="24"/>
              </w:rPr>
              <w:t>-4.95%</w:t>
            </w:r>
          </w:p>
        </w:tc>
        <w:tc>
          <w:tcPr>
            <w:tcW w:w="1250" w:type="dxa"/>
            <w:vAlign w:val="center"/>
          </w:tcPr>
          <w:p w:rsidR="00883270" w:rsidRDefault="00264EFC">
            <w:pPr>
              <w:jc w:val="center"/>
            </w:pPr>
            <w:r>
              <w:rPr>
                <w:color w:val="000000"/>
                <w:sz w:val="24"/>
              </w:rPr>
              <w:t>0.93%</w:t>
            </w:r>
          </w:p>
        </w:tc>
        <w:tc>
          <w:tcPr>
            <w:tcW w:w="1250" w:type="dxa"/>
            <w:vAlign w:val="center"/>
          </w:tcPr>
          <w:p w:rsidR="00883270" w:rsidRDefault="00264EFC">
            <w:pPr>
              <w:jc w:val="center"/>
            </w:pPr>
            <w:r>
              <w:rPr>
                <w:color w:val="000000"/>
                <w:sz w:val="24"/>
              </w:rPr>
              <w:t>2.56%</w:t>
            </w:r>
          </w:p>
        </w:tc>
        <w:tc>
          <w:tcPr>
            <w:tcW w:w="1250" w:type="dxa"/>
            <w:vAlign w:val="center"/>
          </w:tcPr>
          <w:p w:rsidR="00883270" w:rsidRDefault="00264EFC">
            <w:pPr>
              <w:jc w:val="center"/>
            </w:pPr>
            <w:r>
              <w:rPr>
                <w:color w:val="000000"/>
                <w:sz w:val="24"/>
              </w:rPr>
              <w:t>0.14%</w:t>
            </w:r>
          </w:p>
        </w:tc>
      </w:tr>
      <w:tr w:rsidR="00883270">
        <w:tc>
          <w:tcPr>
            <w:tcW w:w="1497" w:type="dxa"/>
            <w:vAlign w:val="center"/>
          </w:tcPr>
          <w:p w:rsidR="00883270" w:rsidRDefault="00264EFC">
            <w:pPr>
              <w:jc w:val="left"/>
            </w:pPr>
            <w:r>
              <w:rPr>
                <w:color w:val="000000"/>
                <w:sz w:val="24"/>
              </w:rPr>
              <w:t>过去三个月</w:t>
            </w:r>
          </w:p>
        </w:tc>
        <w:tc>
          <w:tcPr>
            <w:tcW w:w="1251" w:type="dxa"/>
            <w:vAlign w:val="center"/>
          </w:tcPr>
          <w:p w:rsidR="00883270" w:rsidRDefault="00264EFC">
            <w:pPr>
              <w:jc w:val="center"/>
            </w:pPr>
            <w:r>
              <w:rPr>
                <w:color w:val="000000"/>
                <w:sz w:val="24"/>
              </w:rPr>
              <w:t>-2.39%</w:t>
            </w:r>
          </w:p>
        </w:tc>
        <w:tc>
          <w:tcPr>
            <w:tcW w:w="1250" w:type="dxa"/>
            <w:vAlign w:val="center"/>
          </w:tcPr>
          <w:p w:rsidR="00883270" w:rsidRDefault="00264EFC">
            <w:pPr>
              <w:jc w:val="center"/>
            </w:pPr>
            <w:r>
              <w:rPr>
                <w:color w:val="000000"/>
                <w:sz w:val="24"/>
              </w:rPr>
              <w:t>0.93%</w:t>
            </w:r>
          </w:p>
        </w:tc>
        <w:tc>
          <w:tcPr>
            <w:tcW w:w="1250" w:type="dxa"/>
            <w:vAlign w:val="center"/>
          </w:tcPr>
          <w:p w:rsidR="00883270" w:rsidRDefault="00264EFC">
            <w:pPr>
              <w:jc w:val="center"/>
            </w:pPr>
            <w:r>
              <w:rPr>
                <w:color w:val="000000"/>
                <w:sz w:val="24"/>
              </w:rPr>
              <w:t>-5.11%</w:t>
            </w:r>
          </w:p>
        </w:tc>
        <w:tc>
          <w:tcPr>
            <w:tcW w:w="1250" w:type="dxa"/>
            <w:vAlign w:val="center"/>
          </w:tcPr>
          <w:p w:rsidR="00883270" w:rsidRDefault="00264EFC">
            <w:pPr>
              <w:jc w:val="center"/>
            </w:pPr>
            <w:r>
              <w:rPr>
                <w:color w:val="000000"/>
                <w:sz w:val="24"/>
              </w:rPr>
              <w:t>0.84%</w:t>
            </w:r>
          </w:p>
        </w:tc>
        <w:tc>
          <w:tcPr>
            <w:tcW w:w="1250" w:type="dxa"/>
            <w:vAlign w:val="center"/>
          </w:tcPr>
          <w:p w:rsidR="00883270" w:rsidRDefault="00264EFC">
            <w:pPr>
              <w:jc w:val="center"/>
            </w:pPr>
            <w:r>
              <w:rPr>
                <w:color w:val="000000"/>
                <w:sz w:val="24"/>
              </w:rPr>
              <w:t>2.72%</w:t>
            </w:r>
          </w:p>
        </w:tc>
        <w:tc>
          <w:tcPr>
            <w:tcW w:w="1250" w:type="dxa"/>
            <w:vAlign w:val="center"/>
          </w:tcPr>
          <w:p w:rsidR="00883270" w:rsidRDefault="00264EFC">
            <w:pPr>
              <w:jc w:val="center"/>
            </w:pPr>
            <w:r>
              <w:rPr>
                <w:color w:val="000000"/>
                <w:sz w:val="24"/>
              </w:rPr>
              <w:t>0.09%</w:t>
            </w:r>
          </w:p>
        </w:tc>
      </w:tr>
      <w:tr w:rsidR="00883270">
        <w:tc>
          <w:tcPr>
            <w:tcW w:w="1497" w:type="dxa"/>
            <w:vAlign w:val="center"/>
          </w:tcPr>
          <w:p w:rsidR="00883270" w:rsidRDefault="00264EFC">
            <w:pPr>
              <w:jc w:val="left"/>
            </w:pPr>
            <w:r>
              <w:rPr>
                <w:color w:val="000000"/>
                <w:sz w:val="24"/>
              </w:rPr>
              <w:t>过去六个月</w:t>
            </w:r>
          </w:p>
        </w:tc>
        <w:tc>
          <w:tcPr>
            <w:tcW w:w="1251" w:type="dxa"/>
            <w:vAlign w:val="center"/>
          </w:tcPr>
          <w:p w:rsidR="00883270" w:rsidRDefault="00264EFC">
            <w:pPr>
              <w:jc w:val="center"/>
            </w:pPr>
            <w:r>
              <w:rPr>
                <w:color w:val="000000"/>
                <w:sz w:val="24"/>
              </w:rPr>
              <w:t>-6.24%</w:t>
            </w:r>
          </w:p>
        </w:tc>
        <w:tc>
          <w:tcPr>
            <w:tcW w:w="1250" w:type="dxa"/>
            <w:vAlign w:val="center"/>
          </w:tcPr>
          <w:p w:rsidR="00883270" w:rsidRDefault="00264EFC">
            <w:pPr>
              <w:jc w:val="center"/>
            </w:pPr>
            <w:r>
              <w:rPr>
                <w:color w:val="000000"/>
                <w:sz w:val="24"/>
              </w:rPr>
              <w:t>1.08%</w:t>
            </w:r>
          </w:p>
        </w:tc>
        <w:tc>
          <w:tcPr>
            <w:tcW w:w="1250" w:type="dxa"/>
            <w:vAlign w:val="center"/>
          </w:tcPr>
          <w:p w:rsidR="00883270" w:rsidRDefault="00264EFC">
            <w:pPr>
              <w:jc w:val="center"/>
            </w:pPr>
            <w:r>
              <w:rPr>
                <w:color w:val="000000"/>
                <w:sz w:val="24"/>
              </w:rPr>
              <w:t>-5.67%</w:t>
            </w:r>
          </w:p>
        </w:tc>
        <w:tc>
          <w:tcPr>
            <w:tcW w:w="1250" w:type="dxa"/>
            <w:vAlign w:val="center"/>
          </w:tcPr>
          <w:p w:rsidR="00883270" w:rsidRDefault="00264EFC">
            <w:pPr>
              <w:jc w:val="center"/>
            </w:pPr>
            <w:r>
              <w:rPr>
                <w:color w:val="000000"/>
                <w:sz w:val="24"/>
              </w:rPr>
              <w:t>0.89%</w:t>
            </w:r>
          </w:p>
        </w:tc>
        <w:tc>
          <w:tcPr>
            <w:tcW w:w="1250" w:type="dxa"/>
            <w:vAlign w:val="center"/>
          </w:tcPr>
          <w:p w:rsidR="00883270" w:rsidRDefault="00264EFC">
            <w:pPr>
              <w:jc w:val="center"/>
            </w:pPr>
            <w:r>
              <w:rPr>
                <w:color w:val="000000"/>
                <w:sz w:val="24"/>
              </w:rPr>
              <w:t>-0.57%</w:t>
            </w:r>
          </w:p>
        </w:tc>
        <w:tc>
          <w:tcPr>
            <w:tcW w:w="1250" w:type="dxa"/>
            <w:vAlign w:val="center"/>
          </w:tcPr>
          <w:p w:rsidR="00883270" w:rsidRDefault="00264EFC">
            <w:pPr>
              <w:jc w:val="center"/>
            </w:pPr>
            <w:r>
              <w:rPr>
                <w:color w:val="000000"/>
                <w:sz w:val="24"/>
              </w:rPr>
              <w:t>0.19%</w:t>
            </w:r>
          </w:p>
        </w:tc>
      </w:tr>
      <w:tr w:rsidR="00883270">
        <w:tc>
          <w:tcPr>
            <w:tcW w:w="1497" w:type="dxa"/>
            <w:vAlign w:val="center"/>
          </w:tcPr>
          <w:p w:rsidR="00883270" w:rsidRDefault="00264EFC">
            <w:pPr>
              <w:jc w:val="left"/>
            </w:pPr>
            <w:r>
              <w:rPr>
                <w:color w:val="000000"/>
                <w:sz w:val="24"/>
              </w:rPr>
              <w:t>过去一年</w:t>
            </w:r>
          </w:p>
        </w:tc>
        <w:tc>
          <w:tcPr>
            <w:tcW w:w="1251" w:type="dxa"/>
            <w:vAlign w:val="center"/>
          </w:tcPr>
          <w:p w:rsidR="00883270" w:rsidRDefault="00264EFC">
            <w:pPr>
              <w:jc w:val="center"/>
            </w:pPr>
            <w:r>
              <w:rPr>
                <w:color w:val="000000"/>
                <w:sz w:val="24"/>
              </w:rPr>
              <w:t>7.28%</w:t>
            </w:r>
          </w:p>
        </w:tc>
        <w:tc>
          <w:tcPr>
            <w:tcW w:w="1250" w:type="dxa"/>
            <w:vAlign w:val="center"/>
          </w:tcPr>
          <w:p w:rsidR="00883270" w:rsidRDefault="00264EFC">
            <w:pPr>
              <w:jc w:val="center"/>
            </w:pPr>
            <w:r>
              <w:rPr>
                <w:color w:val="000000"/>
                <w:sz w:val="24"/>
              </w:rPr>
              <w:t>0.99%</w:t>
            </w:r>
          </w:p>
        </w:tc>
        <w:tc>
          <w:tcPr>
            <w:tcW w:w="1250" w:type="dxa"/>
            <w:vAlign w:val="center"/>
          </w:tcPr>
          <w:p w:rsidR="00883270" w:rsidRDefault="00264EFC">
            <w:pPr>
              <w:jc w:val="center"/>
            </w:pPr>
            <w:r>
              <w:rPr>
                <w:color w:val="000000"/>
                <w:sz w:val="24"/>
              </w:rPr>
              <w:t>4.15%</w:t>
            </w:r>
          </w:p>
        </w:tc>
        <w:tc>
          <w:tcPr>
            <w:tcW w:w="1250" w:type="dxa"/>
            <w:vAlign w:val="center"/>
          </w:tcPr>
          <w:p w:rsidR="00883270" w:rsidRDefault="00264EFC">
            <w:pPr>
              <w:jc w:val="center"/>
            </w:pPr>
            <w:r>
              <w:rPr>
                <w:color w:val="000000"/>
                <w:sz w:val="24"/>
              </w:rPr>
              <w:t>0.73%</w:t>
            </w:r>
          </w:p>
        </w:tc>
        <w:tc>
          <w:tcPr>
            <w:tcW w:w="1250" w:type="dxa"/>
            <w:vAlign w:val="center"/>
          </w:tcPr>
          <w:p w:rsidR="00883270" w:rsidRDefault="00264EFC">
            <w:pPr>
              <w:jc w:val="center"/>
            </w:pPr>
            <w:r>
              <w:rPr>
                <w:color w:val="000000"/>
                <w:sz w:val="24"/>
              </w:rPr>
              <w:t>3.13%</w:t>
            </w:r>
          </w:p>
        </w:tc>
        <w:tc>
          <w:tcPr>
            <w:tcW w:w="1250" w:type="dxa"/>
            <w:vAlign w:val="center"/>
          </w:tcPr>
          <w:p w:rsidR="00883270" w:rsidRDefault="00264EFC">
            <w:pPr>
              <w:jc w:val="center"/>
            </w:pPr>
            <w:r>
              <w:rPr>
                <w:color w:val="000000"/>
                <w:sz w:val="24"/>
              </w:rPr>
              <w:t>0.26%</w:t>
            </w:r>
          </w:p>
        </w:tc>
      </w:tr>
      <w:tr w:rsidR="00883270">
        <w:tc>
          <w:tcPr>
            <w:tcW w:w="1497" w:type="dxa"/>
            <w:vAlign w:val="center"/>
          </w:tcPr>
          <w:p w:rsidR="00883270" w:rsidRDefault="00264EFC">
            <w:pPr>
              <w:jc w:val="left"/>
            </w:pPr>
            <w:r>
              <w:rPr>
                <w:color w:val="000000"/>
                <w:sz w:val="24"/>
              </w:rPr>
              <w:t>自基金合同生效起至今</w:t>
            </w:r>
          </w:p>
        </w:tc>
        <w:tc>
          <w:tcPr>
            <w:tcW w:w="1251" w:type="dxa"/>
            <w:vAlign w:val="center"/>
          </w:tcPr>
          <w:p w:rsidR="00883270" w:rsidRDefault="00264EFC">
            <w:pPr>
              <w:jc w:val="center"/>
            </w:pPr>
            <w:r>
              <w:rPr>
                <w:color w:val="000000"/>
                <w:sz w:val="24"/>
              </w:rPr>
              <w:t>23.48%</w:t>
            </w:r>
          </w:p>
        </w:tc>
        <w:tc>
          <w:tcPr>
            <w:tcW w:w="1250" w:type="dxa"/>
            <w:vAlign w:val="center"/>
          </w:tcPr>
          <w:p w:rsidR="00883270" w:rsidRDefault="00264EFC">
            <w:pPr>
              <w:jc w:val="center"/>
            </w:pPr>
            <w:r>
              <w:rPr>
                <w:color w:val="000000"/>
                <w:sz w:val="24"/>
              </w:rPr>
              <w:t>0.83%</w:t>
            </w:r>
          </w:p>
        </w:tc>
        <w:tc>
          <w:tcPr>
            <w:tcW w:w="1250" w:type="dxa"/>
            <w:vAlign w:val="center"/>
          </w:tcPr>
          <w:p w:rsidR="00883270" w:rsidRDefault="00264EFC">
            <w:pPr>
              <w:jc w:val="center"/>
            </w:pPr>
            <w:r>
              <w:rPr>
                <w:color w:val="000000"/>
                <w:sz w:val="24"/>
              </w:rPr>
              <w:t>13.39%</w:t>
            </w:r>
          </w:p>
        </w:tc>
        <w:tc>
          <w:tcPr>
            <w:tcW w:w="1250" w:type="dxa"/>
            <w:vAlign w:val="center"/>
          </w:tcPr>
          <w:p w:rsidR="00883270" w:rsidRDefault="00264EFC">
            <w:pPr>
              <w:jc w:val="center"/>
            </w:pPr>
            <w:r>
              <w:rPr>
                <w:color w:val="000000"/>
                <w:sz w:val="24"/>
              </w:rPr>
              <w:t>0.63%</w:t>
            </w:r>
          </w:p>
        </w:tc>
        <w:tc>
          <w:tcPr>
            <w:tcW w:w="1250" w:type="dxa"/>
            <w:vAlign w:val="center"/>
          </w:tcPr>
          <w:p w:rsidR="00883270" w:rsidRDefault="00264EFC">
            <w:pPr>
              <w:jc w:val="center"/>
            </w:pPr>
            <w:r>
              <w:rPr>
                <w:color w:val="000000"/>
                <w:sz w:val="24"/>
              </w:rPr>
              <w:t>10.09%</w:t>
            </w:r>
          </w:p>
        </w:tc>
        <w:tc>
          <w:tcPr>
            <w:tcW w:w="1250" w:type="dxa"/>
            <w:vAlign w:val="center"/>
          </w:tcPr>
          <w:p w:rsidR="00883270" w:rsidRDefault="00264EFC">
            <w:pPr>
              <w:jc w:val="center"/>
            </w:pPr>
            <w:r>
              <w:rPr>
                <w:color w:val="000000"/>
                <w:sz w:val="24"/>
              </w:rPr>
              <w:t>0.20%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×40%+</w:t>
      </w:r>
      <w:r w:rsidRPr="005C672D">
        <w:rPr>
          <w:kern w:val="0"/>
          <w:sz w:val="24"/>
        </w:rPr>
        <w:t>恒生指数收益率</w:t>
      </w:r>
      <w:r w:rsidRPr="005C672D">
        <w:rPr>
          <w:kern w:val="0"/>
          <w:sz w:val="24"/>
        </w:rPr>
        <w:t>×40%+</w:t>
      </w:r>
      <w:r w:rsidRPr="005C672D">
        <w:rPr>
          <w:kern w:val="0"/>
          <w:sz w:val="24"/>
        </w:rPr>
        <w:t>中证综合债券指数收益率</w:t>
      </w:r>
      <w:r w:rsidRPr="005C672D">
        <w:rPr>
          <w:kern w:val="0"/>
          <w:sz w:val="24"/>
        </w:rPr>
        <w:t>×20%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交银施罗德沪港深价值精选灵活配置混合型证券投资基金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11</w:t>
      </w:r>
      <w:r w:rsidR="001548F9" w:rsidRPr="005C672D">
        <w:rPr>
          <w:rFonts w:ascii="Times New Roman" w:hAnsi="Times New Roman"/>
          <w:sz w:val="24"/>
          <w:szCs w:val="24"/>
        </w:rPr>
        <w:t>月</w:t>
      </w:r>
      <w:r w:rsidR="001548F9" w:rsidRPr="005C672D">
        <w:rPr>
          <w:rFonts w:ascii="Times New Roman" w:hAnsi="Times New Roman"/>
          <w:sz w:val="24"/>
          <w:szCs w:val="24"/>
        </w:rPr>
        <w:t>7</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83270" w:rsidRDefault="00264EF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83270">
        <w:tc>
          <w:tcPr>
            <w:tcW w:w="1033" w:type="dxa"/>
            <w:vAlign w:val="center"/>
          </w:tcPr>
          <w:p w:rsidR="00883270" w:rsidRDefault="00264EFC">
            <w:pPr>
              <w:jc w:val="center"/>
            </w:pPr>
            <w:r>
              <w:rPr>
                <w:color w:val="000000"/>
                <w:sz w:val="24"/>
              </w:rPr>
              <w:t>陈俊华</w:t>
            </w:r>
          </w:p>
        </w:tc>
        <w:tc>
          <w:tcPr>
            <w:tcW w:w="1416" w:type="dxa"/>
            <w:vAlign w:val="center"/>
          </w:tcPr>
          <w:p w:rsidR="00883270" w:rsidRDefault="00264EFC">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126" w:type="dxa"/>
            <w:vAlign w:val="center"/>
          </w:tcPr>
          <w:p w:rsidR="00883270" w:rsidRDefault="00264EFC">
            <w:pPr>
              <w:jc w:val="center"/>
            </w:pPr>
            <w:r>
              <w:rPr>
                <w:color w:val="000000"/>
                <w:sz w:val="24"/>
              </w:rPr>
              <w:t>2016-11-07</w:t>
            </w:r>
          </w:p>
        </w:tc>
        <w:tc>
          <w:tcPr>
            <w:tcW w:w="1192" w:type="dxa"/>
            <w:vAlign w:val="center"/>
          </w:tcPr>
          <w:p w:rsidR="00883270" w:rsidRDefault="00264EFC">
            <w:pPr>
              <w:jc w:val="center"/>
            </w:pPr>
            <w:r>
              <w:rPr>
                <w:color w:val="000000"/>
                <w:sz w:val="24"/>
              </w:rPr>
              <w:t>-</w:t>
            </w:r>
          </w:p>
        </w:tc>
        <w:tc>
          <w:tcPr>
            <w:tcW w:w="1169" w:type="dxa"/>
            <w:vAlign w:val="center"/>
          </w:tcPr>
          <w:p w:rsidR="00883270" w:rsidRDefault="00264EFC">
            <w:pPr>
              <w:jc w:val="center"/>
            </w:pPr>
            <w:r>
              <w:rPr>
                <w:color w:val="000000"/>
                <w:sz w:val="24"/>
              </w:rPr>
              <w:t>13</w:t>
            </w:r>
            <w:r>
              <w:rPr>
                <w:color w:val="000000"/>
                <w:sz w:val="24"/>
              </w:rPr>
              <w:t>年</w:t>
            </w:r>
          </w:p>
        </w:tc>
        <w:tc>
          <w:tcPr>
            <w:tcW w:w="3062" w:type="dxa"/>
            <w:vAlign w:val="center"/>
          </w:tcPr>
          <w:p w:rsidR="00883270" w:rsidRDefault="00264EFC">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883270" w:rsidRDefault="00264EF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83270" w:rsidRDefault="00264EF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883270" w:rsidRDefault="00264EF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83270" w:rsidRDefault="00264EF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3270" w:rsidRDefault="00264EF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3270" w:rsidRDefault="00264EF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83270" w:rsidRDefault="00264EFC">
      <w:pPr>
        <w:spacing w:before="29" w:line="288" w:lineRule="auto"/>
        <w:ind w:firstLineChars="200" w:firstLine="480"/>
        <w:rPr>
          <w:color w:val="000000"/>
          <w:sz w:val="24"/>
        </w:rPr>
      </w:pPr>
      <w:r>
        <w:rPr>
          <w:color w:val="000000"/>
          <w:sz w:val="24"/>
        </w:rPr>
        <w:t>2018</w:t>
      </w:r>
      <w:r>
        <w:rPr>
          <w:color w:val="000000"/>
          <w:sz w:val="24"/>
        </w:rPr>
        <w:t>年上半年，全球宏观经济环境的波动对市场的扰动显著增加，投资者的关注点更多聚焦于风险因素，如贸易纷争演化进程、国内金融去杠杆的推行节奏，尤其是有可能引发的汇率波动、固定资产投资波动和企业利润率下滑的因素。在避险情绪带动下，全球主要股票市场波动加大、股指调整或下滑，目前市场对于实体经济整体呈较为谨慎的态度。</w:t>
      </w:r>
    </w:p>
    <w:p w:rsidR="00C02A8F" w:rsidRPr="005C672D" w:rsidRDefault="00C02A8F" w:rsidP="00AC6DDA">
      <w:pPr>
        <w:spacing w:before="29" w:line="288" w:lineRule="auto"/>
        <w:ind w:firstLineChars="200" w:firstLine="480"/>
        <w:rPr>
          <w:color w:val="000000"/>
          <w:sz w:val="24"/>
        </w:rPr>
      </w:pPr>
      <w:r w:rsidRPr="005C672D">
        <w:rPr>
          <w:color w:val="000000"/>
          <w:sz w:val="24"/>
        </w:rPr>
        <w:t>上半年，我们努力调整结构，以应对外部预期变动对于股票投资的扰动。一季度调整较慢，给净值带来了一定回撤，二季度，我们调整相对稳健，组合波动较小。从持股结构来看，我们坚持优选行业龙头的投资策略，从</w:t>
      </w:r>
      <w:r w:rsidRPr="005C672D">
        <w:rPr>
          <w:color w:val="000000"/>
          <w:sz w:val="24"/>
        </w:rPr>
        <w:t>A</w:t>
      </w:r>
      <w:r w:rsidRPr="005C672D">
        <w:rPr>
          <w:color w:val="000000"/>
          <w:sz w:val="24"/>
        </w:rPr>
        <w:t>股、港股中选具备稀缺性的细分子行业龙头，同时尽量减少负债偏高的行业配置。总体而言，我们的持仓结构仍以港股为主，</w:t>
      </w:r>
      <w:r w:rsidRPr="005C672D">
        <w:rPr>
          <w:color w:val="000000"/>
          <w:sz w:val="24"/>
        </w:rPr>
        <w:t>A</w:t>
      </w:r>
      <w:r w:rsidRPr="005C672D">
        <w:rPr>
          <w:color w:val="000000"/>
          <w:sz w:val="24"/>
        </w:rPr>
        <w:t>股为辅，其中消费、科技板块仍是我们的首选。</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展望下半年，我们维持前期的判断，全球流动性收紧仍是首要需要考虑的大前提。与上半年不同的是，我们相对更为乐观。下半年</w:t>
      </w:r>
      <w:r w:rsidRPr="005C672D">
        <w:rPr>
          <w:color w:val="000000"/>
          <w:sz w:val="24"/>
        </w:rPr>
        <w:t>A</w:t>
      </w:r>
      <w:r w:rsidRPr="005C672D">
        <w:rPr>
          <w:color w:val="000000"/>
          <w:sz w:val="24"/>
        </w:rPr>
        <w:t>股市场中的一些细分行业龙头的估值已经到历史底部，反映了市场投资者过于悲观的预期，而在未来，资源向头部集中给的趋势仍将持续，这些子行业龙头将受益于此。港股在科技、医药板块新上市了许多新标的，我们需尽快扩大研究范围，在更广阔的领域里寻找投资标的。在剧烈波动的市场中，我们需要更严格地筛选标的，努力控制回撤。中长期来看，我们仍看好两条选股思路，即消费升级和中国的制造业在全世界范围内的产业集群效应。我们将继续勤勉尽责地积极调研，自下而上挖掘相关标的，努力为投资人赚取稳健的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83270" w:rsidRDefault="00264EF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3270" w:rsidRDefault="00264EF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根据相关法律法规和基金合同要求，本基金本报告期内对上一年度及本报告期可供分配利润进行了收益分配，具体情况参见半年度报告正文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会计主体：交银施罗德沪港深价值精选灵活配置混合型证券投资基金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251,591,045.08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52,217,269.78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18,997,819.03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245,210.52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1,152,486.91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39,252.28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426,301,743.03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190,109,026.50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426,301,743.03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190,109,026.50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54,363.58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14,940.42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1,849,778.59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96,000.00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184,186.89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1,022,644.82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700,131,423.11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243,744,344.32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1,413,034.43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2,226,217.59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1,643,583.48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900,034.46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301,163.82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150,005.76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50,193.99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543,104.83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164,917.86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124,982.09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128,214.99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3,944,399.25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3,701,108.57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607,447,811.14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182,263,775.44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88,739,212.72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57,779,460.31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696,187,023.86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240,043,235.75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700,131,423.11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243,744,344.32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1.146</w:t>
      </w:r>
      <w:r w:rsidR="006C5149" w:rsidRPr="005C672D">
        <w:rPr>
          <w:kern w:val="0"/>
          <w:sz w:val="24"/>
        </w:rPr>
        <w:t>元，基金份额总额</w:t>
      </w:r>
      <w:r w:rsidR="006C5149" w:rsidRPr="005C672D">
        <w:rPr>
          <w:kern w:val="0"/>
          <w:sz w:val="24"/>
        </w:rPr>
        <w:t>607,447,811.14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交银施罗德沪港深价值精选灵活配置混合型证券投资基金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-47,927,362.69</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31,522,028.00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637,461.08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337,331.01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637,461.08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260,669.37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76,661.64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-26,115,331.26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11,365,140.63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-30,716,872.11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9,814,553.58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4,601,540.85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1,550,587.05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-23,293,964.89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19,236,105.07</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844,472.38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583,451.29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7,326,870.70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2,586,317.69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4,185,639.31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1,457,138.64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697,606.56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242,856.40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2,312,607.02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703,529.31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131,017.81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182,793.34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-55,254,233.39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28,935,710.31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-55,254,233.39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28,935,710.31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交银施罗德沪港深价值精选灵活配置混合型证券投资基金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182,263,775.44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57,779,460.31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240,043,235.75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-55,254,233.39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-55,254,233.39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425,184,035.70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118,703,152.08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543,887,187.78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566,991,902.68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156,311,461.33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723,303,364.01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-141,807,866.98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-37,608,309.25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-179,416,176.23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-32,489,166.28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-32,489,166.28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607,447,811.14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88,739,212.72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696,187,023.86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284,007,821.05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-2,448,292.42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281,559,528.63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28,935,710.31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28,935,710.31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-165,789,980.63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-8,645,456.82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-174,435,437.45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51,383,930.88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3,464,772.13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54,848,703.01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-217,173,911.51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-12,110,228.95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-229,284,140.46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118,217,840.42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17,841,961.07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136,059,801.49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83270" w:rsidRDefault="00264EFC">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、港股通标的股票、债券、中期票据、货币市场工具、权证、资产支持证券、股指期货以及法律法规或中国证监会允许基金投资的其他金融工具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w:t>
      </w:r>
      <w:r w:rsidRPr="005C672D">
        <w:rPr>
          <w:color w:val="000000"/>
          <w:sz w:val="24"/>
        </w:rPr>
        <w:t xml:space="preserve"> </w:t>
      </w:r>
      <w:r w:rsidRPr="005C672D">
        <w:rPr>
          <w:color w:val="000000"/>
          <w:sz w:val="24"/>
        </w:rPr>
        <w:t>基金的投资组合比例为：股票资产占基金资产的</w:t>
      </w:r>
      <w:r w:rsidRPr="005C672D">
        <w:rPr>
          <w:color w:val="000000"/>
          <w:sz w:val="24"/>
        </w:rPr>
        <w:t>0%-95%(</w:t>
      </w:r>
      <w:r w:rsidRPr="005C672D">
        <w:rPr>
          <w:color w:val="000000"/>
          <w:sz w:val="24"/>
        </w:rPr>
        <w:t>其中，投资于国内依法发行上市的股票的比例占基金资产的</w:t>
      </w:r>
      <w:r w:rsidRPr="005C672D">
        <w:rPr>
          <w:color w:val="000000"/>
          <w:sz w:val="24"/>
        </w:rPr>
        <w:t>0-95%</w:t>
      </w:r>
      <w:r w:rsidRPr="005C672D">
        <w:rPr>
          <w:color w:val="000000"/>
          <w:sz w:val="24"/>
        </w:rPr>
        <w:t>，投资于港股通标的股票的比例占基金资产的</w:t>
      </w:r>
      <w:r w:rsidRPr="005C672D">
        <w:rPr>
          <w:color w:val="000000"/>
          <w:sz w:val="24"/>
        </w:rPr>
        <w:t>0-95%)</w:t>
      </w:r>
      <w:r w:rsidRPr="005C672D">
        <w:rPr>
          <w:color w:val="000000"/>
          <w:sz w:val="24"/>
        </w:rPr>
        <w:t>，其中投资于沪港深价值型相关证券的比例不低于非现金基金资产的</w:t>
      </w:r>
      <w:r w:rsidRPr="005C672D">
        <w:rPr>
          <w:color w:val="000000"/>
          <w:sz w:val="24"/>
        </w:rPr>
        <w:t>80%</w:t>
      </w:r>
      <w:r w:rsidRPr="005C672D">
        <w:rPr>
          <w:color w:val="000000"/>
          <w:sz w:val="24"/>
        </w:rPr>
        <w:t>，每个交易日日终在扣除股指期货合约需缴纳的保证金后，基金保留的现金或者投资于到期日在一年以内的政府债券的比例合计不低于基金资产净值的</w:t>
      </w:r>
      <w:r w:rsidRPr="005C672D">
        <w:rPr>
          <w:color w:val="000000"/>
          <w:sz w:val="24"/>
        </w:rPr>
        <w:t>5%</w:t>
      </w:r>
      <w:r w:rsidRPr="005C672D">
        <w:rPr>
          <w:color w:val="000000"/>
          <w:sz w:val="24"/>
        </w:rPr>
        <w:t>。本基金的业绩比较基准为：沪深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恒生指数收益率</w:t>
      </w:r>
      <w:r w:rsidRPr="005C672D">
        <w:rPr>
          <w:color w:val="000000"/>
          <w:sz w:val="24"/>
        </w:rPr>
        <w:t>×40%+</w:t>
      </w:r>
      <w:r w:rsidRPr="005C672D">
        <w:rPr>
          <w:color w:val="000000"/>
          <w:sz w:val="24"/>
        </w:rPr>
        <w:t>中证综合债券指数收益率</w:t>
      </w:r>
      <w:r w:rsidRPr="005C672D">
        <w:rPr>
          <w:color w:val="000000"/>
          <w:sz w:val="24"/>
        </w:rPr>
        <w:t>×20%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颁布的《证券投资基金会计核算业务指引》、《交银施罗德沪港深价值精选灵活配置混合型证券投资基金基金合同》和在财务报表附注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83270" w:rsidRDefault="00264EF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83270" w:rsidRDefault="00264EF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83270" w:rsidRDefault="00264EF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883270" w:rsidRDefault="00264EF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3270" w:rsidRDefault="00264EF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83270" w:rsidRDefault="00264EFC">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883270" w:rsidRDefault="00264EF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83270">
        <w:tc>
          <w:tcPr>
            <w:tcW w:w="5219" w:type="dxa"/>
            <w:vAlign w:val="center"/>
          </w:tcPr>
          <w:p w:rsidR="00883270" w:rsidRDefault="00264EF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83270" w:rsidRDefault="00264EFC">
            <w:pPr>
              <w:jc w:val="left"/>
            </w:pPr>
            <w:r>
              <w:rPr>
                <w:color w:val="000000"/>
                <w:sz w:val="24"/>
              </w:rPr>
              <w:t>基金管理人、基金销售机构</w:t>
            </w:r>
          </w:p>
        </w:tc>
      </w:tr>
      <w:tr w:rsidR="00883270">
        <w:tc>
          <w:tcPr>
            <w:tcW w:w="5219" w:type="dxa"/>
            <w:vAlign w:val="center"/>
          </w:tcPr>
          <w:p w:rsidR="00883270" w:rsidRDefault="00264EF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83270" w:rsidRDefault="00264EFC">
            <w:pPr>
              <w:jc w:val="left"/>
            </w:pPr>
            <w:r>
              <w:rPr>
                <w:color w:val="000000"/>
                <w:sz w:val="24"/>
              </w:rPr>
              <w:t>基金托管人、基金销售机构</w:t>
            </w:r>
          </w:p>
        </w:tc>
      </w:tr>
      <w:tr w:rsidR="00883270">
        <w:tc>
          <w:tcPr>
            <w:tcW w:w="5219" w:type="dxa"/>
            <w:vAlign w:val="center"/>
          </w:tcPr>
          <w:p w:rsidR="00883270" w:rsidRDefault="00264EF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83270" w:rsidRDefault="00264EFC">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4,185,639.31</w:t>
            </w:r>
          </w:p>
        </w:tc>
        <w:tc>
          <w:tcPr>
            <w:tcW w:w="2657" w:type="dxa"/>
            <w:vAlign w:val="center"/>
          </w:tcPr>
          <w:p w:rsidR="001548F9" w:rsidRPr="005C672D" w:rsidRDefault="001548F9" w:rsidP="00AC6DDA">
            <w:pPr>
              <w:spacing w:before="29" w:line="288" w:lineRule="auto"/>
              <w:jc w:val="right"/>
              <w:rPr>
                <w:sz w:val="24"/>
              </w:rPr>
            </w:pPr>
            <w:r w:rsidRPr="005C672D">
              <w:rPr>
                <w:sz w:val="24"/>
              </w:rPr>
              <w:t>1,457,138.64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776,547.69</w:t>
            </w:r>
          </w:p>
        </w:tc>
        <w:tc>
          <w:tcPr>
            <w:tcW w:w="2657" w:type="dxa"/>
            <w:vAlign w:val="center"/>
          </w:tcPr>
          <w:p w:rsidR="001548F9" w:rsidRPr="005C672D" w:rsidRDefault="001548F9" w:rsidP="00AC6DDA">
            <w:pPr>
              <w:spacing w:before="29" w:line="288" w:lineRule="auto"/>
              <w:jc w:val="right"/>
              <w:rPr>
                <w:sz w:val="24"/>
              </w:rPr>
            </w:pPr>
            <w:r w:rsidRPr="005C672D">
              <w:rPr>
                <w:sz w:val="24"/>
              </w:rPr>
              <w:t>621,357.57</w:t>
            </w:r>
          </w:p>
        </w:tc>
      </w:tr>
    </w:tbl>
    <w:p w:rsidR="00883270" w:rsidRDefault="00264EF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697,606.56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242,856.40</w:t>
            </w:r>
          </w:p>
        </w:tc>
      </w:tr>
    </w:tbl>
    <w:p w:rsidR="00883270" w:rsidRDefault="00264EF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83270">
        <w:tc>
          <w:tcPr>
            <w:tcW w:w="2171" w:type="dxa"/>
            <w:vAlign w:val="center"/>
          </w:tcPr>
          <w:p w:rsidR="00883270" w:rsidRDefault="00264EFC">
            <w:pPr>
              <w:jc w:val="left"/>
            </w:pPr>
            <w:r>
              <w:rPr>
                <w:sz w:val="24"/>
              </w:rPr>
              <w:t>中国农业银行股份有限公司</w:t>
            </w:r>
          </w:p>
        </w:tc>
        <w:tc>
          <w:tcPr>
            <w:tcW w:w="2023" w:type="dxa"/>
            <w:vAlign w:val="center"/>
          </w:tcPr>
          <w:p w:rsidR="00883270" w:rsidRDefault="00264EFC">
            <w:pPr>
              <w:jc w:val="right"/>
            </w:pPr>
            <w:r>
              <w:rPr>
                <w:sz w:val="24"/>
              </w:rPr>
              <w:t>251,591,045.08</w:t>
            </w:r>
          </w:p>
        </w:tc>
        <w:tc>
          <w:tcPr>
            <w:tcW w:w="1772" w:type="dxa"/>
            <w:vAlign w:val="center"/>
          </w:tcPr>
          <w:p w:rsidR="00883270" w:rsidRDefault="00264EFC">
            <w:pPr>
              <w:jc w:val="right"/>
            </w:pPr>
            <w:r>
              <w:rPr>
                <w:sz w:val="24"/>
              </w:rPr>
              <w:t>575,157.21</w:t>
            </w:r>
          </w:p>
        </w:tc>
        <w:tc>
          <w:tcPr>
            <w:tcW w:w="1412" w:type="dxa"/>
            <w:vAlign w:val="center"/>
          </w:tcPr>
          <w:p w:rsidR="00883270" w:rsidRDefault="00264EFC">
            <w:pPr>
              <w:jc w:val="right"/>
            </w:pPr>
            <w:r>
              <w:rPr>
                <w:sz w:val="24"/>
              </w:rPr>
              <w:t>24,638,593.48</w:t>
            </w:r>
          </w:p>
        </w:tc>
        <w:tc>
          <w:tcPr>
            <w:tcW w:w="1807" w:type="dxa"/>
            <w:vAlign w:val="center"/>
          </w:tcPr>
          <w:p w:rsidR="00883270" w:rsidRDefault="00264EFC">
            <w:pPr>
              <w:jc w:val="right"/>
            </w:pPr>
            <w:r>
              <w:rPr>
                <w:sz w:val="24"/>
              </w:rPr>
              <w:t>224,540.50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264EFC">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E53CC9">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426,301,743.03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60.89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426,301,743.03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60.89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270,588,864.11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38.65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3,240,815.97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0.46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700,131,423.11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87,490,211.52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16,140,000.00</w:t>
            </w:r>
          </w:p>
        </w:tc>
        <w:tc>
          <w:tcPr>
            <w:tcW w:w="2160" w:type="dxa"/>
            <w:vAlign w:val="center"/>
          </w:tcPr>
          <w:p w:rsidR="001548F9" w:rsidRPr="005C672D" w:rsidRDefault="001548F9" w:rsidP="00AC6DDA">
            <w:pPr>
              <w:spacing w:before="29" w:line="288" w:lineRule="auto"/>
              <w:jc w:val="right"/>
              <w:rPr>
                <w:sz w:val="24"/>
              </w:rPr>
            </w:pPr>
            <w:r w:rsidRPr="005C672D">
              <w:rPr>
                <w:sz w:val="24"/>
              </w:rPr>
              <w:t>2.32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14,471,381.25</w:t>
            </w:r>
          </w:p>
        </w:tc>
        <w:tc>
          <w:tcPr>
            <w:tcW w:w="2160" w:type="dxa"/>
            <w:vAlign w:val="center"/>
          </w:tcPr>
          <w:p w:rsidR="001548F9" w:rsidRPr="005C672D" w:rsidRDefault="001548F9" w:rsidP="00AC6DDA">
            <w:pPr>
              <w:spacing w:before="29" w:line="288" w:lineRule="auto"/>
              <w:jc w:val="right"/>
              <w:rPr>
                <w:sz w:val="24"/>
              </w:rPr>
            </w:pPr>
            <w:r w:rsidRPr="005C672D">
              <w:rPr>
                <w:sz w:val="24"/>
              </w:rPr>
              <w:t>2.08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23,115,000.00</w:t>
            </w:r>
          </w:p>
        </w:tc>
        <w:tc>
          <w:tcPr>
            <w:tcW w:w="2160" w:type="dxa"/>
            <w:vAlign w:val="center"/>
          </w:tcPr>
          <w:p w:rsidR="001548F9" w:rsidRPr="005C672D" w:rsidRDefault="001548F9" w:rsidP="00AC6DDA">
            <w:pPr>
              <w:spacing w:before="29" w:line="288" w:lineRule="auto"/>
              <w:jc w:val="right"/>
              <w:rPr>
                <w:sz w:val="24"/>
              </w:rPr>
            </w:pPr>
            <w:r w:rsidRPr="005C672D">
              <w:rPr>
                <w:sz w:val="24"/>
              </w:rPr>
              <w:t>3.32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7,392,000.00</w:t>
            </w:r>
          </w:p>
        </w:tc>
        <w:tc>
          <w:tcPr>
            <w:tcW w:w="2160" w:type="dxa"/>
            <w:vAlign w:val="center"/>
          </w:tcPr>
          <w:p w:rsidR="001548F9" w:rsidRPr="005C672D" w:rsidRDefault="001548F9" w:rsidP="00AC6DDA">
            <w:pPr>
              <w:spacing w:before="29" w:line="288" w:lineRule="auto"/>
              <w:jc w:val="right"/>
              <w:rPr>
                <w:sz w:val="24"/>
              </w:rPr>
            </w:pPr>
            <w:r w:rsidRPr="005C672D">
              <w:rPr>
                <w:sz w:val="24"/>
              </w:rPr>
              <w:t>1.06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36,896,000.00</w:t>
            </w:r>
          </w:p>
        </w:tc>
        <w:tc>
          <w:tcPr>
            <w:tcW w:w="2160" w:type="dxa"/>
            <w:vAlign w:val="center"/>
          </w:tcPr>
          <w:p w:rsidR="001548F9" w:rsidRPr="005C672D" w:rsidRDefault="001548F9" w:rsidP="00AC6DDA">
            <w:pPr>
              <w:spacing w:before="29" w:line="288" w:lineRule="auto"/>
              <w:jc w:val="right"/>
              <w:rPr>
                <w:sz w:val="24"/>
              </w:rPr>
            </w:pPr>
            <w:r w:rsidRPr="005C672D">
              <w:rPr>
                <w:sz w:val="24"/>
              </w:rPr>
              <w:t>5.30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185,504,592.77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26.65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tbl>
      <w:tblPr>
        <w:tblW w:w="8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3"/>
        <w:gridCol w:w="3119"/>
        <w:gridCol w:w="3209"/>
      </w:tblGrid>
      <w:tr w:rsidR="001C16A1" w:rsidRPr="00282C32" w:rsidTr="00986F4D">
        <w:trPr>
          <w:jc w:val="center"/>
        </w:trPr>
        <w:tc>
          <w:tcPr>
            <w:tcW w:w="2653" w:type="dxa"/>
            <w:vAlign w:val="center"/>
          </w:tcPr>
          <w:p w:rsidR="001C16A1" w:rsidRPr="00D52A9B" w:rsidRDefault="001C16A1" w:rsidP="00986F4D">
            <w:pPr>
              <w:spacing w:before="29" w:line="288" w:lineRule="auto"/>
              <w:ind w:left="17"/>
              <w:jc w:val="center"/>
              <w:rPr>
                <w:color w:val="000000"/>
                <w:sz w:val="24"/>
              </w:rPr>
            </w:pPr>
            <w:r w:rsidRPr="00D52A9B">
              <w:rPr>
                <w:rFonts w:hint="eastAsia"/>
                <w:color w:val="000000"/>
                <w:sz w:val="24"/>
              </w:rPr>
              <w:t>行业类别</w:t>
            </w:r>
          </w:p>
        </w:tc>
        <w:tc>
          <w:tcPr>
            <w:tcW w:w="3119" w:type="dxa"/>
            <w:vAlign w:val="center"/>
          </w:tcPr>
          <w:p w:rsidR="001C16A1" w:rsidRPr="00D52A9B" w:rsidRDefault="001C16A1" w:rsidP="00986F4D">
            <w:pPr>
              <w:spacing w:before="29" w:line="288" w:lineRule="auto"/>
              <w:ind w:left="17"/>
              <w:jc w:val="center"/>
              <w:rPr>
                <w:color w:val="000000"/>
                <w:sz w:val="24"/>
              </w:rPr>
            </w:pPr>
            <w:r w:rsidRPr="00D52A9B">
              <w:rPr>
                <w:rFonts w:hint="eastAsia"/>
                <w:color w:val="000000"/>
                <w:sz w:val="24"/>
              </w:rPr>
              <w:t>公允价值（人民币）</w:t>
            </w:r>
          </w:p>
        </w:tc>
        <w:tc>
          <w:tcPr>
            <w:tcW w:w="3209" w:type="dxa"/>
            <w:vAlign w:val="center"/>
          </w:tcPr>
          <w:p w:rsidR="001C16A1" w:rsidRPr="00D52A9B" w:rsidRDefault="001C16A1" w:rsidP="00986F4D">
            <w:pPr>
              <w:spacing w:before="29" w:line="288" w:lineRule="auto"/>
              <w:ind w:left="17"/>
              <w:jc w:val="center"/>
              <w:rPr>
                <w:color w:val="000000"/>
                <w:sz w:val="24"/>
              </w:rPr>
            </w:pPr>
            <w:r w:rsidRPr="00D52A9B">
              <w:rPr>
                <w:rFonts w:hint="eastAsia"/>
                <w:color w:val="000000"/>
                <w:sz w:val="24"/>
              </w:rPr>
              <w:t>占基金资产净值比例（</w:t>
            </w:r>
            <w:r w:rsidRPr="00D52A9B">
              <w:rPr>
                <w:rFonts w:hint="eastAsia"/>
                <w:color w:val="000000"/>
                <w:sz w:val="24"/>
              </w:rPr>
              <w:t>%</w:t>
            </w:r>
            <w:r w:rsidRPr="00D52A9B">
              <w:rPr>
                <w:rFonts w:hint="eastAsia"/>
                <w:color w:val="000000"/>
                <w:sz w:val="24"/>
              </w:rPr>
              <w:t>）</w:t>
            </w:r>
          </w:p>
        </w:tc>
      </w:tr>
      <w:tr w:rsidR="00883270">
        <w:trPr>
          <w:jc w:val="center"/>
        </w:trPr>
        <w:tc>
          <w:tcPr>
            <w:tcW w:w="2653" w:type="dxa"/>
            <w:vAlign w:val="center"/>
          </w:tcPr>
          <w:p w:rsidR="00883270" w:rsidRDefault="00264EFC">
            <w:pPr>
              <w:jc w:val="center"/>
            </w:pPr>
            <w:r>
              <w:rPr>
                <w:color w:val="000000"/>
                <w:sz w:val="24"/>
              </w:rPr>
              <w:t>非必需消费品</w:t>
            </w:r>
          </w:p>
        </w:tc>
        <w:tc>
          <w:tcPr>
            <w:tcW w:w="3119" w:type="dxa"/>
            <w:vAlign w:val="center"/>
          </w:tcPr>
          <w:p w:rsidR="00883270" w:rsidRDefault="00264EFC">
            <w:pPr>
              <w:jc w:val="center"/>
            </w:pPr>
            <w:r>
              <w:rPr>
                <w:color w:val="000000"/>
                <w:sz w:val="24"/>
              </w:rPr>
              <w:t>59,288,233.71</w:t>
            </w:r>
          </w:p>
        </w:tc>
        <w:tc>
          <w:tcPr>
            <w:tcW w:w="3209" w:type="dxa"/>
            <w:vAlign w:val="center"/>
          </w:tcPr>
          <w:p w:rsidR="00883270" w:rsidRDefault="00264EFC">
            <w:pPr>
              <w:jc w:val="center"/>
            </w:pPr>
            <w:r>
              <w:rPr>
                <w:color w:val="000000"/>
                <w:sz w:val="24"/>
              </w:rPr>
              <w:t>8.52</w:t>
            </w:r>
          </w:p>
        </w:tc>
      </w:tr>
      <w:tr w:rsidR="00883270">
        <w:trPr>
          <w:jc w:val="center"/>
        </w:trPr>
        <w:tc>
          <w:tcPr>
            <w:tcW w:w="2653" w:type="dxa"/>
            <w:vAlign w:val="center"/>
          </w:tcPr>
          <w:p w:rsidR="00883270" w:rsidRDefault="00264EFC">
            <w:pPr>
              <w:jc w:val="center"/>
            </w:pPr>
            <w:r>
              <w:rPr>
                <w:color w:val="000000"/>
                <w:sz w:val="24"/>
              </w:rPr>
              <w:t>必需消费品</w:t>
            </w:r>
          </w:p>
        </w:tc>
        <w:tc>
          <w:tcPr>
            <w:tcW w:w="3119" w:type="dxa"/>
            <w:vAlign w:val="center"/>
          </w:tcPr>
          <w:p w:rsidR="00883270" w:rsidRDefault="00264EFC">
            <w:pPr>
              <w:jc w:val="center"/>
            </w:pPr>
            <w:r>
              <w:rPr>
                <w:color w:val="000000"/>
                <w:sz w:val="24"/>
              </w:rPr>
              <w:t>-</w:t>
            </w:r>
          </w:p>
        </w:tc>
        <w:tc>
          <w:tcPr>
            <w:tcW w:w="3209" w:type="dxa"/>
            <w:vAlign w:val="center"/>
          </w:tcPr>
          <w:p w:rsidR="00883270" w:rsidRDefault="00264EFC">
            <w:pPr>
              <w:jc w:val="center"/>
            </w:pPr>
            <w:r>
              <w:rPr>
                <w:color w:val="000000"/>
                <w:sz w:val="24"/>
              </w:rPr>
              <w:t>-</w:t>
            </w:r>
          </w:p>
        </w:tc>
      </w:tr>
      <w:tr w:rsidR="00883270">
        <w:trPr>
          <w:jc w:val="center"/>
        </w:trPr>
        <w:tc>
          <w:tcPr>
            <w:tcW w:w="2653" w:type="dxa"/>
            <w:vAlign w:val="center"/>
          </w:tcPr>
          <w:p w:rsidR="00883270" w:rsidRDefault="00264EFC">
            <w:pPr>
              <w:jc w:val="center"/>
            </w:pPr>
            <w:r>
              <w:rPr>
                <w:color w:val="000000"/>
                <w:sz w:val="24"/>
              </w:rPr>
              <w:t>能源</w:t>
            </w:r>
          </w:p>
        </w:tc>
        <w:tc>
          <w:tcPr>
            <w:tcW w:w="3119" w:type="dxa"/>
            <w:vAlign w:val="center"/>
          </w:tcPr>
          <w:p w:rsidR="00883270" w:rsidRDefault="00264EFC">
            <w:pPr>
              <w:jc w:val="center"/>
            </w:pPr>
            <w:r>
              <w:rPr>
                <w:color w:val="000000"/>
                <w:sz w:val="24"/>
              </w:rPr>
              <w:t>-</w:t>
            </w:r>
          </w:p>
        </w:tc>
        <w:tc>
          <w:tcPr>
            <w:tcW w:w="3209" w:type="dxa"/>
            <w:vAlign w:val="center"/>
          </w:tcPr>
          <w:p w:rsidR="00883270" w:rsidRDefault="00264EFC">
            <w:pPr>
              <w:jc w:val="center"/>
            </w:pPr>
            <w:r>
              <w:rPr>
                <w:color w:val="000000"/>
                <w:sz w:val="24"/>
              </w:rPr>
              <w:t>-</w:t>
            </w:r>
          </w:p>
        </w:tc>
      </w:tr>
      <w:tr w:rsidR="00883270">
        <w:trPr>
          <w:jc w:val="center"/>
        </w:trPr>
        <w:tc>
          <w:tcPr>
            <w:tcW w:w="2653" w:type="dxa"/>
            <w:vAlign w:val="center"/>
          </w:tcPr>
          <w:p w:rsidR="00883270" w:rsidRDefault="00264EFC">
            <w:pPr>
              <w:jc w:val="center"/>
            </w:pPr>
            <w:r>
              <w:rPr>
                <w:color w:val="000000"/>
                <w:sz w:val="24"/>
              </w:rPr>
              <w:t>金融</w:t>
            </w:r>
          </w:p>
        </w:tc>
        <w:tc>
          <w:tcPr>
            <w:tcW w:w="3119" w:type="dxa"/>
            <w:vAlign w:val="center"/>
          </w:tcPr>
          <w:p w:rsidR="00883270" w:rsidRDefault="00264EFC">
            <w:pPr>
              <w:jc w:val="center"/>
            </w:pPr>
            <w:r>
              <w:rPr>
                <w:color w:val="000000"/>
                <w:sz w:val="24"/>
              </w:rPr>
              <w:t>31,582,526.00</w:t>
            </w:r>
          </w:p>
        </w:tc>
        <w:tc>
          <w:tcPr>
            <w:tcW w:w="3209" w:type="dxa"/>
            <w:vAlign w:val="center"/>
          </w:tcPr>
          <w:p w:rsidR="00883270" w:rsidRDefault="00264EFC">
            <w:pPr>
              <w:jc w:val="center"/>
            </w:pPr>
            <w:r>
              <w:rPr>
                <w:color w:val="000000"/>
                <w:sz w:val="24"/>
              </w:rPr>
              <w:t>4.54</w:t>
            </w:r>
          </w:p>
        </w:tc>
      </w:tr>
      <w:tr w:rsidR="00883270">
        <w:trPr>
          <w:jc w:val="center"/>
        </w:trPr>
        <w:tc>
          <w:tcPr>
            <w:tcW w:w="2653" w:type="dxa"/>
            <w:vAlign w:val="center"/>
          </w:tcPr>
          <w:p w:rsidR="00883270" w:rsidRDefault="00264EFC">
            <w:pPr>
              <w:jc w:val="center"/>
            </w:pPr>
            <w:r>
              <w:rPr>
                <w:color w:val="000000"/>
                <w:sz w:val="24"/>
              </w:rPr>
              <w:t>医疗保健</w:t>
            </w:r>
          </w:p>
        </w:tc>
        <w:tc>
          <w:tcPr>
            <w:tcW w:w="3119" w:type="dxa"/>
            <w:vAlign w:val="center"/>
          </w:tcPr>
          <w:p w:rsidR="00883270" w:rsidRDefault="00264EFC">
            <w:pPr>
              <w:jc w:val="center"/>
            </w:pPr>
            <w:r>
              <w:rPr>
                <w:color w:val="000000"/>
                <w:sz w:val="24"/>
              </w:rPr>
              <w:t>-</w:t>
            </w:r>
          </w:p>
        </w:tc>
        <w:tc>
          <w:tcPr>
            <w:tcW w:w="3209" w:type="dxa"/>
            <w:vAlign w:val="center"/>
          </w:tcPr>
          <w:p w:rsidR="00883270" w:rsidRDefault="00264EFC">
            <w:pPr>
              <w:jc w:val="center"/>
            </w:pPr>
            <w:r>
              <w:rPr>
                <w:color w:val="000000"/>
                <w:sz w:val="24"/>
              </w:rPr>
              <w:t>-</w:t>
            </w:r>
          </w:p>
        </w:tc>
      </w:tr>
      <w:tr w:rsidR="00883270">
        <w:trPr>
          <w:jc w:val="center"/>
        </w:trPr>
        <w:tc>
          <w:tcPr>
            <w:tcW w:w="2653" w:type="dxa"/>
            <w:vAlign w:val="center"/>
          </w:tcPr>
          <w:p w:rsidR="00883270" w:rsidRDefault="00264EFC">
            <w:pPr>
              <w:jc w:val="center"/>
            </w:pPr>
            <w:r>
              <w:rPr>
                <w:color w:val="000000"/>
                <w:sz w:val="24"/>
              </w:rPr>
              <w:t>工业</w:t>
            </w:r>
          </w:p>
        </w:tc>
        <w:tc>
          <w:tcPr>
            <w:tcW w:w="3119" w:type="dxa"/>
            <w:vAlign w:val="center"/>
          </w:tcPr>
          <w:p w:rsidR="00883270" w:rsidRDefault="00264EFC">
            <w:pPr>
              <w:jc w:val="center"/>
            </w:pPr>
            <w:r>
              <w:rPr>
                <w:color w:val="000000"/>
                <w:sz w:val="24"/>
              </w:rPr>
              <w:t>42,843,180.38</w:t>
            </w:r>
          </w:p>
        </w:tc>
        <w:tc>
          <w:tcPr>
            <w:tcW w:w="3209" w:type="dxa"/>
            <w:vAlign w:val="center"/>
          </w:tcPr>
          <w:p w:rsidR="00883270" w:rsidRDefault="00264EFC">
            <w:pPr>
              <w:jc w:val="center"/>
            </w:pPr>
            <w:r>
              <w:rPr>
                <w:color w:val="000000"/>
                <w:sz w:val="24"/>
              </w:rPr>
              <w:t>6.15</w:t>
            </w:r>
          </w:p>
        </w:tc>
      </w:tr>
      <w:tr w:rsidR="00883270">
        <w:trPr>
          <w:jc w:val="center"/>
        </w:trPr>
        <w:tc>
          <w:tcPr>
            <w:tcW w:w="2653" w:type="dxa"/>
            <w:vAlign w:val="center"/>
          </w:tcPr>
          <w:p w:rsidR="00883270" w:rsidRDefault="00264EFC">
            <w:pPr>
              <w:jc w:val="center"/>
            </w:pPr>
            <w:r>
              <w:rPr>
                <w:color w:val="000000"/>
                <w:sz w:val="24"/>
              </w:rPr>
              <w:t>信息技术</w:t>
            </w:r>
          </w:p>
        </w:tc>
        <w:tc>
          <w:tcPr>
            <w:tcW w:w="3119" w:type="dxa"/>
            <w:vAlign w:val="center"/>
          </w:tcPr>
          <w:p w:rsidR="00883270" w:rsidRDefault="00264EFC">
            <w:pPr>
              <w:jc w:val="center"/>
            </w:pPr>
            <w:r>
              <w:rPr>
                <w:color w:val="000000"/>
                <w:sz w:val="24"/>
              </w:rPr>
              <w:t>61,293,606.07</w:t>
            </w:r>
          </w:p>
        </w:tc>
        <w:tc>
          <w:tcPr>
            <w:tcW w:w="3209" w:type="dxa"/>
            <w:vAlign w:val="center"/>
          </w:tcPr>
          <w:p w:rsidR="00883270" w:rsidRDefault="00264EFC">
            <w:pPr>
              <w:jc w:val="center"/>
            </w:pPr>
            <w:r>
              <w:rPr>
                <w:color w:val="000000"/>
                <w:sz w:val="24"/>
              </w:rPr>
              <w:t>8.80</w:t>
            </w:r>
          </w:p>
        </w:tc>
      </w:tr>
      <w:tr w:rsidR="00883270">
        <w:trPr>
          <w:jc w:val="center"/>
        </w:trPr>
        <w:tc>
          <w:tcPr>
            <w:tcW w:w="2653" w:type="dxa"/>
            <w:vAlign w:val="center"/>
          </w:tcPr>
          <w:p w:rsidR="00883270" w:rsidRDefault="00264EFC">
            <w:pPr>
              <w:jc w:val="center"/>
            </w:pPr>
            <w:r>
              <w:rPr>
                <w:color w:val="000000"/>
                <w:sz w:val="24"/>
              </w:rPr>
              <w:t>材料</w:t>
            </w:r>
          </w:p>
        </w:tc>
        <w:tc>
          <w:tcPr>
            <w:tcW w:w="3119" w:type="dxa"/>
            <w:vAlign w:val="center"/>
          </w:tcPr>
          <w:p w:rsidR="00883270" w:rsidRDefault="00264EFC">
            <w:pPr>
              <w:jc w:val="center"/>
            </w:pPr>
            <w:r>
              <w:rPr>
                <w:color w:val="000000"/>
                <w:sz w:val="24"/>
              </w:rPr>
              <w:t>-</w:t>
            </w:r>
          </w:p>
        </w:tc>
        <w:tc>
          <w:tcPr>
            <w:tcW w:w="3209" w:type="dxa"/>
            <w:vAlign w:val="center"/>
          </w:tcPr>
          <w:p w:rsidR="00883270" w:rsidRDefault="00264EFC">
            <w:pPr>
              <w:jc w:val="center"/>
            </w:pPr>
            <w:r>
              <w:rPr>
                <w:color w:val="000000"/>
                <w:sz w:val="24"/>
              </w:rPr>
              <w:t>-</w:t>
            </w:r>
          </w:p>
        </w:tc>
      </w:tr>
      <w:tr w:rsidR="00883270">
        <w:trPr>
          <w:jc w:val="center"/>
        </w:trPr>
        <w:tc>
          <w:tcPr>
            <w:tcW w:w="2653" w:type="dxa"/>
            <w:vAlign w:val="center"/>
          </w:tcPr>
          <w:p w:rsidR="00883270" w:rsidRDefault="00264EFC">
            <w:pPr>
              <w:jc w:val="center"/>
            </w:pPr>
            <w:r>
              <w:rPr>
                <w:color w:val="000000"/>
                <w:sz w:val="24"/>
              </w:rPr>
              <w:t>房地产</w:t>
            </w:r>
          </w:p>
        </w:tc>
        <w:tc>
          <w:tcPr>
            <w:tcW w:w="3119" w:type="dxa"/>
            <w:vAlign w:val="center"/>
          </w:tcPr>
          <w:p w:rsidR="00883270" w:rsidRDefault="00264EFC">
            <w:pPr>
              <w:jc w:val="center"/>
            </w:pPr>
            <w:r>
              <w:rPr>
                <w:color w:val="000000"/>
                <w:sz w:val="24"/>
              </w:rPr>
              <w:t>45,789,604.10</w:t>
            </w:r>
          </w:p>
        </w:tc>
        <w:tc>
          <w:tcPr>
            <w:tcW w:w="3209" w:type="dxa"/>
            <w:vAlign w:val="center"/>
          </w:tcPr>
          <w:p w:rsidR="00883270" w:rsidRDefault="00264EFC">
            <w:pPr>
              <w:jc w:val="center"/>
            </w:pPr>
            <w:r>
              <w:rPr>
                <w:color w:val="000000"/>
                <w:sz w:val="24"/>
              </w:rPr>
              <w:t>6.58</w:t>
            </w:r>
          </w:p>
        </w:tc>
      </w:tr>
      <w:tr w:rsidR="00883270">
        <w:trPr>
          <w:jc w:val="center"/>
        </w:trPr>
        <w:tc>
          <w:tcPr>
            <w:tcW w:w="2653" w:type="dxa"/>
            <w:vAlign w:val="center"/>
          </w:tcPr>
          <w:p w:rsidR="00883270" w:rsidRDefault="00264EFC">
            <w:pPr>
              <w:jc w:val="center"/>
            </w:pPr>
            <w:r>
              <w:rPr>
                <w:color w:val="000000"/>
                <w:sz w:val="24"/>
              </w:rPr>
              <w:t>电信业务</w:t>
            </w:r>
          </w:p>
        </w:tc>
        <w:tc>
          <w:tcPr>
            <w:tcW w:w="3119" w:type="dxa"/>
            <w:vAlign w:val="center"/>
          </w:tcPr>
          <w:p w:rsidR="00883270" w:rsidRDefault="00264EFC">
            <w:pPr>
              <w:jc w:val="center"/>
            </w:pPr>
            <w:r>
              <w:rPr>
                <w:color w:val="000000"/>
                <w:sz w:val="24"/>
              </w:rPr>
              <w:t>-</w:t>
            </w:r>
          </w:p>
        </w:tc>
        <w:tc>
          <w:tcPr>
            <w:tcW w:w="3209" w:type="dxa"/>
            <w:vAlign w:val="center"/>
          </w:tcPr>
          <w:p w:rsidR="00883270" w:rsidRDefault="00264EFC">
            <w:pPr>
              <w:jc w:val="center"/>
            </w:pPr>
            <w:r>
              <w:rPr>
                <w:color w:val="000000"/>
                <w:sz w:val="24"/>
              </w:rPr>
              <w:t>-</w:t>
            </w:r>
          </w:p>
        </w:tc>
      </w:tr>
      <w:tr w:rsidR="001C16A1" w:rsidRPr="00282C32" w:rsidTr="00986F4D">
        <w:trPr>
          <w:jc w:val="center"/>
        </w:trPr>
        <w:tc>
          <w:tcPr>
            <w:tcW w:w="2653" w:type="dxa"/>
            <w:vAlign w:val="center"/>
          </w:tcPr>
          <w:p w:rsidR="001C16A1" w:rsidRPr="00D52A9B" w:rsidRDefault="001C16A1" w:rsidP="00986F4D">
            <w:pPr>
              <w:spacing w:before="29" w:line="288" w:lineRule="auto"/>
              <w:ind w:left="17"/>
              <w:jc w:val="center"/>
              <w:rPr>
                <w:color w:val="000000"/>
                <w:sz w:val="24"/>
              </w:rPr>
            </w:pPr>
            <w:r w:rsidRPr="00D52A9B">
              <w:rPr>
                <w:rFonts w:hint="eastAsia"/>
                <w:color w:val="000000"/>
                <w:sz w:val="24"/>
              </w:rPr>
              <w:t>合计</w:t>
            </w:r>
          </w:p>
        </w:tc>
        <w:tc>
          <w:tcPr>
            <w:tcW w:w="3119" w:type="dxa"/>
            <w:vAlign w:val="center"/>
          </w:tcPr>
          <w:p w:rsidR="001C16A1" w:rsidRPr="00D52A9B" w:rsidRDefault="001C16A1" w:rsidP="00986F4D">
            <w:pPr>
              <w:adjustRightInd w:val="0"/>
              <w:snapToGrid w:val="0"/>
              <w:spacing w:line="288" w:lineRule="auto"/>
              <w:jc w:val="center"/>
              <w:rPr>
                <w:color w:val="000000"/>
                <w:sz w:val="24"/>
              </w:rPr>
            </w:pPr>
            <w:r w:rsidRPr="00D52A9B">
              <w:rPr>
                <w:rFonts w:hint="eastAsia"/>
                <w:color w:val="000000"/>
                <w:sz w:val="24"/>
              </w:rPr>
              <w:t>240,797,150.26</w:t>
            </w:r>
          </w:p>
        </w:tc>
        <w:tc>
          <w:tcPr>
            <w:tcW w:w="3209" w:type="dxa"/>
            <w:vAlign w:val="center"/>
          </w:tcPr>
          <w:p w:rsidR="001C16A1" w:rsidRPr="00D52A9B" w:rsidRDefault="001C16A1" w:rsidP="00986F4D">
            <w:pPr>
              <w:adjustRightInd w:val="0"/>
              <w:snapToGrid w:val="0"/>
              <w:spacing w:line="288" w:lineRule="auto"/>
              <w:jc w:val="center"/>
              <w:rPr>
                <w:color w:val="000000"/>
                <w:sz w:val="24"/>
              </w:rPr>
            </w:pPr>
            <w:r w:rsidRPr="00D52A9B">
              <w:rPr>
                <w:rFonts w:hint="eastAsia"/>
                <w:color w:val="000000"/>
                <w:sz w:val="24"/>
              </w:rPr>
              <w:t>34.59</w:t>
            </w:r>
          </w:p>
        </w:tc>
      </w:tr>
    </w:tbl>
    <w:p w:rsidR="001C16A1" w:rsidRPr="00D52A9B" w:rsidRDefault="001C16A1" w:rsidP="001C16A1">
      <w:pPr>
        <w:tabs>
          <w:tab w:val="left" w:pos="426"/>
        </w:tabs>
        <w:spacing w:line="360" w:lineRule="auto"/>
        <w:jc w:val="left"/>
        <w:rPr>
          <w:kern w:val="0"/>
          <w:sz w:val="24"/>
        </w:rPr>
      </w:pPr>
      <w:r w:rsidRPr="00D52A9B">
        <w:rPr>
          <w:kern w:val="0"/>
          <w:sz w:val="24"/>
        </w:rPr>
        <w:t>注：以上分类采用全球行业分类标准（</w:t>
      </w:r>
      <w:r w:rsidRPr="00D52A9B">
        <w:rPr>
          <w:kern w:val="0"/>
          <w:sz w:val="24"/>
        </w:rPr>
        <w:t>GICS</w:t>
      </w:r>
      <w:r w:rsidRPr="00D52A9B">
        <w:rPr>
          <w:kern w:val="0"/>
          <w:sz w:val="24"/>
        </w:rPr>
        <w:t>）。</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83270">
        <w:tc>
          <w:tcPr>
            <w:tcW w:w="862" w:type="dxa"/>
            <w:vAlign w:val="center"/>
          </w:tcPr>
          <w:p w:rsidR="00883270" w:rsidRDefault="00264EFC">
            <w:pPr>
              <w:jc w:val="center"/>
            </w:pPr>
            <w:r>
              <w:rPr>
                <w:color w:val="000000"/>
                <w:sz w:val="24"/>
              </w:rPr>
              <w:t>1</w:t>
            </w:r>
          </w:p>
        </w:tc>
        <w:tc>
          <w:tcPr>
            <w:tcW w:w="1346" w:type="dxa"/>
            <w:vAlign w:val="center"/>
          </w:tcPr>
          <w:p w:rsidR="00883270" w:rsidRDefault="00264EFC">
            <w:pPr>
              <w:jc w:val="center"/>
            </w:pPr>
            <w:r>
              <w:rPr>
                <w:color w:val="000000"/>
                <w:sz w:val="24"/>
              </w:rPr>
              <w:t>H00700</w:t>
            </w:r>
          </w:p>
        </w:tc>
        <w:tc>
          <w:tcPr>
            <w:tcW w:w="1795" w:type="dxa"/>
            <w:vAlign w:val="center"/>
          </w:tcPr>
          <w:p w:rsidR="00883270" w:rsidRDefault="00264EFC">
            <w:pPr>
              <w:jc w:val="center"/>
            </w:pPr>
            <w:r>
              <w:rPr>
                <w:color w:val="000000"/>
                <w:sz w:val="24"/>
              </w:rPr>
              <w:t>腾讯控股</w:t>
            </w:r>
          </w:p>
        </w:tc>
        <w:tc>
          <w:tcPr>
            <w:tcW w:w="1681" w:type="dxa"/>
            <w:vAlign w:val="center"/>
          </w:tcPr>
          <w:p w:rsidR="00883270" w:rsidRDefault="00264EFC">
            <w:pPr>
              <w:jc w:val="right"/>
            </w:pPr>
            <w:r>
              <w:rPr>
                <w:color w:val="000000"/>
                <w:sz w:val="24"/>
              </w:rPr>
              <w:t>155,600</w:t>
            </w:r>
          </w:p>
        </w:tc>
        <w:tc>
          <w:tcPr>
            <w:tcW w:w="1795" w:type="dxa"/>
            <w:vAlign w:val="center"/>
          </w:tcPr>
          <w:p w:rsidR="00883270" w:rsidRDefault="00264EFC">
            <w:pPr>
              <w:jc w:val="right"/>
            </w:pPr>
            <w:r>
              <w:rPr>
                <w:color w:val="000000"/>
                <w:sz w:val="24"/>
              </w:rPr>
              <w:t>51,661,188.57</w:t>
            </w:r>
          </w:p>
        </w:tc>
        <w:tc>
          <w:tcPr>
            <w:tcW w:w="1519" w:type="dxa"/>
            <w:vAlign w:val="center"/>
          </w:tcPr>
          <w:p w:rsidR="00883270" w:rsidRDefault="00264EFC">
            <w:pPr>
              <w:jc w:val="right"/>
            </w:pPr>
            <w:r>
              <w:rPr>
                <w:color w:val="000000"/>
                <w:sz w:val="24"/>
              </w:rPr>
              <w:t>7.42</w:t>
            </w:r>
          </w:p>
        </w:tc>
      </w:tr>
      <w:tr w:rsidR="00883270">
        <w:tc>
          <w:tcPr>
            <w:tcW w:w="862" w:type="dxa"/>
            <w:vAlign w:val="center"/>
          </w:tcPr>
          <w:p w:rsidR="00883270" w:rsidRDefault="00264EFC">
            <w:pPr>
              <w:jc w:val="center"/>
            </w:pPr>
            <w:r>
              <w:rPr>
                <w:color w:val="000000"/>
                <w:sz w:val="24"/>
              </w:rPr>
              <w:t>2</w:t>
            </w:r>
          </w:p>
        </w:tc>
        <w:tc>
          <w:tcPr>
            <w:tcW w:w="1346" w:type="dxa"/>
            <w:vAlign w:val="center"/>
          </w:tcPr>
          <w:p w:rsidR="00883270" w:rsidRDefault="00264EFC">
            <w:pPr>
              <w:jc w:val="center"/>
            </w:pPr>
            <w:r>
              <w:rPr>
                <w:color w:val="000000"/>
                <w:sz w:val="24"/>
              </w:rPr>
              <w:t>H00817</w:t>
            </w:r>
          </w:p>
        </w:tc>
        <w:tc>
          <w:tcPr>
            <w:tcW w:w="1795" w:type="dxa"/>
            <w:vAlign w:val="center"/>
          </w:tcPr>
          <w:p w:rsidR="00883270" w:rsidRDefault="00264EFC">
            <w:pPr>
              <w:jc w:val="center"/>
            </w:pPr>
            <w:r>
              <w:rPr>
                <w:color w:val="000000"/>
                <w:sz w:val="24"/>
              </w:rPr>
              <w:t>中国金茂</w:t>
            </w:r>
          </w:p>
        </w:tc>
        <w:tc>
          <w:tcPr>
            <w:tcW w:w="1681" w:type="dxa"/>
            <w:vAlign w:val="center"/>
          </w:tcPr>
          <w:p w:rsidR="00883270" w:rsidRDefault="00264EFC">
            <w:pPr>
              <w:jc w:val="right"/>
            </w:pPr>
            <w:r>
              <w:rPr>
                <w:color w:val="000000"/>
                <w:sz w:val="24"/>
              </w:rPr>
              <w:t>8,000,000</w:t>
            </w:r>
          </w:p>
        </w:tc>
        <w:tc>
          <w:tcPr>
            <w:tcW w:w="1795" w:type="dxa"/>
            <w:vAlign w:val="center"/>
          </w:tcPr>
          <w:p w:rsidR="00883270" w:rsidRDefault="00264EFC">
            <w:pPr>
              <w:jc w:val="right"/>
            </w:pPr>
            <w:r>
              <w:rPr>
                <w:color w:val="000000"/>
                <w:sz w:val="24"/>
              </w:rPr>
              <w:t>26,574,512.00</w:t>
            </w:r>
          </w:p>
        </w:tc>
        <w:tc>
          <w:tcPr>
            <w:tcW w:w="1519" w:type="dxa"/>
            <w:vAlign w:val="center"/>
          </w:tcPr>
          <w:p w:rsidR="00883270" w:rsidRDefault="00264EFC">
            <w:pPr>
              <w:jc w:val="right"/>
            </w:pPr>
            <w:r>
              <w:rPr>
                <w:color w:val="000000"/>
                <w:sz w:val="24"/>
              </w:rPr>
              <w:t>3.82</w:t>
            </w:r>
          </w:p>
        </w:tc>
      </w:tr>
      <w:tr w:rsidR="00883270">
        <w:tc>
          <w:tcPr>
            <w:tcW w:w="862" w:type="dxa"/>
            <w:vAlign w:val="center"/>
          </w:tcPr>
          <w:p w:rsidR="00883270" w:rsidRDefault="00264EFC">
            <w:pPr>
              <w:jc w:val="center"/>
            </w:pPr>
            <w:r>
              <w:rPr>
                <w:color w:val="000000"/>
                <w:sz w:val="24"/>
              </w:rPr>
              <w:t>3</w:t>
            </w:r>
          </w:p>
        </w:tc>
        <w:tc>
          <w:tcPr>
            <w:tcW w:w="1346" w:type="dxa"/>
            <w:vAlign w:val="center"/>
          </w:tcPr>
          <w:p w:rsidR="00883270" w:rsidRDefault="00264EFC">
            <w:pPr>
              <w:jc w:val="center"/>
            </w:pPr>
            <w:r>
              <w:rPr>
                <w:color w:val="000000"/>
                <w:sz w:val="24"/>
              </w:rPr>
              <w:t>000538</w:t>
            </w:r>
          </w:p>
        </w:tc>
        <w:tc>
          <w:tcPr>
            <w:tcW w:w="1795" w:type="dxa"/>
            <w:vAlign w:val="center"/>
          </w:tcPr>
          <w:p w:rsidR="00883270" w:rsidRDefault="00264EFC">
            <w:pPr>
              <w:jc w:val="center"/>
            </w:pPr>
            <w:r>
              <w:rPr>
                <w:color w:val="000000"/>
                <w:sz w:val="24"/>
              </w:rPr>
              <w:t>云南白药</w:t>
            </w:r>
          </w:p>
        </w:tc>
        <w:tc>
          <w:tcPr>
            <w:tcW w:w="1681" w:type="dxa"/>
            <w:vAlign w:val="center"/>
          </w:tcPr>
          <w:p w:rsidR="00883270" w:rsidRDefault="00264EFC">
            <w:pPr>
              <w:jc w:val="right"/>
            </w:pPr>
            <w:r>
              <w:rPr>
                <w:color w:val="000000"/>
                <w:sz w:val="24"/>
              </w:rPr>
              <w:t>229,850</w:t>
            </w:r>
          </w:p>
        </w:tc>
        <w:tc>
          <w:tcPr>
            <w:tcW w:w="1795" w:type="dxa"/>
            <w:vAlign w:val="center"/>
          </w:tcPr>
          <w:p w:rsidR="00883270" w:rsidRDefault="00264EFC">
            <w:pPr>
              <w:jc w:val="right"/>
            </w:pPr>
            <w:r>
              <w:rPr>
                <w:color w:val="000000"/>
                <w:sz w:val="24"/>
              </w:rPr>
              <w:t>24,584,756.00</w:t>
            </w:r>
          </w:p>
        </w:tc>
        <w:tc>
          <w:tcPr>
            <w:tcW w:w="1519" w:type="dxa"/>
            <w:vAlign w:val="center"/>
          </w:tcPr>
          <w:p w:rsidR="00883270" w:rsidRDefault="00264EFC">
            <w:pPr>
              <w:jc w:val="right"/>
            </w:pPr>
            <w:r>
              <w:rPr>
                <w:color w:val="000000"/>
                <w:sz w:val="24"/>
              </w:rPr>
              <w:t>3.53</w:t>
            </w:r>
          </w:p>
        </w:tc>
      </w:tr>
      <w:tr w:rsidR="00883270">
        <w:tc>
          <w:tcPr>
            <w:tcW w:w="862" w:type="dxa"/>
            <w:vAlign w:val="center"/>
          </w:tcPr>
          <w:p w:rsidR="00883270" w:rsidRDefault="00264EFC">
            <w:pPr>
              <w:jc w:val="center"/>
            </w:pPr>
            <w:r>
              <w:rPr>
                <w:color w:val="000000"/>
                <w:sz w:val="24"/>
              </w:rPr>
              <w:t>4</w:t>
            </w:r>
          </w:p>
        </w:tc>
        <w:tc>
          <w:tcPr>
            <w:tcW w:w="1346" w:type="dxa"/>
            <w:vAlign w:val="center"/>
          </w:tcPr>
          <w:p w:rsidR="00883270" w:rsidRDefault="00264EFC">
            <w:pPr>
              <w:jc w:val="center"/>
            </w:pPr>
            <w:r>
              <w:rPr>
                <w:color w:val="000000"/>
                <w:sz w:val="24"/>
              </w:rPr>
              <w:t>H00586</w:t>
            </w:r>
          </w:p>
        </w:tc>
        <w:tc>
          <w:tcPr>
            <w:tcW w:w="1795" w:type="dxa"/>
            <w:vAlign w:val="center"/>
          </w:tcPr>
          <w:p w:rsidR="00883270" w:rsidRDefault="00264EFC">
            <w:pPr>
              <w:jc w:val="center"/>
            </w:pPr>
            <w:r>
              <w:rPr>
                <w:color w:val="000000"/>
                <w:sz w:val="24"/>
              </w:rPr>
              <w:t>海螺创业</w:t>
            </w:r>
          </w:p>
        </w:tc>
        <w:tc>
          <w:tcPr>
            <w:tcW w:w="1681" w:type="dxa"/>
            <w:vAlign w:val="center"/>
          </w:tcPr>
          <w:p w:rsidR="00883270" w:rsidRDefault="00264EFC">
            <w:pPr>
              <w:jc w:val="right"/>
            </w:pPr>
            <w:r>
              <w:rPr>
                <w:color w:val="000000"/>
                <w:sz w:val="24"/>
              </w:rPr>
              <w:t>1,000,000</w:t>
            </w:r>
          </w:p>
        </w:tc>
        <w:tc>
          <w:tcPr>
            <w:tcW w:w="1795" w:type="dxa"/>
            <w:vAlign w:val="center"/>
          </w:tcPr>
          <w:p w:rsidR="00883270" w:rsidRDefault="00264EFC">
            <w:pPr>
              <w:jc w:val="right"/>
            </w:pPr>
            <w:r>
              <w:rPr>
                <w:color w:val="000000"/>
                <w:sz w:val="24"/>
              </w:rPr>
              <w:t>24,196,970.00</w:t>
            </w:r>
          </w:p>
        </w:tc>
        <w:tc>
          <w:tcPr>
            <w:tcW w:w="1519" w:type="dxa"/>
            <w:vAlign w:val="center"/>
          </w:tcPr>
          <w:p w:rsidR="00883270" w:rsidRDefault="00264EFC">
            <w:pPr>
              <w:jc w:val="right"/>
            </w:pPr>
            <w:r>
              <w:rPr>
                <w:color w:val="000000"/>
                <w:sz w:val="24"/>
              </w:rPr>
              <w:t>3.48</w:t>
            </w:r>
          </w:p>
        </w:tc>
      </w:tr>
      <w:tr w:rsidR="00883270">
        <w:tc>
          <w:tcPr>
            <w:tcW w:w="862" w:type="dxa"/>
            <w:vAlign w:val="center"/>
          </w:tcPr>
          <w:p w:rsidR="00883270" w:rsidRDefault="00264EFC">
            <w:pPr>
              <w:jc w:val="center"/>
            </w:pPr>
            <w:r>
              <w:rPr>
                <w:color w:val="000000"/>
                <w:sz w:val="24"/>
              </w:rPr>
              <w:t>5</w:t>
            </w:r>
          </w:p>
        </w:tc>
        <w:tc>
          <w:tcPr>
            <w:tcW w:w="1346" w:type="dxa"/>
            <w:vAlign w:val="center"/>
          </w:tcPr>
          <w:p w:rsidR="00883270" w:rsidRDefault="00264EFC">
            <w:pPr>
              <w:jc w:val="center"/>
            </w:pPr>
            <w:r>
              <w:rPr>
                <w:color w:val="000000"/>
                <w:sz w:val="24"/>
              </w:rPr>
              <w:t>H01114</w:t>
            </w:r>
          </w:p>
        </w:tc>
        <w:tc>
          <w:tcPr>
            <w:tcW w:w="1795" w:type="dxa"/>
            <w:vAlign w:val="center"/>
          </w:tcPr>
          <w:p w:rsidR="00883270" w:rsidRDefault="00264EFC">
            <w:pPr>
              <w:jc w:val="center"/>
            </w:pPr>
            <w:r>
              <w:rPr>
                <w:color w:val="000000"/>
                <w:sz w:val="24"/>
              </w:rPr>
              <w:t>BRILLIANCE CHI</w:t>
            </w:r>
          </w:p>
        </w:tc>
        <w:tc>
          <w:tcPr>
            <w:tcW w:w="1681" w:type="dxa"/>
            <w:vAlign w:val="center"/>
          </w:tcPr>
          <w:p w:rsidR="00883270" w:rsidRDefault="00264EFC">
            <w:pPr>
              <w:jc w:val="right"/>
            </w:pPr>
            <w:r>
              <w:rPr>
                <w:color w:val="000000"/>
                <w:sz w:val="24"/>
              </w:rPr>
              <w:t>1,996,000</w:t>
            </w:r>
          </w:p>
        </w:tc>
        <w:tc>
          <w:tcPr>
            <w:tcW w:w="1795" w:type="dxa"/>
            <w:vAlign w:val="center"/>
          </w:tcPr>
          <w:p w:rsidR="00883270" w:rsidRDefault="00264EFC">
            <w:pPr>
              <w:jc w:val="right"/>
            </w:pPr>
            <w:r>
              <w:rPr>
                <w:color w:val="000000"/>
                <w:sz w:val="24"/>
              </w:rPr>
              <w:t>23,828,838.82</w:t>
            </w:r>
          </w:p>
        </w:tc>
        <w:tc>
          <w:tcPr>
            <w:tcW w:w="1519" w:type="dxa"/>
            <w:vAlign w:val="center"/>
          </w:tcPr>
          <w:p w:rsidR="00883270" w:rsidRDefault="00264EFC">
            <w:pPr>
              <w:jc w:val="right"/>
            </w:pPr>
            <w:r>
              <w:rPr>
                <w:color w:val="000000"/>
                <w:sz w:val="24"/>
              </w:rPr>
              <w:t>3.42</w:t>
            </w:r>
          </w:p>
        </w:tc>
      </w:tr>
      <w:tr w:rsidR="00883270">
        <w:tc>
          <w:tcPr>
            <w:tcW w:w="862" w:type="dxa"/>
            <w:vAlign w:val="center"/>
          </w:tcPr>
          <w:p w:rsidR="00883270" w:rsidRDefault="00264EFC">
            <w:pPr>
              <w:jc w:val="center"/>
            </w:pPr>
            <w:r>
              <w:rPr>
                <w:color w:val="000000"/>
                <w:sz w:val="24"/>
              </w:rPr>
              <w:t>6</w:t>
            </w:r>
          </w:p>
        </w:tc>
        <w:tc>
          <w:tcPr>
            <w:tcW w:w="1346" w:type="dxa"/>
            <w:vAlign w:val="center"/>
          </w:tcPr>
          <w:p w:rsidR="00883270" w:rsidRDefault="00264EFC">
            <w:pPr>
              <w:jc w:val="center"/>
            </w:pPr>
            <w:r>
              <w:rPr>
                <w:color w:val="000000"/>
                <w:sz w:val="24"/>
              </w:rPr>
              <w:t>600036</w:t>
            </w:r>
          </w:p>
        </w:tc>
        <w:tc>
          <w:tcPr>
            <w:tcW w:w="1795" w:type="dxa"/>
            <w:vAlign w:val="center"/>
          </w:tcPr>
          <w:p w:rsidR="00883270" w:rsidRDefault="00264EFC">
            <w:pPr>
              <w:jc w:val="center"/>
            </w:pPr>
            <w:r>
              <w:rPr>
                <w:color w:val="000000"/>
                <w:sz w:val="24"/>
              </w:rPr>
              <w:t>招商银行</w:t>
            </w:r>
          </w:p>
        </w:tc>
        <w:tc>
          <w:tcPr>
            <w:tcW w:w="1681" w:type="dxa"/>
            <w:vAlign w:val="center"/>
          </w:tcPr>
          <w:p w:rsidR="00883270" w:rsidRDefault="00264EFC">
            <w:pPr>
              <w:jc w:val="right"/>
            </w:pPr>
            <w:r>
              <w:rPr>
                <w:color w:val="000000"/>
                <w:sz w:val="24"/>
              </w:rPr>
              <w:t>900,000</w:t>
            </w:r>
          </w:p>
        </w:tc>
        <w:tc>
          <w:tcPr>
            <w:tcW w:w="1795" w:type="dxa"/>
            <w:vAlign w:val="center"/>
          </w:tcPr>
          <w:p w:rsidR="00883270" w:rsidRDefault="00264EFC">
            <w:pPr>
              <w:jc w:val="right"/>
            </w:pPr>
            <w:r>
              <w:rPr>
                <w:color w:val="000000"/>
                <w:sz w:val="24"/>
              </w:rPr>
              <w:t>23,796,000.00</w:t>
            </w:r>
          </w:p>
        </w:tc>
        <w:tc>
          <w:tcPr>
            <w:tcW w:w="1519" w:type="dxa"/>
            <w:vAlign w:val="center"/>
          </w:tcPr>
          <w:p w:rsidR="00883270" w:rsidRDefault="00264EFC">
            <w:pPr>
              <w:jc w:val="right"/>
            </w:pPr>
            <w:r>
              <w:rPr>
                <w:color w:val="000000"/>
                <w:sz w:val="24"/>
              </w:rPr>
              <w:t>3.42</w:t>
            </w:r>
          </w:p>
        </w:tc>
      </w:tr>
      <w:tr w:rsidR="00883270">
        <w:tc>
          <w:tcPr>
            <w:tcW w:w="862" w:type="dxa"/>
            <w:vAlign w:val="center"/>
          </w:tcPr>
          <w:p w:rsidR="00883270" w:rsidRDefault="00264EFC">
            <w:pPr>
              <w:jc w:val="center"/>
            </w:pPr>
            <w:r>
              <w:rPr>
                <w:color w:val="000000"/>
                <w:sz w:val="24"/>
              </w:rPr>
              <w:t>7</w:t>
            </w:r>
          </w:p>
        </w:tc>
        <w:tc>
          <w:tcPr>
            <w:tcW w:w="1346" w:type="dxa"/>
            <w:vAlign w:val="center"/>
          </w:tcPr>
          <w:p w:rsidR="00883270" w:rsidRDefault="00264EFC">
            <w:pPr>
              <w:jc w:val="center"/>
            </w:pPr>
            <w:r>
              <w:rPr>
                <w:color w:val="000000"/>
                <w:sz w:val="24"/>
              </w:rPr>
              <w:t>603885</w:t>
            </w:r>
          </w:p>
        </w:tc>
        <w:tc>
          <w:tcPr>
            <w:tcW w:w="1795" w:type="dxa"/>
            <w:vAlign w:val="center"/>
          </w:tcPr>
          <w:p w:rsidR="00883270" w:rsidRDefault="00264EFC">
            <w:pPr>
              <w:jc w:val="center"/>
            </w:pPr>
            <w:r>
              <w:rPr>
                <w:color w:val="000000"/>
                <w:sz w:val="24"/>
              </w:rPr>
              <w:t>吉祥航空</w:t>
            </w:r>
          </w:p>
        </w:tc>
        <w:tc>
          <w:tcPr>
            <w:tcW w:w="1681" w:type="dxa"/>
            <w:vAlign w:val="center"/>
          </w:tcPr>
          <w:p w:rsidR="00883270" w:rsidRDefault="00264EFC">
            <w:pPr>
              <w:jc w:val="right"/>
            </w:pPr>
            <w:r>
              <w:rPr>
                <w:color w:val="000000"/>
                <w:sz w:val="24"/>
              </w:rPr>
              <w:t>1,500,000</w:t>
            </w:r>
          </w:p>
        </w:tc>
        <w:tc>
          <w:tcPr>
            <w:tcW w:w="1795" w:type="dxa"/>
            <w:vAlign w:val="center"/>
          </w:tcPr>
          <w:p w:rsidR="00883270" w:rsidRDefault="00264EFC">
            <w:pPr>
              <w:jc w:val="right"/>
            </w:pPr>
            <w:r>
              <w:rPr>
                <w:color w:val="000000"/>
                <w:sz w:val="24"/>
              </w:rPr>
              <w:t>23,115,000.00</w:t>
            </w:r>
          </w:p>
        </w:tc>
        <w:tc>
          <w:tcPr>
            <w:tcW w:w="1519" w:type="dxa"/>
            <w:vAlign w:val="center"/>
          </w:tcPr>
          <w:p w:rsidR="00883270" w:rsidRDefault="00264EFC">
            <w:pPr>
              <w:jc w:val="right"/>
            </w:pPr>
            <w:r>
              <w:rPr>
                <w:color w:val="000000"/>
                <w:sz w:val="24"/>
              </w:rPr>
              <w:t>3.32</w:t>
            </w:r>
          </w:p>
        </w:tc>
      </w:tr>
      <w:tr w:rsidR="00883270">
        <w:tc>
          <w:tcPr>
            <w:tcW w:w="862" w:type="dxa"/>
            <w:vAlign w:val="center"/>
          </w:tcPr>
          <w:p w:rsidR="00883270" w:rsidRDefault="00264EFC">
            <w:pPr>
              <w:jc w:val="center"/>
            </w:pPr>
            <w:r>
              <w:rPr>
                <w:color w:val="000000"/>
                <w:sz w:val="24"/>
              </w:rPr>
              <w:t>8</w:t>
            </w:r>
          </w:p>
        </w:tc>
        <w:tc>
          <w:tcPr>
            <w:tcW w:w="1346" w:type="dxa"/>
            <w:vAlign w:val="center"/>
          </w:tcPr>
          <w:p w:rsidR="00883270" w:rsidRDefault="00264EFC">
            <w:pPr>
              <w:jc w:val="center"/>
            </w:pPr>
            <w:r>
              <w:rPr>
                <w:color w:val="000000"/>
                <w:sz w:val="24"/>
              </w:rPr>
              <w:t>000858</w:t>
            </w:r>
          </w:p>
        </w:tc>
        <w:tc>
          <w:tcPr>
            <w:tcW w:w="1795" w:type="dxa"/>
            <w:vAlign w:val="center"/>
          </w:tcPr>
          <w:p w:rsidR="00883270" w:rsidRDefault="00264EFC">
            <w:pPr>
              <w:jc w:val="center"/>
            </w:pPr>
            <w:r>
              <w:rPr>
                <w:color w:val="000000"/>
                <w:sz w:val="24"/>
              </w:rPr>
              <w:t>五粮液</w:t>
            </w:r>
          </w:p>
        </w:tc>
        <w:tc>
          <w:tcPr>
            <w:tcW w:w="1681" w:type="dxa"/>
            <w:vAlign w:val="center"/>
          </w:tcPr>
          <w:p w:rsidR="00883270" w:rsidRDefault="00264EFC">
            <w:pPr>
              <w:jc w:val="right"/>
            </w:pPr>
            <w:r>
              <w:rPr>
                <w:color w:val="000000"/>
                <w:sz w:val="24"/>
              </w:rPr>
              <w:t>300,000</w:t>
            </w:r>
          </w:p>
        </w:tc>
        <w:tc>
          <w:tcPr>
            <w:tcW w:w="1795" w:type="dxa"/>
            <w:vAlign w:val="center"/>
          </w:tcPr>
          <w:p w:rsidR="00883270" w:rsidRDefault="00264EFC">
            <w:pPr>
              <w:jc w:val="right"/>
            </w:pPr>
            <w:r>
              <w:rPr>
                <w:color w:val="000000"/>
                <w:sz w:val="24"/>
              </w:rPr>
              <w:t>22,800,000.00</w:t>
            </w:r>
          </w:p>
        </w:tc>
        <w:tc>
          <w:tcPr>
            <w:tcW w:w="1519" w:type="dxa"/>
            <w:vAlign w:val="center"/>
          </w:tcPr>
          <w:p w:rsidR="00883270" w:rsidRDefault="00264EFC">
            <w:pPr>
              <w:jc w:val="right"/>
            </w:pPr>
            <w:r>
              <w:rPr>
                <w:color w:val="000000"/>
                <w:sz w:val="24"/>
              </w:rPr>
              <w:t>3.27</w:t>
            </w:r>
          </w:p>
        </w:tc>
      </w:tr>
      <w:tr w:rsidR="00883270">
        <w:tc>
          <w:tcPr>
            <w:tcW w:w="862" w:type="dxa"/>
            <w:vAlign w:val="center"/>
          </w:tcPr>
          <w:p w:rsidR="00883270" w:rsidRDefault="00264EFC">
            <w:pPr>
              <w:jc w:val="center"/>
            </w:pPr>
            <w:r>
              <w:rPr>
                <w:color w:val="000000"/>
                <w:sz w:val="24"/>
              </w:rPr>
              <w:t>9</w:t>
            </w:r>
          </w:p>
        </w:tc>
        <w:tc>
          <w:tcPr>
            <w:tcW w:w="1346" w:type="dxa"/>
            <w:vAlign w:val="center"/>
          </w:tcPr>
          <w:p w:rsidR="00883270" w:rsidRDefault="00264EFC">
            <w:pPr>
              <w:jc w:val="center"/>
            </w:pPr>
            <w:r>
              <w:rPr>
                <w:color w:val="000000"/>
                <w:sz w:val="24"/>
              </w:rPr>
              <w:t>H00175</w:t>
            </w:r>
          </w:p>
        </w:tc>
        <w:tc>
          <w:tcPr>
            <w:tcW w:w="1795" w:type="dxa"/>
            <w:vAlign w:val="center"/>
          </w:tcPr>
          <w:p w:rsidR="00883270" w:rsidRDefault="00264EFC">
            <w:pPr>
              <w:jc w:val="center"/>
            </w:pPr>
            <w:r>
              <w:rPr>
                <w:color w:val="000000"/>
                <w:sz w:val="24"/>
              </w:rPr>
              <w:t>吉利汽车</w:t>
            </w:r>
          </w:p>
        </w:tc>
        <w:tc>
          <w:tcPr>
            <w:tcW w:w="1681" w:type="dxa"/>
            <w:vAlign w:val="center"/>
          </w:tcPr>
          <w:p w:rsidR="00883270" w:rsidRDefault="00264EFC">
            <w:pPr>
              <w:jc w:val="right"/>
            </w:pPr>
            <w:r>
              <w:rPr>
                <w:color w:val="000000"/>
                <w:sz w:val="24"/>
              </w:rPr>
              <w:t>1,326,000</w:t>
            </w:r>
          </w:p>
        </w:tc>
        <w:tc>
          <w:tcPr>
            <w:tcW w:w="1795" w:type="dxa"/>
            <w:vAlign w:val="center"/>
          </w:tcPr>
          <w:p w:rsidR="00883270" w:rsidRDefault="00264EFC">
            <w:pPr>
              <w:jc w:val="right"/>
            </w:pPr>
            <w:r>
              <w:rPr>
                <w:color w:val="000000"/>
                <w:sz w:val="24"/>
              </w:rPr>
              <w:t>22,750,294.71</w:t>
            </w:r>
          </w:p>
        </w:tc>
        <w:tc>
          <w:tcPr>
            <w:tcW w:w="1519" w:type="dxa"/>
            <w:vAlign w:val="center"/>
          </w:tcPr>
          <w:p w:rsidR="00883270" w:rsidRDefault="00264EFC">
            <w:pPr>
              <w:jc w:val="right"/>
            </w:pPr>
            <w:r>
              <w:rPr>
                <w:color w:val="000000"/>
                <w:sz w:val="24"/>
              </w:rPr>
              <w:t>3.27</w:t>
            </w:r>
          </w:p>
        </w:tc>
      </w:tr>
      <w:tr w:rsidR="00883270">
        <w:tc>
          <w:tcPr>
            <w:tcW w:w="862" w:type="dxa"/>
            <w:vAlign w:val="center"/>
          </w:tcPr>
          <w:p w:rsidR="00883270" w:rsidRDefault="00264EFC">
            <w:pPr>
              <w:jc w:val="center"/>
            </w:pPr>
            <w:r>
              <w:rPr>
                <w:color w:val="000000"/>
                <w:sz w:val="24"/>
              </w:rPr>
              <w:t>10</w:t>
            </w:r>
          </w:p>
        </w:tc>
        <w:tc>
          <w:tcPr>
            <w:tcW w:w="1346" w:type="dxa"/>
            <w:vAlign w:val="center"/>
          </w:tcPr>
          <w:p w:rsidR="00883270" w:rsidRDefault="00264EFC">
            <w:pPr>
              <w:jc w:val="center"/>
            </w:pPr>
            <w:r>
              <w:rPr>
                <w:color w:val="000000"/>
                <w:sz w:val="24"/>
              </w:rPr>
              <w:t>H01398</w:t>
            </w:r>
          </w:p>
        </w:tc>
        <w:tc>
          <w:tcPr>
            <w:tcW w:w="1795" w:type="dxa"/>
            <w:vAlign w:val="center"/>
          </w:tcPr>
          <w:p w:rsidR="00883270" w:rsidRDefault="00264EFC">
            <w:pPr>
              <w:jc w:val="center"/>
            </w:pPr>
            <w:r>
              <w:rPr>
                <w:color w:val="000000"/>
                <w:sz w:val="24"/>
              </w:rPr>
              <w:t>工商银行</w:t>
            </w:r>
          </w:p>
        </w:tc>
        <w:tc>
          <w:tcPr>
            <w:tcW w:w="1681" w:type="dxa"/>
            <w:vAlign w:val="center"/>
          </w:tcPr>
          <w:p w:rsidR="00883270" w:rsidRDefault="00264EFC">
            <w:pPr>
              <w:jc w:val="right"/>
            </w:pPr>
            <w:r>
              <w:rPr>
                <w:color w:val="000000"/>
                <w:sz w:val="24"/>
              </w:rPr>
              <w:t>4,000,000</w:t>
            </w:r>
          </w:p>
        </w:tc>
        <w:tc>
          <w:tcPr>
            <w:tcW w:w="1795" w:type="dxa"/>
            <w:vAlign w:val="center"/>
          </w:tcPr>
          <w:p w:rsidR="00883270" w:rsidRDefault="00264EFC">
            <w:pPr>
              <w:jc w:val="right"/>
            </w:pPr>
            <w:r>
              <w:rPr>
                <w:color w:val="000000"/>
                <w:sz w:val="24"/>
              </w:rPr>
              <w:t>19,795,988.00</w:t>
            </w:r>
          </w:p>
        </w:tc>
        <w:tc>
          <w:tcPr>
            <w:tcW w:w="1519" w:type="dxa"/>
            <w:vAlign w:val="center"/>
          </w:tcPr>
          <w:p w:rsidR="00883270" w:rsidRDefault="00264EFC">
            <w:pPr>
              <w:jc w:val="right"/>
            </w:pPr>
            <w:r>
              <w:rPr>
                <w:color w:val="000000"/>
                <w:sz w:val="24"/>
              </w:rPr>
              <w:t>2.84</w:t>
            </w:r>
          </w:p>
        </w:tc>
      </w:tr>
    </w:tbl>
    <w:p w:rsidR="001548F9" w:rsidRDefault="00DD0E90" w:rsidP="00AC6DDA">
      <w:pPr>
        <w:tabs>
          <w:tab w:val="left" w:pos="426"/>
        </w:tabs>
        <w:spacing w:before="29" w:line="288" w:lineRule="auto"/>
        <w:jc w:val="left"/>
        <w:rPr>
          <w:kern w:val="0"/>
          <w:sz w:val="24"/>
        </w:rPr>
      </w:pPr>
      <w:r w:rsidRPr="005C672D">
        <w:rPr>
          <w:kern w:val="0"/>
          <w:sz w:val="24"/>
        </w:rPr>
        <w:t>注：</w:t>
      </w:r>
      <w:r w:rsidR="006E5FEE">
        <w:rPr>
          <w:rFonts w:hint="eastAsia"/>
          <w:kern w:val="0"/>
          <w:sz w:val="24"/>
        </w:rPr>
        <w:t>1</w:t>
      </w:r>
      <w:r w:rsidR="006E5FEE">
        <w:rPr>
          <w:rFonts w:hint="eastAsia"/>
          <w:kern w:val="0"/>
          <w:sz w:val="24"/>
        </w:rPr>
        <w:t>、</w:t>
      </w:r>
      <w:r w:rsidRPr="005C672D">
        <w:rPr>
          <w:kern w:val="0"/>
          <w:sz w:val="24"/>
        </w:rPr>
        <w:t>香港上市的港股股票代码前增加</w:t>
      </w:r>
      <w:r w:rsidRPr="005C672D">
        <w:rPr>
          <w:kern w:val="0"/>
          <w:sz w:val="24"/>
        </w:rPr>
        <w:t>H</w:t>
      </w:r>
      <w:r w:rsidRPr="005C672D">
        <w:rPr>
          <w:kern w:val="0"/>
          <w:sz w:val="24"/>
        </w:rPr>
        <w:t>字母，与</w:t>
      </w:r>
      <w:r w:rsidRPr="005C672D">
        <w:rPr>
          <w:kern w:val="0"/>
          <w:sz w:val="24"/>
        </w:rPr>
        <w:t>A</w:t>
      </w:r>
      <w:r w:rsidRPr="005C672D">
        <w:rPr>
          <w:kern w:val="0"/>
          <w:sz w:val="24"/>
        </w:rPr>
        <w:t>股做区分。</w:t>
      </w:r>
    </w:p>
    <w:p w:rsidR="006E5FEE" w:rsidRPr="005C672D" w:rsidRDefault="006E5FEE" w:rsidP="00F30C58">
      <w:pPr>
        <w:tabs>
          <w:tab w:val="left" w:pos="426"/>
        </w:tabs>
        <w:spacing w:before="29" w:line="288" w:lineRule="auto"/>
        <w:ind w:firstLineChars="200" w:firstLine="480"/>
        <w:jc w:val="left"/>
        <w:rPr>
          <w:kern w:val="0"/>
          <w:sz w:val="24"/>
        </w:rPr>
      </w:pPr>
      <w:bookmarkStart w:id="62" w:name="_GoBack"/>
      <w:bookmarkEnd w:id="62"/>
      <w:r>
        <w:rPr>
          <w:rFonts w:hint="eastAsia"/>
          <w:kern w:val="0"/>
          <w:sz w:val="24"/>
        </w:rPr>
        <w:t>2</w:t>
      </w:r>
      <w:r>
        <w:rPr>
          <w:rFonts w:hint="eastAsia"/>
          <w:kern w:val="0"/>
          <w:sz w:val="24"/>
        </w:rPr>
        <w:t>、</w:t>
      </w:r>
      <w:r w:rsidRPr="006E5FEE">
        <w:rPr>
          <w:rFonts w:hint="eastAsia"/>
          <w:kern w:val="0"/>
          <w:sz w:val="24"/>
        </w:rPr>
        <w:t>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83270">
        <w:tc>
          <w:tcPr>
            <w:tcW w:w="869" w:type="dxa"/>
            <w:vAlign w:val="center"/>
          </w:tcPr>
          <w:p w:rsidR="00883270" w:rsidRDefault="00264EFC">
            <w:pPr>
              <w:jc w:val="center"/>
            </w:pPr>
            <w:r>
              <w:rPr>
                <w:sz w:val="24"/>
              </w:rPr>
              <w:t>1</w:t>
            </w:r>
          </w:p>
        </w:tc>
        <w:tc>
          <w:tcPr>
            <w:tcW w:w="1650" w:type="dxa"/>
            <w:vAlign w:val="center"/>
          </w:tcPr>
          <w:p w:rsidR="00883270" w:rsidRDefault="00264EFC">
            <w:pPr>
              <w:jc w:val="center"/>
            </w:pPr>
            <w:r>
              <w:rPr>
                <w:sz w:val="24"/>
              </w:rPr>
              <w:t>H00817</w:t>
            </w:r>
          </w:p>
        </w:tc>
        <w:tc>
          <w:tcPr>
            <w:tcW w:w="1980" w:type="dxa"/>
            <w:vAlign w:val="center"/>
          </w:tcPr>
          <w:p w:rsidR="00883270" w:rsidRDefault="00264EFC">
            <w:pPr>
              <w:jc w:val="center"/>
            </w:pPr>
            <w:r>
              <w:rPr>
                <w:sz w:val="24"/>
              </w:rPr>
              <w:t>中国金茂</w:t>
            </w:r>
          </w:p>
        </w:tc>
        <w:tc>
          <w:tcPr>
            <w:tcW w:w="2879" w:type="dxa"/>
            <w:vAlign w:val="center"/>
          </w:tcPr>
          <w:p w:rsidR="00883270" w:rsidRDefault="00264EFC">
            <w:pPr>
              <w:jc w:val="right"/>
            </w:pPr>
            <w:r>
              <w:rPr>
                <w:sz w:val="24"/>
              </w:rPr>
              <w:t>42,825,632.30</w:t>
            </w:r>
          </w:p>
        </w:tc>
        <w:tc>
          <w:tcPr>
            <w:tcW w:w="1620" w:type="dxa"/>
            <w:vAlign w:val="center"/>
          </w:tcPr>
          <w:p w:rsidR="00883270" w:rsidRDefault="00264EFC">
            <w:pPr>
              <w:jc w:val="right"/>
            </w:pPr>
            <w:r>
              <w:rPr>
                <w:sz w:val="24"/>
              </w:rPr>
              <w:t>17.84</w:t>
            </w:r>
          </w:p>
        </w:tc>
      </w:tr>
      <w:tr w:rsidR="00883270">
        <w:tc>
          <w:tcPr>
            <w:tcW w:w="869" w:type="dxa"/>
            <w:vAlign w:val="center"/>
          </w:tcPr>
          <w:p w:rsidR="00883270" w:rsidRDefault="00264EFC">
            <w:pPr>
              <w:jc w:val="center"/>
            </w:pPr>
            <w:r>
              <w:rPr>
                <w:sz w:val="24"/>
              </w:rPr>
              <w:t>2</w:t>
            </w:r>
          </w:p>
        </w:tc>
        <w:tc>
          <w:tcPr>
            <w:tcW w:w="1650" w:type="dxa"/>
            <w:vAlign w:val="center"/>
          </w:tcPr>
          <w:p w:rsidR="00883270" w:rsidRDefault="00264EFC">
            <w:pPr>
              <w:jc w:val="center"/>
            </w:pPr>
            <w:r>
              <w:rPr>
                <w:sz w:val="24"/>
              </w:rPr>
              <w:t>H00700</w:t>
            </w:r>
          </w:p>
        </w:tc>
        <w:tc>
          <w:tcPr>
            <w:tcW w:w="1980" w:type="dxa"/>
            <w:vAlign w:val="center"/>
          </w:tcPr>
          <w:p w:rsidR="00883270" w:rsidRDefault="00264EFC">
            <w:pPr>
              <w:jc w:val="center"/>
            </w:pPr>
            <w:r>
              <w:rPr>
                <w:sz w:val="24"/>
              </w:rPr>
              <w:t>腾讯控股</w:t>
            </w:r>
          </w:p>
        </w:tc>
        <w:tc>
          <w:tcPr>
            <w:tcW w:w="2879" w:type="dxa"/>
            <w:vAlign w:val="center"/>
          </w:tcPr>
          <w:p w:rsidR="00883270" w:rsidRDefault="00264EFC">
            <w:pPr>
              <w:jc w:val="right"/>
            </w:pPr>
            <w:r>
              <w:rPr>
                <w:sz w:val="24"/>
              </w:rPr>
              <w:t>34,163,430.66</w:t>
            </w:r>
          </w:p>
        </w:tc>
        <w:tc>
          <w:tcPr>
            <w:tcW w:w="1620" w:type="dxa"/>
            <w:vAlign w:val="center"/>
          </w:tcPr>
          <w:p w:rsidR="00883270" w:rsidRDefault="00264EFC">
            <w:pPr>
              <w:jc w:val="right"/>
            </w:pPr>
            <w:r>
              <w:rPr>
                <w:sz w:val="24"/>
              </w:rPr>
              <w:t>14.23</w:t>
            </w:r>
          </w:p>
        </w:tc>
      </w:tr>
      <w:tr w:rsidR="00883270">
        <w:tc>
          <w:tcPr>
            <w:tcW w:w="869" w:type="dxa"/>
            <w:vAlign w:val="center"/>
          </w:tcPr>
          <w:p w:rsidR="00883270" w:rsidRDefault="00264EFC">
            <w:pPr>
              <w:jc w:val="center"/>
            </w:pPr>
            <w:r>
              <w:rPr>
                <w:sz w:val="24"/>
              </w:rPr>
              <w:t>3</w:t>
            </w:r>
          </w:p>
        </w:tc>
        <w:tc>
          <w:tcPr>
            <w:tcW w:w="1650" w:type="dxa"/>
            <w:vAlign w:val="center"/>
          </w:tcPr>
          <w:p w:rsidR="00883270" w:rsidRDefault="00264EFC">
            <w:pPr>
              <w:jc w:val="center"/>
            </w:pPr>
            <w:r>
              <w:rPr>
                <w:sz w:val="24"/>
              </w:rPr>
              <w:t>H00960</w:t>
            </w:r>
          </w:p>
        </w:tc>
        <w:tc>
          <w:tcPr>
            <w:tcW w:w="1980" w:type="dxa"/>
            <w:vAlign w:val="center"/>
          </w:tcPr>
          <w:p w:rsidR="00883270" w:rsidRDefault="00264EFC">
            <w:pPr>
              <w:jc w:val="center"/>
            </w:pPr>
            <w:r>
              <w:rPr>
                <w:sz w:val="24"/>
              </w:rPr>
              <w:t>龙湖集团</w:t>
            </w:r>
          </w:p>
        </w:tc>
        <w:tc>
          <w:tcPr>
            <w:tcW w:w="2879" w:type="dxa"/>
            <w:vAlign w:val="center"/>
          </w:tcPr>
          <w:p w:rsidR="00883270" w:rsidRDefault="00264EFC">
            <w:pPr>
              <w:jc w:val="right"/>
            </w:pPr>
            <w:r>
              <w:rPr>
                <w:sz w:val="24"/>
              </w:rPr>
              <w:t>28,509,769.90</w:t>
            </w:r>
          </w:p>
        </w:tc>
        <w:tc>
          <w:tcPr>
            <w:tcW w:w="1620" w:type="dxa"/>
            <w:vAlign w:val="center"/>
          </w:tcPr>
          <w:p w:rsidR="00883270" w:rsidRDefault="00264EFC">
            <w:pPr>
              <w:jc w:val="right"/>
            </w:pPr>
            <w:r>
              <w:rPr>
                <w:sz w:val="24"/>
              </w:rPr>
              <w:t>11.88</w:t>
            </w:r>
          </w:p>
        </w:tc>
      </w:tr>
      <w:tr w:rsidR="00883270">
        <w:tc>
          <w:tcPr>
            <w:tcW w:w="869" w:type="dxa"/>
            <w:vAlign w:val="center"/>
          </w:tcPr>
          <w:p w:rsidR="00883270" w:rsidRDefault="00264EFC">
            <w:pPr>
              <w:jc w:val="center"/>
            </w:pPr>
            <w:r>
              <w:rPr>
                <w:sz w:val="24"/>
              </w:rPr>
              <w:t>4</w:t>
            </w:r>
          </w:p>
        </w:tc>
        <w:tc>
          <w:tcPr>
            <w:tcW w:w="1650" w:type="dxa"/>
            <w:vAlign w:val="center"/>
          </w:tcPr>
          <w:p w:rsidR="00883270" w:rsidRDefault="00264EFC">
            <w:pPr>
              <w:jc w:val="center"/>
            </w:pPr>
            <w:r>
              <w:rPr>
                <w:sz w:val="24"/>
              </w:rPr>
              <w:t>H00027</w:t>
            </w:r>
          </w:p>
        </w:tc>
        <w:tc>
          <w:tcPr>
            <w:tcW w:w="1980" w:type="dxa"/>
            <w:vAlign w:val="center"/>
          </w:tcPr>
          <w:p w:rsidR="00883270" w:rsidRDefault="00264EFC">
            <w:pPr>
              <w:jc w:val="center"/>
            </w:pPr>
            <w:r>
              <w:rPr>
                <w:sz w:val="24"/>
              </w:rPr>
              <w:t>银河娱乐</w:t>
            </w:r>
          </w:p>
        </w:tc>
        <w:tc>
          <w:tcPr>
            <w:tcW w:w="2879" w:type="dxa"/>
            <w:vAlign w:val="center"/>
          </w:tcPr>
          <w:p w:rsidR="00883270" w:rsidRDefault="00264EFC">
            <w:pPr>
              <w:jc w:val="right"/>
            </w:pPr>
            <w:r>
              <w:rPr>
                <w:sz w:val="24"/>
              </w:rPr>
              <w:t>28,025,496.95</w:t>
            </w:r>
          </w:p>
        </w:tc>
        <w:tc>
          <w:tcPr>
            <w:tcW w:w="1620" w:type="dxa"/>
            <w:vAlign w:val="center"/>
          </w:tcPr>
          <w:p w:rsidR="00883270" w:rsidRDefault="00264EFC">
            <w:pPr>
              <w:jc w:val="right"/>
            </w:pPr>
            <w:r>
              <w:rPr>
                <w:sz w:val="24"/>
              </w:rPr>
              <w:t>11.68</w:t>
            </w:r>
          </w:p>
        </w:tc>
      </w:tr>
      <w:tr w:rsidR="00883270">
        <w:tc>
          <w:tcPr>
            <w:tcW w:w="869" w:type="dxa"/>
            <w:vAlign w:val="center"/>
          </w:tcPr>
          <w:p w:rsidR="00883270" w:rsidRDefault="00264EFC">
            <w:pPr>
              <w:jc w:val="center"/>
            </w:pPr>
            <w:r>
              <w:rPr>
                <w:sz w:val="24"/>
              </w:rPr>
              <w:t>5</w:t>
            </w:r>
          </w:p>
        </w:tc>
        <w:tc>
          <w:tcPr>
            <w:tcW w:w="1650" w:type="dxa"/>
            <w:vAlign w:val="center"/>
          </w:tcPr>
          <w:p w:rsidR="00883270" w:rsidRDefault="00264EFC">
            <w:pPr>
              <w:jc w:val="center"/>
            </w:pPr>
            <w:r>
              <w:rPr>
                <w:sz w:val="24"/>
              </w:rPr>
              <w:t>603885</w:t>
            </w:r>
          </w:p>
        </w:tc>
        <w:tc>
          <w:tcPr>
            <w:tcW w:w="1980" w:type="dxa"/>
            <w:vAlign w:val="center"/>
          </w:tcPr>
          <w:p w:rsidR="00883270" w:rsidRDefault="00264EFC">
            <w:pPr>
              <w:jc w:val="center"/>
            </w:pPr>
            <w:r>
              <w:rPr>
                <w:sz w:val="24"/>
              </w:rPr>
              <w:t>吉祥航空</w:t>
            </w:r>
          </w:p>
        </w:tc>
        <w:tc>
          <w:tcPr>
            <w:tcW w:w="2879" w:type="dxa"/>
            <w:vAlign w:val="center"/>
          </w:tcPr>
          <w:p w:rsidR="00883270" w:rsidRDefault="00264EFC">
            <w:pPr>
              <w:jc w:val="right"/>
            </w:pPr>
            <w:r>
              <w:rPr>
                <w:sz w:val="24"/>
              </w:rPr>
              <w:t>26,230,420.00</w:t>
            </w:r>
          </w:p>
        </w:tc>
        <w:tc>
          <w:tcPr>
            <w:tcW w:w="1620" w:type="dxa"/>
            <w:vAlign w:val="center"/>
          </w:tcPr>
          <w:p w:rsidR="00883270" w:rsidRDefault="00264EFC">
            <w:pPr>
              <w:jc w:val="right"/>
            </w:pPr>
            <w:r>
              <w:rPr>
                <w:sz w:val="24"/>
              </w:rPr>
              <w:t>10.93</w:t>
            </w:r>
          </w:p>
        </w:tc>
      </w:tr>
      <w:tr w:rsidR="00883270">
        <w:tc>
          <w:tcPr>
            <w:tcW w:w="869" w:type="dxa"/>
            <w:vAlign w:val="center"/>
          </w:tcPr>
          <w:p w:rsidR="00883270" w:rsidRDefault="00264EFC">
            <w:pPr>
              <w:jc w:val="center"/>
            </w:pPr>
            <w:r>
              <w:rPr>
                <w:sz w:val="24"/>
              </w:rPr>
              <w:t>6</w:t>
            </w:r>
          </w:p>
        </w:tc>
        <w:tc>
          <w:tcPr>
            <w:tcW w:w="1650" w:type="dxa"/>
            <w:vAlign w:val="center"/>
          </w:tcPr>
          <w:p w:rsidR="00883270" w:rsidRDefault="00264EFC">
            <w:pPr>
              <w:jc w:val="center"/>
            </w:pPr>
            <w:r>
              <w:rPr>
                <w:sz w:val="24"/>
              </w:rPr>
              <w:t>H00868</w:t>
            </w:r>
          </w:p>
        </w:tc>
        <w:tc>
          <w:tcPr>
            <w:tcW w:w="1980" w:type="dxa"/>
            <w:vAlign w:val="center"/>
          </w:tcPr>
          <w:p w:rsidR="00883270" w:rsidRDefault="00264EFC">
            <w:pPr>
              <w:jc w:val="center"/>
            </w:pPr>
            <w:r>
              <w:rPr>
                <w:sz w:val="24"/>
              </w:rPr>
              <w:t>信义玻璃</w:t>
            </w:r>
          </w:p>
        </w:tc>
        <w:tc>
          <w:tcPr>
            <w:tcW w:w="2879" w:type="dxa"/>
            <w:vAlign w:val="center"/>
          </w:tcPr>
          <w:p w:rsidR="00883270" w:rsidRDefault="00264EFC">
            <w:pPr>
              <w:jc w:val="right"/>
            </w:pPr>
            <w:r>
              <w:rPr>
                <w:sz w:val="24"/>
              </w:rPr>
              <w:t>25,225,587.76</w:t>
            </w:r>
          </w:p>
        </w:tc>
        <w:tc>
          <w:tcPr>
            <w:tcW w:w="1620" w:type="dxa"/>
            <w:vAlign w:val="center"/>
          </w:tcPr>
          <w:p w:rsidR="00883270" w:rsidRDefault="00264EFC">
            <w:pPr>
              <w:jc w:val="right"/>
            </w:pPr>
            <w:r>
              <w:rPr>
                <w:sz w:val="24"/>
              </w:rPr>
              <w:t>10.51</w:t>
            </w:r>
          </w:p>
        </w:tc>
      </w:tr>
      <w:tr w:rsidR="00883270">
        <w:tc>
          <w:tcPr>
            <w:tcW w:w="869" w:type="dxa"/>
            <w:vAlign w:val="center"/>
          </w:tcPr>
          <w:p w:rsidR="00883270" w:rsidRDefault="00264EFC">
            <w:pPr>
              <w:jc w:val="center"/>
            </w:pPr>
            <w:r>
              <w:rPr>
                <w:sz w:val="24"/>
              </w:rPr>
              <w:t>7</w:t>
            </w:r>
          </w:p>
        </w:tc>
        <w:tc>
          <w:tcPr>
            <w:tcW w:w="1650" w:type="dxa"/>
            <w:vAlign w:val="center"/>
          </w:tcPr>
          <w:p w:rsidR="00883270" w:rsidRDefault="00264EFC">
            <w:pPr>
              <w:jc w:val="center"/>
            </w:pPr>
            <w:r>
              <w:rPr>
                <w:sz w:val="24"/>
              </w:rPr>
              <w:t>H00175</w:t>
            </w:r>
          </w:p>
        </w:tc>
        <w:tc>
          <w:tcPr>
            <w:tcW w:w="1980" w:type="dxa"/>
            <w:vAlign w:val="center"/>
          </w:tcPr>
          <w:p w:rsidR="00883270" w:rsidRDefault="00264EFC">
            <w:pPr>
              <w:jc w:val="center"/>
            </w:pPr>
            <w:r>
              <w:rPr>
                <w:sz w:val="24"/>
              </w:rPr>
              <w:t>吉利汽车</w:t>
            </w:r>
          </w:p>
        </w:tc>
        <w:tc>
          <w:tcPr>
            <w:tcW w:w="2879" w:type="dxa"/>
            <w:vAlign w:val="center"/>
          </w:tcPr>
          <w:p w:rsidR="00883270" w:rsidRDefault="00264EFC">
            <w:pPr>
              <w:jc w:val="right"/>
            </w:pPr>
            <w:r>
              <w:rPr>
                <w:sz w:val="24"/>
              </w:rPr>
              <w:t>24,712,838.02</w:t>
            </w:r>
          </w:p>
        </w:tc>
        <w:tc>
          <w:tcPr>
            <w:tcW w:w="1620" w:type="dxa"/>
            <w:vAlign w:val="center"/>
          </w:tcPr>
          <w:p w:rsidR="00883270" w:rsidRDefault="00264EFC">
            <w:pPr>
              <w:jc w:val="right"/>
            </w:pPr>
            <w:r>
              <w:rPr>
                <w:sz w:val="24"/>
              </w:rPr>
              <w:t>10.30</w:t>
            </w:r>
          </w:p>
        </w:tc>
      </w:tr>
      <w:tr w:rsidR="00883270">
        <w:tc>
          <w:tcPr>
            <w:tcW w:w="869" w:type="dxa"/>
            <w:vAlign w:val="center"/>
          </w:tcPr>
          <w:p w:rsidR="00883270" w:rsidRDefault="00264EFC">
            <w:pPr>
              <w:jc w:val="center"/>
            </w:pPr>
            <w:r>
              <w:rPr>
                <w:sz w:val="24"/>
              </w:rPr>
              <w:t>8</w:t>
            </w:r>
          </w:p>
        </w:tc>
        <w:tc>
          <w:tcPr>
            <w:tcW w:w="1650" w:type="dxa"/>
            <w:vAlign w:val="center"/>
          </w:tcPr>
          <w:p w:rsidR="00883270" w:rsidRDefault="00264EFC">
            <w:pPr>
              <w:jc w:val="center"/>
            </w:pPr>
            <w:r>
              <w:rPr>
                <w:sz w:val="24"/>
              </w:rPr>
              <w:t>H01055</w:t>
            </w:r>
          </w:p>
        </w:tc>
        <w:tc>
          <w:tcPr>
            <w:tcW w:w="1980" w:type="dxa"/>
            <w:vAlign w:val="center"/>
          </w:tcPr>
          <w:p w:rsidR="00883270" w:rsidRDefault="00264EFC">
            <w:pPr>
              <w:jc w:val="center"/>
            </w:pPr>
            <w:r>
              <w:rPr>
                <w:sz w:val="24"/>
              </w:rPr>
              <w:t>中国南方航空股份</w:t>
            </w:r>
          </w:p>
        </w:tc>
        <w:tc>
          <w:tcPr>
            <w:tcW w:w="2879" w:type="dxa"/>
            <w:vAlign w:val="center"/>
          </w:tcPr>
          <w:p w:rsidR="00883270" w:rsidRDefault="00264EFC">
            <w:pPr>
              <w:jc w:val="right"/>
            </w:pPr>
            <w:r>
              <w:rPr>
                <w:sz w:val="24"/>
              </w:rPr>
              <w:t>24,161,056.91</w:t>
            </w:r>
          </w:p>
        </w:tc>
        <w:tc>
          <w:tcPr>
            <w:tcW w:w="1620" w:type="dxa"/>
            <w:vAlign w:val="center"/>
          </w:tcPr>
          <w:p w:rsidR="00883270" w:rsidRDefault="00264EFC">
            <w:pPr>
              <w:jc w:val="right"/>
            </w:pPr>
            <w:r>
              <w:rPr>
                <w:sz w:val="24"/>
              </w:rPr>
              <w:t>10.07</w:t>
            </w:r>
          </w:p>
        </w:tc>
      </w:tr>
      <w:tr w:rsidR="00883270">
        <w:tc>
          <w:tcPr>
            <w:tcW w:w="869" w:type="dxa"/>
            <w:vAlign w:val="center"/>
          </w:tcPr>
          <w:p w:rsidR="00883270" w:rsidRDefault="00264EFC">
            <w:pPr>
              <w:jc w:val="center"/>
            </w:pPr>
            <w:r>
              <w:rPr>
                <w:sz w:val="24"/>
              </w:rPr>
              <w:t>9</w:t>
            </w:r>
          </w:p>
        </w:tc>
        <w:tc>
          <w:tcPr>
            <w:tcW w:w="1650" w:type="dxa"/>
            <w:vAlign w:val="center"/>
          </w:tcPr>
          <w:p w:rsidR="00883270" w:rsidRDefault="00264EFC">
            <w:pPr>
              <w:jc w:val="center"/>
            </w:pPr>
            <w:r>
              <w:rPr>
                <w:sz w:val="24"/>
              </w:rPr>
              <w:t>600690</w:t>
            </w:r>
          </w:p>
        </w:tc>
        <w:tc>
          <w:tcPr>
            <w:tcW w:w="1980" w:type="dxa"/>
            <w:vAlign w:val="center"/>
          </w:tcPr>
          <w:p w:rsidR="00883270" w:rsidRDefault="00264EFC">
            <w:pPr>
              <w:jc w:val="center"/>
            </w:pPr>
            <w:r>
              <w:rPr>
                <w:sz w:val="24"/>
              </w:rPr>
              <w:t>青岛海尔</w:t>
            </w:r>
          </w:p>
        </w:tc>
        <w:tc>
          <w:tcPr>
            <w:tcW w:w="2879" w:type="dxa"/>
            <w:vAlign w:val="center"/>
          </w:tcPr>
          <w:p w:rsidR="00883270" w:rsidRDefault="00264EFC">
            <w:pPr>
              <w:jc w:val="right"/>
            </w:pPr>
            <w:r>
              <w:rPr>
                <w:sz w:val="24"/>
              </w:rPr>
              <w:t>23,200,049.96</w:t>
            </w:r>
          </w:p>
        </w:tc>
        <w:tc>
          <w:tcPr>
            <w:tcW w:w="1620" w:type="dxa"/>
            <w:vAlign w:val="center"/>
          </w:tcPr>
          <w:p w:rsidR="00883270" w:rsidRDefault="00264EFC">
            <w:pPr>
              <w:jc w:val="right"/>
            </w:pPr>
            <w:r>
              <w:rPr>
                <w:sz w:val="24"/>
              </w:rPr>
              <w:t>9.66</w:t>
            </w:r>
          </w:p>
        </w:tc>
      </w:tr>
      <w:tr w:rsidR="00883270">
        <w:tc>
          <w:tcPr>
            <w:tcW w:w="869" w:type="dxa"/>
            <w:vAlign w:val="center"/>
          </w:tcPr>
          <w:p w:rsidR="00883270" w:rsidRDefault="00264EFC">
            <w:pPr>
              <w:jc w:val="center"/>
            </w:pPr>
            <w:r>
              <w:rPr>
                <w:sz w:val="24"/>
              </w:rPr>
              <w:t>10</w:t>
            </w:r>
          </w:p>
        </w:tc>
        <w:tc>
          <w:tcPr>
            <w:tcW w:w="1650" w:type="dxa"/>
            <w:vAlign w:val="center"/>
          </w:tcPr>
          <w:p w:rsidR="00883270" w:rsidRDefault="00264EFC">
            <w:pPr>
              <w:jc w:val="center"/>
            </w:pPr>
            <w:r>
              <w:rPr>
                <w:sz w:val="24"/>
              </w:rPr>
              <w:t>H01114</w:t>
            </w:r>
          </w:p>
        </w:tc>
        <w:tc>
          <w:tcPr>
            <w:tcW w:w="1980" w:type="dxa"/>
            <w:vAlign w:val="center"/>
          </w:tcPr>
          <w:p w:rsidR="00883270" w:rsidRDefault="00264EFC">
            <w:pPr>
              <w:jc w:val="center"/>
            </w:pPr>
            <w:r>
              <w:rPr>
                <w:sz w:val="24"/>
              </w:rPr>
              <w:t>BRILLIANCE CHI</w:t>
            </w:r>
          </w:p>
        </w:tc>
        <w:tc>
          <w:tcPr>
            <w:tcW w:w="2879" w:type="dxa"/>
            <w:vAlign w:val="center"/>
          </w:tcPr>
          <w:p w:rsidR="00883270" w:rsidRDefault="00264EFC">
            <w:pPr>
              <w:jc w:val="right"/>
            </w:pPr>
            <w:r>
              <w:rPr>
                <w:sz w:val="24"/>
              </w:rPr>
              <w:t>23,047,489.25</w:t>
            </w:r>
          </w:p>
        </w:tc>
        <w:tc>
          <w:tcPr>
            <w:tcW w:w="1620" w:type="dxa"/>
            <w:vAlign w:val="center"/>
          </w:tcPr>
          <w:p w:rsidR="00883270" w:rsidRDefault="00264EFC">
            <w:pPr>
              <w:jc w:val="right"/>
            </w:pPr>
            <w:r>
              <w:rPr>
                <w:sz w:val="24"/>
              </w:rPr>
              <w:t>9.60</w:t>
            </w:r>
          </w:p>
        </w:tc>
      </w:tr>
      <w:tr w:rsidR="00883270">
        <w:tc>
          <w:tcPr>
            <w:tcW w:w="869" w:type="dxa"/>
            <w:vAlign w:val="center"/>
          </w:tcPr>
          <w:p w:rsidR="00883270" w:rsidRDefault="00264EFC">
            <w:pPr>
              <w:jc w:val="center"/>
            </w:pPr>
            <w:r>
              <w:rPr>
                <w:sz w:val="24"/>
              </w:rPr>
              <w:t>11</w:t>
            </w:r>
          </w:p>
        </w:tc>
        <w:tc>
          <w:tcPr>
            <w:tcW w:w="1650" w:type="dxa"/>
            <w:vAlign w:val="center"/>
          </w:tcPr>
          <w:p w:rsidR="00883270" w:rsidRDefault="00264EFC">
            <w:pPr>
              <w:jc w:val="center"/>
            </w:pPr>
            <w:r>
              <w:rPr>
                <w:sz w:val="24"/>
              </w:rPr>
              <w:t>000725</w:t>
            </w:r>
          </w:p>
        </w:tc>
        <w:tc>
          <w:tcPr>
            <w:tcW w:w="1980" w:type="dxa"/>
            <w:vAlign w:val="center"/>
          </w:tcPr>
          <w:p w:rsidR="00883270" w:rsidRDefault="00264EFC">
            <w:pPr>
              <w:jc w:val="center"/>
            </w:pPr>
            <w:r>
              <w:rPr>
                <w:sz w:val="24"/>
              </w:rPr>
              <w:t>京东方</w:t>
            </w:r>
            <w:r>
              <w:rPr>
                <w:sz w:val="24"/>
              </w:rPr>
              <w:t>A</w:t>
            </w:r>
          </w:p>
        </w:tc>
        <w:tc>
          <w:tcPr>
            <w:tcW w:w="2879" w:type="dxa"/>
            <w:vAlign w:val="center"/>
          </w:tcPr>
          <w:p w:rsidR="00883270" w:rsidRDefault="00264EFC">
            <w:pPr>
              <w:jc w:val="right"/>
            </w:pPr>
            <w:r>
              <w:rPr>
                <w:sz w:val="24"/>
              </w:rPr>
              <w:t>22,438,000.00</w:t>
            </w:r>
          </w:p>
        </w:tc>
        <w:tc>
          <w:tcPr>
            <w:tcW w:w="1620" w:type="dxa"/>
            <w:vAlign w:val="center"/>
          </w:tcPr>
          <w:p w:rsidR="00883270" w:rsidRDefault="00264EFC">
            <w:pPr>
              <w:jc w:val="right"/>
            </w:pPr>
            <w:r>
              <w:rPr>
                <w:sz w:val="24"/>
              </w:rPr>
              <w:t>9.35</w:t>
            </w:r>
          </w:p>
        </w:tc>
      </w:tr>
      <w:tr w:rsidR="00883270">
        <w:tc>
          <w:tcPr>
            <w:tcW w:w="869" w:type="dxa"/>
            <w:vAlign w:val="center"/>
          </w:tcPr>
          <w:p w:rsidR="00883270" w:rsidRDefault="00264EFC">
            <w:pPr>
              <w:jc w:val="center"/>
            </w:pPr>
            <w:r>
              <w:rPr>
                <w:sz w:val="24"/>
              </w:rPr>
              <w:t>12</w:t>
            </w:r>
          </w:p>
        </w:tc>
        <w:tc>
          <w:tcPr>
            <w:tcW w:w="1650" w:type="dxa"/>
            <w:vAlign w:val="center"/>
          </w:tcPr>
          <w:p w:rsidR="00883270" w:rsidRDefault="00264EFC">
            <w:pPr>
              <w:jc w:val="center"/>
            </w:pPr>
            <w:r>
              <w:rPr>
                <w:sz w:val="24"/>
              </w:rPr>
              <w:t>H01398</w:t>
            </w:r>
          </w:p>
        </w:tc>
        <w:tc>
          <w:tcPr>
            <w:tcW w:w="1980" w:type="dxa"/>
            <w:vAlign w:val="center"/>
          </w:tcPr>
          <w:p w:rsidR="00883270" w:rsidRDefault="00264EFC">
            <w:pPr>
              <w:jc w:val="center"/>
            </w:pPr>
            <w:r>
              <w:rPr>
                <w:sz w:val="24"/>
              </w:rPr>
              <w:t>工商银行</w:t>
            </w:r>
          </w:p>
        </w:tc>
        <w:tc>
          <w:tcPr>
            <w:tcW w:w="2879" w:type="dxa"/>
            <w:vAlign w:val="center"/>
          </w:tcPr>
          <w:p w:rsidR="00883270" w:rsidRDefault="00264EFC">
            <w:pPr>
              <w:jc w:val="right"/>
            </w:pPr>
            <w:r>
              <w:rPr>
                <w:sz w:val="24"/>
              </w:rPr>
              <w:t>22,404,864.98</w:t>
            </w:r>
          </w:p>
        </w:tc>
        <w:tc>
          <w:tcPr>
            <w:tcW w:w="1620" w:type="dxa"/>
            <w:vAlign w:val="center"/>
          </w:tcPr>
          <w:p w:rsidR="00883270" w:rsidRDefault="00264EFC">
            <w:pPr>
              <w:jc w:val="right"/>
            </w:pPr>
            <w:r>
              <w:rPr>
                <w:sz w:val="24"/>
              </w:rPr>
              <w:t>9.33</w:t>
            </w:r>
          </w:p>
        </w:tc>
      </w:tr>
      <w:tr w:rsidR="00883270">
        <w:tc>
          <w:tcPr>
            <w:tcW w:w="869" w:type="dxa"/>
            <w:vAlign w:val="center"/>
          </w:tcPr>
          <w:p w:rsidR="00883270" w:rsidRDefault="00264EFC">
            <w:pPr>
              <w:jc w:val="center"/>
            </w:pPr>
            <w:r>
              <w:rPr>
                <w:sz w:val="24"/>
              </w:rPr>
              <w:t>13</w:t>
            </w:r>
          </w:p>
        </w:tc>
        <w:tc>
          <w:tcPr>
            <w:tcW w:w="1650" w:type="dxa"/>
            <w:vAlign w:val="center"/>
          </w:tcPr>
          <w:p w:rsidR="00883270" w:rsidRDefault="00264EFC">
            <w:pPr>
              <w:jc w:val="center"/>
            </w:pPr>
            <w:r>
              <w:rPr>
                <w:sz w:val="24"/>
              </w:rPr>
              <w:t>H01171</w:t>
            </w:r>
          </w:p>
        </w:tc>
        <w:tc>
          <w:tcPr>
            <w:tcW w:w="1980" w:type="dxa"/>
            <w:vAlign w:val="center"/>
          </w:tcPr>
          <w:p w:rsidR="00883270" w:rsidRDefault="00264EFC">
            <w:pPr>
              <w:jc w:val="center"/>
            </w:pPr>
            <w:r>
              <w:rPr>
                <w:sz w:val="24"/>
              </w:rPr>
              <w:t>兖州煤业股份</w:t>
            </w:r>
          </w:p>
        </w:tc>
        <w:tc>
          <w:tcPr>
            <w:tcW w:w="2879" w:type="dxa"/>
            <w:vAlign w:val="center"/>
          </w:tcPr>
          <w:p w:rsidR="00883270" w:rsidRDefault="00264EFC">
            <w:pPr>
              <w:jc w:val="right"/>
            </w:pPr>
            <w:r>
              <w:rPr>
                <w:sz w:val="24"/>
              </w:rPr>
              <w:t>20,984,928.09</w:t>
            </w:r>
          </w:p>
        </w:tc>
        <w:tc>
          <w:tcPr>
            <w:tcW w:w="1620" w:type="dxa"/>
            <w:vAlign w:val="center"/>
          </w:tcPr>
          <w:p w:rsidR="00883270" w:rsidRDefault="00264EFC">
            <w:pPr>
              <w:jc w:val="right"/>
            </w:pPr>
            <w:r>
              <w:rPr>
                <w:sz w:val="24"/>
              </w:rPr>
              <w:t>8.74</w:t>
            </w:r>
          </w:p>
        </w:tc>
      </w:tr>
      <w:tr w:rsidR="00883270">
        <w:tc>
          <w:tcPr>
            <w:tcW w:w="869" w:type="dxa"/>
            <w:vAlign w:val="center"/>
          </w:tcPr>
          <w:p w:rsidR="00883270" w:rsidRDefault="00264EFC">
            <w:pPr>
              <w:jc w:val="center"/>
            </w:pPr>
            <w:r>
              <w:rPr>
                <w:sz w:val="24"/>
              </w:rPr>
              <w:t>14</w:t>
            </w:r>
          </w:p>
        </w:tc>
        <w:tc>
          <w:tcPr>
            <w:tcW w:w="1650" w:type="dxa"/>
            <w:vAlign w:val="center"/>
          </w:tcPr>
          <w:p w:rsidR="00883270" w:rsidRDefault="00264EFC">
            <w:pPr>
              <w:jc w:val="center"/>
            </w:pPr>
            <w:r>
              <w:rPr>
                <w:sz w:val="24"/>
              </w:rPr>
              <w:t>H00966</w:t>
            </w:r>
          </w:p>
        </w:tc>
        <w:tc>
          <w:tcPr>
            <w:tcW w:w="1980" w:type="dxa"/>
            <w:vAlign w:val="center"/>
          </w:tcPr>
          <w:p w:rsidR="00883270" w:rsidRDefault="00264EFC">
            <w:pPr>
              <w:jc w:val="center"/>
            </w:pPr>
            <w:r>
              <w:rPr>
                <w:sz w:val="24"/>
              </w:rPr>
              <w:t>中国太平</w:t>
            </w:r>
          </w:p>
        </w:tc>
        <w:tc>
          <w:tcPr>
            <w:tcW w:w="2879" w:type="dxa"/>
            <w:vAlign w:val="center"/>
          </w:tcPr>
          <w:p w:rsidR="00883270" w:rsidRDefault="00264EFC">
            <w:pPr>
              <w:jc w:val="right"/>
            </w:pPr>
            <w:r>
              <w:rPr>
                <w:sz w:val="24"/>
              </w:rPr>
              <w:t>20,470,203.01</w:t>
            </w:r>
          </w:p>
        </w:tc>
        <w:tc>
          <w:tcPr>
            <w:tcW w:w="1620" w:type="dxa"/>
            <w:vAlign w:val="center"/>
          </w:tcPr>
          <w:p w:rsidR="00883270" w:rsidRDefault="00264EFC">
            <w:pPr>
              <w:jc w:val="right"/>
            </w:pPr>
            <w:r>
              <w:rPr>
                <w:sz w:val="24"/>
              </w:rPr>
              <w:t>8.53</w:t>
            </w:r>
          </w:p>
        </w:tc>
      </w:tr>
      <w:tr w:rsidR="00883270">
        <w:tc>
          <w:tcPr>
            <w:tcW w:w="869" w:type="dxa"/>
            <w:vAlign w:val="center"/>
          </w:tcPr>
          <w:p w:rsidR="00883270" w:rsidRDefault="00264EFC">
            <w:pPr>
              <w:jc w:val="center"/>
            </w:pPr>
            <w:r>
              <w:rPr>
                <w:sz w:val="24"/>
              </w:rPr>
              <w:t>15</w:t>
            </w:r>
          </w:p>
        </w:tc>
        <w:tc>
          <w:tcPr>
            <w:tcW w:w="1650" w:type="dxa"/>
            <w:vAlign w:val="center"/>
          </w:tcPr>
          <w:p w:rsidR="00883270" w:rsidRDefault="00264EFC">
            <w:pPr>
              <w:jc w:val="center"/>
            </w:pPr>
            <w:r>
              <w:rPr>
                <w:sz w:val="24"/>
              </w:rPr>
              <w:t>H00688</w:t>
            </w:r>
          </w:p>
        </w:tc>
        <w:tc>
          <w:tcPr>
            <w:tcW w:w="1980" w:type="dxa"/>
            <w:vAlign w:val="center"/>
          </w:tcPr>
          <w:p w:rsidR="00883270" w:rsidRDefault="00264EFC">
            <w:pPr>
              <w:jc w:val="center"/>
            </w:pPr>
            <w:r>
              <w:rPr>
                <w:sz w:val="24"/>
              </w:rPr>
              <w:t>中国海外发展</w:t>
            </w:r>
          </w:p>
        </w:tc>
        <w:tc>
          <w:tcPr>
            <w:tcW w:w="2879" w:type="dxa"/>
            <w:vAlign w:val="center"/>
          </w:tcPr>
          <w:p w:rsidR="00883270" w:rsidRDefault="00264EFC">
            <w:pPr>
              <w:jc w:val="right"/>
            </w:pPr>
            <w:r>
              <w:rPr>
                <w:sz w:val="24"/>
              </w:rPr>
              <w:t>19,434,591.73</w:t>
            </w:r>
          </w:p>
        </w:tc>
        <w:tc>
          <w:tcPr>
            <w:tcW w:w="1620" w:type="dxa"/>
            <w:vAlign w:val="center"/>
          </w:tcPr>
          <w:p w:rsidR="00883270" w:rsidRDefault="00264EFC">
            <w:pPr>
              <w:jc w:val="right"/>
            </w:pPr>
            <w:r>
              <w:rPr>
                <w:sz w:val="24"/>
              </w:rPr>
              <w:t>8.10</w:t>
            </w:r>
          </w:p>
        </w:tc>
      </w:tr>
      <w:tr w:rsidR="00883270">
        <w:tc>
          <w:tcPr>
            <w:tcW w:w="869" w:type="dxa"/>
            <w:vAlign w:val="center"/>
          </w:tcPr>
          <w:p w:rsidR="00883270" w:rsidRDefault="00264EFC">
            <w:pPr>
              <w:jc w:val="center"/>
            </w:pPr>
            <w:r>
              <w:rPr>
                <w:sz w:val="24"/>
              </w:rPr>
              <w:t>16</w:t>
            </w:r>
          </w:p>
        </w:tc>
        <w:tc>
          <w:tcPr>
            <w:tcW w:w="1650" w:type="dxa"/>
            <w:vAlign w:val="center"/>
          </w:tcPr>
          <w:p w:rsidR="00883270" w:rsidRDefault="00264EFC">
            <w:pPr>
              <w:jc w:val="center"/>
            </w:pPr>
            <w:r>
              <w:rPr>
                <w:sz w:val="24"/>
              </w:rPr>
              <w:t>H00586</w:t>
            </w:r>
          </w:p>
        </w:tc>
        <w:tc>
          <w:tcPr>
            <w:tcW w:w="1980" w:type="dxa"/>
            <w:vAlign w:val="center"/>
          </w:tcPr>
          <w:p w:rsidR="00883270" w:rsidRDefault="00264EFC">
            <w:pPr>
              <w:jc w:val="center"/>
            </w:pPr>
            <w:r>
              <w:rPr>
                <w:sz w:val="24"/>
              </w:rPr>
              <w:t>海螺创业</w:t>
            </w:r>
          </w:p>
        </w:tc>
        <w:tc>
          <w:tcPr>
            <w:tcW w:w="2879" w:type="dxa"/>
            <w:vAlign w:val="center"/>
          </w:tcPr>
          <w:p w:rsidR="00883270" w:rsidRDefault="00264EFC">
            <w:pPr>
              <w:jc w:val="right"/>
            </w:pPr>
            <w:r>
              <w:rPr>
                <w:sz w:val="24"/>
              </w:rPr>
              <w:t>19,178,239.48</w:t>
            </w:r>
          </w:p>
        </w:tc>
        <w:tc>
          <w:tcPr>
            <w:tcW w:w="1620" w:type="dxa"/>
            <w:vAlign w:val="center"/>
          </w:tcPr>
          <w:p w:rsidR="00883270" w:rsidRDefault="00264EFC">
            <w:pPr>
              <w:jc w:val="right"/>
            </w:pPr>
            <w:r>
              <w:rPr>
                <w:sz w:val="24"/>
              </w:rPr>
              <w:t>7.99</w:t>
            </w:r>
          </w:p>
        </w:tc>
      </w:tr>
      <w:tr w:rsidR="00883270">
        <w:tc>
          <w:tcPr>
            <w:tcW w:w="869" w:type="dxa"/>
            <w:vAlign w:val="center"/>
          </w:tcPr>
          <w:p w:rsidR="00883270" w:rsidRDefault="00264EFC">
            <w:pPr>
              <w:jc w:val="center"/>
            </w:pPr>
            <w:r>
              <w:rPr>
                <w:sz w:val="24"/>
              </w:rPr>
              <w:t>17</w:t>
            </w:r>
          </w:p>
        </w:tc>
        <w:tc>
          <w:tcPr>
            <w:tcW w:w="1650" w:type="dxa"/>
            <w:vAlign w:val="center"/>
          </w:tcPr>
          <w:p w:rsidR="00883270" w:rsidRDefault="00264EFC">
            <w:pPr>
              <w:jc w:val="center"/>
            </w:pPr>
            <w:r>
              <w:rPr>
                <w:sz w:val="24"/>
              </w:rPr>
              <w:t>H02688</w:t>
            </w:r>
          </w:p>
        </w:tc>
        <w:tc>
          <w:tcPr>
            <w:tcW w:w="1980" w:type="dxa"/>
            <w:vAlign w:val="center"/>
          </w:tcPr>
          <w:p w:rsidR="00883270" w:rsidRDefault="00264EFC">
            <w:pPr>
              <w:jc w:val="center"/>
            </w:pPr>
            <w:r>
              <w:rPr>
                <w:sz w:val="24"/>
              </w:rPr>
              <w:t>新奥能源</w:t>
            </w:r>
          </w:p>
        </w:tc>
        <w:tc>
          <w:tcPr>
            <w:tcW w:w="2879" w:type="dxa"/>
            <w:vAlign w:val="center"/>
          </w:tcPr>
          <w:p w:rsidR="00883270" w:rsidRDefault="00264EFC">
            <w:pPr>
              <w:jc w:val="right"/>
            </w:pPr>
            <w:r>
              <w:rPr>
                <w:sz w:val="24"/>
              </w:rPr>
              <w:t>18,819,382.52</w:t>
            </w:r>
          </w:p>
        </w:tc>
        <w:tc>
          <w:tcPr>
            <w:tcW w:w="1620" w:type="dxa"/>
            <w:vAlign w:val="center"/>
          </w:tcPr>
          <w:p w:rsidR="00883270" w:rsidRDefault="00264EFC">
            <w:pPr>
              <w:jc w:val="right"/>
            </w:pPr>
            <w:r>
              <w:rPr>
                <w:sz w:val="24"/>
              </w:rPr>
              <w:t>7.84</w:t>
            </w:r>
          </w:p>
        </w:tc>
      </w:tr>
      <w:tr w:rsidR="00883270">
        <w:tc>
          <w:tcPr>
            <w:tcW w:w="869" w:type="dxa"/>
            <w:vAlign w:val="center"/>
          </w:tcPr>
          <w:p w:rsidR="00883270" w:rsidRDefault="00264EFC">
            <w:pPr>
              <w:jc w:val="center"/>
            </w:pPr>
            <w:r>
              <w:rPr>
                <w:sz w:val="24"/>
              </w:rPr>
              <w:t>18</w:t>
            </w:r>
          </w:p>
        </w:tc>
        <w:tc>
          <w:tcPr>
            <w:tcW w:w="1650" w:type="dxa"/>
            <w:vAlign w:val="center"/>
          </w:tcPr>
          <w:p w:rsidR="00883270" w:rsidRDefault="00264EFC">
            <w:pPr>
              <w:jc w:val="center"/>
            </w:pPr>
            <w:r>
              <w:rPr>
                <w:sz w:val="24"/>
              </w:rPr>
              <w:t>H03988</w:t>
            </w:r>
          </w:p>
        </w:tc>
        <w:tc>
          <w:tcPr>
            <w:tcW w:w="1980" w:type="dxa"/>
            <w:vAlign w:val="center"/>
          </w:tcPr>
          <w:p w:rsidR="00883270" w:rsidRDefault="00264EFC">
            <w:pPr>
              <w:jc w:val="center"/>
            </w:pPr>
            <w:r>
              <w:rPr>
                <w:sz w:val="24"/>
              </w:rPr>
              <w:t>中国银行</w:t>
            </w:r>
          </w:p>
        </w:tc>
        <w:tc>
          <w:tcPr>
            <w:tcW w:w="2879" w:type="dxa"/>
            <w:vAlign w:val="center"/>
          </w:tcPr>
          <w:p w:rsidR="00883270" w:rsidRDefault="00264EFC">
            <w:pPr>
              <w:jc w:val="right"/>
            </w:pPr>
            <w:r>
              <w:rPr>
                <w:sz w:val="24"/>
              </w:rPr>
              <w:t>18,668,448.80</w:t>
            </w:r>
          </w:p>
        </w:tc>
        <w:tc>
          <w:tcPr>
            <w:tcW w:w="1620" w:type="dxa"/>
            <w:vAlign w:val="center"/>
          </w:tcPr>
          <w:p w:rsidR="00883270" w:rsidRDefault="00264EFC">
            <w:pPr>
              <w:jc w:val="right"/>
            </w:pPr>
            <w:r>
              <w:rPr>
                <w:sz w:val="24"/>
              </w:rPr>
              <w:t>7.78</w:t>
            </w:r>
          </w:p>
        </w:tc>
      </w:tr>
      <w:tr w:rsidR="00883270">
        <w:tc>
          <w:tcPr>
            <w:tcW w:w="869" w:type="dxa"/>
            <w:vAlign w:val="center"/>
          </w:tcPr>
          <w:p w:rsidR="00883270" w:rsidRDefault="00264EFC">
            <w:pPr>
              <w:jc w:val="center"/>
            </w:pPr>
            <w:r>
              <w:rPr>
                <w:sz w:val="24"/>
              </w:rPr>
              <w:t>19</w:t>
            </w:r>
          </w:p>
        </w:tc>
        <w:tc>
          <w:tcPr>
            <w:tcW w:w="1650" w:type="dxa"/>
            <w:vAlign w:val="center"/>
          </w:tcPr>
          <w:p w:rsidR="00883270" w:rsidRDefault="00264EFC">
            <w:pPr>
              <w:jc w:val="center"/>
            </w:pPr>
            <w:r>
              <w:rPr>
                <w:sz w:val="24"/>
              </w:rPr>
              <w:t>601318</w:t>
            </w:r>
          </w:p>
        </w:tc>
        <w:tc>
          <w:tcPr>
            <w:tcW w:w="1980" w:type="dxa"/>
            <w:vAlign w:val="center"/>
          </w:tcPr>
          <w:p w:rsidR="00883270" w:rsidRDefault="00264EFC">
            <w:pPr>
              <w:jc w:val="center"/>
            </w:pPr>
            <w:r>
              <w:rPr>
                <w:sz w:val="24"/>
              </w:rPr>
              <w:t>中国平安</w:t>
            </w:r>
          </w:p>
        </w:tc>
        <w:tc>
          <w:tcPr>
            <w:tcW w:w="2879" w:type="dxa"/>
            <w:vAlign w:val="center"/>
          </w:tcPr>
          <w:p w:rsidR="00883270" w:rsidRDefault="00264EFC">
            <w:pPr>
              <w:jc w:val="right"/>
            </w:pPr>
            <w:r>
              <w:rPr>
                <w:sz w:val="24"/>
              </w:rPr>
              <w:t>18,503,960.37</w:t>
            </w:r>
          </w:p>
        </w:tc>
        <w:tc>
          <w:tcPr>
            <w:tcW w:w="1620" w:type="dxa"/>
            <w:vAlign w:val="center"/>
          </w:tcPr>
          <w:p w:rsidR="00883270" w:rsidRDefault="00264EFC">
            <w:pPr>
              <w:jc w:val="right"/>
            </w:pPr>
            <w:r>
              <w:rPr>
                <w:sz w:val="24"/>
              </w:rPr>
              <w:t>7.71</w:t>
            </w:r>
          </w:p>
        </w:tc>
      </w:tr>
      <w:tr w:rsidR="00883270">
        <w:tc>
          <w:tcPr>
            <w:tcW w:w="869" w:type="dxa"/>
            <w:vAlign w:val="center"/>
          </w:tcPr>
          <w:p w:rsidR="00883270" w:rsidRDefault="00264EFC">
            <w:pPr>
              <w:jc w:val="center"/>
            </w:pPr>
            <w:r>
              <w:rPr>
                <w:sz w:val="24"/>
              </w:rPr>
              <w:t>20</w:t>
            </w:r>
          </w:p>
        </w:tc>
        <w:tc>
          <w:tcPr>
            <w:tcW w:w="1650" w:type="dxa"/>
            <w:vAlign w:val="center"/>
          </w:tcPr>
          <w:p w:rsidR="00883270" w:rsidRDefault="00264EFC">
            <w:pPr>
              <w:jc w:val="center"/>
            </w:pPr>
            <w:r>
              <w:rPr>
                <w:sz w:val="24"/>
              </w:rPr>
              <w:t>H03908</w:t>
            </w:r>
          </w:p>
        </w:tc>
        <w:tc>
          <w:tcPr>
            <w:tcW w:w="1980" w:type="dxa"/>
            <w:vAlign w:val="center"/>
          </w:tcPr>
          <w:p w:rsidR="00883270" w:rsidRDefault="00264EFC">
            <w:pPr>
              <w:jc w:val="center"/>
            </w:pPr>
            <w:r>
              <w:rPr>
                <w:sz w:val="24"/>
              </w:rPr>
              <w:t>中金公司</w:t>
            </w:r>
          </w:p>
        </w:tc>
        <w:tc>
          <w:tcPr>
            <w:tcW w:w="2879" w:type="dxa"/>
            <w:vAlign w:val="center"/>
          </w:tcPr>
          <w:p w:rsidR="00883270" w:rsidRDefault="00264EFC">
            <w:pPr>
              <w:jc w:val="right"/>
            </w:pPr>
            <w:r>
              <w:rPr>
                <w:sz w:val="24"/>
              </w:rPr>
              <w:t>18,479,943.96</w:t>
            </w:r>
          </w:p>
        </w:tc>
        <w:tc>
          <w:tcPr>
            <w:tcW w:w="1620" w:type="dxa"/>
            <w:vAlign w:val="center"/>
          </w:tcPr>
          <w:p w:rsidR="00883270" w:rsidRDefault="00264EFC">
            <w:pPr>
              <w:jc w:val="right"/>
            </w:pPr>
            <w:r>
              <w:rPr>
                <w:sz w:val="24"/>
              </w:rPr>
              <w:t>7.70</w:t>
            </w:r>
          </w:p>
        </w:tc>
      </w:tr>
      <w:tr w:rsidR="00883270">
        <w:tc>
          <w:tcPr>
            <w:tcW w:w="869" w:type="dxa"/>
            <w:vAlign w:val="center"/>
          </w:tcPr>
          <w:p w:rsidR="00883270" w:rsidRDefault="00264EFC">
            <w:pPr>
              <w:jc w:val="center"/>
            </w:pPr>
            <w:r>
              <w:rPr>
                <w:sz w:val="24"/>
              </w:rPr>
              <w:t>21</w:t>
            </w:r>
          </w:p>
        </w:tc>
        <w:tc>
          <w:tcPr>
            <w:tcW w:w="1650" w:type="dxa"/>
            <w:vAlign w:val="center"/>
          </w:tcPr>
          <w:p w:rsidR="00883270" w:rsidRDefault="00264EFC">
            <w:pPr>
              <w:jc w:val="center"/>
            </w:pPr>
            <w:r>
              <w:rPr>
                <w:sz w:val="24"/>
              </w:rPr>
              <w:t>H00388</w:t>
            </w:r>
          </w:p>
        </w:tc>
        <w:tc>
          <w:tcPr>
            <w:tcW w:w="1980" w:type="dxa"/>
            <w:vAlign w:val="center"/>
          </w:tcPr>
          <w:p w:rsidR="00883270" w:rsidRDefault="00264EFC">
            <w:pPr>
              <w:jc w:val="center"/>
            </w:pPr>
            <w:r>
              <w:rPr>
                <w:sz w:val="24"/>
              </w:rPr>
              <w:t>香港交易所</w:t>
            </w:r>
          </w:p>
        </w:tc>
        <w:tc>
          <w:tcPr>
            <w:tcW w:w="2879" w:type="dxa"/>
            <w:vAlign w:val="center"/>
          </w:tcPr>
          <w:p w:rsidR="00883270" w:rsidRDefault="00264EFC">
            <w:pPr>
              <w:jc w:val="right"/>
            </w:pPr>
            <w:r>
              <w:rPr>
                <w:sz w:val="24"/>
              </w:rPr>
              <w:t>18,278,678.72</w:t>
            </w:r>
          </w:p>
        </w:tc>
        <w:tc>
          <w:tcPr>
            <w:tcW w:w="1620" w:type="dxa"/>
            <w:vAlign w:val="center"/>
          </w:tcPr>
          <w:p w:rsidR="00883270" w:rsidRDefault="00264EFC">
            <w:pPr>
              <w:jc w:val="right"/>
            </w:pPr>
            <w:r>
              <w:rPr>
                <w:sz w:val="24"/>
              </w:rPr>
              <w:t>7.61</w:t>
            </w:r>
          </w:p>
        </w:tc>
      </w:tr>
      <w:tr w:rsidR="00883270">
        <w:tc>
          <w:tcPr>
            <w:tcW w:w="869" w:type="dxa"/>
            <w:vAlign w:val="center"/>
          </w:tcPr>
          <w:p w:rsidR="00883270" w:rsidRDefault="00264EFC">
            <w:pPr>
              <w:jc w:val="center"/>
            </w:pPr>
            <w:r>
              <w:rPr>
                <w:sz w:val="24"/>
              </w:rPr>
              <w:t>22</w:t>
            </w:r>
          </w:p>
        </w:tc>
        <w:tc>
          <w:tcPr>
            <w:tcW w:w="1650" w:type="dxa"/>
            <w:vAlign w:val="center"/>
          </w:tcPr>
          <w:p w:rsidR="00883270" w:rsidRDefault="00264EFC">
            <w:pPr>
              <w:jc w:val="center"/>
            </w:pPr>
            <w:r>
              <w:rPr>
                <w:sz w:val="24"/>
              </w:rPr>
              <w:t>600036</w:t>
            </w:r>
          </w:p>
        </w:tc>
        <w:tc>
          <w:tcPr>
            <w:tcW w:w="1980" w:type="dxa"/>
            <w:vAlign w:val="center"/>
          </w:tcPr>
          <w:p w:rsidR="00883270" w:rsidRDefault="00264EFC">
            <w:pPr>
              <w:jc w:val="center"/>
            </w:pPr>
            <w:r>
              <w:rPr>
                <w:sz w:val="24"/>
              </w:rPr>
              <w:t>招商银行</w:t>
            </w:r>
          </w:p>
        </w:tc>
        <w:tc>
          <w:tcPr>
            <w:tcW w:w="2879" w:type="dxa"/>
            <w:vAlign w:val="center"/>
          </w:tcPr>
          <w:p w:rsidR="00883270" w:rsidRDefault="00264EFC">
            <w:pPr>
              <w:jc w:val="right"/>
            </w:pPr>
            <w:r>
              <w:rPr>
                <w:sz w:val="24"/>
              </w:rPr>
              <w:t>18,228,508.56</w:t>
            </w:r>
          </w:p>
        </w:tc>
        <w:tc>
          <w:tcPr>
            <w:tcW w:w="1620" w:type="dxa"/>
            <w:vAlign w:val="center"/>
          </w:tcPr>
          <w:p w:rsidR="00883270" w:rsidRDefault="00264EFC">
            <w:pPr>
              <w:jc w:val="right"/>
            </w:pPr>
            <w:r>
              <w:rPr>
                <w:sz w:val="24"/>
              </w:rPr>
              <w:t>7.59</w:t>
            </w:r>
          </w:p>
        </w:tc>
      </w:tr>
      <w:tr w:rsidR="00883270">
        <w:tc>
          <w:tcPr>
            <w:tcW w:w="869" w:type="dxa"/>
            <w:vAlign w:val="center"/>
          </w:tcPr>
          <w:p w:rsidR="00883270" w:rsidRDefault="00264EFC">
            <w:pPr>
              <w:jc w:val="center"/>
            </w:pPr>
            <w:r>
              <w:rPr>
                <w:sz w:val="24"/>
              </w:rPr>
              <w:t>23</w:t>
            </w:r>
          </w:p>
        </w:tc>
        <w:tc>
          <w:tcPr>
            <w:tcW w:w="1650" w:type="dxa"/>
            <w:vAlign w:val="center"/>
          </w:tcPr>
          <w:p w:rsidR="00883270" w:rsidRDefault="00264EFC">
            <w:pPr>
              <w:jc w:val="center"/>
            </w:pPr>
            <w:r>
              <w:rPr>
                <w:sz w:val="24"/>
              </w:rPr>
              <w:t>600885</w:t>
            </w:r>
          </w:p>
        </w:tc>
        <w:tc>
          <w:tcPr>
            <w:tcW w:w="1980" w:type="dxa"/>
            <w:vAlign w:val="center"/>
          </w:tcPr>
          <w:p w:rsidR="00883270" w:rsidRDefault="00264EFC">
            <w:pPr>
              <w:jc w:val="center"/>
            </w:pPr>
            <w:r>
              <w:rPr>
                <w:sz w:val="24"/>
              </w:rPr>
              <w:t>宏发股份</w:t>
            </w:r>
          </w:p>
        </w:tc>
        <w:tc>
          <w:tcPr>
            <w:tcW w:w="2879" w:type="dxa"/>
            <w:vAlign w:val="center"/>
          </w:tcPr>
          <w:p w:rsidR="00883270" w:rsidRDefault="00264EFC">
            <w:pPr>
              <w:jc w:val="right"/>
            </w:pPr>
            <w:r>
              <w:rPr>
                <w:sz w:val="24"/>
              </w:rPr>
              <w:t>17,741,327.00</w:t>
            </w:r>
          </w:p>
        </w:tc>
        <w:tc>
          <w:tcPr>
            <w:tcW w:w="1620" w:type="dxa"/>
            <w:vAlign w:val="center"/>
          </w:tcPr>
          <w:p w:rsidR="00883270" w:rsidRDefault="00264EFC">
            <w:pPr>
              <w:jc w:val="right"/>
            </w:pPr>
            <w:r>
              <w:rPr>
                <w:sz w:val="24"/>
              </w:rPr>
              <w:t>7.39</w:t>
            </w:r>
          </w:p>
        </w:tc>
      </w:tr>
      <w:tr w:rsidR="00883270">
        <w:tc>
          <w:tcPr>
            <w:tcW w:w="869" w:type="dxa"/>
            <w:vAlign w:val="center"/>
          </w:tcPr>
          <w:p w:rsidR="00883270" w:rsidRDefault="00264EFC">
            <w:pPr>
              <w:jc w:val="center"/>
            </w:pPr>
            <w:r>
              <w:rPr>
                <w:sz w:val="24"/>
              </w:rPr>
              <w:t>24</w:t>
            </w:r>
          </w:p>
        </w:tc>
        <w:tc>
          <w:tcPr>
            <w:tcW w:w="1650" w:type="dxa"/>
            <w:vAlign w:val="center"/>
          </w:tcPr>
          <w:p w:rsidR="00883270" w:rsidRDefault="00264EFC">
            <w:pPr>
              <w:jc w:val="center"/>
            </w:pPr>
            <w:r>
              <w:rPr>
                <w:sz w:val="24"/>
              </w:rPr>
              <w:t>H01030</w:t>
            </w:r>
          </w:p>
        </w:tc>
        <w:tc>
          <w:tcPr>
            <w:tcW w:w="1980" w:type="dxa"/>
            <w:vAlign w:val="center"/>
          </w:tcPr>
          <w:p w:rsidR="00883270" w:rsidRDefault="00264EFC">
            <w:pPr>
              <w:jc w:val="center"/>
            </w:pPr>
            <w:r>
              <w:rPr>
                <w:sz w:val="24"/>
              </w:rPr>
              <w:t>新城发展控股</w:t>
            </w:r>
          </w:p>
        </w:tc>
        <w:tc>
          <w:tcPr>
            <w:tcW w:w="2879" w:type="dxa"/>
            <w:vAlign w:val="center"/>
          </w:tcPr>
          <w:p w:rsidR="00883270" w:rsidRDefault="00264EFC">
            <w:pPr>
              <w:jc w:val="right"/>
            </w:pPr>
            <w:r>
              <w:rPr>
                <w:sz w:val="24"/>
              </w:rPr>
              <w:t>17,283,373.01</w:t>
            </w:r>
          </w:p>
        </w:tc>
        <w:tc>
          <w:tcPr>
            <w:tcW w:w="1620" w:type="dxa"/>
            <w:vAlign w:val="center"/>
          </w:tcPr>
          <w:p w:rsidR="00883270" w:rsidRDefault="00264EFC">
            <w:pPr>
              <w:jc w:val="right"/>
            </w:pPr>
            <w:r>
              <w:rPr>
                <w:sz w:val="24"/>
              </w:rPr>
              <w:t>7.20</w:t>
            </w:r>
          </w:p>
        </w:tc>
      </w:tr>
      <w:tr w:rsidR="00883270">
        <w:tc>
          <w:tcPr>
            <w:tcW w:w="869" w:type="dxa"/>
            <w:vAlign w:val="center"/>
          </w:tcPr>
          <w:p w:rsidR="00883270" w:rsidRDefault="00264EFC">
            <w:pPr>
              <w:jc w:val="center"/>
            </w:pPr>
            <w:r>
              <w:rPr>
                <w:sz w:val="24"/>
              </w:rPr>
              <w:t>25</w:t>
            </w:r>
          </w:p>
        </w:tc>
        <w:tc>
          <w:tcPr>
            <w:tcW w:w="1650" w:type="dxa"/>
            <w:vAlign w:val="center"/>
          </w:tcPr>
          <w:p w:rsidR="00883270" w:rsidRDefault="00264EFC">
            <w:pPr>
              <w:jc w:val="center"/>
            </w:pPr>
            <w:r>
              <w:rPr>
                <w:sz w:val="24"/>
              </w:rPr>
              <w:t>000538</w:t>
            </w:r>
          </w:p>
        </w:tc>
        <w:tc>
          <w:tcPr>
            <w:tcW w:w="1980" w:type="dxa"/>
            <w:vAlign w:val="center"/>
          </w:tcPr>
          <w:p w:rsidR="00883270" w:rsidRDefault="00264EFC">
            <w:pPr>
              <w:jc w:val="center"/>
            </w:pPr>
            <w:r>
              <w:rPr>
                <w:sz w:val="24"/>
              </w:rPr>
              <w:t>云南白药</w:t>
            </w:r>
          </w:p>
        </w:tc>
        <w:tc>
          <w:tcPr>
            <w:tcW w:w="2879" w:type="dxa"/>
            <w:vAlign w:val="center"/>
          </w:tcPr>
          <w:p w:rsidR="00883270" w:rsidRDefault="00264EFC">
            <w:pPr>
              <w:jc w:val="right"/>
            </w:pPr>
            <w:r>
              <w:rPr>
                <w:sz w:val="24"/>
              </w:rPr>
              <w:t>16,302,715.84</w:t>
            </w:r>
          </w:p>
        </w:tc>
        <w:tc>
          <w:tcPr>
            <w:tcW w:w="1620" w:type="dxa"/>
            <w:vAlign w:val="center"/>
          </w:tcPr>
          <w:p w:rsidR="00883270" w:rsidRDefault="00264EFC">
            <w:pPr>
              <w:jc w:val="right"/>
            </w:pPr>
            <w:r>
              <w:rPr>
                <w:sz w:val="24"/>
              </w:rPr>
              <w:t>6.79</w:t>
            </w:r>
          </w:p>
        </w:tc>
      </w:tr>
      <w:tr w:rsidR="00883270">
        <w:tc>
          <w:tcPr>
            <w:tcW w:w="869" w:type="dxa"/>
            <w:vAlign w:val="center"/>
          </w:tcPr>
          <w:p w:rsidR="00883270" w:rsidRDefault="00264EFC">
            <w:pPr>
              <w:jc w:val="center"/>
            </w:pPr>
            <w:r>
              <w:rPr>
                <w:sz w:val="24"/>
              </w:rPr>
              <w:t>26</w:t>
            </w:r>
          </w:p>
        </w:tc>
        <w:tc>
          <w:tcPr>
            <w:tcW w:w="1650" w:type="dxa"/>
            <w:vAlign w:val="center"/>
          </w:tcPr>
          <w:p w:rsidR="00883270" w:rsidRDefault="00264EFC">
            <w:pPr>
              <w:jc w:val="center"/>
            </w:pPr>
            <w:r>
              <w:rPr>
                <w:sz w:val="24"/>
              </w:rPr>
              <w:t>600900</w:t>
            </w:r>
          </w:p>
        </w:tc>
        <w:tc>
          <w:tcPr>
            <w:tcW w:w="1980" w:type="dxa"/>
            <w:vAlign w:val="center"/>
          </w:tcPr>
          <w:p w:rsidR="00883270" w:rsidRDefault="00264EFC">
            <w:pPr>
              <w:jc w:val="center"/>
            </w:pPr>
            <w:r>
              <w:rPr>
                <w:sz w:val="24"/>
              </w:rPr>
              <w:t>长江电力</w:t>
            </w:r>
          </w:p>
        </w:tc>
        <w:tc>
          <w:tcPr>
            <w:tcW w:w="2879" w:type="dxa"/>
            <w:vAlign w:val="center"/>
          </w:tcPr>
          <w:p w:rsidR="00883270" w:rsidRDefault="00264EFC">
            <w:pPr>
              <w:jc w:val="right"/>
            </w:pPr>
            <w:r>
              <w:rPr>
                <w:sz w:val="24"/>
              </w:rPr>
              <w:t>16,036,037.00</w:t>
            </w:r>
          </w:p>
        </w:tc>
        <w:tc>
          <w:tcPr>
            <w:tcW w:w="1620" w:type="dxa"/>
            <w:vAlign w:val="center"/>
          </w:tcPr>
          <w:p w:rsidR="00883270" w:rsidRDefault="00264EFC">
            <w:pPr>
              <w:jc w:val="right"/>
            </w:pPr>
            <w:r>
              <w:rPr>
                <w:sz w:val="24"/>
              </w:rPr>
              <w:t>6.68</w:t>
            </w:r>
          </w:p>
        </w:tc>
      </w:tr>
      <w:tr w:rsidR="00883270">
        <w:tc>
          <w:tcPr>
            <w:tcW w:w="869" w:type="dxa"/>
            <w:vAlign w:val="center"/>
          </w:tcPr>
          <w:p w:rsidR="00883270" w:rsidRDefault="00264EFC">
            <w:pPr>
              <w:jc w:val="center"/>
            </w:pPr>
            <w:r>
              <w:rPr>
                <w:sz w:val="24"/>
              </w:rPr>
              <w:t>27</w:t>
            </w:r>
          </w:p>
        </w:tc>
        <w:tc>
          <w:tcPr>
            <w:tcW w:w="1650" w:type="dxa"/>
            <w:vAlign w:val="center"/>
          </w:tcPr>
          <w:p w:rsidR="00883270" w:rsidRDefault="00264EFC">
            <w:pPr>
              <w:jc w:val="center"/>
            </w:pPr>
            <w:r>
              <w:rPr>
                <w:sz w:val="24"/>
              </w:rPr>
              <w:t>H01088</w:t>
            </w:r>
          </w:p>
        </w:tc>
        <w:tc>
          <w:tcPr>
            <w:tcW w:w="1980" w:type="dxa"/>
            <w:vAlign w:val="center"/>
          </w:tcPr>
          <w:p w:rsidR="00883270" w:rsidRDefault="00264EFC">
            <w:pPr>
              <w:jc w:val="center"/>
            </w:pPr>
            <w:r>
              <w:rPr>
                <w:sz w:val="24"/>
              </w:rPr>
              <w:t>中国神华</w:t>
            </w:r>
          </w:p>
        </w:tc>
        <w:tc>
          <w:tcPr>
            <w:tcW w:w="2879" w:type="dxa"/>
            <w:vAlign w:val="center"/>
          </w:tcPr>
          <w:p w:rsidR="00883270" w:rsidRDefault="00264EFC">
            <w:pPr>
              <w:jc w:val="right"/>
            </w:pPr>
            <w:r>
              <w:rPr>
                <w:sz w:val="24"/>
              </w:rPr>
              <w:t>15,887,465.11</w:t>
            </w:r>
          </w:p>
        </w:tc>
        <w:tc>
          <w:tcPr>
            <w:tcW w:w="1620" w:type="dxa"/>
            <w:vAlign w:val="center"/>
          </w:tcPr>
          <w:p w:rsidR="00883270" w:rsidRDefault="00264EFC">
            <w:pPr>
              <w:jc w:val="right"/>
            </w:pPr>
            <w:r>
              <w:rPr>
                <w:sz w:val="24"/>
              </w:rPr>
              <w:t>6.62</w:t>
            </w:r>
          </w:p>
        </w:tc>
      </w:tr>
      <w:tr w:rsidR="00883270">
        <w:tc>
          <w:tcPr>
            <w:tcW w:w="869" w:type="dxa"/>
            <w:vAlign w:val="center"/>
          </w:tcPr>
          <w:p w:rsidR="00883270" w:rsidRDefault="00264EFC">
            <w:pPr>
              <w:jc w:val="center"/>
            </w:pPr>
            <w:r>
              <w:rPr>
                <w:sz w:val="24"/>
              </w:rPr>
              <w:t>28</w:t>
            </w:r>
          </w:p>
        </w:tc>
        <w:tc>
          <w:tcPr>
            <w:tcW w:w="1650" w:type="dxa"/>
            <w:vAlign w:val="center"/>
          </w:tcPr>
          <w:p w:rsidR="00883270" w:rsidRDefault="00264EFC">
            <w:pPr>
              <w:jc w:val="center"/>
            </w:pPr>
            <w:r>
              <w:rPr>
                <w:sz w:val="24"/>
              </w:rPr>
              <w:t>603986</w:t>
            </w:r>
          </w:p>
        </w:tc>
        <w:tc>
          <w:tcPr>
            <w:tcW w:w="1980" w:type="dxa"/>
            <w:vAlign w:val="center"/>
          </w:tcPr>
          <w:p w:rsidR="00883270" w:rsidRDefault="00264EFC">
            <w:pPr>
              <w:jc w:val="center"/>
            </w:pPr>
            <w:r>
              <w:rPr>
                <w:sz w:val="24"/>
              </w:rPr>
              <w:t>兆易创新</w:t>
            </w:r>
          </w:p>
        </w:tc>
        <w:tc>
          <w:tcPr>
            <w:tcW w:w="2879" w:type="dxa"/>
            <w:vAlign w:val="center"/>
          </w:tcPr>
          <w:p w:rsidR="00883270" w:rsidRDefault="00264EFC">
            <w:pPr>
              <w:jc w:val="right"/>
            </w:pPr>
            <w:r>
              <w:rPr>
                <w:sz w:val="24"/>
              </w:rPr>
              <w:t>15,659,326.00</w:t>
            </w:r>
          </w:p>
        </w:tc>
        <w:tc>
          <w:tcPr>
            <w:tcW w:w="1620" w:type="dxa"/>
            <w:vAlign w:val="center"/>
          </w:tcPr>
          <w:p w:rsidR="00883270" w:rsidRDefault="00264EFC">
            <w:pPr>
              <w:jc w:val="right"/>
            </w:pPr>
            <w:r>
              <w:rPr>
                <w:sz w:val="24"/>
              </w:rPr>
              <w:t>6.52</w:t>
            </w:r>
          </w:p>
        </w:tc>
      </w:tr>
      <w:tr w:rsidR="00883270">
        <w:tc>
          <w:tcPr>
            <w:tcW w:w="869" w:type="dxa"/>
            <w:vAlign w:val="center"/>
          </w:tcPr>
          <w:p w:rsidR="00883270" w:rsidRDefault="00264EFC">
            <w:pPr>
              <w:jc w:val="center"/>
            </w:pPr>
            <w:r>
              <w:rPr>
                <w:sz w:val="24"/>
              </w:rPr>
              <w:t>29</w:t>
            </w:r>
          </w:p>
        </w:tc>
        <w:tc>
          <w:tcPr>
            <w:tcW w:w="1650" w:type="dxa"/>
            <w:vAlign w:val="center"/>
          </w:tcPr>
          <w:p w:rsidR="00883270" w:rsidRDefault="00264EFC">
            <w:pPr>
              <w:jc w:val="center"/>
            </w:pPr>
            <w:r>
              <w:rPr>
                <w:sz w:val="24"/>
              </w:rPr>
              <w:t>H00998</w:t>
            </w:r>
          </w:p>
        </w:tc>
        <w:tc>
          <w:tcPr>
            <w:tcW w:w="1980" w:type="dxa"/>
            <w:vAlign w:val="center"/>
          </w:tcPr>
          <w:p w:rsidR="00883270" w:rsidRDefault="00264EFC">
            <w:pPr>
              <w:jc w:val="center"/>
            </w:pPr>
            <w:r>
              <w:rPr>
                <w:sz w:val="24"/>
              </w:rPr>
              <w:t>中信银行</w:t>
            </w:r>
          </w:p>
        </w:tc>
        <w:tc>
          <w:tcPr>
            <w:tcW w:w="2879" w:type="dxa"/>
            <w:vAlign w:val="center"/>
          </w:tcPr>
          <w:p w:rsidR="00883270" w:rsidRDefault="00264EFC">
            <w:pPr>
              <w:jc w:val="right"/>
            </w:pPr>
            <w:r>
              <w:rPr>
                <w:sz w:val="24"/>
              </w:rPr>
              <w:t>15,282,178.07</w:t>
            </w:r>
          </w:p>
        </w:tc>
        <w:tc>
          <w:tcPr>
            <w:tcW w:w="1620" w:type="dxa"/>
            <w:vAlign w:val="center"/>
          </w:tcPr>
          <w:p w:rsidR="00883270" w:rsidRDefault="00264EFC">
            <w:pPr>
              <w:jc w:val="right"/>
            </w:pPr>
            <w:r>
              <w:rPr>
                <w:sz w:val="24"/>
              </w:rPr>
              <w:t>6.37</w:t>
            </w:r>
          </w:p>
        </w:tc>
      </w:tr>
      <w:tr w:rsidR="00883270">
        <w:tc>
          <w:tcPr>
            <w:tcW w:w="869" w:type="dxa"/>
            <w:vAlign w:val="center"/>
          </w:tcPr>
          <w:p w:rsidR="00883270" w:rsidRDefault="00264EFC">
            <w:pPr>
              <w:jc w:val="center"/>
            </w:pPr>
            <w:r>
              <w:rPr>
                <w:sz w:val="24"/>
              </w:rPr>
              <w:t>30</w:t>
            </w:r>
          </w:p>
        </w:tc>
        <w:tc>
          <w:tcPr>
            <w:tcW w:w="1650" w:type="dxa"/>
            <w:vAlign w:val="center"/>
          </w:tcPr>
          <w:p w:rsidR="00883270" w:rsidRDefault="00264EFC">
            <w:pPr>
              <w:jc w:val="center"/>
            </w:pPr>
            <w:r>
              <w:rPr>
                <w:sz w:val="24"/>
              </w:rPr>
              <w:t>601939</w:t>
            </w:r>
          </w:p>
        </w:tc>
        <w:tc>
          <w:tcPr>
            <w:tcW w:w="1980" w:type="dxa"/>
            <w:vAlign w:val="center"/>
          </w:tcPr>
          <w:p w:rsidR="00883270" w:rsidRDefault="00264EFC">
            <w:pPr>
              <w:jc w:val="center"/>
            </w:pPr>
            <w:r>
              <w:rPr>
                <w:sz w:val="24"/>
              </w:rPr>
              <w:t>建设银行</w:t>
            </w:r>
          </w:p>
        </w:tc>
        <w:tc>
          <w:tcPr>
            <w:tcW w:w="2879" w:type="dxa"/>
            <w:vAlign w:val="center"/>
          </w:tcPr>
          <w:p w:rsidR="00883270" w:rsidRDefault="00264EFC">
            <w:pPr>
              <w:jc w:val="right"/>
            </w:pPr>
            <w:r>
              <w:rPr>
                <w:sz w:val="24"/>
              </w:rPr>
              <w:t>15,045,000.00</w:t>
            </w:r>
          </w:p>
        </w:tc>
        <w:tc>
          <w:tcPr>
            <w:tcW w:w="1620" w:type="dxa"/>
            <w:vAlign w:val="center"/>
          </w:tcPr>
          <w:p w:rsidR="00883270" w:rsidRDefault="00264EFC">
            <w:pPr>
              <w:jc w:val="right"/>
            </w:pPr>
            <w:r>
              <w:rPr>
                <w:sz w:val="24"/>
              </w:rPr>
              <w:t>6.27</w:t>
            </w:r>
          </w:p>
        </w:tc>
      </w:tr>
      <w:tr w:rsidR="00883270">
        <w:tc>
          <w:tcPr>
            <w:tcW w:w="869" w:type="dxa"/>
            <w:vAlign w:val="center"/>
          </w:tcPr>
          <w:p w:rsidR="00883270" w:rsidRDefault="00264EFC">
            <w:pPr>
              <w:jc w:val="center"/>
            </w:pPr>
            <w:r>
              <w:rPr>
                <w:sz w:val="24"/>
              </w:rPr>
              <w:t>31</w:t>
            </w:r>
          </w:p>
        </w:tc>
        <w:tc>
          <w:tcPr>
            <w:tcW w:w="1650" w:type="dxa"/>
            <w:vAlign w:val="center"/>
          </w:tcPr>
          <w:p w:rsidR="00883270" w:rsidRDefault="00264EFC">
            <w:pPr>
              <w:jc w:val="center"/>
            </w:pPr>
            <w:r>
              <w:rPr>
                <w:sz w:val="24"/>
              </w:rPr>
              <w:t>000858</w:t>
            </w:r>
          </w:p>
        </w:tc>
        <w:tc>
          <w:tcPr>
            <w:tcW w:w="1980" w:type="dxa"/>
            <w:vAlign w:val="center"/>
          </w:tcPr>
          <w:p w:rsidR="00883270" w:rsidRDefault="00264EFC">
            <w:pPr>
              <w:jc w:val="center"/>
            </w:pPr>
            <w:r>
              <w:rPr>
                <w:sz w:val="24"/>
              </w:rPr>
              <w:t>五粮液</w:t>
            </w:r>
          </w:p>
        </w:tc>
        <w:tc>
          <w:tcPr>
            <w:tcW w:w="2879" w:type="dxa"/>
            <w:vAlign w:val="center"/>
          </w:tcPr>
          <w:p w:rsidR="00883270" w:rsidRDefault="00264EFC">
            <w:pPr>
              <w:jc w:val="right"/>
            </w:pPr>
            <w:r>
              <w:rPr>
                <w:sz w:val="24"/>
              </w:rPr>
              <w:t>14,983,507.00</w:t>
            </w:r>
          </w:p>
        </w:tc>
        <w:tc>
          <w:tcPr>
            <w:tcW w:w="1620" w:type="dxa"/>
            <w:vAlign w:val="center"/>
          </w:tcPr>
          <w:p w:rsidR="00883270" w:rsidRDefault="00264EFC">
            <w:pPr>
              <w:jc w:val="right"/>
            </w:pPr>
            <w:r>
              <w:rPr>
                <w:sz w:val="24"/>
              </w:rPr>
              <w:t>6.24</w:t>
            </w:r>
          </w:p>
        </w:tc>
      </w:tr>
      <w:tr w:rsidR="00883270">
        <w:tc>
          <w:tcPr>
            <w:tcW w:w="869" w:type="dxa"/>
            <w:vAlign w:val="center"/>
          </w:tcPr>
          <w:p w:rsidR="00883270" w:rsidRDefault="00264EFC">
            <w:pPr>
              <w:jc w:val="center"/>
            </w:pPr>
            <w:r>
              <w:rPr>
                <w:sz w:val="24"/>
              </w:rPr>
              <w:t>32</w:t>
            </w:r>
          </w:p>
        </w:tc>
        <w:tc>
          <w:tcPr>
            <w:tcW w:w="1650" w:type="dxa"/>
            <w:vAlign w:val="center"/>
          </w:tcPr>
          <w:p w:rsidR="00883270" w:rsidRDefault="00264EFC">
            <w:pPr>
              <w:jc w:val="center"/>
            </w:pPr>
            <w:r>
              <w:rPr>
                <w:sz w:val="24"/>
              </w:rPr>
              <w:t>H01800</w:t>
            </w:r>
          </w:p>
        </w:tc>
        <w:tc>
          <w:tcPr>
            <w:tcW w:w="1980" w:type="dxa"/>
            <w:vAlign w:val="center"/>
          </w:tcPr>
          <w:p w:rsidR="00883270" w:rsidRDefault="00264EFC">
            <w:pPr>
              <w:jc w:val="center"/>
            </w:pPr>
            <w:r>
              <w:rPr>
                <w:sz w:val="24"/>
              </w:rPr>
              <w:t>中国交通建设</w:t>
            </w:r>
          </w:p>
        </w:tc>
        <w:tc>
          <w:tcPr>
            <w:tcW w:w="2879" w:type="dxa"/>
            <w:vAlign w:val="center"/>
          </w:tcPr>
          <w:p w:rsidR="00883270" w:rsidRDefault="00264EFC">
            <w:pPr>
              <w:jc w:val="right"/>
            </w:pPr>
            <w:r>
              <w:rPr>
                <w:sz w:val="24"/>
              </w:rPr>
              <w:t>14,174,083.50</w:t>
            </w:r>
          </w:p>
        </w:tc>
        <w:tc>
          <w:tcPr>
            <w:tcW w:w="1620" w:type="dxa"/>
            <w:vAlign w:val="center"/>
          </w:tcPr>
          <w:p w:rsidR="00883270" w:rsidRDefault="00264EFC">
            <w:pPr>
              <w:jc w:val="right"/>
            </w:pPr>
            <w:r>
              <w:rPr>
                <w:sz w:val="24"/>
              </w:rPr>
              <w:t>5.90</w:t>
            </w:r>
          </w:p>
        </w:tc>
      </w:tr>
      <w:tr w:rsidR="00883270">
        <w:tc>
          <w:tcPr>
            <w:tcW w:w="869" w:type="dxa"/>
            <w:vAlign w:val="center"/>
          </w:tcPr>
          <w:p w:rsidR="00883270" w:rsidRDefault="00264EFC">
            <w:pPr>
              <w:jc w:val="center"/>
            </w:pPr>
            <w:r>
              <w:rPr>
                <w:sz w:val="24"/>
              </w:rPr>
              <w:t>33</w:t>
            </w:r>
          </w:p>
        </w:tc>
        <w:tc>
          <w:tcPr>
            <w:tcW w:w="1650" w:type="dxa"/>
            <w:vAlign w:val="center"/>
          </w:tcPr>
          <w:p w:rsidR="00883270" w:rsidRDefault="00264EFC">
            <w:pPr>
              <w:jc w:val="center"/>
            </w:pPr>
            <w:r>
              <w:rPr>
                <w:sz w:val="24"/>
              </w:rPr>
              <w:t>600585</w:t>
            </w:r>
          </w:p>
        </w:tc>
        <w:tc>
          <w:tcPr>
            <w:tcW w:w="1980" w:type="dxa"/>
            <w:vAlign w:val="center"/>
          </w:tcPr>
          <w:p w:rsidR="00883270" w:rsidRDefault="00264EFC">
            <w:pPr>
              <w:jc w:val="center"/>
            </w:pPr>
            <w:r>
              <w:rPr>
                <w:sz w:val="24"/>
              </w:rPr>
              <w:t>海螺水泥</w:t>
            </w:r>
          </w:p>
        </w:tc>
        <w:tc>
          <w:tcPr>
            <w:tcW w:w="2879" w:type="dxa"/>
            <w:vAlign w:val="center"/>
          </w:tcPr>
          <w:p w:rsidR="00883270" w:rsidRDefault="00264EFC">
            <w:pPr>
              <w:jc w:val="right"/>
            </w:pPr>
            <w:r>
              <w:rPr>
                <w:sz w:val="24"/>
              </w:rPr>
              <w:t>13,276,011.76</w:t>
            </w:r>
          </w:p>
        </w:tc>
        <w:tc>
          <w:tcPr>
            <w:tcW w:w="1620" w:type="dxa"/>
            <w:vAlign w:val="center"/>
          </w:tcPr>
          <w:p w:rsidR="00883270" w:rsidRDefault="00264EFC">
            <w:pPr>
              <w:jc w:val="right"/>
            </w:pPr>
            <w:r>
              <w:rPr>
                <w:sz w:val="24"/>
              </w:rPr>
              <w:t>5.53</w:t>
            </w:r>
          </w:p>
        </w:tc>
      </w:tr>
      <w:tr w:rsidR="00883270">
        <w:tc>
          <w:tcPr>
            <w:tcW w:w="869" w:type="dxa"/>
            <w:vAlign w:val="center"/>
          </w:tcPr>
          <w:p w:rsidR="00883270" w:rsidRDefault="00264EFC">
            <w:pPr>
              <w:jc w:val="center"/>
            </w:pPr>
            <w:r>
              <w:rPr>
                <w:sz w:val="24"/>
              </w:rPr>
              <w:t>34</w:t>
            </w:r>
          </w:p>
        </w:tc>
        <w:tc>
          <w:tcPr>
            <w:tcW w:w="1650" w:type="dxa"/>
            <w:vAlign w:val="center"/>
          </w:tcPr>
          <w:p w:rsidR="00883270" w:rsidRDefault="00264EFC">
            <w:pPr>
              <w:jc w:val="center"/>
            </w:pPr>
            <w:r>
              <w:rPr>
                <w:sz w:val="24"/>
              </w:rPr>
              <w:t>000963</w:t>
            </w:r>
          </w:p>
        </w:tc>
        <w:tc>
          <w:tcPr>
            <w:tcW w:w="1980" w:type="dxa"/>
            <w:vAlign w:val="center"/>
          </w:tcPr>
          <w:p w:rsidR="00883270" w:rsidRDefault="00264EFC">
            <w:pPr>
              <w:jc w:val="center"/>
            </w:pPr>
            <w:r>
              <w:rPr>
                <w:sz w:val="24"/>
              </w:rPr>
              <w:t>华东医药</w:t>
            </w:r>
          </w:p>
        </w:tc>
        <w:tc>
          <w:tcPr>
            <w:tcW w:w="2879" w:type="dxa"/>
            <w:vAlign w:val="center"/>
          </w:tcPr>
          <w:p w:rsidR="00883270" w:rsidRDefault="00264EFC">
            <w:pPr>
              <w:jc w:val="right"/>
            </w:pPr>
            <w:r>
              <w:rPr>
                <w:sz w:val="24"/>
              </w:rPr>
              <w:t>12,260,717.00</w:t>
            </w:r>
          </w:p>
        </w:tc>
        <w:tc>
          <w:tcPr>
            <w:tcW w:w="1620" w:type="dxa"/>
            <w:vAlign w:val="center"/>
          </w:tcPr>
          <w:p w:rsidR="00883270" w:rsidRDefault="00264EFC">
            <w:pPr>
              <w:jc w:val="right"/>
            </w:pPr>
            <w:r>
              <w:rPr>
                <w:sz w:val="24"/>
              </w:rPr>
              <w:t>5.11</w:t>
            </w:r>
          </w:p>
        </w:tc>
      </w:tr>
      <w:tr w:rsidR="00883270">
        <w:tc>
          <w:tcPr>
            <w:tcW w:w="869" w:type="dxa"/>
            <w:vAlign w:val="center"/>
          </w:tcPr>
          <w:p w:rsidR="00883270" w:rsidRDefault="00264EFC">
            <w:pPr>
              <w:jc w:val="center"/>
            </w:pPr>
            <w:r>
              <w:rPr>
                <w:sz w:val="24"/>
              </w:rPr>
              <w:t>35</w:t>
            </w:r>
          </w:p>
        </w:tc>
        <w:tc>
          <w:tcPr>
            <w:tcW w:w="1650" w:type="dxa"/>
            <w:vAlign w:val="center"/>
          </w:tcPr>
          <w:p w:rsidR="00883270" w:rsidRDefault="00264EFC">
            <w:pPr>
              <w:jc w:val="center"/>
            </w:pPr>
            <w:r>
              <w:rPr>
                <w:sz w:val="24"/>
              </w:rPr>
              <w:t>300433</w:t>
            </w:r>
          </w:p>
        </w:tc>
        <w:tc>
          <w:tcPr>
            <w:tcW w:w="1980" w:type="dxa"/>
            <w:vAlign w:val="center"/>
          </w:tcPr>
          <w:p w:rsidR="00883270" w:rsidRDefault="00264EFC">
            <w:pPr>
              <w:jc w:val="center"/>
            </w:pPr>
            <w:r>
              <w:rPr>
                <w:sz w:val="24"/>
              </w:rPr>
              <w:t>蓝思科技</w:t>
            </w:r>
          </w:p>
        </w:tc>
        <w:tc>
          <w:tcPr>
            <w:tcW w:w="2879" w:type="dxa"/>
            <w:vAlign w:val="center"/>
          </w:tcPr>
          <w:p w:rsidR="00883270" w:rsidRDefault="00264EFC">
            <w:pPr>
              <w:jc w:val="right"/>
            </w:pPr>
            <w:r>
              <w:rPr>
                <w:sz w:val="24"/>
              </w:rPr>
              <w:t>11,571,610.00</w:t>
            </w:r>
          </w:p>
        </w:tc>
        <w:tc>
          <w:tcPr>
            <w:tcW w:w="1620" w:type="dxa"/>
            <w:vAlign w:val="center"/>
          </w:tcPr>
          <w:p w:rsidR="00883270" w:rsidRDefault="00264EFC">
            <w:pPr>
              <w:jc w:val="right"/>
            </w:pPr>
            <w:r>
              <w:rPr>
                <w:sz w:val="24"/>
              </w:rPr>
              <w:t>4.82</w:t>
            </w:r>
          </w:p>
        </w:tc>
      </w:tr>
      <w:tr w:rsidR="00883270">
        <w:tc>
          <w:tcPr>
            <w:tcW w:w="869" w:type="dxa"/>
            <w:vAlign w:val="center"/>
          </w:tcPr>
          <w:p w:rsidR="00883270" w:rsidRDefault="00264EFC">
            <w:pPr>
              <w:jc w:val="center"/>
            </w:pPr>
            <w:r>
              <w:rPr>
                <w:sz w:val="24"/>
              </w:rPr>
              <w:t>36</w:t>
            </w:r>
          </w:p>
        </w:tc>
        <w:tc>
          <w:tcPr>
            <w:tcW w:w="1650" w:type="dxa"/>
            <w:vAlign w:val="center"/>
          </w:tcPr>
          <w:p w:rsidR="00883270" w:rsidRDefault="00264EFC">
            <w:pPr>
              <w:jc w:val="center"/>
            </w:pPr>
            <w:r>
              <w:rPr>
                <w:sz w:val="24"/>
              </w:rPr>
              <w:t>002027</w:t>
            </w:r>
          </w:p>
        </w:tc>
        <w:tc>
          <w:tcPr>
            <w:tcW w:w="1980" w:type="dxa"/>
            <w:vAlign w:val="center"/>
          </w:tcPr>
          <w:p w:rsidR="00883270" w:rsidRDefault="00264EFC">
            <w:pPr>
              <w:jc w:val="center"/>
            </w:pPr>
            <w:r>
              <w:rPr>
                <w:sz w:val="24"/>
              </w:rPr>
              <w:t>分众传媒</w:t>
            </w:r>
          </w:p>
        </w:tc>
        <w:tc>
          <w:tcPr>
            <w:tcW w:w="2879" w:type="dxa"/>
            <w:vAlign w:val="center"/>
          </w:tcPr>
          <w:p w:rsidR="00883270" w:rsidRDefault="00264EFC">
            <w:pPr>
              <w:jc w:val="right"/>
            </w:pPr>
            <w:r>
              <w:rPr>
                <w:sz w:val="24"/>
              </w:rPr>
              <w:t>9,484,009.00</w:t>
            </w:r>
          </w:p>
        </w:tc>
        <w:tc>
          <w:tcPr>
            <w:tcW w:w="1620" w:type="dxa"/>
            <w:vAlign w:val="center"/>
          </w:tcPr>
          <w:p w:rsidR="00883270" w:rsidRDefault="00264EFC">
            <w:pPr>
              <w:jc w:val="right"/>
            </w:pPr>
            <w:r>
              <w:rPr>
                <w:sz w:val="24"/>
              </w:rPr>
              <w:t>3.95</w:t>
            </w:r>
          </w:p>
        </w:tc>
      </w:tr>
      <w:tr w:rsidR="00883270">
        <w:tc>
          <w:tcPr>
            <w:tcW w:w="869" w:type="dxa"/>
            <w:vAlign w:val="center"/>
          </w:tcPr>
          <w:p w:rsidR="00883270" w:rsidRDefault="00264EFC">
            <w:pPr>
              <w:jc w:val="center"/>
            </w:pPr>
            <w:r>
              <w:rPr>
                <w:sz w:val="24"/>
              </w:rPr>
              <w:t>37</w:t>
            </w:r>
          </w:p>
        </w:tc>
        <w:tc>
          <w:tcPr>
            <w:tcW w:w="1650" w:type="dxa"/>
            <w:vAlign w:val="center"/>
          </w:tcPr>
          <w:p w:rsidR="00883270" w:rsidRDefault="00264EFC">
            <w:pPr>
              <w:jc w:val="center"/>
            </w:pPr>
            <w:r>
              <w:rPr>
                <w:sz w:val="24"/>
              </w:rPr>
              <w:t>300014</w:t>
            </w:r>
          </w:p>
        </w:tc>
        <w:tc>
          <w:tcPr>
            <w:tcW w:w="1980" w:type="dxa"/>
            <w:vAlign w:val="center"/>
          </w:tcPr>
          <w:p w:rsidR="00883270" w:rsidRDefault="00264EFC">
            <w:pPr>
              <w:jc w:val="center"/>
            </w:pPr>
            <w:r>
              <w:rPr>
                <w:sz w:val="24"/>
              </w:rPr>
              <w:t>亿纬锂能</w:t>
            </w:r>
          </w:p>
        </w:tc>
        <w:tc>
          <w:tcPr>
            <w:tcW w:w="2879" w:type="dxa"/>
            <w:vAlign w:val="center"/>
          </w:tcPr>
          <w:p w:rsidR="00883270" w:rsidRDefault="00264EFC">
            <w:pPr>
              <w:jc w:val="right"/>
            </w:pPr>
            <w:r>
              <w:rPr>
                <w:sz w:val="24"/>
              </w:rPr>
              <w:t>9,398,336.00</w:t>
            </w:r>
          </w:p>
        </w:tc>
        <w:tc>
          <w:tcPr>
            <w:tcW w:w="1620" w:type="dxa"/>
            <w:vAlign w:val="center"/>
          </w:tcPr>
          <w:p w:rsidR="00883270" w:rsidRDefault="00264EFC">
            <w:pPr>
              <w:jc w:val="right"/>
            </w:pPr>
            <w:r>
              <w:rPr>
                <w:sz w:val="24"/>
              </w:rPr>
              <w:t>3.92</w:t>
            </w:r>
          </w:p>
        </w:tc>
      </w:tr>
      <w:tr w:rsidR="00883270">
        <w:tc>
          <w:tcPr>
            <w:tcW w:w="869" w:type="dxa"/>
            <w:vAlign w:val="center"/>
          </w:tcPr>
          <w:p w:rsidR="00883270" w:rsidRDefault="00264EFC">
            <w:pPr>
              <w:jc w:val="center"/>
            </w:pPr>
            <w:r>
              <w:rPr>
                <w:sz w:val="24"/>
              </w:rPr>
              <w:t>38</w:t>
            </w:r>
          </w:p>
        </w:tc>
        <w:tc>
          <w:tcPr>
            <w:tcW w:w="1650" w:type="dxa"/>
            <w:vAlign w:val="center"/>
          </w:tcPr>
          <w:p w:rsidR="00883270" w:rsidRDefault="00264EFC">
            <w:pPr>
              <w:jc w:val="center"/>
            </w:pPr>
            <w:r>
              <w:rPr>
                <w:sz w:val="24"/>
              </w:rPr>
              <w:t>H00696</w:t>
            </w:r>
          </w:p>
        </w:tc>
        <w:tc>
          <w:tcPr>
            <w:tcW w:w="1980" w:type="dxa"/>
            <w:vAlign w:val="center"/>
          </w:tcPr>
          <w:p w:rsidR="00883270" w:rsidRDefault="00264EFC">
            <w:pPr>
              <w:jc w:val="center"/>
            </w:pPr>
            <w:r>
              <w:rPr>
                <w:sz w:val="24"/>
              </w:rPr>
              <w:t>中国民航信息网络</w:t>
            </w:r>
          </w:p>
        </w:tc>
        <w:tc>
          <w:tcPr>
            <w:tcW w:w="2879" w:type="dxa"/>
            <w:vAlign w:val="center"/>
          </w:tcPr>
          <w:p w:rsidR="00883270" w:rsidRDefault="00264EFC">
            <w:pPr>
              <w:jc w:val="right"/>
            </w:pPr>
            <w:r>
              <w:rPr>
                <w:sz w:val="24"/>
              </w:rPr>
              <w:t>9,305,738.44</w:t>
            </w:r>
          </w:p>
        </w:tc>
        <w:tc>
          <w:tcPr>
            <w:tcW w:w="1620" w:type="dxa"/>
            <w:vAlign w:val="center"/>
          </w:tcPr>
          <w:p w:rsidR="00883270" w:rsidRDefault="00264EFC">
            <w:pPr>
              <w:jc w:val="right"/>
            </w:pPr>
            <w:r>
              <w:rPr>
                <w:sz w:val="24"/>
              </w:rPr>
              <w:t>3.88</w:t>
            </w:r>
          </w:p>
        </w:tc>
      </w:tr>
      <w:tr w:rsidR="00883270">
        <w:tc>
          <w:tcPr>
            <w:tcW w:w="869" w:type="dxa"/>
            <w:vAlign w:val="center"/>
          </w:tcPr>
          <w:p w:rsidR="00883270" w:rsidRDefault="00264EFC">
            <w:pPr>
              <w:jc w:val="center"/>
            </w:pPr>
            <w:r>
              <w:rPr>
                <w:sz w:val="24"/>
              </w:rPr>
              <w:t>39</w:t>
            </w:r>
          </w:p>
        </w:tc>
        <w:tc>
          <w:tcPr>
            <w:tcW w:w="1650" w:type="dxa"/>
            <w:vAlign w:val="center"/>
          </w:tcPr>
          <w:p w:rsidR="00883270" w:rsidRDefault="00264EFC">
            <w:pPr>
              <w:jc w:val="center"/>
            </w:pPr>
            <w:r>
              <w:rPr>
                <w:sz w:val="24"/>
              </w:rPr>
              <w:t>H02899</w:t>
            </w:r>
          </w:p>
        </w:tc>
        <w:tc>
          <w:tcPr>
            <w:tcW w:w="1980" w:type="dxa"/>
            <w:vAlign w:val="center"/>
          </w:tcPr>
          <w:p w:rsidR="00883270" w:rsidRDefault="00264EFC">
            <w:pPr>
              <w:jc w:val="center"/>
            </w:pPr>
            <w:r>
              <w:rPr>
                <w:sz w:val="24"/>
              </w:rPr>
              <w:t>紫金矿业</w:t>
            </w:r>
          </w:p>
        </w:tc>
        <w:tc>
          <w:tcPr>
            <w:tcW w:w="2879" w:type="dxa"/>
            <w:vAlign w:val="center"/>
          </w:tcPr>
          <w:p w:rsidR="00883270" w:rsidRDefault="00264EFC">
            <w:pPr>
              <w:jc w:val="right"/>
            </w:pPr>
            <w:r>
              <w:rPr>
                <w:sz w:val="24"/>
              </w:rPr>
              <w:t>8,485,981.40</w:t>
            </w:r>
          </w:p>
        </w:tc>
        <w:tc>
          <w:tcPr>
            <w:tcW w:w="1620" w:type="dxa"/>
            <w:vAlign w:val="center"/>
          </w:tcPr>
          <w:p w:rsidR="00883270" w:rsidRDefault="00264EFC">
            <w:pPr>
              <w:jc w:val="right"/>
            </w:pPr>
            <w:r>
              <w:rPr>
                <w:sz w:val="24"/>
              </w:rPr>
              <w:t>3.54</w:t>
            </w:r>
          </w:p>
        </w:tc>
      </w:tr>
      <w:tr w:rsidR="00883270">
        <w:tc>
          <w:tcPr>
            <w:tcW w:w="869" w:type="dxa"/>
            <w:vAlign w:val="center"/>
          </w:tcPr>
          <w:p w:rsidR="00883270" w:rsidRDefault="00264EFC">
            <w:pPr>
              <w:jc w:val="center"/>
            </w:pPr>
            <w:r>
              <w:rPr>
                <w:sz w:val="24"/>
              </w:rPr>
              <w:t>40</w:t>
            </w:r>
          </w:p>
        </w:tc>
        <w:tc>
          <w:tcPr>
            <w:tcW w:w="1650" w:type="dxa"/>
            <w:vAlign w:val="center"/>
          </w:tcPr>
          <w:p w:rsidR="00883270" w:rsidRDefault="00264EFC">
            <w:pPr>
              <w:jc w:val="center"/>
            </w:pPr>
            <w:r>
              <w:rPr>
                <w:sz w:val="24"/>
              </w:rPr>
              <w:t>000099</w:t>
            </w:r>
          </w:p>
        </w:tc>
        <w:tc>
          <w:tcPr>
            <w:tcW w:w="1980" w:type="dxa"/>
            <w:vAlign w:val="center"/>
          </w:tcPr>
          <w:p w:rsidR="00883270" w:rsidRDefault="00264EFC">
            <w:pPr>
              <w:jc w:val="center"/>
            </w:pPr>
            <w:r>
              <w:rPr>
                <w:sz w:val="24"/>
              </w:rPr>
              <w:t>中信海直</w:t>
            </w:r>
          </w:p>
        </w:tc>
        <w:tc>
          <w:tcPr>
            <w:tcW w:w="2879" w:type="dxa"/>
            <w:vAlign w:val="center"/>
          </w:tcPr>
          <w:p w:rsidR="00883270" w:rsidRDefault="00264EFC">
            <w:pPr>
              <w:jc w:val="right"/>
            </w:pPr>
            <w:r>
              <w:rPr>
                <w:sz w:val="24"/>
              </w:rPr>
              <w:t>8,376,911.00</w:t>
            </w:r>
          </w:p>
        </w:tc>
        <w:tc>
          <w:tcPr>
            <w:tcW w:w="1620" w:type="dxa"/>
            <w:vAlign w:val="center"/>
          </w:tcPr>
          <w:p w:rsidR="00883270" w:rsidRDefault="00264EFC">
            <w:pPr>
              <w:jc w:val="right"/>
            </w:pPr>
            <w:r>
              <w:rPr>
                <w:sz w:val="24"/>
              </w:rPr>
              <w:t>3.49</w:t>
            </w:r>
          </w:p>
        </w:tc>
      </w:tr>
      <w:tr w:rsidR="00883270">
        <w:tc>
          <w:tcPr>
            <w:tcW w:w="869" w:type="dxa"/>
            <w:vAlign w:val="center"/>
          </w:tcPr>
          <w:p w:rsidR="00883270" w:rsidRDefault="00264EFC">
            <w:pPr>
              <w:jc w:val="center"/>
            </w:pPr>
            <w:r>
              <w:rPr>
                <w:sz w:val="24"/>
              </w:rPr>
              <w:t>41</w:t>
            </w:r>
          </w:p>
        </w:tc>
        <w:tc>
          <w:tcPr>
            <w:tcW w:w="1650" w:type="dxa"/>
            <w:vAlign w:val="center"/>
          </w:tcPr>
          <w:p w:rsidR="00883270" w:rsidRDefault="00264EFC">
            <w:pPr>
              <w:jc w:val="center"/>
            </w:pPr>
            <w:r>
              <w:rPr>
                <w:sz w:val="24"/>
              </w:rPr>
              <w:t>H01816</w:t>
            </w:r>
          </w:p>
        </w:tc>
        <w:tc>
          <w:tcPr>
            <w:tcW w:w="1980" w:type="dxa"/>
            <w:vAlign w:val="center"/>
          </w:tcPr>
          <w:p w:rsidR="00883270" w:rsidRDefault="00264EFC">
            <w:pPr>
              <w:jc w:val="center"/>
            </w:pPr>
            <w:r>
              <w:rPr>
                <w:sz w:val="24"/>
              </w:rPr>
              <w:t>中广核电力</w:t>
            </w:r>
          </w:p>
        </w:tc>
        <w:tc>
          <w:tcPr>
            <w:tcW w:w="2879" w:type="dxa"/>
            <w:vAlign w:val="center"/>
          </w:tcPr>
          <w:p w:rsidR="00883270" w:rsidRDefault="00264EFC">
            <w:pPr>
              <w:jc w:val="right"/>
            </w:pPr>
            <w:r>
              <w:rPr>
                <w:sz w:val="24"/>
              </w:rPr>
              <w:t>8,252,290.82</w:t>
            </w:r>
          </w:p>
        </w:tc>
        <w:tc>
          <w:tcPr>
            <w:tcW w:w="1620" w:type="dxa"/>
            <w:vAlign w:val="center"/>
          </w:tcPr>
          <w:p w:rsidR="00883270" w:rsidRDefault="00264EFC">
            <w:pPr>
              <w:jc w:val="right"/>
            </w:pPr>
            <w:r>
              <w:rPr>
                <w:sz w:val="24"/>
              </w:rPr>
              <w:t>3.44</w:t>
            </w:r>
          </w:p>
        </w:tc>
      </w:tr>
      <w:tr w:rsidR="00883270">
        <w:tc>
          <w:tcPr>
            <w:tcW w:w="869" w:type="dxa"/>
            <w:vAlign w:val="center"/>
          </w:tcPr>
          <w:p w:rsidR="00883270" w:rsidRDefault="00264EFC">
            <w:pPr>
              <w:jc w:val="center"/>
            </w:pPr>
            <w:r>
              <w:rPr>
                <w:sz w:val="24"/>
              </w:rPr>
              <w:t>42</w:t>
            </w:r>
          </w:p>
        </w:tc>
        <w:tc>
          <w:tcPr>
            <w:tcW w:w="1650" w:type="dxa"/>
            <w:vAlign w:val="center"/>
          </w:tcPr>
          <w:p w:rsidR="00883270" w:rsidRDefault="00264EFC">
            <w:pPr>
              <w:jc w:val="center"/>
            </w:pPr>
            <w:r>
              <w:rPr>
                <w:sz w:val="24"/>
              </w:rPr>
              <w:t>600754</w:t>
            </w:r>
          </w:p>
        </w:tc>
        <w:tc>
          <w:tcPr>
            <w:tcW w:w="1980" w:type="dxa"/>
            <w:vAlign w:val="center"/>
          </w:tcPr>
          <w:p w:rsidR="00883270" w:rsidRDefault="00264EFC">
            <w:pPr>
              <w:jc w:val="center"/>
            </w:pPr>
            <w:r>
              <w:rPr>
                <w:sz w:val="24"/>
              </w:rPr>
              <w:t>锦江股份</w:t>
            </w:r>
          </w:p>
        </w:tc>
        <w:tc>
          <w:tcPr>
            <w:tcW w:w="2879" w:type="dxa"/>
            <w:vAlign w:val="center"/>
          </w:tcPr>
          <w:p w:rsidR="00883270" w:rsidRDefault="00264EFC">
            <w:pPr>
              <w:jc w:val="right"/>
            </w:pPr>
            <w:r>
              <w:rPr>
                <w:sz w:val="24"/>
              </w:rPr>
              <w:t>7,240,805.00</w:t>
            </w:r>
          </w:p>
        </w:tc>
        <w:tc>
          <w:tcPr>
            <w:tcW w:w="1620" w:type="dxa"/>
            <w:vAlign w:val="center"/>
          </w:tcPr>
          <w:p w:rsidR="00883270" w:rsidRDefault="00264EFC">
            <w:pPr>
              <w:jc w:val="right"/>
            </w:pPr>
            <w:r>
              <w:rPr>
                <w:sz w:val="24"/>
              </w:rPr>
              <w:t>3.02</w:t>
            </w:r>
          </w:p>
        </w:tc>
      </w:tr>
      <w:tr w:rsidR="00883270">
        <w:tc>
          <w:tcPr>
            <w:tcW w:w="869" w:type="dxa"/>
            <w:vAlign w:val="center"/>
          </w:tcPr>
          <w:p w:rsidR="00883270" w:rsidRDefault="00264EFC">
            <w:pPr>
              <w:jc w:val="center"/>
            </w:pPr>
            <w:r>
              <w:rPr>
                <w:sz w:val="24"/>
              </w:rPr>
              <w:t>43</w:t>
            </w:r>
          </w:p>
        </w:tc>
        <w:tc>
          <w:tcPr>
            <w:tcW w:w="1650" w:type="dxa"/>
            <w:vAlign w:val="center"/>
          </w:tcPr>
          <w:p w:rsidR="00883270" w:rsidRDefault="00264EFC">
            <w:pPr>
              <w:jc w:val="center"/>
            </w:pPr>
            <w:r>
              <w:rPr>
                <w:sz w:val="24"/>
              </w:rPr>
              <w:t>600887</w:t>
            </w:r>
          </w:p>
        </w:tc>
        <w:tc>
          <w:tcPr>
            <w:tcW w:w="1980" w:type="dxa"/>
            <w:vAlign w:val="center"/>
          </w:tcPr>
          <w:p w:rsidR="00883270" w:rsidRDefault="00264EFC">
            <w:pPr>
              <w:jc w:val="center"/>
            </w:pPr>
            <w:r>
              <w:rPr>
                <w:sz w:val="24"/>
              </w:rPr>
              <w:t>伊利股份</w:t>
            </w:r>
          </w:p>
        </w:tc>
        <w:tc>
          <w:tcPr>
            <w:tcW w:w="2879" w:type="dxa"/>
            <w:vAlign w:val="center"/>
          </w:tcPr>
          <w:p w:rsidR="00883270" w:rsidRDefault="00264EFC">
            <w:pPr>
              <w:jc w:val="right"/>
            </w:pPr>
            <w:r>
              <w:rPr>
                <w:sz w:val="24"/>
              </w:rPr>
              <w:t>6,808,349.00</w:t>
            </w:r>
          </w:p>
        </w:tc>
        <w:tc>
          <w:tcPr>
            <w:tcW w:w="1620" w:type="dxa"/>
            <w:vAlign w:val="center"/>
          </w:tcPr>
          <w:p w:rsidR="00883270" w:rsidRDefault="00264EFC">
            <w:pPr>
              <w:jc w:val="right"/>
            </w:pPr>
            <w:r>
              <w:rPr>
                <w:sz w:val="24"/>
              </w:rPr>
              <w:t>2.84</w:t>
            </w:r>
          </w:p>
        </w:tc>
      </w:tr>
      <w:tr w:rsidR="00883270">
        <w:tc>
          <w:tcPr>
            <w:tcW w:w="869" w:type="dxa"/>
            <w:vAlign w:val="center"/>
          </w:tcPr>
          <w:p w:rsidR="00883270" w:rsidRDefault="00264EFC">
            <w:pPr>
              <w:jc w:val="center"/>
            </w:pPr>
            <w:r>
              <w:rPr>
                <w:sz w:val="24"/>
              </w:rPr>
              <w:t>44</w:t>
            </w:r>
          </w:p>
        </w:tc>
        <w:tc>
          <w:tcPr>
            <w:tcW w:w="1650" w:type="dxa"/>
            <w:vAlign w:val="center"/>
          </w:tcPr>
          <w:p w:rsidR="00883270" w:rsidRDefault="00264EFC">
            <w:pPr>
              <w:jc w:val="center"/>
            </w:pPr>
            <w:r>
              <w:rPr>
                <w:sz w:val="24"/>
              </w:rPr>
              <w:t>H01093</w:t>
            </w:r>
          </w:p>
        </w:tc>
        <w:tc>
          <w:tcPr>
            <w:tcW w:w="1980" w:type="dxa"/>
            <w:vAlign w:val="center"/>
          </w:tcPr>
          <w:p w:rsidR="00883270" w:rsidRDefault="00264EFC">
            <w:pPr>
              <w:jc w:val="center"/>
            </w:pPr>
            <w:r>
              <w:rPr>
                <w:sz w:val="24"/>
              </w:rPr>
              <w:t>石药集团</w:t>
            </w:r>
          </w:p>
        </w:tc>
        <w:tc>
          <w:tcPr>
            <w:tcW w:w="2879" w:type="dxa"/>
            <w:vAlign w:val="center"/>
          </w:tcPr>
          <w:p w:rsidR="00883270" w:rsidRDefault="00264EFC">
            <w:pPr>
              <w:jc w:val="right"/>
            </w:pPr>
            <w:r>
              <w:rPr>
                <w:sz w:val="24"/>
              </w:rPr>
              <w:t>5,942,307.78</w:t>
            </w:r>
          </w:p>
        </w:tc>
        <w:tc>
          <w:tcPr>
            <w:tcW w:w="1620" w:type="dxa"/>
            <w:vAlign w:val="center"/>
          </w:tcPr>
          <w:p w:rsidR="00883270" w:rsidRDefault="00264EFC">
            <w:pPr>
              <w:jc w:val="right"/>
            </w:pPr>
            <w:r>
              <w:rPr>
                <w:sz w:val="24"/>
              </w:rPr>
              <w:t>2.48</w:t>
            </w:r>
          </w:p>
        </w:tc>
      </w:tr>
      <w:tr w:rsidR="00883270">
        <w:tc>
          <w:tcPr>
            <w:tcW w:w="869" w:type="dxa"/>
            <w:vAlign w:val="center"/>
          </w:tcPr>
          <w:p w:rsidR="00883270" w:rsidRDefault="00264EFC">
            <w:pPr>
              <w:jc w:val="center"/>
            </w:pPr>
            <w:r>
              <w:rPr>
                <w:sz w:val="24"/>
              </w:rPr>
              <w:t>45</w:t>
            </w:r>
          </w:p>
        </w:tc>
        <w:tc>
          <w:tcPr>
            <w:tcW w:w="1650" w:type="dxa"/>
            <w:vAlign w:val="center"/>
          </w:tcPr>
          <w:p w:rsidR="00883270" w:rsidRDefault="00264EFC">
            <w:pPr>
              <w:jc w:val="center"/>
            </w:pPr>
            <w:r>
              <w:rPr>
                <w:sz w:val="24"/>
              </w:rPr>
              <w:t>H00881</w:t>
            </w:r>
          </w:p>
        </w:tc>
        <w:tc>
          <w:tcPr>
            <w:tcW w:w="1980" w:type="dxa"/>
            <w:vAlign w:val="center"/>
          </w:tcPr>
          <w:p w:rsidR="00883270" w:rsidRDefault="00264EFC">
            <w:pPr>
              <w:jc w:val="center"/>
            </w:pPr>
            <w:r>
              <w:rPr>
                <w:sz w:val="24"/>
              </w:rPr>
              <w:t>中升控股</w:t>
            </w:r>
          </w:p>
        </w:tc>
        <w:tc>
          <w:tcPr>
            <w:tcW w:w="2879" w:type="dxa"/>
            <w:vAlign w:val="center"/>
          </w:tcPr>
          <w:p w:rsidR="00883270" w:rsidRDefault="00264EFC">
            <w:pPr>
              <w:jc w:val="right"/>
            </w:pPr>
            <w:r>
              <w:rPr>
                <w:sz w:val="24"/>
              </w:rPr>
              <w:t>5,701,298.61</w:t>
            </w:r>
          </w:p>
        </w:tc>
        <w:tc>
          <w:tcPr>
            <w:tcW w:w="1620" w:type="dxa"/>
            <w:vAlign w:val="center"/>
          </w:tcPr>
          <w:p w:rsidR="00883270" w:rsidRDefault="00264EFC">
            <w:pPr>
              <w:jc w:val="right"/>
            </w:pPr>
            <w:r>
              <w:rPr>
                <w:sz w:val="24"/>
              </w:rPr>
              <w:t>2.38</w:t>
            </w:r>
          </w:p>
        </w:tc>
      </w:tr>
      <w:tr w:rsidR="00883270">
        <w:tc>
          <w:tcPr>
            <w:tcW w:w="869" w:type="dxa"/>
            <w:vAlign w:val="center"/>
          </w:tcPr>
          <w:p w:rsidR="00883270" w:rsidRDefault="00264EFC">
            <w:pPr>
              <w:jc w:val="center"/>
            </w:pPr>
            <w:r>
              <w:rPr>
                <w:sz w:val="24"/>
              </w:rPr>
              <w:t>46</w:t>
            </w:r>
          </w:p>
        </w:tc>
        <w:tc>
          <w:tcPr>
            <w:tcW w:w="1650" w:type="dxa"/>
            <w:vAlign w:val="center"/>
          </w:tcPr>
          <w:p w:rsidR="00883270" w:rsidRDefault="00264EFC">
            <w:pPr>
              <w:jc w:val="center"/>
            </w:pPr>
            <w:r>
              <w:rPr>
                <w:sz w:val="24"/>
              </w:rPr>
              <w:t>H01208</w:t>
            </w:r>
          </w:p>
        </w:tc>
        <w:tc>
          <w:tcPr>
            <w:tcW w:w="1980" w:type="dxa"/>
            <w:vAlign w:val="center"/>
          </w:tcPr>
          <w:p w:rsidR="00883270" w:rsidRDefault="00264EFC">
            <w:pPr>
              <w:jc w:val="center"/>
            </w:pPr>
            <w:r>
              <w:rPr>
                <w:sz w:val="24"/>
              </w:rPr>
              <w:t>五矿资源</w:t>
            </w:r>
          </w:p>
        </w:tc>
        <w:tc>
          <w:tcPr>
            <w:tcW w:w="2879" w:type="dxa"/>
            <w:vAlign w:val="center"/>
          </w:tcPr>
          <w:p w:rsidR="00883270" w:rsidRDefault="00264EFC">
            <w:pPr>
              <w:jc w:val="right"/>
            </w:pPr>
            <w:r>
              <w:rPr>
                <w:sz w:val="24"/>
              </w:rPr>
              <w:t>5,607,345.65</w:t>
            </w:r>
          </w:p>
        </w:tc>
        <w:tc>
          <w:tcPr>
            <w:tcW w:w="1620" w:type="dxa"/>
            <w:vAlign w:val="center"/>
          </w:tcPr>
          <w:p w:rsidR="00883270" w:rsidRDefault="00264EFC">
            <w:pPr>
              <w:jc w:val="right"/>
            </w:pPr>
            <w:r>
              <w:rPr>
                <w:sz w:val="24"/>
              </w:rPr>
              <w:t>2.34</w:t>
            </w:r>
          </w:p>
        </w:tc>
      </w:tr>
      <w:tr w:rsidR="00883270">
        <w:tc>
          <w:tcPr>
            <w:tcW w:w="869" w:type="dxa"/>
            <w:vAlign w:val="center"/>
          </w:tcPr>
          <w:p w:rsidR="00883270" w:rsidRDefault="00264EFC">
            <w:pPr>
              <w:jc w:val="center"/>
            </w:pPr>
            <w:r>
              <w:rPr>
                <w:sz w:val="24"/>
              </w:rPr>
              <w:t>47</w:t>
            </w:r>
          </w:p>
        </w:tc>
        <w:tc>
          <w:tcPr>
            <w:tcW w:w="1650" w:type="dxa"/>
            <w:vAlign w:val="center"/>
          </w:tcPr>
          <w:p w:rsidR="00883270" w:rsidRDefault="00264EFC">
            <w:pPr>
              <w:jc w:val="center"/>
            </w:pPr>
            <w:r>
              <w:rPr>
                <w:sz w:val="24"/>
              </w:rPr>
              <w:t>H01308</w:t>
            </w:r>
          </w:p>
        </w:tc>
        <w:tc>
          <w:tcPr>
            <w:tcW w:w="1980" w:type="dxa"/>
            <w:vAlign w:val="center"/>
          </w:tcPr>
          <w:p w:rsidR="00883270" w:rsidRDefault="00264EFC">
            <w:pPr>
              <w:jc w:val="center"/>
            </w:pPr>
            <w:r>
              <w:rPr>
                <w:sz w:val="24"/>
              </w:rPr>
              <w:t>海丰国际</w:t>
            </w:r>
          </w:p>
        </w:tc>
        <w:tc>
          <w:tcPr>
            <w:tcW w:w="2879" w:type="dxa"/>
            <w:vAlign w:val="center"/>
          </w:tcPr>
          <w:p w:rsidR="00883270" w:rsidRDefault="00264EFC">
            <w:pPr>
              <w:jc w:val="right"/>
            </w:pPr>
            <w:r>
              <w:rPr>
                <w:sz w:val="24"/>
              </w:rPr>
              <w:t>5,341,079.79</w:t>
            </w:r>
          </w:p>
        </w:tc>
        <w:tc>
          <w:tcPr>
            <w:tcW w:w="1620" w:type="dxa"/>
            <w:vAlign w:val="center"/>
          </w:tcPr>
          <w:p w:rsidR="00883270" w:rsidRDefault="00264EFC">
            <w:pPr>
              <w:jc w:val="right"/>
            </w:pPr>
            <w:r>
              <w:rPr>
                <w:sz w:val="24"/>
              </w:rPr>
              <w:t>2.23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83270">
        <w:tc>
          <w:tcPr>
            <w:tcW w:w="869" w:type="dxa"/>
            <w:vAlign w:val="center"/>
          </w:tcPr>
          <w:p w:rsidR="00883270" w:rsidRDefault="00264EFC">
            <w:pPr>
              <w:jc w:val="center"/>
            </w:pPr>
            <w:r>
              <w:t>1</w:t>
            </w:r>
          </w:p>
        </w:tc>
        <w:tc>
          <w:tcPr>
            <w:tcW w:w="1650" w:type="dxa"/>
            <w:vAlign w:val="center"/>
          </w:tcPr>
          <w:p w:rsidR="00883270" w:rsidRDefault="00264EFC">
            <w:pPr>
              <w:jc w:val="center"/>
            </w:pPr>
            <w:r>
              <w:t>H00960</w:t>
            </w:r>
          </w:p>
        </w:tc>
        <w:tc>
          <w:tcPr>
            <w:tcW w:w="1980" w:type="dxa"/>
            <w:vAlign w:val="center"/>
          </w:tcPr>
          <w:p w:rsidR="00883270" w:rsidRDefault="00264EFC">
            <w:pPr>
              <w:jc w:val="center"/>
            </w:pPr>
            <w:r>
              <w:t>龙湖集团</w:t>
            </w:r>
          </w:p>
        </w:tc>
        <w:tc>
          <w:tcPr>
            <w:tcW w:w="2879" w:type="dxa"/>
            <w:vAlign w:val="center"/>
          </w:tcPr>
          <w:p w:rsidR="00883270" w:rsidRDefault="00264EFC">
            <w:pPr>
              <w:jc w:val="right"/>
            </w:pPr>
            <w:r>
              <w:t>32,402,851.39</w:t>
            </w:r>
          </w:p>
        </w:tc>
        <w:tc>
          <w:tcPr>
            <w:tcW w:w="1620" w:type="dxa"/>
            <w:vAlign w:val="center"/>
          </w:tcPr>
          <w:p w:rsidR="00883270" w:rsidRDefault="00264EFC">
            <w:pPr>
              <w:jc w:val="right"/>
            </w:pPr>
            <w:r>
              <w:t>13.50</w:t>
            </w:r>
          </w:p>
        </w:tc>
      </w:tr>
      <w:tr w:rsidR="00883270">
        <w:tc>
          <w:tcPr>
            <w:tcW w:w="869" w:type="dxa"/>
            <w:vAlign w:val="center"/>
          </w:tcPr>
          <w:p w:rsidR="00883270" w:rsidRDefault="00264EFC">
            <w:pPr>
              <w:jc w:val="center"/>
            </w:pPr>
            <w:r>
              <w:t>2</w:t>
            </w:r>
          </w:p>
        </w:tc>
        <w:tc>
          <w:tcPr>
            <w:tcW w:w="1650" w:type="dxa"/>
            <w:vAlign w:val="center"/>
          </w:tcPr>
          <w:p w:rsidR="00883270" w:rsidRDefault="00264EFC">
            <w:pPr>
              <w:jc w:val="center"/>
            </w:pPr>
            <w:r>
              <w:t>H00027</w:t>
            </w:r>
          </w:p>
        </w:tc>
        <w:tc>
          <w:tcPr>
            <w:tcW w:w="1980" w:type="dxa"/>
            <w:vAlign w:val="center"/>
          </w:tcPr>
          <w:p w:rsidR="00883270" w:rsidRDefault="00264EFC">
            <w:pPr>
              <w:jc w:val="center"/>
            </w:pPr>
            <w:r>
              <w:t>银河娱乐</w:t>
            </w:r>
          </w:p>
        </w:tc>
        <w:tc>
          <w:tcPr>
            <w:tcW w:w="2879" w:type="dxa"/>
            <w:vAlign w:val="center"/>
          </w:tcPr>
          <w:p w:rsidR="00883270" w:rsidRDefault="00264EFC">
            <w:pPr>
              <w:jc w:val="right"/>
            </w:pPr>
            <w:r>
              <w:t>26,332,748.64</w:t>
            </w:r>
          </w:p>
        </w:tc>
        <w:tc>
          <w:tcPr>
            <w:tcW w:w="1620" w:type="dxa"/>
            <w:vAlign w:val="center"/>
          </w:tcPr>
          <w:p w:rsidR="00883270" w:rsidRDefault="00264EFC">
            <w:pPr>
              <w:jc w:val="right"/>
            </w:pPr>
            <w:r>
              <w:t>10.97</w:t>
            </w:r>
          </w:p>
        </w:tc>
      </w:tr>
      <w:tr w:rsidR="00883270">
        <w:tc>
          <w:tcPr>
            <w:tcW w:w="869" w:type="dxa"/>
            <w:vAlign w:val="center"/>
          </w:tcPr>
          <w:p w:rsidR="00883270" w:rsidRDefault="00264EFC">
            <w:pPr>
              <w:jc w:val="center"/>
            </w:pPr>
            <w:r>
              <w:t>3</w:t>
            </w:r>
          </w:p>
        </w:tc>
        <w:tc>
          <w:tcPr>
            <w:tcW w:w="1650" w:type="dxa"/>
            <w:vAlign w:val="center"/>
          </w:tcPr>
          <w:p w:rsidR="00883270" w:rsidRDefault="00264EFC">
            <w:pPr>
              <w:jc w:val="center"/>
            </w:pPr>
            <w:r>
              <w:t>600885</w:t>
            </w:r>
          </w:p>
        </w:tc>
        <w:tc>
          <w:tcPr>
            <w:tcW w:w="1980" w:type="dxa"/>
            <w:vAlign w:val="center"/>
          </w:tcPr>
          <w:p w:rsidR="00883270" w:rsidRDefault="00264EFC">
            <w:pPr>
              <w:jc w:val="center"/>
            </w:pPr>
            <w:r>
              <w:t>宏发股份</w:t>
            </w:r>
          </w:p>
        </w:tc>
        <w:tc>
          <w:tcPr>
            <w:tcW w:w="2879" w:type="dxa"/>
            <w:vAlign w:val="center"/>
          </w:tcPr>
          <w:p w:rsidR="00883270" w:rsidRDefault="00264EFC">
            <w:pPr>
              <w:jc w:val="right"/>
            </w:pPr>
            <w:r>
              <w:t>24,348,716.00</w:t>
            </w:r>
          </w:p>
        </w:tc>
        <w:tc>
          <w:tcPr>
            <w:tcW w:w="1620" w:type="dxa"/>
            <w:vAlign w:val="center"/>
          </w:tcPr>
          <w:p w:rsidR="00883270" w:rsidRDefault="00264EFC">
            <w:pPr>
              <w:jc w:val="right"/>
            </w:pPr>
            <w:r>
              <w:t>10.14</w:t>
            </w:r>
          </w:p>
        </w:tc>
      </w:tr>
      <w:tr w:rsidR="00883270">
        <w:tc>
          <w:tcPr>
            <w:tcW w:w="869" w:type="dxa"/>
            <w:vAlign w:val="center"/>
          </w:tcPr>
          <w:p w:rsidR="00883270" w:rsidRDefault="00264EFC">
            <w:pPr>
              <w:jc w:val="center"/>
            </w:pPr>
            <w:r>
              <w:t>4</w:t>
            </w:r>
          </w:p>
        </w:tc>
        <w:tc>
          <w:tcPr>
            <w:tcW w:w="1650" w:type="dxa"/>
            <w:vAlign w:val="center"/>
          </w:tcPr>
          <w:p w:rsidR="00883270" w:rsidRDefault="00264EFC">
            <w:pPr>
              <w:jc w:val="center"/>
            </w:pPr>
            <w:r>
              <w:t>H00881</w:t>
            </w:r>
          </w:p>
        </w:tc>
        <w:tc>
          <w:tcPr>
            <w:tcW w:w="1980" w:type="dxa"/>
            <w:vAlign w:val="center"/>
          </w:tcPr>
          <w:p w:rsidR="00883270" w:rsidRDefault="00264EFC">
            <w:pPr>
              <w:jc w:val="center"/>
            </w:pPr>
            <w:r>
              <w:t>中升控股</w:t>
            </w:r>
          </w:p>
        </w:tc>
        <w:tc>
          <w:tcPr>
            <w:tcW w:w="2879" w:type="dxa"/>
            <w:vAlign w:val="center"/>
          </w:tcPr>
          <w:p w:rsidR="00883270" w:rsidRDefault="00264EFC">
            <w:pPr>
              <w:jc w:val="right"/>
            </w:pPr>
            <w:r>
              <w:t>22,773,834.80</w:t>
            </w:r>
          </w:p>
        </w:tc>
        <w:tc>
          <w:tcPr>
            <w:tcW w:w="1620" w:type="dxa"/>
            <w:vAlign w:val="center"/>
          </w:tcPr>
          <w:p w:rsidR="00883270" w:rsidRDefault="00264EFC">
            <w:pPr>
              <w:jc w:val="right"/>
            </w:pPr>
            <w:r>
              <w:t>9.49</w:t>
            </w:r>
          </w:p>
        </w:tc>
      </w:tr>
      <w:tr w:rsidR="00883270">
        <w:tc>
          <w:tcPr>
            <w:tcW w:w="869" w:type="dxa"/>
            <w:vAlign w:val="center"/>
          </w:tcPr>
          <w:p w:rsidR="00883270" w:rsidRDefault="00264EFC">
            <w:pPr>
              <w:jc w:val="center"/>
            </w:pPr>
            <w:r>
              <w:t>5</w:t>
            </w:r>
          </w:p>
        </w:tc>
        <w:tc>
          <w:tcPr>
            <w:tcW w:w="1650" w:type="dxa"/>
            <w:vAlign w:val="center"/>
          </w:tcPr>
          <w:p w:rsidR="00883270" w:rsidRDefault="00264EFC">
            <w:pPr>
              <w:jc w:val="center"/>
            </w:pPr>
            <w:r>
              <w:t>000725</w:t>
            </w:r>
          </w:p>
        </w:tc>
        <w:tc>
          <w:tcPr>
            <w:tcW w:w="1980" w:type="dxa"/>
            <w:vAlign w:val="center"/>
          </w:tcPr>
          <w:p w:rsidR="00883270" w:rsidRDefault="00264EFC">
            <w:pPr>
              <w:jc w:val="center"/>
            </w:pPr>
            <w:r>
              <w:t>京东方</w:t>
            </w:r>
            <w:r>
              <w:t>A</w:t>
            </w:r>
          </w:p>
        </w:tc>
        <w:tc>
          <w:tcPr>
            <w:tcW w:w="2879" w:type="dxa"/>
            <w:vAlign w:val="center"/>
          </w:tcPr>
          <w:p w:rsidR="00883270" w:rsidRDefault="00264EFC">
            <w:pPr>
              <w:jc w:val="right"/>
            </w:pPr>
            <w:r>
              <w:t>22,603,846.42</w:t>
            </w:r>
          </w:p>
        </w:tc>
        <w:tc>
          <w:tcPr>
            <w:tcW w:w="1620" w:type="dxa"/>
            <w:vAlign w:val="center"/>
          </w:tcPr>
          <w:p w:rsidR="00883270" w:rsidRDefault="00264EFC">
            <w:pPr>
              <w:jc w:val="right"/>
            </w:pPr>
            <w:r>
              <w:t>9.42</w:t>
            </w:r>
          </w:p>
        </w:tc>
      </w:tr>
      <w:tr w:rsidR="00883270">
        <w:tc>
          <w:tcPr>
            <w:tcW w:w="869" w:type="dxa"/>
            <w:vAlign w:val="center"/>
          </w:tcPr>
          <w:p w:rsidR="00883270" w:rsidRDefault="00264EFC">
            <w:pPr>
              <w:jc w:val="center"/>
            </w:pPr>
            <w:r>
              <w:t>6</w:t>
            </w:r>
          </w:p>
        </w:tc>
        <w:tc>
          <w:tcPr>
            <w:tcW w:w="1650" w:type="dxa"/>
            <w:vAlign w:val="center"/>
          </w:tcPr>
          <w:p w:rsidR="00883270" w:rsidRDefault="00264EFC">
            <w:pPr>
              <w:jc w:val="center"/>
            </w:pPr>
            <w:r>
              <w:t>601318</w:t>
            </w:r>
          </w:p>
        </w:tc>
        <w:tc>
          <w:tcPr>
            <w:tcW w:w="1980" w:type="dxa"/>
            <w:vAlign w:val="center"/>
          </w:tcPr>
          <w:p w:rsidR="00883270" w:rsidRDefault="00264EFC">
            <w:pPr>
              <w:jc w:val="center"/>
            </w:pPr>
            <w:r>
              <w:t>中国平安</w:t>
            </w:r>
          </w:p>
        </w:tc>
        <w:tc>
          <w:tcPr>
            <w:tcW w:w="2879" w:type="dxa"/>
            <w:vAlign w:val="center"/>
          </w:tcPr>
          <w:p w:rsidR="00883270" w:rsidRDefault="00264EFC">
            <w:pPr>
              <w:jc w:val="right"/>
            </w:pPr>
            <w:r>
              <w:t>21,687,934.00</w:t>
            </w:r>
          </w:p>
        </w:tc>
        <w:tc>
          <w:tcPr>
            <w:tcW w:w="1620" w:type="dxa"/>
            <w:vAlign w:val="center"/>
          </w:tcPr>
          <w:p w:rsidR="00883270" w:rsidRDefault="00264EFC">
            <w:pPr>
              <w:jc w:val="right"/>
            </w:pPr>
            <w:r>
              <w:t>9.04</w:t>
            </w:r>
          </w:p>
        </w:tc>
      </w:tr>
      <w:tr w:rsidR="00883270">
        <w:tc>
          <w:tcPr>
            <w:tcW w:w="869" w:type="dxa"/>
            <w:vAlign w:val="center"/>
          </w:tcPr>
          <w:p w:rsidR="00883270" w:rsidRDefault="00264EFC">
            <w:pPr>
              <w:jc w:val="center"/>
            </w:pPr>
            <w:r>
              <w:t>7</w:t>
            </w:r>
          </w:p>
        </w:tc>
        <w:tc>
          <w:tcPr>
            <w:tcW w:w="1650" w:type="dxa"/>
            <w:vAlign w:val="center"/>
          </w:tcPr>
          <w:p w:rsidR="00883270" w:rsidRDefault="00264EFC">
            <w:pPr>
              <w:jc w:val="center"/>
            </w:pPr>
            <w:r>
              <w:t>H00868</w:t>
            </w:r>
          </w:p>
        </w:tc>
        <w:tc>
          <w:tcPr>
            <w:tcW w:w="1980" w:type="dxa"/>
            <w:vAlign w:val="center"/>
          </w:tcPr>
          <w:p w:rsidR="00883270" w:rsidRDefault="00264EFC">
            <w:pPr>
              <w:jc w:val="center"/>
            </w:pPr>
            <w:r>
              <w:t>信义玻璃</w:t>
            </w:r>
          </w:p>
        </w:tc>
        <w:tc>
          <w:tcPr>
            <w:tcW w:w="2879" w:type="dxa"/>
            <w:vAlign w:val="center"/>
          </w:tcPr>
          <w:p w:rsidR="00883270" w:rsidRDefault="00264EFC">
            <w:pPr>
              <w:jc w:val="right"/>
            </w:pPr>
            <w:r>
              <w:t>21,679,063.78</w:t>
            </w:r>
          </w:p>
        </w:tc>
        <w:tc>
          <w:tcPr>
            <w:tcW w:w="1620" w:type="dxa"/>
            <w:vAlign w:val="center"/>
          </w:tcPr>
          <w:p w:rsidR="00883270" w:rsidRDefault="00264EFC">
            <w:pPr>
              <w:jc w:val="right"/>
            </w:pPr>
            <w:r>
              <w:t>9.03</w:t>
            </w:r>
          </w:p>
        </w:tc>
      </w:tr>
      <w:tr w:rsidR="00883270">
        <w:tc>
          <w:tcPr>
            <w:tcW w:w="869" w:type="dxa"/>
            <w:vAlign w:val="center"/>
          </w:tcPr>
          <w:p w:rsidR="00883270" w:rsidRDefault="00264EFC">
            <w:pPr>
              <w:jc w:val="center"/>
            </w:pPr>
            <w:r>
              <w:t>8</w:t>
            </w:r>
          </w:p>
        </w:tc>
        <w:tc>
          <w:tcPr>
            <w:tcW w:w="1650" w:type="dxa"/>
            <w:vAlign w:val="center"/>
          </w:tcPr>
          <w:p w:rsidR="00883270" w:rsidRDefault="00264EFC">
            <w:pPr>
              <w:jc w:val="center"/>
            </w:pPr>
            <w:r>
              <w:t>H01055</w:t>
            </w:r>
          </w:p>
        </w:tc>
        <w:tc>
          <w:tcPr>
            <w:tcW w:w="1980" w:type="dxa"/>
            <w:vAlign w:val="center"/>
          </w:tcPr>
          <w:p w:rsidR="00883270" w:rsidRDefault="00264EFC">
            <w:pPr>
              <w:jc w:val="center"/>
            </w:pPr>
            <w:r>
              <w:t>中国南方航空股份</w:t>
            </w:r>
          </w:p>
        </w:tc>
        <w:tc>
          <w:tcPr>
            <w:tcW w:w="2879" w:type="dxa"/>
            <w:vAlign w:val="center"/>
          </w:tcPr>
          <w:p w:rsidR="00883270" w:rsidRDefault="00264EFC">
            <w:pPr>
              <w:jc w:val="right"/>
            </w:pPr>
            <w:r>
              <w:t>21,142,096.05</w:t>
            </w:r>
          </w:p>
        </w:tc>
        <w:tc>
          <w:tcPr>
            <w:tcW w:w="1620" w:type="dxa"/>
            <w:vAlign w:val="center"/>
          </w:tcPr>
          <w:p w:rsidR="00883270" w:rsidRDefault="00264EFC">
            <w:pPr>
              <w:jc w:val="right"/>
            </w:pPr>
            <w:r>
              <w:t>8.81</w:t>
            </w:r>
          </w:p>
        </w:tc>
      </w:tr>
      <w:tr w:rsidR="00883270">
        <w:tc>
          <w:tcPr>
            <w:tcW w:w="869" w:type="dxa"/>
            <w:vAlign w:val="center"/>
          </w:tcPr>
          <w:p w:rsidR="00883270" w:rsidRDefault="00264EFC">
            <w:pPr>
              <w:jc w:val="center"/>
            </w:pPr>
            <w:r>
              <w:t>9</w:t>
            </w:r>
          </w:p>
        </w:tc>
        <w:tc>
          <w:tcPr>
            <w:tcW w:w="1650" w:type="dxa"/>
            <w:vAlign w:val="center"/>
          </w:tcPr>
          <w:p w:rsidR="00883270" w:rsidRDefault="00264EFC">
            <w:pPr>
              <w:jc w:val="center"/>
            </w:pPr>
            <w:r>
              <w:t>H00966</w:t>
            </w:r>
          </w:p>
        </w:tc>
        <w:tc>
          <w:tcPr>
            <w:tcW w:w="1980" w:type="dxa"/>
            <w:vAlign w:val="center"/>
          </w:tcPr>
          <w:p w:rsidR="00883270" w:rsidRDefault="00264EFC">
            <w:pPr>
              <w:jc w:val="center"/>
            </w:pPr>
            <w:r>
              <w:t>中国太平</w:t>
            </w:r>
          </w:p>
        </w:tc>
        <w:tc>
          <w:tcPr>
            <w:tcW w:w="2879" w:type="dxa"/>
            <w:vAlign w:val="center"/>
          </w:tcPr>
          <w:p w:rsidR="00883270" w:rsidRDefault="00264EFC">
            <w:pPr>
              <w:jc w:val="right"/>
            </w:pPr>
            <w:r>
              <w:t>19,689,675.10</w:t>
            </w:r>
          </w:p>
        </w:tc>
        <w:tc>
          <w:tcPr>
            <w:tcW w:w="1620" w:type="dxa"/>
            <w:vAlign w:val="center"/>
          </w:tcPr>
          <w:p w:rsidR="00883270" w:rsidRDefault="00264EFC">
            <w:pPr>
              <w:jc w:val="right"/>
            </w:pPr>
            <w:r>
              <w:t>8.20</w:t>
            </w:r>
          </w:p>
        </w:tc>
      </w:tr>
      <w:tr w:rsidR="00883270">
        <w:tc>
          <w:tcPr>
            <w:tcW w:w="869" w:type="dxa"/>
            <w:vAlign w:val="center"/>
          </w:tcPr>
          <w:p w:rsidR="00883270" w:rsidRDefault="00264EFC">
            <w:pPr>
              <w:jc w:val="center"/>
            </w:pPr>
            <w:r>
              <w:t>10</w:t>
            </w:r>
          </w:p>
        </w:tc>
        <w:tc>
          <w:tcPr>
            <w:tcW w:w="1650" w:type="dxa"/>
            <w:vAlign w:val="center"/>
          </w:tcPr>
          <w:p w:rsidR="00883270" w:rsidRDefault="00264EFC">
            <w:pPr>
              <w:jc w:val="center"/>
            </w:pPr>
            <w:r>
              <w:t>H02688</w:t>
            </w:r>
          </w:p>
        </w:tc>
        <w:tc>
          <w:tcPr>
            <w:tcW w:w="1980" w:type="dxa"/>
            <w:vAlign w:val="center"/>
          </w:tcPr>
          <w:p w:rsidR="00883270" w:rsidRDefault="00264EFC">
            <w:pPr>
              <w:jc w:val="center"/>
            </w:pPr>
            <w:r>
              <w:t>新奥能源</w:t>
            </w:r>
          </w:p>
        </w:tc>
        <w:tc>
          <w:tcPr>
            <w:tcW w:w="2879" w:type="dxa"/>
            <w:vAlign w:val="center"/>
          </w:tcPr>
          <w:p w:rsidR="00883270" w:rsidRDefault="00264EFC">
            <w:pPr>
              <w:jc w:val="right"/>
            </w:pPr>
            <w:r>
              <w:t>18,751,725.00</w:t>
            </w:r>
          </w:p>
        </w:tc>
        <w:tc>
          <w:tcPr>
            <w:tcW w:w="1620" w:type="dxa"/>
            <w:vAlign w:val="center"/>
          </w:tcPr>
          <w:p w:rsidR="00883270" w:rsidRDefault="00264EFC">
            <w:pPr>
              <w:jc w:val="right"/>
            </w:pPr>
            <w:r>
              <w:t>7.81</w:t>
            </w:r>
          </w:p>
        </w:tc>
      </w:tr>
      <w:tr w:rsidR="00883270">
        <w:tc>
          <w:tcPr>
            <w:tcW w:w="869" w:type="dxa"/>
            <w:vAlign w:val="center"/>
          </w:tcPr>
          <w:p w:rsidR="00883270" w:rsidRDefault="00264EFC">
            <w:pPr>
              <w:jc w:val="center"/>
            </w:pPr>
            <w:r>
              <w:t>11</w:t>
            </w:r>
          </w:p>
        </w:tc>
        <w:tc>
          <w:tcPr>
            <w:tcW w:w="1650" w:type="dxa"/>
            <w:vAlign w:val="center"/>
          </w:tcPr>
          <w:p w:rsidR="00883270" w:rsidRDefault="00264EFC">
            <w:pPr>
              <w:jc w:val="center"/>
            </w:pPr>
            <w:r>
              <w:t>600690</w:t>
            </w:r>
          </w:p>
        </w:tc>
        <w:tc>
          <w:tcPr>
            <w:tcW w:w="1980" w:type="dxa"/>
            <w:vAlign w:val="center"/>
          </w:tcPr>
          <w:p w:rsidR="00883270" w:rsidRDefault="00264EFC">
            <w:pPr>
              <w:jc w:val="center"/>
            </w:pPr>
            <w:r>
              <w:t>青岛海尔</w:t>
            </w:r>
          </w:p>
        </w:tc>
        <w:tc>
          <w:tcPr>
            <w:tcW w:w="2879" w:type="dxa"/>
            <w:vAlign w:val="center"/>
          </w:tcPr>
          <w:p w:rsidR="00883270" w:rsidRDefault="00264EFC">
            <w:pPr>
              <w:jc w:val="right"/>
            </w:pPr>
            <w:r>
              <w:t>18,565,358.00</w:t>
            </w:r>
          </w:p>
        </w:tc>
        <w:tc>
          <w:tcPr>
            <w:tcW w:w="1620" w:type="dxa"/>
            <w:vAlign w:val="center"/>
          </w:tcPr>
          <w:p w:rsidR="00883270" w:rsidRDefault="00264EFC">
            <w:pPr>
              <w:jc w:val="right"/>
            </w:pPr>
            <w:r>
              <w:t>7.73</w:t>
            </w:r>
          </w:p>
        </w:tc>
      </w:tr>
      <w:tr w:rsidR="00883270">
        <w:tc>
          <w:tcPr>
            <w:tcW w:w="869" w:type="dxa"/>
            <w:vAlign w:val="center"/>
          </w:tcPr>
          <w:p w:rsidR="00883270" w:rsidRDefault="00264EFC">
            <w:pPr>
              <w:jc w:val="center"/>
            </w:pPr>
            <w:r>
              <w:t>12</w:t>
            </w:r>
          </w:p>
        </w:tc>
        <w:tc>
          <w:tcPr>
            <w:tcW w:w="1650" w:type="dxa"/>
            <w:vAlign w:val="center"/>
          </w:tcPr>
          <w:p w:rsidR="00883270" w:rsidRDefault="00264EFC">
            <w:pPr>
              <w:jc w:val="center"/>
            </w:pPr>
            <w:r>
              <w:t>H00388</w:t>
            </w:r>
          </w:p>
        </w:tc>
        <w:tc>
          <w:tcPr>
            <w:tcW w:w="1980" w:type="dxa"/>
            <w:vAlign w:val="center"/>
          </w:tcPr>
          <w:p w:rsidR="00883270" w:rsidRDefault="00264EFC">
            <w:pPr>
              <w:jc w:val="center"/>
            </w:pPr>
            <w:r>
              <w:t>香港交易所</w:t>
            </w:r>
          </w:p>
        </w:tc>
        <w:tc>
          <w:tcPr>
            <w:tcW w:w="2879" w:type="dxa"/>
            <w:vAlign w:val="center"/>
          </w:tcPr>
          <w:p w:rsidR="00883270" w:rsidRDefault="00264EFC">
            <w:pPr>
              <w:jc w:val="right"/>
            </w:pPr>
            <w:r>
              <w:t>17,703,275.80</w:t>
            </w:r>
          </w:p>
        </w:tc>
        <w:tc>
          <w:tcPr>
            <w:tcW w:w="1620" w:type="dxa"/>
            <w:vAlign w:val="center"/>
          </w:tcPr>
          <w:p w:rsidR="00883270" w:rsidRDefault="00264EFC">
            <w:pPr>
              <w:jc w:val="right"/>
            </w:pPr>
            <w:r>
              <w:t>7.38</w:t>
            </w:r>
          </w:p>
        </w:tc>
      </w:tr>
      <w:tr w:rsidR="00883270">
        <w:tc>
          <w:tcPr>
            <w:tcW w:w="869" w:type="dxa"/>
            <w:vAlign w:val="center"/>
          </w:tcPr>
          <w:p w:rsidR="00883270" w:rsidRDefault="00264EFC">
            <w:pPr>
              <w:jc w:val="center"/>
            </w:pPr>
            <w:r>
              <w:t>13</w:t>
            </w:r>
          </w:p>
        </w:tc>
        <w:tc>
          <w:tcPr>
            <w:tcW w:w="1650" w:type="dxa"/>
            <w:vAlign w:val="center"/>
          </w:tcPr>
          <w:p w:rsidR="00883270" w:rsidRDefault="00264EFC">
            <w:pPr>
              <w:jc w:val="center"/>
            </w:pPr>
            <w:r>
              <w:t>H00688</w:t>
            </w:r>
          </w:p>
        </w:tc>
        <w:tc>
          <w:tcPr>
            <w:tcW w:w="1980" w:type="dxa"/>
            <w:vAlign w:val="center"/>
          </w:tcPr>
          <w:p w:rsidR="00883270" w:rsidRDefault="00264EFC">
            <w:pPr>
              <w:jc w:val="center"/>
            </w:pPr>
            <w:r>
              <w:t>中国海外发展</w:t>
            </w:r>
          </w:p>
        </w:tc>
        <w:tc>
          <w:tcPr>
            <w:tcW w:w="2879" w:type="dxa"/>
            <w:vAlign w:val="center"/>
          </w:tcPr>
          <w:p w:rsidR="00883270" w:rsidRDefault="00264EFC">
            <w:pPr>
              <w:jc w:val="right"/>
            </w:pPr>
            <w:r>
              <w:t>17,572,079.54</w:t>
            </w:r>
          </w:p>
        </w:tc>
        <w:tc>
          <w:tcPr>
            <w:tcW w:w="1620" w:type="dxa"/>
            <w:vAlign w:val="center"/>
          </w:tcPr>
          <w:p w:rsidR="00883270" w:rsidRDefault="00264EFC">
            <w:pPr>
              <w:jc w:val="right"/>
            </w:pPr>
            <w:r>
              <w:t>7.32</w:t>
            </w:r>
          </w:p>
        </w:tc>
      </w:tr>
      <w:tr w:rsidR="00883270">
        <w:tc>
          <w:tcPr>
            <w:tcW w:w="869" w:type="dxa"/>
            <w:vAlign w:val="center"/>
          </w:tcPr>
          <w:p w:rsidR="00883270" w:rsidRDefault="00264EFC">
            <w:pPr>
              <w:jc w:val="center"/>
            </w:pPr>
            <w:r>
              <w:t>14</w:t>
            </w:r>
          </w:p>
        </w:tc>
        <w:tc>
          <w:tcPr>
            <w:tcW w:w="1650" w:type="dxa"/>
            <w:vAlign w:val="center"/>
          </w:tcPr>
          <w:p w:rsidR="00883270" w:rsidRDefault="00264EFC">
            <w:pPr>
              <w:jc w:val="center"/>
            </w:pPr>
            <w:r>
              <w:t>H03988</w:t>
            </w:r>
          </w:p>
        </w:tc>
        <w:tc>
          <w:tcPr>
            <w:tcW w:w="1980" w:type="dxa"/>
            <w:vAlign w:val="center"/>
          </w:tcPr>
          <w:p w:rsidR="00883270" w:rsidRDefault="00264EFC">
            <w:pPr>
              <w:jc w:val="center"/>
            </w:pPr>
            <w:r>
              <w:t>中国银行</w:t>
            </w:r>
          </w:p>
        </w:tc>
        <w:tc>
          <w:tcPr>
            <w:tcW w:w="2879" w:type="dxa"/>
            <w:vAlign w:val="center"/>
          </w:tcPr>
          <w:p w:rsidR="00883270" w:rsidRDefault="00264EFC">
            <w:pPr>
              <w:jc w:val="right"/>
            </w:pPr>
            <w:r>
              <w:t>17,082,480.21</w:t>
            </w:r>
          </w:p>
        </w:tc>
        <w:tc>
          <w:tcPr>
            <w:tcW w:w="1620" w:type="dxa"/>
            <w:vAlign w:val="center"/>
          </w:tcPr>
          <w:p w:rsidR="00883270" w:rsidRDefault="00264EFC">
            <w:pPr>
              <w:jc w:val="right"/>
            </w:pPr>
            <w:r>
              <w:t>7.12</w:t>
            </w:r>
          </w:p>
        </w:tc>
      </w:tr>
      <w:tr w:rsidR="00883270">
        <w:tc>
          <w:tcPr>
            <w:tcW w:w="869" w:type="dxa"/>
            <w:vAlign w:val="center"/>
          </w:tcPr>
          <w:p w:rsidR="00883270" w:rsidRDefault="00264EFC">
            <w:pPr>
              <w:jc w:val="center"/>
            </w:pPr>
            <w:r>
              <w:t>15</w:t>
            </w:r>
          </w:p>
        </w:tc>
        <w:tc>
          <w:tcPr>
            <w:tcW w:w="1650" w:type="dxa"/>
            <w:vAlign w:val="center"/>
          </w:tcPr>
          <w:p w:rsidR="00883270" w:rsidRDefault="00264EFC">
            <w:pPr>
              <w:jc w:val="center"/>
            </w:pPr>
            <w:r>
              <w:t>H01171</w:t>
            </w:r>
          </w:p>
        </w:tc>
        <w:tc>
          <w:tcPr>
            <w:tcW w:w="1980" w:type="dxa"/>
            <w:vAlign w:val="center"/>
          </w:tcPr>
          <w:p w:rsidR="00883270" w:rsidRDefault="00264EFC">
            <w:pPr>
              <w:jc w:val="center"/>
            </w:pPr>
            <w:r>
              <w:t>兖州煤业股份</w:t>
            </w:r>
          </w:p>
        </w:tc>
        <w:tc>
          <w:tcPr>
            <w:tcW w:w="2879" w:type="dxa"/>
            <w:vAlign w:val="center"/>
          </w:tcPr>
          <w:p w:rsidR="00883270" w:rsidRDefault="00264EFC">
            <w:pPr>
              <w:jc w:val="right"/>
            </w:pPr>
            <w:r>
              <w:t>16,161,605.11</w:t>
            </w:r>
          </w:p>
        </w:tc>
        <w:tc>
          <w:tcPr>
            <w:tcW w:w="1620" w:type="dxa"/>
            <w:vAlign w:val="center"/>
          </w:tcPr>
          <w:p w:rsidR="00883270" w:rsidRDefault="00264EFC">
            <w:pPr>
              <w:jc w:val="right"/>
            </w:pPr>
            <w:r>
              <w:t>6.73</w:t>
            </w:r>
          </w:p>
        </w:tc>
      </w:tr>
      <w:tr w:rsidR="00883270">
        <w:tc>
          <w:tcPr>
            <w:tcW w:w="869" w:type="dxa"/>
            <w:vAlign w:val="center"/>
          </w:tcPr>
          <w:p w:rsidR="00883270" w:rsidRDefault="00264EFC">
            <w:pPr>
              <w:jc w:val="center"/>
            </w:pPr>
            <w:r>
              <w:t>16</w:t>
            </w:r>
          </w:p>
        </w:tc>
        <w:tc>
          <w:tcPr>
            <w:tcW w:w="1650" w:type="dxa"/>
            <w:vAlign w:val="center"/>
          </w:tcPr>
          <w:p w:rsidR="00883270" w:rsidRDefault="00264EFC">
            <w:pPr>
              <w:jc w:val="center"/>
            </w:pPr>
            <w:r>
              <w:t>H00998</w:t>
            </w:r>
          </w:p>
        </w:tc>
        <w:tc>
          <w:tcPr>
            <w:tcW w:w="1980" w:type="dxa"/>
            <w:vAlign w:val="center"/>
          </w:tcPr>
          <w:p w:rsidR="00883270" w:rsidRDefault="00264EFC">
            <w:pPr>
              <w:jc w:val="center"/>
            </w:pPr>
            <w:r>
              <w:t>中信银行</w:t>
            </w:r>
          </w:p>
        </w:tc>
        <w:tc>
          <w:tcPr>
            <w:tcW w:w="2879" w:type="dxa"/>
            <w:vAlign w:val="center"/>
          </w:tcPr>
          <w:p w:rsidR="00883270" w:rsidRDefault="00264EFC">
            <w:pPr>
              <w:jc w:val="right"/>
            </w:pPr>
            <w:r>
              <w:t>15,263,727.66</w:t>
            </w:r>
          </w:p>
        </w:tc>
        <w:tc>
          <w:tcPr>
            <w:tcW w:w="1620" w:type="dxa"/>
            <w:vAlign w:val="center"/>
          </w:tcPr>
          <w:p w:rsidR="00883270" w:rsidRDefault="00264EFC">
            <w:pPr>
              <w:jc w:val="right"/>
            </w:pPr>
            <w:r>
              <w:t>6.36</w:t>
            </w:r>
          </w:p>
        </w:tc>
      </w:tr>
      <w:tr w:rsidR="00883270">
        <w:tc>
          <w:tcPr>
            <w:tcW w:w="869" w:type="dxa"/>
            <w:vAlign w:val="center"/>
          </w:tcPr>
          <w:p w:rsidR="00883270" w:rsidRDefault="00264EFC">
            <w:pPr>
              <w:jc w:val="center"/>
            </w:pPr>
            <w:r>
              <w:t>17</w:t>
            </w:r>
          </w:p>
        </w:tc>
        <w:tc>
          <w:tcPr>
            <w:tcW w:w="1650" w:type="dxa"/>
            <w:vAlign w:val="center"/>
          </w:tcPr>
          <w:p w:rsidR="00883270" w:rsidRDefault="00264EFC">
            <w:pPr>
              <w:jc w:val="center"/>
            </w:pPr>
            <w:r>
              <w:t>603986</w:t>
            </w:r>
          </w:p>
        </w:tc>
        <w:tc>
          <w:tcPr>
            <w:tcW w:w="1980" w:type="dxa"/>
            <w:vAlign w:val="center"/>
          </w:tcPr>
          <w:p w:rsidR="00883270" w:rsidRDefault="00264EFC">
            <w:pPr>
              <w:jc w:val="center"/>
            </w:pPr>
            <w:r>
              <w:t>兆易创新</w:t>
            </w:r>
          </w:p>
        </w:tc>
        <w:tc>
          <w:tcPr>
            <w:tcW w:w="2879" w:type="dxa"/>
            <w:vAlign w:val="center"/>
          </w:tcPr>
          <w:p w:rsidR="00883270" w:rsidRDefault="00264EFC">
            <w:pPr>
              <w:jc w:val="right"/>
            </w:pPr>
            <w:r>
              <w:t>14,305,885.10</w:t>
            </w:r>
          </w:p>
        </w:tc>
        <w:tc>
          <w:tcPr>
            <w:tcW w:w="1620" w:type="dxa"/>
            <w:vAlign w:val="center"/>
          </w:tcPr>
          <w:p w:rsidR="00883270" w:rsidRDefault="00264EFC">
            <w:pPr>
              <w:jc w:val="right"/>
            </w:pPr>
            <w:r>
              <w:t>5.96</w:t>
            </w:r>
          </w:p>
        </w:tc>
      </w:tr>
      <w:tr w:rsidR="00883270">
        <w:tc>
          <w:tcPr>
            <w:tcW w:w="869" w:type="dxa"/>
            <w:vAlign w:val="center"/>
          </w:tcPr>
          <w:p w:rsidR="00883270" w:rsidRDefault="00264EFC">
            <w:pPr>
              <w:jc w:val="center"/>
            </w:pPr>
            <w:r>
              <w:t>18</w:t>
            </w:r>
          </w:p>
        </w:tc>
        <w:tc>
          <w:tcPr>
            <w:tcW w:w="1650" w:type="dxa"/>
            <w:vAlign w:val="center"/>
          </w:tcPr>
          <w:p w:rsidR="00883270" w:rsidRDefault="00264EFC">
            <w:pPr>
              <w:jc w:val="center"/>
            </w:pPr>
            <w:r>
              <w:t>H01088</w:t>
            </w:r>
          </w:p>
        </w:tc>
        <w:tc>
          <w:tcPr>
            <w:tcW w:w="1980" w:type="dxa"/>
            <w:vAlign w:val="center"/>
          </w:tcPr>
          <w:p w:rsidR="00883270" w:rsidRDefault="00264EFC">
            <w:pPr>
              <w:jc w:val="center"/>
            </w:pPr>
            <w:r>
              <w:t>中国神华</w:t>
            </w:r>
          </w:p>
        </w:tc>
        <w:tc>
          <w:tcPr>
            <w:tcW w:w="2879" w:type="dxa"/>
            <w:vAlign w:val="center"/>
          </w:tcPr>
          <w:p w:rsidR="00883270" w:rsidRDefault="00264EFC">
            <w:pPr>
              <w:jc w:val="right"/>
            </w:pPr>
            <w:r>
              <w:t>12,393,969.87</w:t>
            </w:r>
          </w:p>
        </w:tc>
        <w:tc>
          <w:tcPr>
            <w:tcW w:w="1620" w:type="dxa"/>
            <w:vAlign w:val="center"/>
          </w:tcPr>
          <w:p w:rsidR="00883270" w:rsidRDefault="00264EFC">
            <w:pPr>
              <w:jc w:val="right"/>
            </w:pPr>
            <w:r>
              <w:t>5.16</w:t>
            </w:r>
          </w:p>
        </w:tc>
      </w:tr>
      <w:tr w:rsidR="00883270">
        <w:tc>
          <w:tcPr>
            <w:tcW w:w="869" w:type="dxa"/>
            <w:vAlign w:val="center"/>
          </w:tcPr>
          <w:p w:rsidR="00883270" w:rsidRDefault="00264EFC">
            <w:pPr>
              <w:jc w:val="center"/>
            </w:pPr>
            <w:r>
              <w:t>19</w:t>
            </w:r>
          </w:p>
        </w:tc>
        <w:tc>
          <w:tcPr>
            <w:tcW w:w="1650" w:type="dxa"/>
            <w:vAlign w:val="center"/>
          </w:tcPr>
          <w:p w:rsidR="00883270" w:rsidRDefault="00264EFC">
            <w:pPr>
              <w:jc w:val="center"/>
            </w:pPr>
            <w:r>
              <w:t>H00817</w:t>
            </w:r>
          </w:p>
        </w:tc>
        <w:tc>
          <w:tcPr>
            <w:tcW w:w="1980" w:type="dxa"/>
            <w:vAlign w:val="center"/>
          </w:tcPr>
          <w:p w:rsidR="00883270" w:rsidRDefault="00264EFC">
            <w:pPr>
              <w:jc w:val="center"/>
            </w:pPr>
            <w:r>
              <w:t>中国金茂</w:t>
            </w:r>
          </w:p>
        </w:tc>
        <w:tc>
          <w:tcPr>
            <w:tcW w:w="2879" w:type="dxa"/>
            <w:vAlign w:val="center"/>
          </w:tcPr>
          <w:p w:rsidR="00883270" w:rsidRDefault="00264EFC">
            <w:pPr>
              <w:jc w:val="right"/>
            </w:pPr>
            <w:r>
              <w:t>11,606,091.47</w:t>
            </w:r>
          </w:p>
        </w:tc>
        <w:tc>
          <w:tcPr>
            <w:tcW w:w="1620" w:type="dxa"/>
            <w:vAlign w:val="center"/>
          </w:tcPr>
          <w:p w:rsidR="00883270" w:rsidRDefault="00264EFC">
            <w:pPr>
              <w:jc w:val="right"/>
            </w:pPr>
            <w:r>
              <w:t>4.84</w:t>
            </w:r>
          </w:p>
        </w:tc>
      </w:tr>
      <w:tr w:rsidR="00883270">
        <w:tc>
          <w:tcPr>
            <w:tcW w:w="869" w:type="dxa"/>
            <w:vAlign w:val="center"/>
          </w:tcPr>
          <w:p w:rsidR="00883270" w:rsidRDefault="00264EFC">
            <w:pPr>
              <w:jc w:val="center"/>
            </w:pPr>
            <w:r>
              <w:t>20</w:t>
            </w:r>
          </w:p>
        </w:tc>
        <w:tc>
          <w:tcPr>
            <w:tcW w:w="1650" w:type="dxa"/>
            <w:vAlign w:val="center"/>
          </w:tcPr>
          <w:p w:rsidR="00883270" w:rsidRDefault="00264EFC">
            <w:pPr>
              <w:jc w:val="center"/>
            </w:pPr>
            <w:r>
              <w:t>600887</w:t>
            </w:r>
          </w:p>
        </w:tc>
        <w:tc>
          <w:tcPr>
            <w:tcW w:w="1980" w:type="dxa"/>
            <w:vAlign w:val="center"/>
          </w:tcPr>
          <w:p w:rsidR="00883270" w:rsidRDefault="00264EFC">
            <w:pPr>
              <w:jc w:val="center"/>
            </w:pPr>
            <w:r>
              <w:t>伊利股份</w:t>
            </w:r>
          </w:p>
        </w:tc>
        <w:tc>
          <w:tcPr>
            <w:tcW w:w="2879" w:type="dxa"/>
            <w:vAlign w:val="center"/>
          </w:tcPr>
          <w:p w:rsidR="00883270" w:rsidRDefault="00264EFC">
            <w:pPr>
              <w:jc w:val="right"/>
            </w:pPr>
            <w:r>
              <w:t>11,496,289.00</w:t>
            </w:r>
          </w:p>
        </w:tc>
        <w:tc>
          <w:tcPr>
            <w:tcW w:w="1620" w:type="dxa"/>
            <w:vAlign w:val="center"/>
          </w:tcPr>
          <w:p w:rsidR="00883270" w:rsidRDefault="00264EFC">
            <w:pPr>
              <w:jc w:val="right"/>
            </w:pPr>
            <w:r>
              <w:t>4.79</w:t>
            </w:r>
          </w:p>
        </w:tc>
      </w:tr>
      <w:tr w:rsidR="00883270">
        <w:tc>
          <w:tcPr>
            <w:tcW w:w="869" w:type="dxa"/>
            <w:vAlign w:val="center"/>
          </w:tcPr>
          <w:p w:rsidR="00883270" w:rsidRDefault="00264EFC">
            <w:pPr>
              <w:jc w:val="center"/>
            </w:pPr>
            <w:r>
              <w:t>21</w:t>
            </w:r>
          </w:p>
        </w:tc>
        <w:tc>
          <w:tcPr>
            <w:tcW w:w="1650" w:type="dxa"/>
            <w:vAlign w:val="center"/>
          </w:tcPr>
          <w:p w:rsidR="00883270" w:rsidRDefault="00264EFC">
            <w:pPr>
              <w:jc w:val="center"/>
            </w:pPr>
            <w:r>
              <w:t>H01169</w:t>
            </w:r>
          </w:p>
        </w:tc>
        <w:tc>
          <w:tcPr>
            <w:tcW w:w="1980" w:type="dxa"/>
            <w:vAlign w:val="center"/>
          </w:tcPr>
          <w:p w:rsidR="00883270" w:rsidRDefault="00264EFC">
            <w:pPr>
              <w:jc w:val="center"/>
            </w:pPr>
            <w:r>
              <w:t>海尔电器</w:t>
            </w:r>
          </w:p>
        </w:tc>
        <w:tc>
          <w:tcPr>
            <w:tcW w:w="2879" w:type="dxa"/>
            <w:vAlign w:val="center"/>
          </w:tcPr>
          <w:p w:rsidR="00883270" w:rsidRDefault="00264EFC">
            <w:pPr>
              <w:jc w:val="right"/>
            </w:pPr>
            <w:r>
              <w:t>10,162,248.28</w:t>
            </w:r>
          </w:p>
        </w:tc>
        <w:tc>
          <w:tcPr>
            <w:tcW w:w="1620" w:type="dxa"/>
            <w:vAlign w:val="center"/>
          </w:tcPr>
          <w:p w:rsidR="00883270" w:rsidRDefault="00264EFC">
            <w:pPr>
              <w:jc w:val="right"/>
            </w:pPr>
            <w:r>
              <w:t>4.23</w:t>
            </w:r>
          </w:p>
        </w:tc>
      </w:tr>
      <w:tr w:rsidR="00883270">
        <w:tc>
          <w:tcPr>
            <w:tcW w:w="869" w:type="dxa"/>
            <w:vAlign w:val="center"/>
          </w:tcPr>
          <w:p w:rsidR="00883270" w:rsidRDefault="00264EFC">
            <w:pPr>
              <w:jc w:val="center"/>
            </w:pPr>
            <w:r>
              <w:t>22</w:t>
            </w:r>
          </w:p>
        </w:tc>
        <w:tc>
          <w:tcPr>
            <w:tcW w:w="1650" w:type="dxa"/>
            <w:vAlign w:val="center"/>
          </w:tcPr>
          <w:p w:rsidR="00883270" w:rsidRDefault="00264EFC">
            <w:pPr>
              <w:jc w:val="center"/>
            </w:pPr>
            <w:r>
              <w:t>H00939</w:t>
            </w:r>
          </w:p>
        </w:tc>
        <w:tc>
          <w:tcPr>
            <w:tcW w:w="1980" w:type="dxa"/>
            <w:vAlign w:val="center"/>
          </w:tcPr>
          <w:p w:rsidR="00883270" w:rsidRDefault="00264EFC">
            <w:pPr>
              <w:jc w:val="center"/>
            </w:pPr>
            <w:r>
              <w:t>建设银行</w:t>
            </w:r>
          </w:p>
        </w:tc>
        <w:tc>
          <w:tcPr>
            <w:tcW w:w="2879" w:type="dxa"/>
            <w:vAlign w:val="center"/>
          </w:tcPr>
          <w:p w:rsidR="00883270" w:rsidRDefault="00264EFC">
            <w:pPr>
              <w:jc w:val="right"/>
            </w:pPr>
            <w:r>
              <w:t>9,600,785.22</w:t>
            </w:r>
          </w:p>
        </w:tc>
        <w:tc>
          <w:tcPr>
            <w:tcW w:w="1620" w:type="dxa"/>
            <w:vAlign w:val="center"/>
          </w:tcPr>
          <w:p w:rsidR="00883270" w:rsidRDefault="00264EFC">
            <w:pPr>
              <w:jc w:val="right"/>
            </w:pPr>
            <w:r>
              <w:t>4.00</w:t>
            </w:r>
          </w:p>
        </w:tc>
      </w:tr>
      <w:tr w:rsidR="00883270">
        <w:tc>
          <w:tcPr>
            <w:tcW w:w="869" w:type="dxa"/>
            <w:vAlign w:val="center"/>
          </w:tcPr>
          <w:p w:rsidR="00883270" w:rsidRDefault="00264EFC">
            <w:pPr>
              <w:jc w:val="center"/>
            </w:pPr>
            <w:r>
              <w:t>23</w:t>
            </w:r>
          </w:p>
        </w:tc>
        <w:tc>
          <w:tcPr>
            <w:tcW w:w="1650" w:type="dxa"/>
            <w:vAlign w:val="center"/>
          </w:tcPr>
          <w:p w:rsidR="00883270" w:rsidRDefault="00264EFC">
            <w:pPr>
              <w:jc w:val="center"/>
            </w:pPr>
            <w:r>
              <w:t>002027</w:t>
            </w:r>
          </w:p>
        </w:tc>
        <w:tc>
          <w:tcPr>
            <w:tcW w:w="1980" w:type="dxa"/>
            <w:vAlign w:val="center"/>
          </w:tcPr>
          <w:p w:rsidR="00883270" w:rsidRDefault="00264EFC">
            <w:pPr>
              <w:jc w:val="center"/>
            </w:pPr>
            <w:r>
              <w:t>分众传媒</w:t>
            </w:r>
          </w:p>
        </w:tc>
        <w:tc>
          <w:tcPr>
            <w:tcW w:w="2879" w:type="dxa"/>
            <w:vAlign w:val="center"/>
          </w:tcPr>
          <w:p w:rsidR="00883270" w:rsidRDefault="00264EFC">
            <w:pPr>
              <w:jc w:val="right"/>
            </w:pPr>
            <w:r>
              <w:t>9,081,385.23</w:t>
            </w:r>
          </w:p>
        </w:tc>
        <w:tc>
          <w:tcPr>
            <w:tcW w:w="1620" w:type="dxa"/>
            <w:vAlign w:val="center"/>
          </w:tcPr>
          <w:p w:rsidR="00883270" w:rsidRDefault="00264EFC">
            <w:pPr>
              <w:jc w:val="right"/>
            </w:pPr>
            <w:r>
              <w:t>3.78</w:t>
            </w:r>
          </w:p>
        </w:tc>
      </w:tr>
      <w:tr w:rsidR="00883270">
        <w:tc>
          <w:tcPr>
            <w:tcW w:w="869" w:type="dxa"/>
            <w:vAlign w:val="center"/>
          </w:tcPr>
          <w:p w:rsidR="00883270" w:rsidRDefault="00264EFC">
            <w:pPr>
              <w:jc w:val="center"/>
            </w:pPr>
            <w:r>
              <w:t>24</w:t>
            </w:r>
          </w:p>
        </w:tc>
        <w:tc>
          <w:tcPr>
            <w:tcW w:w="1650" w:type="dxa"/>
            <w:vAlign w:val="center"/>
          </w:tcPr>
          <w:p w:rsidR="00883270" w:rsidRDefault="00264EFC">
            <w:pPr>
              <w:jc w:val="center"/>
            </w:pPr>
            <w:r>
              <w:t>H01816</w:t>
            </w:r>
          </w:p>
        </w:tc>
        <w:tc>
          <w:tcPr>
            <w:tcW w:w="1980" w:type="dxa"/>
            <w:vAlign w:val="center"/>
          </w:tcPr>
          <w:p w:rsidR="00883270" w:rsidRDefault="00264EFC">
            <w:pPr>
              <w:jc w:val="center"/>
            </w:pPr>
            <w:r>
              <w:t>中广核电力</w:t>
            </w:r>
          </w:p>
        </w:tc>
        <w:tc>
          <w:tcPr>
            <w:tcW w:w="2879" w:type="dxa"/>
            <w:vAlign w:val="center"/>
          </w:tcPr>
          <w:p w:rsidR="00883270" w:rsidRDefault="00264EFC">
            <w:pPr>
              <w:jc w:val="right"/>
            </w:pPr>
            <w:r>
              <w:t>8,497,232.93</w:t>
            </w:r>
          </w:p>
        </w:tc>
        <w:tc>
          <w:tcPr>
            <w:tcW w:w="1620" w:type="dxa"/>
            <w:vAlign w:val="center"/>
          </w:tcPr>
          <w:p w:rsidR="00883270" w:rsidRDefault="00264EFC">
            <w:pPr>
              <w:jc w:val="right"/>
            </w:pPr>
            <w:r>
              <w:t>3.54</w:t>
            </w:r>
          </w:p>
        </w:tc>
      </w:tr>
      <w:tr w:rsidR="00883270">
        <w:tc>
          <w:tcPr>
            <w:tcW w:w="869" w:type="dxa"/>
            <w:vAlign w:val="center"/>
          </w:tcPr>
          <w:p w:rsidR="00883270" w:rsidRDefault="00264EFC">
            <w:pPr>
              <w:jc w:val="center"/>
            </w:pPr>
            <w:r>
              <w:t>25</w:t>
            </w:r>
          </w:p>
        </w:tc>
        <w:tc>
          <w:tcPr>
            <w:tcW w:w="1650" w:type="dxa"/>
            <w:vAlign w:val="center"/>
          </w:tcPr>
          <w:p w:rsidR="00883270" w:rsidRDefault="00264EFC">
            <w:pPr>
              <w:jc w:val="center"/>
            </w:pPr>
            <w:r>
              <w:t>H02899</w:t>
            </w:r>
          </w:p>
        </w:tc>
        <w:tc>
          <w:tcPr>
            <w:tcW w:w="1980" w:type="dxa"/>
            <w:vAlign w:val="center"/>
          </w:tcPr>
          <w:p w:rsidR="00883270" w:rsidRDefault="00264EFC">
            <w:pPr>
              <w:jc w:val="center"/>
            </w:pPr>
            <w:r>
              <w:t>紫金矿业</w:t>
            </w:r>
          </w:p>
        </w:tc>
        <w:tc>
          <w:tcPr>
            <w:tcW w:w="2879" w:type="dxa"/>
            <w:vAlign w:val="center"/>
          </w:tcPr>
          <w:p w:rsidR="00883270" w:rsidRDefault="00264EFC">
            <w:pPr>
              <w:jc w:val="right"/>
            </w:pPr>
            <w:r>
              <w:t>8,491,479.86</w:t>
            </w:r>
          </w:p>
        </w:tc>
        <w:tc>
          <w:tcPr>
            <w:tcW w:w="1620" w:type="dxa"/>
            <w:vAlign w:val="center"/>
          </w:tcPr>
          <w:p w:rsidR="00883270" w:rsidRDefault="00264EFC">
            <w:pPr>
              <w:jc w:val="right"/>
            </w:pPr>
            <w:r>
              <w:t>3.54</w:t>
            </w:r>
          </w:p>
        </w:tc>
      </w:tr>
      <w:tr w:rsidR="00883270">
        <w:tc>
          <w:tcPr>
            <w:tcW w:w="869" w:type="dxa"/>
            <w:vAlign w:val="center"/>
          </w:tcPr>
          <w:p w:rsidR="00883270" w:rsidRDefault="00264EFC">
            <w:pPr>
              <w:jc w:val="center"/>
            </w:pPr>
            <w:r>
              <w:t>26</w:t>
            </w:r>
          </w:p>
        </w:tc>
        <w:tc>
          <w:tcPr>
            <w:tcW w:w="1650" w:type="dxa"/>
            <w:vAlign w:val="center"/>
          </w:tcPr>
          <w:p w:rsidR="00883270" w:rsidRDefault="00264EFC">
            <w:pPr>
              <w:jc w:val="center"/>
            </w:pPr>
            <w:r>
              <w:t>H01336</w:t>
            </w:r>
          </w:p>
        </w:tc>
        <w:tc>
          <w:tcPr>
            <w:tcW w:w="1980" w:type="dxa"/>
            <w:vAlign w:val="center"/>
          </w:tcPr>
          <w:p w:rsidR="00883270" w:rsidRDefault="00264EFC">
            <w:pPr>
              <w:jc w:val="center"/>
            </w:pPr>
            <w:r>
              <w:t>新华保险</w:t>
            </w:r>
          </w:p>
        </w:tc>
        <w:tc>
          <w:tcPr>
            <w:tcW w:w="2879" w:type="dxa"/>
            <w:vAlign w:val="center"/>
          </w:tcPr>
          <w:p w:rsidR="00883270" w:rsidRDefault="00264EFC">
            <w:pPr>
              <w:jc w:val="right"/>
            </w:pPr>
            <w:r>
              <w:t>8,322,800.57</w:t>
            </w:r>
          </w:p>
        </w:tc>
        <w:tc>
          <w:tcPr>
            <w:tcW w:w="1620" w:type="dxa"/>
            <w:vAlign w:val="center"/>
          </w:tcPr>
          <w:p w:rsidR="00883270" w:rsidRDefault="00264EFC">
            <w:pPr>
              <w:jc w:val="right"/>
            </w:pPr>
            <w:r>
              <w:t>3.47</w:t>
            </w:r>
          </w:p>
        </w:tc>
      </w:tr>
      <w:tr w:rsidR="00883270">
        <w:tc>
          <w:tcPr>
            <w:tcW w:w="869" w:type="dxa"/>
            <w:vAlign w:val="center"/>
          </w:tcPr>
          <w:p w:rsidR="00883270" w:rsidRDefault="00264EFC">
            <w:pPr>
              <w:jc w:val="center"/>
            </w:pPr>
            <w:r>
              <w:t>27</w:t>
            </w:r>
          </w:p>
        </w:tc>
        <w:tc>
          <w:tcPr>
            <w:tcW w:w="1650" w:type="dxa"/>
            <w:vAlign w:val="center"/>
          </w:tcPr>
          <w:p w:rsidR="00883270" w:rsidRDefault="00264EFC">
            <w:pPr>
              <w:jc w:val="center"/>
            </w:pPr>
            <w:r>
              <w:t>H03908</w:t>
            </w:r>
          </w:p>
        </w:tc>
        <w:tc>
          <w:tcPr>
            <w:tcW w:w="1980" w:type="dxa"/>
            <w:vAlign w:val="center"/>
          </w:tcPr>
          <w:p w:rsidR="00883270" w:rsidRDefault="00264EFC">
            <w:pPr>
              <w:jc w:val="center"/>
            </w:pPr>
            <w:r>
              <w:t>中金公司</w:t>
            </w:r>
          </w:p>
        </w:tc>
        <w:tc>
          <w:tcPr>
            <w:tcW w:w="2879" w:type="dxa"/>
            <w:vAlign w:val="center"/>
          </w:tcPr>
          <w:p w:rsidR="00883270" w:rsidRDefault="00264EFC">
            <w:pPr>
              <w:jc w:val="right"/>
            </w:pPr>
            <w:r>
              <w:t>7,941,781.07</w:t>
            </w:r>
          </w:p>
        </w:tc>
        <w:tc>
          <w:tcPr>
            <w:tcW w:w="1620" w:type="dxa"/>
            <w:vAlign w:val="center"/>
          </w:tcPr>
          <w:p w:rsidR="00883270" w:rsidRDefault="00264EFC">
            <w:pPr>
              <w:jc w:val="right"/>
            </w:pPr>
            <w:r>
              <w:t>3.31</w:t>
            </w:r>
          </w:p>
        </w:tc>
      </w:tr>
      <w:tr w:rsidR="00883270">
        <w:tc>
          <w:tcPr>
            <w:tcW w:w="869" w:type="dxa"/>
            <w:vAlign w:val="center"/>
          </w:tcPr>
          <w:p w:rsidR="00883270" w:rsidRDefault="00264EFC">
            <w:pPr>
              <w:jc w:val="center"/>
            </w:pPr>
            <w:r>
              <w:t>28</w:t>
            </w:r>
          </w:p>
        </w:tc>
        <w:tc>
          <w:tcPr>
            <w:tcW w:w="1650" w:type="dxa"/>
            <w:vAlign w:val="center"/>
          </w:tcPr>
          <w:p w:rsidR="00883270" w:rsidRDefault="00264EFC">
            <w:pPr>
              <w:jc w:val="center"/>
            </w:pPr>
            <w:r>
              <w:t>600066</w:t>
            </w:r>
          </w:p>
        </w:tc>
        <w:tc>
          <w:tcPr>
            <w:tcW w:w="1980" w:type="dxa"/>
            <w:vAlign w:val="center"/>
          </w:tcPr>
          <w:p w:rsidR="00883270" w:rsidRDefault="00264EFC">
            <w:pPr>
              <w:jc w:val="center"/>
            </w:pPr>
            <w:r>
              <w:t>宇通客车</w:t>
            </w:r>
          </w:p>
        </w:tc>
        <w:tc>
          <w:tcPr>
            <w:tcW w:w="2879" w:type="dxa"/>
            <w:vAlign w:val="center"/>
          </w:tcPr>
          <w:p w:rsidR="00883270" w:rsidRDefault="00264EFC">
            <w:pPr>
              <w:jc w:val="right"/>
            </w:pPr>
            <w:r>
              <w:t>7,915,422.00</w:t>
            </w:r>
          </w:p>
        </w:tc>
        <w:tc>
          <w:tcPr>
            <w:tcW w:w="1620" w:type="dxa"/>
            <w:vAlign w:val="center"/>
          </w:tcPr>
          <w:p w:rsidR="00883270" w:rsidRDefault="00264EFC">
            <w:pPr>
              <w:jc w:val="right"/>
            </w:pPr>
            <w:r>
              <w:t>3.30</w:t>
            </w:r>
          </w:p>
        </w:tc>
      </w:tr>
      <w:tr w:rsidR="00883270">
        <w:tc>
          <w:tcPr>
            <w:tcW w:w="869" w:type="dxa"/>
            <w:vAlign w:val="center"/>
          </w:tcPr>
          <w:p w:rsidR="00883270" w:rsidRDefault="00264EFC">
            <w:pPr>
              <w:jc w:val="center"/>
            </w:pPr>
            <w:r>
              <w:t>29</w:t>
            </w:r>
          </w:p>
        </w:tc>
        <w:tc>
          <w:tcPr>
            <w:tcW w:w="1650" w:type="dxa"/>
            <w:vAlign w:val="center"/>
          </w:tcPr>
          <w:p w:rsidR="00883270" w:rsidRDefault="00264EFC">
            <w:pPr>
              <w:jc w:val="center"/>
            </w:pPr>
            <w:r>
              <w:t>H02018</w:t>
            </w:r>
          </w:p>
        </w:tc>
        <w:tc>
          <w:tcPr>
            <w:tcW w:w="1980" w:type="dxa"/>
            <w:vAlign w:val="center"/>
          </w:tcPr>
          <w:p w:rsidR="00883270" w:rsidRDefault="00264EFC">
            <w:pPr>
              <w:jc w:val="center"/>
            </w:pPr>
            <w:r>
              <w:t>瑞声科技</w:t>
            </w:r>
          </w:p>
        </w:tc>
        <w:tc>
          <w:tcPr>
            <w:tcW w:w="2879" w:type="dxa"/>
            <w:vAlign w:val="center"/>
          </w:tcPr>
          <w:p w:rsidR="00883270" w:rsidRDefault="00264EFC">
            <w:pPr>
              <w:jc w:val="right"/>
            </w:pPr>
            <w:r>
              <w:t>7,871,367.35</w:t>
            </w:r>
          </w:p>
        </w:tc>
        <w:tc>
          <w:tcPr>
            <w:tcW w:w="1620" w:type="dxa"/>
            <w:vAlign w:val="center"/>
          </w:tcPr>
          <w:p w:rsidR="00883270" w:rsidRDefault="00264EFC">
            <w:pPr>
              <w:jc w:val="right"/>
            </w:pPr>
            <w:r>
              <w:t>3.28</w:t>
            </w:r>
          </w:p>
        </w:tc>
      </w:tr>
      <w:tr w:rsidR="00883270">
        <w:tc>
          <w:tcPr>
            <w:tcW w:w="869" w:type="dxa"/>
            <w:vAlign w:val="center"/>
          </w:tcPr>
          <w:p w:rsidR="00883270" w:rsidRDefault="00264EFC">
            <w:pPr>
              <w:jc w:val="center"/>
            </w:pPr>
            <w:r>
              <w:t>30</w:t>
            </w:r>
          </w:p>
        </w:tc>
        <w:tc>
          <w:tcPr>
            <w:tcW w:w="1650" w:type="dxa"/>
            <w:vAlign w:val="center"/>
          </w:tcPr>
          <w:p w:rsidR="00883270" w:rsidRDefault="00264EFC">
            <w:pPr>
              <w:jc w:val="center"/>
            </w:pPr>
            <w:r>
              <w:t>H01813</w:t>
            </w:r>
          </w:p>
        </w:tc>
        <w:tc>
          <w:tcPr>
            <w:tcW w:w="1980" w:type="dxa"/>
            <w:vAlign w:val="center"/>
          </w:tcPr>
          <w:p w:rsidR="00883270" w:rsidRDefault="00264EFC">
            <w:pPr>
              <w:jc w:val="center"/>
            </w:pPr>
            <w:r>
              <w:t>合景泰富</w:t>
            </w:r>
          </w:p>
        </w:tc>
        <w:tc>
          <w:tcPr>
            <w:tcW w:w="2879" w:type="dxa"/>
            <w:vAlign w:val="center"/>
          </w:tcPr>
          <w:p w:rsidR="00883270" w:rsidRDefault="00264EFC">
            <w:pPr>
              <w:jc w:val="right"/>
            </w:pPr>
            <w:r>
              <w:t>7,750,371.85</w:t>
            </w:r>
          </w:p>
        </w:tc>
        <w:tc>
          <w:tcPr>
            <w:tcW w:w="1620" w:type="dxa"/>
            <w:vAlign w:val="center"/>
          </w:tcPr>
          <w:p w:rsidR="00883270" w:rsidRDefault="00264EFC">
            <w:pPr>
              <w:jc w:val="right"/>
            </w:pPr>
            <w:r>
              <w:t>3.23</w:t>
            </w:r>
          </w:p>
        </w:tc>
      </w:tr>
      <w:tr w:rsidR="00883270">
        <w:tc>
          <w:tcPr>
            <w:tcW w:w="869" w:type="dxa"/>
            <w:vAlign w:val="center"/>
          </w:tcPr>
          <w:p w:rsidR="00883270" w:rsidRDefault="00264EFC">
            <w:pPr>
              <w:jc w:val="center"/>
            </w:pPr>
            <w:r>
              <w:t>31</w:t>
            </w:r>
          </w:p>
        </w:tc>
        <w:tc>
          <w:tcPr>
            <w:tcW w:w="1650" w:type="dxa"/>
            <w:vAlign w:val="center"/>
          </w:tcPr>
          <w:p w:rsidR="00883270" w:rsidRDefault="00264EFC">
            <w:pPr>
              <w:jc w:val="center"/>
            </w:pPr>
            <w:r>
              <w:t>000099</w:t>
            </w:r>
          </w:p>
        </w:tc>
        <w:tc>
          <w:tcPr>
            <w:tcW w:w="1980" w:type="dxa"/>
            <w:vAlign w:val="center"/>
          </w:tcPr>
          <w:p w:rsidR="00883270" w:rsidRDefault="00264EFC">
            <w:pPr>
              <w:jc w:val="center"/>
            </w:pPr>
            <w:r>
              <w:t>中信海直</w:t>
            </w:r>
          </w:p>
        </w:tc>
        <w:tc>
          <w:tcPr>
            <w:tcW w:w="2879" w:type="dxa"/>
            <w:vAlign w:val="center"/>
          </w:tcPr>
          <w:p w:rsidR="00883270" w:rsidRDefault="00264EFC">
            <w:pPr>
              <w:jc w:val="right"/>
            </w:pPr>
            <w:r>
              <w:t>7,353,977.50</w:t>
            </w:r>
          </w:p>
        </w:tc>
        <w:tc>
          <w:tcPr>
            <w:tcW w:w="1620" w:type="dxa"/>
            <w:vAlign w:val="center"/>
          </w:tcPr>
          <w:p w:rsidR="00883270" w:rsidRDefault="00264EFC">
            <w:pPr>
              <w:jc w:val="right"/>
            </w:pPr>
            <w:r>
              <w:t>3.06</w:t>
            </w:r>
          </w:p>
        </w:tc>
      </w:tr>
      <w:tr w:rsidR="00883270">
        <w:tc>
          <w:tcPr>
            <w:tcW w:w="869" w:type="dxa"/>
            <w:vAlign w:val="center"/>
          </w:tcPr>
          <w:p w:rsidR="00883270" w:rsidRDefault="00264EFC">
            <w:pPr>
              <w:jc w:val="center"/>
            </w:pPr>
            <w:r>
              <w:t>32</w:t>
            </w:r>
          </w:p>
        </w:tc>
        <w:tc>
          <w:tcPr>
            <w:tcW w:w="1650" w:type="dxa"/>
            <w:vAlign w:val="center"/>
          </w:tcPr>
          <w:p w:rsidR="00883270" w:rsidRDefault="00264EFC">
            <w:pPr>
              <w:jc w:val="center"/>
            </w:pPr>
            <w:r>
              <w:t>H01208</w:t>
            </w:r>
          </w:p>
        </w:tc>
        <w:tc>
          <w:tcPr>
            <w:tcW w:w="1980" w:type="dxa"/>
            <w:vAlign w:val="center"/>
          </w:tcPr>
          <w:p w:rsidR="00883270" w:rsidRDefault="00264EFC">
            <w:pPr>
              <w:jc w:val="center"/>
            </w:pPr>
            <w:r>
              <w:t>五矿资源</w:t>
            </w:r>
          </w:p>
        </w:tc>
        <w:tc>
          <w:tcPr>
            <w:tcW w:w="2879" w:type="dxa"/>
            <w:vAlign w:val="center"/>
          </w:tcPr>
          <w:p w:rsidR="00883270" w:rsidRDefault="00264EFC">
            <w:pPr>
              <w:jc w:val="right"/>
            </w:pPr>
            <w:r>
              <w:t>7,157,143.68</w:t>
            </w:r>
          </w:p>
        </w:tc>
        <w:tc>
          <w:tcPr>
            <w:tcW w:w="1620" w:type="dxa"/>
            <w:vAlign w:val="center"/>
          </w:tcPr>
          <w:p w:rsidR="00883270" w:rsidRDefault="00264EFC">
            <w:pPr>
              <w:jc w:val="right"/>
            </w:pPr>
            <w:r>
              <w:t>2.98</w:t>
            </w:r>
          </w:p>
        </w:tc>
      </w:tr>
      <w:tr w:rsidR="00883270">
        <w:tc>
          <w:tcPr>
            <w:tcW w:w="869" w:type="dxa"/>
            <w:vAlign w:val="center"/>
          </w:tcPr>
          <w:p w:rsidR="00883270" w:rsidRDefault="00264EFC">
            <w:pPr>
              <w:jc w:val="center"/>
            </w:pPr>
            <w:r>
              <w:t>33</w:t>
            </w:r>
          </w:p>
        </w:tc>
        <w:tc>
          <w:tcPr>
            <w:tcW w:w="1650" w:type="dxa"/>
            <w:vAlign w:val="center"/>
          </w:tcPr>
          <w:p w:rsidR="00883270" w:rsidRDefault="00264EFC">
            <w:pPr>
              <w:jc w:val="center"/>
            </w:pPr>
            <w:r>
              <w:t>H01093</w:t>
            </w:r>
          </w:p>
        </w:tc>
        <w:tc>
          <w:tcPr>
            <w:tcW w:w="1980" w:type="dxa"/>
            <w:vAlign w:val="center"/>
          </w:tcPr>
          <w:p w:rsidR="00883270" w:rsidRDefault="00264EFC">
            <w:pPr>
              <w:jc w:val="center"/>
            </w:pPr>
            <w:r>
              <w:t>石药集团</w:t>
            </w:r>
          </w:p>
        </w:tc>
        <w:tc>
          <w:tcPr>
            <w:tcW w:w="2879" w:type="dxa"/>
            <w:vAlign w:val="center"/>
          </w:tcPr>
          <w:p w:rsidR="00883270" w:rsidRDefault="00264EFC">
            <w:pPr>
              <w:jc w:val="right"/>
            </w:pPr>
            <w:r>
              <w:t>5,445,199.09</w:t>
            </w:r>
          </w:p>
        </w:tc>
        <w:tc>
          <w:tcPr>
            <w:tcW w:w="1620" w:type="dxa"/>
            <w:vAlign w:val="center"/>
          </w:tcPr>
          <w:p w:rsidR="00883270" w:rsidRDefault="00264EFC">
            <w:pPr>
              <w:jc w:val="right"/>
            </w:pPr>
            <w:r>
              <w:t>2.27</w:t>
            </w:r>
          </w:p>
        </w:tc>
      </w:tr>
      <w:tr w:rsidR="00883270">
        <w:tc>
          <w:tcPr>
            <w:tcW w:w="869" w:type="dxa"/>
            <w:vAlign w:val="center"/>
          </w:tcPr>
          <w:p w:rsidR="00883270" w:rsidRDefault="00264EFC">
            <w:pPr>
              <w:jc w:val="center"/>
            </w:pPr>
            <w:r>
              <w:t>34</w:t>
            </w:r>
          </w:p>
        </w:tc>
        <w:tc>
          <w:tcPr>
            <w:tcW w:w="1650" w:type="dxa"/>
            <w:vAlign w:val="center"/>
          </w:tcPr>
          <w:p w:rsidR="00883270" w:rsidRDefault="00264EFC">
            <w:pPr>
              <w:jc w:val="center"/>
            </w:pPr>
            <w:r>
              <w:t>002508</w:t>
            </w:r>
          </w:p>
        </w:tc>
        <w:tc>
          <w:tcPr>
            <w:tcW w:w="1980" w:type="dxa"/>
            <w:vAlign w:val="center"/>
          </w:tcPr>
          <w:p w:rsidR="00883270" w:rsidRDefault="00264EFC">
            <w:pPr>
              <w:jc w:val="center"/>
            </w:pPr>
            <w:r>
              <w:t>老板电器</w:t>
            </w:r>
          </w:p>
        </w:tc>
        <w:tc>
          <w:tcPr>
            <w:tcW w:w="2879" w:type="dxa"/>
            <w:vAlign w:val="center"/>
          </w:tcPr>
          <w:p w:rsidR="00883270" w:rsidRDefault="00264EFC">
            <w:pPr>
              <w:jc w:val="right"/>
            </w:pPr>
            <w:r>
              <w:t>4,936,150.20</w:t>
            </w:r>
          </w:p>
        </w:tc>
        <w:tc>
          <w:tcPr>
            <w:tcW w:w="1620" w:type="dxa"/>
            <w:vAlign w:val="center"/>
          </w:tcPr>
          <w:p w:rsidR="00883270" w:rsidRDefault="00264EFC">
            <w:pPr>
              <w:jc w:val="right"/>
            </w:pPr>
            <w:r>
              <w:t>2.06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809,693,555.63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519,490,002.10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1,152,486.91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1,849,778.59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54,363.58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184,186.89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3,240,815.97</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E53CC9" w:rsidRPr="005C672D" w:rsidTr="00E53CC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83270" w:rsidRDefault="00264EF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E53CC9" w:rsidRPr="005C672D" w:rsidTr="00E53C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3270" w:rsidRDefault="0088327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E53CC9" w:rsidRPr="005C672D" w:rsidTr="00E53CC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3270" w:rsidRDefault="0088327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E53CC9" w:rsidRPr="005C672D" w:rsidTr="00E53CC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83270" w:rsidRDefault="00264EFC">
            <w:pPr>
              <w:jc w:val="center"/>
            </w:pPr>
            <w:r>
              <w:rPr>
                <w:bCs/>
                <w:color w:val="000000"/>
                <w:sz w:val="24"/>
              </w:rPr>
              <w:t>9,236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65,769.58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399,020,456.84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65.69%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208,427,354.30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34.31%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686,344.79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10~50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11</w:t>
            </w:r>
            <w:r w:rsidRPr="005C672D">
              <w:rPr>
                <w:sz w:val="24"/>
              </w:rPr>
              <w:t>月</w:t>
            </w:r>
            <w:r w:rsidRPr="005C672D">
              <w:rPr>
                <w:sz w:val="24"/>
              </w:rPr>
              <w:t>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316,618,672.08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182,263,775.44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566,991,902.68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141,807,866.98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607,447,811.14</w:t>
            </w:r>
          </w:p>
        </w:tc>
      </w:tr>
    </w:tbl>
    <w:p w:rsidR="00883270" w:rsidRDefault="00264EF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883270" w:rsidRDefault="00264EF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883270" w:rsidRDefault="00264EF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83270" w:rsidRDefault="00264EFC">
      <w:pPr>
        <w:tabs>
          <w:tab w:val="left" w:pos="426"/>
        </w:tabs>
        <w:spacing w:before="29" w:line="288" w:lineRule="auto"/>
        <w:jc w:val="left"/>
        <w:rPr>
          <w:kern w:val="0"/>
          <w:sz w:val="24"/>
        </w:rPr>
      </w:pPr>
      <w:r>
        <w:rPr>
          <w:kern w:val="0"/>
          <w:sz w:val="24"/>
        </w:rPr>
        <w:t>基金管理人及其高级管理人员本报告期内未受监管部门稽查或处罚。</w:t>
      </w:r>
    </w:p>
    <w:p w:rsidR="00883270" w:rsidRDefault="00264EF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83270">
        <w:tc>
          <w:tcPr>
            <w:tcW w:w="1559" w:type="dxa"/>
            <w:vAlign w:val="center"/>
          </w:tcPr>
          <w:p w:rsidR="00883270" w:rsidRDefault="00264EFC">
            <w:pPr>
              <w:jc w:val="center"/>
            </w:pPr>
            <w:r>
              <w:rPr>
                <w:color w:val="000000"/>
                <w:sz w:val="24"/>
              </w:rPr>
              <w:t>申万宏源证券有限公司</w:t>
            </w:r>
          </w:p>
        </w:tc>
        <w:tc>
          <w:tcPr>
            <w:tcW w:w="779" w:type="dxa"/>
            <w:vAlign w:val="center"/>
          </w:tcPr>
          <w:p w:rsidR="00883270" w:rsidRDefault="00264EFC">
            <w:pPr>
              <w:jc w:val="center"/>
            </w:pPr>
            <w:r>
              <w:rPr>
                <w:color w:val="000000"/>
                <w:sz w:val="24"/>
              </w:rPr>
              <w:t>2</w:t>
            </w:r>
          </w:p>
        </w:tc>
        <w:tc>
          <w:tcPr>
            <w:tcW w:w="1800" w:type="dxa"/>
            <w:vAlign w:val="center"/>
          </w:tcPr>
          <w:p w:rsidR="00883270" w:rsidRDefault="00264EFC">
            <w:pPr>
              <w:jc w:val="right"/>
            </w:pPr>
            <w:r>
              <w:rPr>
                <w:color w:val="000000"/>
                <w:sz w:val="24"/>
              </w:rPr>
              <w:t>153,811,028.19</w:t>
            </w:r>
          </w:p>
        </w:tc>
        <w:tc>
          <w:tcPr>
            <w:tcW w:w="1080" w:type="dxa"/>
            <w:vAlign w:val="center"/>
          </w:tcPr>
          <w:p w:rsidR="00883270" w:rsidRDefault="00264EFC">
            <w:pPr>
              <w:jc w:val="right"/>
            </w:pPr>
            <w:r>
              <w:rPr>
                <w:color w:val="000000"/>
                <w:sz w:val="24"/>
              </w:rPr>
              <w:t>11.57%</w:t>
            </w:r>
          </w:p>
        </w:tc>
        <w:tc>
          <w:tcPr>
            <w:tcW w:w="1620" w:type="dxa"/>
            <w:vAlign w:val="center"/>
          </w:tcPr>
          <w:p w:rsidR="00883270" w:rsidRDefault="00264EFC">
            <w:pPr>
              <w:jc w:val="right"/>
            </w:pPr>
            <w:r>
              <w:rPr>
                <w:color w:val="000000"/>
                <w:sz w:val="24"/>
              </w:rPr>
              <w:t>143,244.29</w:t>
            </w:r>
          </w:p>
        </w:tc>
        <w:tc>
          <w:tcPr>
            <w:tcW w:w="1080" w:type="dxa"/>
            <w:vAlign w:val="center"/>
          </w:tcPr>
          <w:p w:rsidR="00883270" w:rsidRDefault="00264EFC">
            <w:pPr>
              <w:jc w:val="right"/>
            </w:pPr>
            <w:r>
              <w:rPr>
                <w:color w:val="000000"/>
                <w:sz w:val="24"/>
              </w:rPr>
              <w:t>12.78%</w:t>
            </w:r>
          </w:p>
        </w:tc>
        <w:tc>
          <w:tcPr>
            <w:tcW w:w="1080" w:type="dxa"/>
            <w:vAlign w:val="center"/>
          </w:tcPr>
          <w:p w:rsidR="00883270" w:rsidRDefault="00264EFC">
            <w:pPr>
              <w:jc w:val="left"/>
            </w:pPr>
            <w:r>
              <w:rPr>
                <w:color w:val="000000"/>
                <w:sz w:val="24"/>
              </w:rPr>
              <w:t>-</w:t>
            </w:r>
          </w:p>
        </w:tc>
      </w:tr>
      <w:tr w:rsidR="00883270">
        <w:tc>
          <w:tcPr>
            <w:tcW w:w="1559" w:type="dxa"/>
            <w:vAlign w:val="center"/>
          </w:tcPr>
          <w:p w:rsidR="00883270" w:rsidRDefault="00264EFC">
            <w:pPr>
              <w:jc w:val="center"/>
            </w:pPr>
            <w:r>
              <w:rPr>
                <w:color w:val="000000"/>
                <w:sz w:val="24"/>
              </w:rPr>
              <w:t>中国国际金融股份有限公司</w:t>
            </w:r>
          </w:p>
        </w:tc>
        <w:tc>
          <w:tcPr>
            <w:tcW w:w="779" w:type="dxa"/>
            <w:vAlign w:val="center"/>
          </w:tcPr>
          <w:p w:rsidR="00883270" w:rsidRDefault="00264EFC">
            <w:pPr>
              <w:jc w:val="center"/>
            </w:pPr>
            <w:r>
              <w:rPr>
                <w:color w:val="000000"/>
                <w:sz w:val="24"/>
              </w:rPr>
              <w:t>1</w:t>
            </w:r>
          </w:p>
        </w:tc>
        <w:tc>
          <w:tcPr>
            <w:tcW w:w="1800" w:type="dxa"/>
            <w:vAlign w:val="center"/>
          </w:tcPr>
          <w:p w:rsidR="00883270" w:rsidRDefault="00264EFC">
            <w:pPr>
              <w:jc w:val="right"/>
            </w:pPr>
            <w:r>
              <w:rPr>
                <w:color w:val="000000"/>
                <w:sz w:val="24"/>
              </w:rPr>
              <w:t>1,175,372,529.54</w:t>
            </w:r>
          </w:p>
        </w:tc>
        <w:tc>
          <w:tcPr>
            <w:tcW w:w="1080" w:type="dxa"/>
            <w:vAlign w:val="center"/>
          </w:tcPr>
          <w:p w:rsidR="00883270" w:rsidRDefault="00264EFC">
            <w:pPr>
              <w:jc w:val="right"/>
            </w:pPr>
            <w:r>
              <w:rPr>
                <w:color w:val="000000"/>
                <w:sz w:val="24"/>
              </w:rPr>
              <w:t>88.43%</w:t>
            </w:r>
          </w:p>
        </w:tc>
        <w:tc>
          <w:tcPr>
            <w:tcW w:w="1620" w:type="dxa"/>
            <w:vAlign w:val="center"/>
          </w:tcPr>
          <w:p w:rsidR="00883270" w:rsidRDefault="00264EFC">
            <w:pPr>
              <w:jc w:val="right"/>
            </w:pPr>
            <w:r>
              <w:rPr>
                <w:color w:val="000000"/>
                <w:sz w:val="24"/>
              </w:rPr>
              <w:t>977,689.78</w:t>
            </w:r>
          </w:p>
        </w:tc>
        <w:tc>
          <w:tcPr>
            <w:tcW w:w="1080" w:type="dxa"/>
            <w:vAlign w:val="center"/>
          </w:tcPr>
          <w:p w:rsidR="00883270" w:rsidRDefault="00264EFC">
            <w:pPr>
              <w:jc w:val="right"/>
            </w:pPr>
            <w:r>
              <w:rPr>
                <w:color w:val="000000"/>
                <w:sz w:val="24"/>
              </w:rPr>
              <w:t>87.22%</w:t>
            </w:r>
          </w:p>
        </w:tc>
        <w:tc>
          <w:tcPr>
            <w:tcW w:w="1080" w:type="dxa"/>
            <w:vAlign w:val="center"/>
          </w:tcPr>
          <w:p w:rsidR="00883270" w:rsidRDefault="00264EFC">
            <w:pPr>
              <w:jc w:val="left"/>
            </w:pPr>
            <w:r>
              <w:rPr>
                <w:color w:val="000000"/>
                <w:sz w:val="24"/>
              </w:rPr>
              <w:t>-</w:t>
            </w:r>
          </w:p>
        </w:tc>
      </w:tr>
      <w:tr w:rsidR="00883270">
        <w:tc>
          <w:tcPr>
            <w:tcW w:w="1559" w:type="dxa"/>
            <w:vAlign w:val="center"/>
          </w:tcPr>
          <w:p w:rsidR="00883270" w:rsidRDefault="00264EFC">
            <w:pPr>
              <w:jc w:val="center"/>
            </w:pPr>
            <w:r>
              <w:rPr>
                <w:color w:val="000000"/>
                <w:sz w:val="24"/>
              </w:rPr>
              <w:t>兴业证券股份有限公司</w:t>
            </w:r>
          </w:p>
        </w:tc>
        <w:tc>
          <w:tcPr>
            <w:tcW w:w="779" w:type="dxa"/>
            <w:vAlign w:val="center"/>
          </w:tcPr>
          <w:p w:rsidR="00883270" w:rsidRDefault="00264EFC">
            <w:pPr>
              <w:jc w:val="center"/>
            </w:pPr>
            <w:r>
              <w:rPr>
                <w:color w:val="000000"/>
                <w:sz w:val="24"/>
              </w:rPr>
              <w:t>1</w:t>
            </w:r>
          </w:p>
        </w:tc>
        <w:tc>
          <w:tcPr>
            <w:tcW w:w="180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62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080" w:type="dxa"/>
            <w:vAlign w:val="center"/>
          </w:tcPr>
          <w:p w:rsidR="00883270" w:rsidRDefault="00264EFC">
            <w:pPr>
              <w:jc w:val="left"/>
            </w:pPr>
            <w:r>
              <w:rPr>
                <w:color w:val="000000"/>
                <w:sz w:val="24"/>
              </w:rPr>
              <w:t>-</w:t>
            </w:r>
          </w:p>
        </w:tc>
      </w:tr>
      <w:tr w:rsidR="00883270">
        <w:tc>
          <w:tcPr>
            <w:tcW w:w="1559" w:type="dxa"/>
            <w:vAlign w:val="center"/>
          </w:tcPr>
          <w:p w:rsidR="00883270" w:rsidRDefault="00264EFC">
            <w:pPr>
              <w:jc w:val="center"/>
            </w:pPr>
            <w:r>
              <w:rPr>
                <w:color w:val="000000"/>
                <w:sz w:val="24"/>
              </w:rPr>
              <w:t>安信证券股份有限公司</w:t>
            </w:r>
          </w:p>
        </w:tc>
        <w:tc>
          <w:tcPr>
            <w:tcW w:w="779" w:type="dxa"/>
            <w:vAlign w:val="center"/>
          </w:tcPr>
          <w:p w:rsidR="00883270" w:rsidRDefault="00264EFC">
            <w:pPr>
              <w:jc w:val="center"/>
            </w:pPr>
            <w:r>
              <w:rPr>
                <w:color w:val="000000"/>
                <w:sz w:val="24"/>
              </w:rPr>
              <w:t>1</w:t>
            </w:r>
          </w:p>
        </w:tc>
        <w:tc>
          <w:tcPr>
            <w:tcW w:w="180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62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080" w:type="dxa"/>
            <w:vAlign w:val="center"/>
          </w:tcPr>
          <w:p w:rsidR="00883270" w:rsidRDefault="00264EFC">
            <w:pPr>
              <w:jc w:val="left"/>
            </w:pPr>
            <w:r>
              <w:rPr>
                <w:color w:val="000000"/>
                <w:sz w:val="24"/>
              </w:rPr>
              <w:t>-</w:t>
            </w:r>
          </w:p>
        </w:tc>
      </w:tr>
      <w:tr w:rsidR="00883270">
        <w:tc>
          <w:tcPr>
            <w:tcW w:w="1559" w:type="dxa"/>
            <w:vAlign w:val="center"/>
          </w:tcPr>
          <w:p w:rsidR="00883270" w:rsidRDefault="00264EFC">
            <w:pPr>
              <w:jc w:val="center"/>
            </w:pPr>
            <w:r>
              <w:rPr>
                <w:color w:val="000000"/>
                <w:sz w:val="24"/>
              </w:rPr>
              <w:t>海通证券股份有限公司</w:t>
            </w:r>
          </w:p>
        </w:tc>
        <w:tc>
          <w:tcPr>
            <w:tcW w:w="779" w:type="dxa"/>
            <w:vAlign w:val="center"/>
          </w:tcPr>
          <w:p w:rsidR="00883270" w:rsidRDefault="00264EFC">
            <w:pPr>
              <w:jc w:val="center"/>
            </w:pPr>
            <w:r>
              <w:rPr>
                <w:color w:val="000000"/>
                <w:sz w:val="24"/>
              </w:rPr>
              <w:t>1</w:t>
            </w:r>
          </w:p>
        </w:tc>
        <w:tc>
          <w:tcPr>
            <w:tcW w:w="180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620" w:type="dxa"/>
            <w:vAlign w:val="center"/>
          </w:tcPr>
          <w:p w:rsidR="00883270" w:rsidRDefault="00264EFC">
            <w:pPr>
              <w:jc w:val="right"/>
            </w:pPr>
            <w:r>
              <w:rPr>
                <w:color w:val="000000"/>
                <w:sz w:val="24"/>
              </w:rPr>
              <w:t>-</w:t>
            </w:r>
          </w:p>
        </w:tc>
        <w:tc>
          <w:tcPr>
            <w:tcW w:w="1080" w:type="dxa"/>
            <w:vAlign w:val="center"/>
          </w:tcPr>
          <w:p w:rsidR="00883270" w:rsidRDefault="00264EFC">
            <w:pPr>
              <w:jc w:val="right"/>
            </w:pPr>
            <w:r>
              <w:rPr>
                <w:color w:val="000000"/>
                <w:sz w:val="24"/>
              </w:rPr>
              <w:t>-</w:t>
            </w:r>
          </w:p>
        </w:tc>
        <w:tc>
          <w:tcPr>
            <w:tcW w:w="1080" w:type="dxa"/>
            <w:vAlign w:val="center"/>
          </w:tcPr>
          <w:p w:rsidR="00883270" w:rsidRDefault="00264EFC">
            <w:pPr>
              <w:jc w:val="left"/>
            </w:pPr>
            <w:r>
              <w:rPr>
                <w:color w:val="000000"/>
                <w:sz w:val="24"/>
              </w:rPr>
              <w:t>-</w:t>
            </w:r>
          </w:p>
        </w:tc>
      </w:tr>
    </w:tbl>
    <w:p w:rsidR="00883270" w:rsidRDefault="00264EFC">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883270" w:rsidRDefault="00264EF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83270">
        <w:tc>
          <w:tcPr>
            <w:tcW w:w="993" w:type="dxa"/>
            <w:vMerge w:val="restart"/>
          </w:tcPr>
          <w:p w:rsidR="00883270" w:rsidRDefault="00883270"/>
          <w:p w:rsidR="00883270" w:rsidRDefault="00264EFC">
            <w:r>
              <w:rPr>
                <w:rFonts w:ascii="宋体" w:hAnsi="宋体" w:hint="eastAsia"/>
                <w:bCs/>
                <w:color w:val="000000"/>
                <w:kern w:val="0"/>
                <w:szCs w:val="21"/>
              </w:rPr>
              <w:t>机构</w:t>
            </w:r>
          </w:p>
        </w:tc>
        <w:tc>
          <w:tcPr>
            <w:tcW w:w="992" w:type="dxa"/>
            <w:vAlign w:val="center"/>
          </w:tcPr>
          <w:p w:rsidR="00883270" w:rsidRDefault="00264EFC">
            <w:pPr>
              <w:jc w:val="center"/>
            </w:pPr>
            <w:r>
              <w:rPr>
                <w:rFonts w:ascii="宋体" w:hAnsi="宋体"/>
                <w:color w:val="000000"/>
                <w:kern w:val="0"/>
                <w:szCs w:val="21"/>
              </w:rPr>
              <w:t>1</w:t>
            </w:r>
          </w:p>
        </w:tc>
        <w:tc>
          <w:tcPr>
            <w:tcW w:w="1843" w:type="dxa"/>
            <w:vAlign w:val="center"/>
          </w:tcPr>
          <w:p w:rsidR="00883270" w:rsidRDefault="00264EFC">
            <w:pPr>
              <w:jc w:val="center"/>
            </w:pPr>
            <w:r>
              <w:rPr>
                <w:rFonts w:ascii="宋体" w:hAnsi="宋体"/>
                <w:color w:val="000000"/>
                <w:kern w:val="0"/>
                <w:szCs w:val="21"/>
              </w:rPr>
              <w:t>2018/1/1-2018/6/30</w:t>
            </w:r>
          </w:p>
        </w:tc>
        <w:tc>
          <w:tcPr>
            <w:tcW w:w="851" w:type="dxa"/>
            <w:vAlign w:val="center"/>
          </w:tcPr>
          <w:p w:rsidR="00883270" w:rsidRDefault="00264EFC">
            <w:pPr>
              <w:jc w:val="center"/>
            </w:pPr>
            <w:r>
              <w:rPr>
                <w:rFonts w:ascii="宋体" w:hAnsi="宋体"/>
                <w:color w:val="000000"/>
                <w:kern w:val="0"/>
                <w:szCs w:val="21"/>
              </w:rPr>
              <w:t>-</w:t>
            </w:r>
          </w:p>
        </w:tc>
        <w:tc>
          <w:tcPr>
            <w:tcW w:w="850" w:type="dxa"/>
            <w:vAlign w:val="center"/>
          </w:tcPr>
          <w:p w:rsidR="00883270" w:rsidRDefault="00264EFC">
            <w:pPr>
              <w:jc w:val="center"/>
            </w:pPr>
            <w:r>
              <w:rPr>
                <w:rFonts w:ascii="宋体" w:hAnsi="宋体"/>
                <w:color w:val="000000"/>
                <w:kern w:val="0"/>
                <w:szCs w:val="21"/>
              </w:rPr>
              <w:t>156,993,386.51</w:t>
            </w:r>
          </w:p>
        </w:tc>
        <w:tc>
          <w:tcPr>
            <w:tcW w:w="1134" w:type="dxa"/>
            <w:vAlign w:val="center"/>
          </w:tcPr>
          <w:p w:rsidR="00883270" w:rsidRDefault="00264EFC">
            <w:pPr>
              <w:jc w:val="center"/>
            </w:pPr>
            <w:r>
              <w:rPr>
                <w:rFonts w:ascii="宋体" w:hAnsi="宋体"/>
                <w:color w:val="000000"/>
                <w:kern w:val="0"/>
                <w:szCs w:val="21"/>
              </w:rPr>
              <w:t>-</w:t>
            </w:r>
          </w:p>
        </w:tc>
        <w:tc>
          <w:tcPr>
            <w:tcW w:w="1419" w:type="dxa"/>
            <w:vAlign w:val="center"/>
          </w:tcPr>
          <w:p w:rsidR="00883270" w:rsidRDefault="00264EFC">
            <w:pPr>
              <w:jc w:val="center"/>
            </w:pPr>
            <w:r>
              <w:rPr>
                <w:rFonts w:ascii="宋体" w:hAnsi="宋体"/>
                <w:color w:val="000000"/>
                <w:kern w:val="0"/>
                <w:szCs w:val="21"/>
              </w:rPr>
              <w:t>156,993,386.51</w:t>
            </w:r>
          </w:p>
        </w:tc>
        <w:tc>
          <w:tcPr>
            <w:tcW w:w="1130" w:type="dxa"/>
            <w:vAlign w:val="center"/>
          </w:tcPr>
          <w:p w:rsidR="00883270" w:rsidRDefault="00264EFC">
            <w:pPr>
              <w:jc w:val="center"/>
            </w:pPr>
            <w:r>
              <w:rPr>
                <w:rFonts w:ascii="宋体" w:hAnsi="宋体"/>
                <w:color w:val="000000"/>
                <w:kern w:val="0"/>
                <w:szCs w:val="21"/>
              </w:rPr>
              <w:t>25.84%</w:t>
            </w:r>
          </w:p>
        </w:tc>
      </w:tr>
      <w:tr w:rsidR="00883270">
        <w:tc>
          <w:tcPr>
            <w:tcW w:w="993" w:type="dxa"/>
            <w:vMerge/>
          </w:tcPr>
          <w:p w:rsidR="00883270" w:rsidRDefault="00883270"/>
        </w:tc>
        <w:tc>
          <w:tcPr>
            <w:tcW w:w="992" w:type="dxa"/>
            <w:vAlign w:val="center"/>
          </w:tcPr>
          <w:p w:rsidR="00883270" w:rsidRDefault="00264EFC">
            <w:pPr>
              <w:jc w:val="center"/>
            </w:pPr>
            <w:r>
              <w:rPr>
                <w:rFonts w:ascii="宋体" w:hAnsi="宋体"/>
                <w:color w:val="000000"/>
                <w:kern w:val="0"/>
                <w:szCs w:val="21"/>
              </w:rPr>
              <w:t>2</w:t>
            </w:r>
          </w:p>
        </w:tc>
        <w:tc>
          <w:tcPr>
            <w:tcW w:w="1843" w:type="dxa"/>
            <w:vAlign w:val="center"/>
          </w:tcPr>
          <w:p w:rsidR="00883270" w:rsidRDefault="00264EFC">
            <w:pPr>
              <w:jc w:val="center"/>
            </w:pPr>
            <w:r>
              <w:rPr>
                <w:rFonts w:ascii="宋体" w:hAnsi="宋体"/>
                <w:color w:val="000000"/>
                <w:kern w:val="0"/>
                <w:szCs w:val="21"/>
              </w:rPr>
              <w:t>2018/1/1-2018/6/30</w:t>
            </w:r>
          </w:p>
        </w:tc>
        <w:tc>
          <w:tcPr>
            <w:tcW w:w="851" w:type="dxa"/>
            <w:vAlign w:val="center"/>
          </w:tcPr>
          <w:p w:rsidR="00883270" w:rsidRDefault="00264EFC">
            <w:pPr>
              <w:jc w:val="center"/>
            </w:pPr>
            <w:r>
              <w:rPr>
                <w:rFonts w:ascii="宋体" w:hAnsi="宋体"/>
                <w:color w:val="000000"/>
                <w:kern w:val="0"/>
                <w:szCs w:val="21"/>
              </w:rPr>
              <w:t>-</w:t>
            </w:r>
          </w:p>
        </w:tc>
        <w:tc>
          <w:tcPr>
            <w:tcW w:w="850" w:type="dxa"/>
            <w:vAlign w:val="center"/>
          </w:tcPr>
          <w:p w:rsidR="00883270" w:rsidRDefault="00264EFC">
            <w:pPr>
              <w:jc w:val="center"/>
            </w:pPr>
            <w:r>
              <w:rPr>
                <w:rFonts w:ascii="宋体" w:hAnsi="宋体"/>
                <w:color w:val="000000"/>
                <w:kern w:val="0"/>
                <w:szCs w:val="21"/>
              </w:rPr>
              <w:t>75,470,188.68</w:t>
            </w:r>
          </w:p>
        </w:tc>
        <w:tc>
          <w:tcPr>
            <w:tcW w:w="1134" w:type="dxa"/>
            <w:vAlign w:val="center"/>
          </w:tcPr>
          <w:p w:rsidR="00883270" w:rsidRDefault="00264EFC">
            <w:pPr>
              <w:jc w:val="center"/>
            </w:pPr>
            <w:r>
              <w:rPr>
                <w:rFonts w:ascii="宋体" w:hAnsi="宋体"/>
                <w:color w:val="000000"/>
                <w:kern w:val="0"/>
                <w:szCs w:val="21"/>
              </w:rPr>
              <w:t>37,735,094.34</w:t>
            </w:r>
          </w:p>
        </w:tc>
        <w:tc>
          <w:tcPr>
            <w:tcW w:w="1419" w:type="dxa"/>
            <w:vAlign w:val="center"/>
          </w:tcPr>
          <w:p w:rsidR="00883270" w:rsidRDefault="00264EFC">
            <w:pPr>
              <w:jc w:val="center"/>
            </w:pPr>
            <w:r>
              <w:rPr>
                <w:rFonts w:ascii="宋体" w:hAnsi="宋体"/>
                <w:color w:val="000000"/>
                <w:kern w:val="0"/>
                <w:szCs w:val="21"/>
              </w:rPr>
              <w:t>37,735,094.34</w:t>
            </w:r>
          </w:p>
        </w:tc>
        <w:tc>
          <w:tcPr>
            <w:tcW w:w="1130" w:type="dxa"/>
            <w:vAlign w:val="center"/>
          </w:tcPr>
          <w:p w:rsidR="00883270" w:rsidRDefault="00264EFC">
            <w:pPr>
              <w:jc w:val="center"/>
            </w:pPr>
            <w:r>
              <w:rPr>
                <w:rFonts w:ascii="宋体" w:hAnsi="宋体"/>
                <w:color w:val="000000"/>
                <w:kern w:val="0"/>
                <w:szCs w:val="21"/>
              </w:rPr>
              <w:t>6.21%</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883270" w:rsidRDefault="00264EFC">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F30C58">
      <w:rPr>
        <w:noProof/>
        <w:kern w:val="0"/>
        <w:szCs w:val="21"/>
      </w:rPr>
      <w:t>21</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F30C58">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交银施罗德沪港深价值精选灵活配置混合型证券投资基金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4EFC"/>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5FEE"/>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270"/>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CC9"/>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0C58"/>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19EF1-2798-4BD9-8E3E-20EAC427F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30</Pages>
  <Words>3351</Words>
  <Characters>19107</Characters>
  <Application>Microsoft Office Word</Application>
  <DocSecurity>0</DocSecurity>
  <Lines>159</Lines>
  <Paragraphs>44</Paragraphs>
  <ScaleCrop>false</ScaleCrop>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1251</cp:revision>
  <cp:lastPrinted>2007-07-19T00:46:00Z</cp:lastPrinted>
  <dcterms:created xsi:type="dcterms:W3CDTF">2013-08-19T07:44:00Z</dcterms:created>
  <dcterms:modified xsi:type="dcterms:W3CDTF">2018-08-24T07:54:00Z</dcterms:modified>
</cp:coreProperties>
</file>