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交银施罗德经济新动力混合型证券投资基金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交银经济新动力混合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136,591,333.61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-14,528,248.57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-18,627,449.55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-10.64%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142,265,909.70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1.0415</w:t>
            </w:r>
          </w:p>
        </w:tc>
      </w:tr>
    </w:tbl>
    <w:bookmarkEnd w:id="13"/>
    <w:bookmarkEnd w:id="14"/>
    <w:p w:rsidR="000975F0" w:rsidRDefault="00785A7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975F0">
        <w:tc>
          <w:tcPr>
            <w:tcW w:w="1497" w:type="dxa"/>
            <w:vAlign w:val="center"/>
          </w:tcPr>
          <w:p w:rsidR="000975F0" w:rsidRDefault="00785A7D">
            <w:pPr>
              <w:jc w:val="left"/>
            </w:pPr>
            <w:r>
              <w:rPr>
                <w:color w:val="000000"/>
                <w:sz w:val="24"/>
              </w:rPr>
              <w:t>过去一个月</w:t>
            </w:r>
          </w:p>
        </w:tc>
        <w:tc>
          <w:tcPr>
            <w:tcW w:w="1251" w:type="dxa"/>
            <w:vAlign w:val="center"/>
          </w:tcPr>
          <w:p w:rsidR="000975F0" w:rsidRDefault="00785A7D">
            <w:pPr>
              <w:jc w:val="center"/>
            </w:pPr>
            <w:r>
              <w:rPr>
                <w:color w:val="000000"/>
                <w:sz w:val="24"/>
              </w:rPr>
              <w:t>-8.78%</w:t>
            </w:r>
          </w:p>
        </w:tc>
        <w:tc>
          <w:tcPr>
            <w:tcW w:w="1250" w:type="dxa"/>
            <w:vAlign w:val="center"/>
          </w:tcPr>
          <w:p w:rsidR="000975F0" w:rsidRDefault="00785A7D">
            <w:pPr>
              <w:jc w:val="center"/>
            </w:pPr>
            <w:r>
              <w:rPr>
                <w:color w:val="000000"/>
                <w:sz w:val="24"/>
              </w:rPr>
              <w:t>2.06%</w:t>
            </w:r>
          </w:p>
        </w:tc>
        <w:tc>
          <w:tcPr>
            <w:tcW w:w="1250" w:type="dxa"/>
            <w:vAlign w:val="center"/>
          </w:tcPr>
          <w:p w:rsidR="000975F0" w:rsidRDefault="00785A7D">
            <w:pPr>
              <w:jc w:val="center"/>
            </w:pPr>
            <w:r>
              <w:rPr>
                <w:color w:val="000000"/>
                <w:sz w:val="24"/>
              </w:rPr>
              <w:t>-4.40%</w:t>
            </w:r>
          </w:p>
        </w:tc>
        <w:tc>
          <w:tcPr>
            <w:tcW w:w="1250" w:type="dxa"/>
            <w:vAlign w:val="center"/>
          </w:tcPr>
          <w:p w:rsidR="000975F0" w:rsidRDefault="00785A7D">
            <w:pPr>
              <w:jc w:val="center"/>
            </w:pPr>
            <w:r>
              <w:rPr>
                <w:color w:val="000000"/>
                <w:sz w:val="24"/>
              </w:rPr>
              <w:t>0.77%</w:t>
            </w:r>
          </w:p>
        </w:tc>
        <w:tc>
          <w:tcPr>
            <w:tcW w:w="1250" w:type="dxa"/>
            <w:vAlign w:val="center"/>
          </w:tcPr>
          <w:p w:rsidR="000975F0" w:rsidRDefault="00785A7D">
            <w:pPr>
              <w:jc w:val="center"/>
            </w:pPr>
            <w:r>
              <w:rPr>
                <w:color w:val="000000"/>
                <w:sz w:val="24"/>
              </w:rPr>
              <w:t>-4.38%</w:t>
            </w:r>
          </w:p>
        </w:tc>
        <w:tc>
          <w:tcPr>
            <w:tcW w:w="1250" w:type="dxa"/>
            <w:vAlign w:val="center"/>
          </w:tcPr>
          <w:p w:rsidR="000975F0" w:rsidRDefault="00785A7D">
            <w:pPr>
              <w:jc w:val="center"/>
            </w:pPr>
            <w:r>
              <w:rPr>
                <w:color w:val="000000"/>
                <w:sz w:val="24"/>
              </w:rPr>
              <w:t>1.29%</w:t>
            </w:r>
          </w:p>
        </w:tc>
      </w:tr>
      <w:tr w:rsidR="000975F0">
        <w:tc>
          <w:tcPr>
            <w:tcW w:w="1497" w:type="dxa"/>
            <w:vAlign w:val="center"/>
          </w:tcPr>
          <w:p w:rsidR="000975F0" w:rsidRDefault="00785A7D">
            <w:pPr>
              <w:jc w:val="left"/>
            </w:pPr>
            <w:r>
              <w:rPr>
                <w:color w:val="000000"/>
                <w:sz w:val="24"/>
              </w:rPr>
              <w:t>过去三个月</w:t>
            </w:r>
          </w:p>
        </w:tc>
        <w:tc>
          <w:tcPr>
            <w:tcW w:w="1251" w:type="dxa"/>
            <w:vAlign w:val="center"/>
          </w:tcPr>
          <w:p w:rsidR="000975F0" w:rsidRDefault="00785A7D">
            <w:pPr>
              <w:jc w:val="center"/>
            </w:pPr>
            <w:r>
              <w:rPr>
                <w:color w:val="000000"/>
                <w:sz w:val="24"/>
              </w:rPr>
              <w:t>-11.35%</w:t>
            </w:r>
          </w:p>
        </w:tc>
        <w:tc>
          <w:tcPr>
            <w:tcW w:w="1250" w:type="dxa"/>
            <w:vAlign w:val="center"/>
          </w:tcPr>
          <w:p w:rsidR="000975F0" w:rsidRDefault="00785A7D">
            <w:pPr>
              <w:jc w:val="center"/>
            </w:pPr>
            <w:r>
              <w:rPr>
                <w:color w:val="000000"/>
                <w:sz w:val="24"/>
              </w:rPr>
              <w:t>1.44%</w:t>
            </w:r>
          </w:p>
        </w:tc>
        <w:tc>
          <w:tcPr>
            <w:tcW w:w="1250" w:type="dxa"/>
            <w:vAlign w:val="center"/>
          </w:tcPr>
          <w:p w:rsidR="000975F0" w:rsidRDefault="00785A7D">
            <w:pPr>
              <w:jc w:val="center"/>
            </w:pPr>
            <w:r>
              <w:rPr>
                <w:color w:val="000000"/>
                <w:sz w:val="24"/>
              </w:rPr>
              <w:t>-5.26%</w:t>
            </w:r>
          </w:p>
        </w:tc>
        <w:tc>
          <w:tcPr>
            <w:tcW w:w="1250" w:type="dxa"/>
            <w:vAlign w:val="center"/>
          </w:tcPr>
          <w:p w:rsidR="000975F0" w:rsidRDefault="00785A7D">
            <w:pPr>
              <w:jc w:val="center"/>
            </w:pPr>
            <w:r>
              <w:rPr>
                <w:color w:val="000000"/>
                <w:sz w:val="24"/>
              </w:rPr>
              <w:t>0.68%</w:t>
            </w:r>
          </w:p>
        </w:tc>
        <w:tc>
          <w:tcPr>
            <w:tcW w:w="1250" w:type="dxa"/>
            <w:vAlign w:val="center"/>
          </w:tcPr>
          <w:p w:rsidR="000975F0" w:rsidRDefault="00785A7D">
            <w:pPr>
              <w:jc w:val="center"/>
            </w:pPr>
            <w:r>
              <w:rPr>
                <w:color w:val="000000"/>
                <w:sz w:val="24"/>
              </w:rPr>
              <w:t>-6.09%</w:t>
            </w:r>
          </w:p>
        </w:tc>
        <w:tc>
          <w:tcPr>
            <w:tcW w:w="1250" w:type="dxa"/>
            <w:vAlign w:val="center"/>
          </w:tcPr>
          <w:p w:rsidR="000975F0" w:rsidRDefault="00785A7D">
            <w:pPr>
              <w:jc w:val="center"/>
            </w:pPr>
            <w:r>
              <w:rPr>
                <w:color w:val="000000"/>
                <w:sz w:val="24"/>
              </w:rPr>
              <w:t>0.76%</w:t>
            </w:r>
          </w:p>
        </w:tc>
      </w:tr>
      <w:tr w:rsidR="000975F0">
        <w:tc>
          <w:tcPr>
            <w:tcW w:w="1497" w:type="dxa"/>
            <w:vAlign w:val="center"/>
          </w:tcPr>
          <w:p w:rsidR="000975F0" w:rsidRDefault="00785A7D">
            <w:pPr>
              <w:jc w:val="left"/>
            </w:pPr>
            <w:r>
              <w:rPr>
                <w:color w:val="000000"/>
                <w:sz w:val="24"/>
              </w:rPr>
              <w:t>过去六个月</w:t>
            </w:r>
          </w:p>
        </w:tc>
        <w:tc>
          <w:tcPr>
            <w:tcW w:w="1251" w:type="dxa"/>
            <w:vAlign w:val="center"/>
          </w:tcPr>
          <w:p w:rsidR="000975F0" w:rsidRDefault="00785A7D">
            <w:pPr>
              <w:jc w:val="center"/>
            </w:pPr>
            <w:r>
              <w:rPr>
                <w:color w:val="000000"/>
                <w:sz w:val="24"/>
              </w:rPr>
              <w:t>-10.64%</w:t>
            </w:r>
          </w:p>
        </w:tc>
        <w:tc>
          <w:tcPr>
            <w:tcW w:w="1250" w:type="dxa"/>
            <w:vAlign w:val="center"/>
          </w:tcPr>
          <w:p w:rsidR="000975F0" w:rsidRDefault="00785A7D">
            <w:pPr>
              <w:jc w:val="center"/>
            </w:pPr>
            <w:r>
              <w:rPr>
                <w:color w:val="000000"/>
                <w:sz w:val="24"/>
              </w:rPr>
              <w:t>1.33%</w:t>
            </w:r>
          </w:p>
        </w:tc>
        <w:tc>
          <w:tcPr>
            <w:tcW w:w="1250" w:type="dxa"/>
            <w:vAlign w:val="center"/>
          </w:tcPr>
          <w:p w:rsidR="000975F0" w:rsidRDefault="00785A7D">
            <w:pPr>
              <w:jc w:val="center"/>
            </w:pPr>
            <w:r>
              <w:rPr>
                <w:color w:val="000000"/>
                <w:sz w:val="24"/>
              </w:rPr>
              <w:t>-6.30%</w:t>
            </w:r>
          </w:p>
        </w:tc>
        <w:tc>
          <w:tcPr>
            <w:tcW w:w="1250" w:type="dxa"/>
            <w:vAlign w:val="center"/>
          </w:tcPr>
          <w:p w:rsidR="000975F0" w:rsidRDefault="00785A7D">
            <w:pPr>
              <w:jc w:val="center"/>
            </w:pPr>
            <w:r>
              <w:rPr>
                <w:color w:val="000000"/>
                <w:sz w:val="24"/>
              </w:rPr>
              <w:t>0.69%</w:t>
            </w:r>
          </w:p>
        </w:tc>
        <w:tc>
          <w:tcPr>
            <w:tcW w:w="1250" w:type="dxa"/>
            <w:vAlign w:val="center"/>
          </w:tcPr>
          <w:p w:rsidR="000975F0" w:rsidRDefault="00785A7D">
            <w:pPr>
              <w:jc w:val="center"/>
            </w:pPr>
            <w:r>
              <w:rPr>
                <w:color w:val="000000"/>
                <w:sz w:val="24"/>
              </w:rPr>
              <w:t>-4.34%</w:t>
            </w:r>
          </w:p>
        </w:tc>
        <w:tc>
          <w:tcPr>
            <w:tcW w:w="1250" w:type="dxa"/>
            <w:vAlign w:val="center"/>
          </w:tcPr>
          <w:p w:rsidR="000975F0" w:rsidRDefault="00785A7D">
            <w:pPr>
              <w:jc w:val="center"/>
            </w:pPr>
            <w:r>
              <w:rPr>
                <w:color w:val="000000"/>
                <w:sz w:val="24"/>
              </w:rPr>
              <w:t>0.64%</w:t>
            </w:r>
          </w:p>
        </w:tc>
      </w:tr>
      <w:tr w:rsidR="000975F0">
        <w:tc>
          <w:tcPr>
            <w:tcW w:w="1497" w:type="dxa"/>
            <w:vAlign w:val="center"/>
          </w:tcPr>
          <w:p w:rsidR="000975F0" w:rsidRDefault="00785A7D">
            <w:pPr>
              <w:jc w:val="left"/>
            </w:pPr>
            <w:r>
              <w:rPr>
                <w:color w:val="000000"/>
                <w:sz w:val="24"/>
              </w:rPr>
              <w:t>过去一年</w:t>
            </w:r>
          </w:p>
        </w:tc>
        <w:tc>
          <w:tcPr>
            <w:tcW w:w="1251" w:type="dxa"/>
            <w:vAlign w:val="center"/>
          </w:tcPr>
          <w:p w:rsidR="000975F0" w:rsidRDefault="00785A7D">
            <w:pPr>
              <w:jc w:val="center"/>
            </w:pPr>
            <w:r>
              <w:rPr>
                <w:color w:val="000000"/>
                <w:sz w:val="24"/>
              </w:rPr>
              <w:t>5.40%</w:t>
            </w:r>
          </w:p>
        </w:tc>
        <w:tc>
          <w:tcPr>
            <w:tcW w:w="1250" w:type="dxa"/>
            <w:vAlign w:val="center"/>
          </w:tcPr>
          <w:p w:rsidR="000975F0" w:rsidRDefault="00785A7D">
            <w:pPr>
              <w:jc w:val="center"/>
            </w:pPr>
            <w:r>
              <w:rPr>
                <w:color w:val="000000"/>
                <w:sz w:val="24"/>
              </w:rPr>
              <w:t>1.09%</w:t>
            </w:r>
          </w:p>
        </w:tc>
        <w:tc>
          <w:tcPr>
            <w:tcW w:w="1250" w:type="dxa"/>
            <w:vAlign w:val="center"/>
          </w:tcPr>
          <w:p w:rsidR="000975F0" w:rsidRDefault="00785A7D">
            <w:pPr>
              <w:jc w:val="center"/>
            </w:pPr>
            <w:r>
              <w:rPr>
                <w:color w:val="000000"/>
                <w:sz w:val="24"/>
              </w:rPr>
              <w:t>-0.68%</w:t>
            </w:r>
          </w:p>
        </w:tc>
        <w:tc>
          <w:tcPr>
            <w:tcW w:w="1250" w:type="dxa"/>
            <w:vAlign w:val="center"/>
          </w:tcPr>
          <w:p w:rsidR="000975F0" w:rsidRDefault="00785A7D">
            <w:pPr>
              <w:jc w:val="center"/>
            </w:pPr>
            <w:r>
              <w:rPr>
                <w:color w:val="000000"/>
                <w:sz w:val="24"/>
              </w:rPr>
              <w:t>0.57%</w:t>
            </w:r>
          </w:p>
        </w:tc>
        <w:tc>
          <w:tcPr>
            <w:tcW w:w="1250" w:type="dxa"/>
            <w:vAlign w:val="center"/>
          </w:tcPr>
          <w:p w:rsidR="000975F0" w:rsidRDefault="00785A7D">
            <w:pPr>
              <w:jc w:val="center"/>
            </w:pPr>
            <w:r>
              <w:rPr>
                <w:color w:val="000000"/>
                <w:sz w:val="24"/>
              </w:rPr>
              <w:t>6.08%</w:t>
            </w:r>
          </w:p>
        </w:tc>
        <w:tc>
          <w:tcPr>
            <w:tcW w:w="1250" w:type="dxa"/>
            <w:vAlign w:val="center"/>
          </w:tcPr>
          <w:p w:rsidR="000975F0" w:rsidRDefault="00785A7D">
            <w:pPr>
              <w:jc w:val="center"/>
            </w:pPr>
            <w:r>
              <w:rPr>
                <w:color w:val="000000"/>
                <w:sz w:val="24"/>
              </w:rPr>
              <w:t>0.52%</w:t>
            </w:r>
          </w:p>
        </w:tc>
      </w:tr>
      <w:tr w:rsidR="000975F0">
        <w:tc>
          <w:tcPr>
            <w:tcW w:w="1497" w:type="dxa"/>
            <w:vAlign w:val="center"/>
          </w:tcPr>
          <w:p w:rsidR="000975F0" w:rsidRDefault="00785A7D">
            <w:pPr>
              <w:jc w:val="left"/>
            </w:pPr>
            <w:r>
              <w:rPr>
                <w:color w:val="000000"/>
                <w:sz w:val="24"/>
              </w:rPr>
              <w:t>自基金合同生效起至今</w:t>
            </w:r>
          </w:p>
        </w:tc>
        <w:tc>
          <w:tcPr>
            <w:tcW w:w="1251" w:type="dxa"/>
            <w:vAlign w:val="center"/>
          </w:tcPr>
          <w:p w:rsidR="000975F0" w:rsidRDefault="00785A7D">
            <w:pPr>
              <w:jc w:val="center"/>
            </w:pPr>
            <w:r>
              <w:rPr>
                <w:color w:val="000000"/>
                <w:sz w:val="24"/>
              </w:rPr>
              <w:t>4.15%</w:t>
            </w:r>
          </w:p>
        </w:tc>
        <w:tc>
          <w:tcPr>
            <w:tcW w:w="1250" w:type="dxa"/>
            <w:vAlign w:val="center"/>
          </w:tcPr>
          <w:p w:rsidR="000975F0" w:rsidRDefault="00785A7D">
            <w:pPr>
              <w:jc w:val="center"/>
            </w:pPr>
            <w:r>
              <w:rPr>
                <w:color w:val="000000"/>
                <w:sz w:val="24"/>
              </w:rPr>
              <w:t>0.96%</w:t>
            </w:r>
          </w:p>
        </w:tc>
        <w:tc>
          <w:tcPr>
            <w:tcW w:w="1250" w:type="dxa"/>
            <w:vAlign w:val="center"/>
          </w:tcPr>
          <w:p w:rsidR="000975F0" w:rsidRDefault="00785A7D">
            <w:pPr>
              <w:jc w:val="center"/>
            </w:pPr>
            <w:r>
              <w:rPr>
                <w:color w:val="000000"/>
                <w:sz w:val="24"/>
              </w:rPr>
              <w:t>4.84%</w:t>
            </w:r>
          </w:p>
        </w:tc>
        <w:tc>
          <w:tcPr>
            <w:tcW w:w="1250" w:type="dxa"/>
            <w:vAlign w:val="center"/>
          </w:tcPr>
          <w:p w:rsidR="000975F0" w:rsidRDefault="00785A7D">
            <w:pPr>
              <w:jc w:val="center"/>
            </w:pPr>
            <w:r>
              <w:rPr>
                <w:color w:val="000000"/>
                <w:sz w:val="24"/>
              </w:rPr>
              <w:t>0.50%</w:t>
            </w:r>
          </w:p>
        </w:tc>
        <w:tc>
          <w:tcPr>
            <w:tcW w:w="1250" w:type="dxa"/>
            <w:vAlign w:val="center"/>
          </w:tcPr>
          <w:p w:rsidR="000975F0" w:rsidRDefault="00785A7D">
            <w:pPr>
              <w:jc w:val="center"/>
            </w:pPr>
            <w:r>
              <w:rPr>
                <w:color w:val="000000"/>
                <w:sz w:val="24"/>
              </w:rPr>
              <w:t>-0.69%</w:t>
            </w:r>
          </w:p>
        </w:tc>
        <w:tc>
          <w:tcPr>
            <w:tcW w:w="1250" w:type="dxa"/>
            <w:vAlign w:val="center"/>
          </w:tcPr>
          <w:p w:rsidR="000975F0" w:rsidRDefault="00785A7D">
            <w:pPr>
              <w:jc w:val="center"/>
            </w:pPr>
            <w:r>
              <w:rPr>
                <w:color w:val="000000"/>
                <w:sz w:val="24"/>
              </w:rPr>
              <w:t>0.46%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交银施罗德经济新动力混合型证券投资基金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10</w:t>
      </w:r>
      <w:r w:rsidR="001548F9" w:rsidRPr="005C672D">
        <w:rPr>
          <w:rFonts w:ascii="Times New Roman" w:hAnsi="Times New Roman"/>
          <w:sz w:val="24"/>
          <w:szCs w:val="24"/>
        </w:rPr>
        <w:t>月</w:t>
      </w:r>
      <w:r w:rsidR="001548F9" w:rsidRPr="005C672D">
        <w:rPr>
          <w:rFonts w:ascii="Times New Roman" w:hAnsi="Times New Roman"/>
          <w:sz w:val="24"/>
          <w:szCs w:val="24"/>
        </w:rPr>
        <w:t>20</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975F0" w:rsidRDefault="00785A7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975F0">
        <w:tc>
          <w:tcPr>
            <w:tcW w:w="1033" w:type="dxa"/>
            <w:vAlign w:val="center"/>
          </w:tcPr>
          <w:p w:rsidR="000975F0" w:rsidRDefault="00785A7D">
            <w:pPr>
              <w:jc w:val="center"/>
            </w:pPr>
            <w:r>
              <w:rPr>
                <w:color w:val="000000"/>
                <w:sz w:val="24"/>
              </w:rPr>
              <w:t>任相栋</w:t>
            </w:r>
          </w:p>
        </w:tc>
        <w:tc>
          <w:tcPr>
            <w:tcW w:w="1416" w:type="dxa"/>
            <w:vAlign w:val="center"/>
          </w:tcPr>
          <w:p w:rsidR="000975F0" w:rsidRDefault="00785A7D">
            <w:pPr>
              <w:jc w:val="center"/>
            </w:pPr>
            <w:r>
              <w:rPr>
                <w:color w:val="000000"/>
                <w:sz w:val="24"/>
              </w:rPr>
              <w:t>交银先进制造混合、交银经济新动力混合的基金经理</w:t>
            </w:r>
          </w:p>
        </w:tc>
        <w:tc>
          <w:tcPr>
            <w:tcW w:w="1126" w:type="dxa"/>
            <w:vAlign w:val="center"/>
          </w:tcPr>
          <w:p w:rsidR="000975F0" w:rsidRDefault="00785A7D">
            <w:pPr>
              <w:jc w:val="center"/>
            </w:pPr>
            <w:r>
              <w:rPr>
                <w:color w:val="000000"/>
                <w:sz w:val="24"/>
              </w:rPr>
              <w:t>2016-10-20</w:t>
            </w:r>
          </w:p>
        </w:tc>
        <w:tc>
          <w:tcPr>
            <w:tcW w:w="1192" w:type="dxa"/>
            <w:vAlign w:val="center"/>
          </w:tcPr>
          <w:p w:rsidR="000975F0" w:rsidRDefault="00785A7D">
            <w:pPr>
              <w:jc w:val="center"/>
            </w:pPr>
            <w:r>
              <w:rPr>
                <w:color w:val="000000"/>
                <w:sz w:val="24"/>
              </w:rPr>
              <w:t>2018-06-23</w:t>
            </w:r>
          </w:p>
        </w:tc>
        <w:tc>
          <w:tcPr>
            <w:tcW w:w="1169" w:type="dxa"/>
            <w:vAlign w:val="center"/>
          </w:tcPr>
          <w:p w:rsidR="000975F0" w:rsidRDefault="00785A7D">
            <w:pPr>
              <w:jc w:val="center"/>
            </w:pPr>
            <w:r>
              <w:rPr>
                <w:color w:val="000000"/>
                <w:sz w:val="24"/>
              </w:rPr>
              <w:t>8</w:t>
            </w:r>
            <w:r>
              <w:rPr>
                <w:color w:val="000000"/>
                <w:sz w:val="24"/>
              </w:rPr>
              <w:t>年</w:t>
            </w:r>
          </w:p>
        </w:tc>
        <w:tc>
          <w:tcPr>
            <w:tcW w:w="3062" w:type="dxa"/>
            <w:vAlign w:val="center"/>
          </w:tcPr>
          <w:p w:rsidR="000975F0" w:rsidRDefault="00785A7D">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r w:rsidR="000975F0">
        <w:tc>
          <w:tcPr>
            <w:tcW w:w="1033" w:type="dxa"/>
            <w:vAlign w:val="center"/>
          </w:tcPr>
          <w:p w:rsidR="000975F0" w:rsidRDefault="00785A7D">
            <w:pPr>
              <w:jc w:val="center"/>
            </w:pPr>
            <w:r>
              <w:rPr>
                <w:color w:val="000000"/>
                <w:sz w:val="24"/>
              </w:rPr>
              <w:t>郭斐</w:t>
            </w:r>
          </w:p>
        </w:tc>
        <w:tc>
          <w:tcPr>
            <w:tcW w:w="1416" w:type="dxa"/>
            <w:vAlign w:val="center"/>
          </w:tcPr>
          <w:p w:rsidR="000975F0" w:rsidRDefault="00785A7D">
            <w:pPr>
              <w:jc w:val="center"/>
            </w:pPr>
            <w:r>
              <w:rPr>
                <w:color w:val="000000"/>
                <w:sz w:val="24"/>
              </w:rPr>
              <w:t>交银成长</w:t>
            </w:r>
            <w:r>
              <w:rPr>
                <w:color w:val="000000"/>
                <w:sz w:val="24"/>
              </w:rPr>
              <w:t>30</w:t>
            </w:r>
            <w:r>
              <w:rPr>
                <w:color w:val="000000"/>
                <w:sz w:val="24"/>
              </w:rPr>
              <w:t>混合、交银经济新动力混合的基金经理</w:t>
            </w:r>
          </w:p>
        </w:tc>
        <w:tc>
          <w:tcPr>
            <w:tcW w:w="1126" w:type="dxa"/>
            <w:vAlign w:val="center"/>
          </w:tcPr>
          <w:p w:rsidR="000975F0" w:rsidRDefault="00785A7D">
            <w:pPr>
              <w:jc w:val="center"/>
            </w:pPr>
            <w:r>
              <w:rPr>
                <w:color w:val="000000"/>
                <w:sz w:val="24"/>
              </w:rPr>
              <w:t>2018-06-02</w:t>
            </w:r>
          </w:p>
        </w:tc>
        <w:tc>
          <w:tcPr>
            <w:tcW w:w="1192" w:type="dxa"/>
            <w:vAlign w:val="center"/>
          </w:tcPr>
          <w:p w:rsidR="000975F0" w:rsidRDefault="00785A7D">
            <w:pPr>
              <w:jc w:val="center"/>
            </w:pPr>
            <w:r>
              <w:rPr>
                <w:color w:val="000000"/>
                <w:sz w:val="24"/>
              </w:rPr>
              <w:t>-</w:t>
            </w:r>
          </w:p>
        </w:tc>
        <w:tc>
          <w:tcPr>
            <w:tcW w:w="1169" w:type="dxa"/>
            <w:vAlign w:val="center"/>
          </w:tcPr>
          <w:p w:rsidR="000975F0" w:rsidRDefault="00785A7D">
            <w:pPr>
              <w:jc w:val="center"/>
            </w:pPr>
            <w:r>
              <w:rPr>
                <w:color w:val="000000"/>
                <w:sz w:val="24"/>
              </w:rPr>
              <w:t>9</w:t>
            </w:r>
            <w:r>
              <w:rPr>
                <w:color w:val="000000"/>
                <w:sz w:val="24"/>
              </w:rPr>
              <w:t>年</w:t>
            </w:r>
          </w:p>
        </w:tc>
        <w:tc>
          <w:tcPr>
            <w:tcW w:w="3062" w:type="dxa"/>
            <w:vAlign w:val="center"/>
          </w:tcPr>
          <w:p w:rsidR="000975F0" w:rsidRDefault="00785A7D">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w:t>
            </w:r>
            <w:r>
              <w:rPr>
                <w:color w:val="000000"/>
                <w:sz w:val="24"/>
              </w:rPr>
              <w:lastRenderedPageBreak/>
              <w:t>业分析师、基金经理助理。</w:t>
            </w:r>
          </w:p>
        </w:tc>
      </w:tr>
    </w:tbl>
    <w:p w:rsidR="000975F0" w:rsidRDefault="00785A7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975F0" w:rsidRDefault="00785A7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0975F0" w:rsidRDefault="00785A7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975F0" w:rsidRDefault="00785A7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975F0" w:rsidRDefault="00785A7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975F0" w:rsidRDefault="00785A7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w:t>
      </w:r>
      <w:r w:rsidRPr="005C672D">
        <w:rPr>
          <w:color w:val="000000"/>
          <w:sz w:val="24"/>
        </w:rPr>
        <w:lastRenderedPageBreak/>
        <w:t>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975F0" w:rsidRDefault="00785A7D">
      <w:pPr>
        <w:spacing w:before="29" w:line="288" w:lineRule="auto"/>
        <w:ind w:firstLineChars="200" w:firstLine="480"/>
        <w:rPr>
          <w:color w:val="000000"/>
          <w:sz w:val="24"/>
        </w:rPr>
      </w:pPr>
      <w:r>
        <w:rPr>
          <w:color w:val="000000"/>
          <w:sz w:val="24"/>
        </w:rPr>
        <w:t>2018</w:t>
      </w:r>
      <w:r>
        <w:rPr>
          <w:color w:val="000000"/>
          <w:sz w:val="24"/>
        </w:rPr>
        <w:t>年上半年，市场行情经历了一波三折，中兴通讯事件以及中美贸易战的反复发酵使得市场的风险偏好出现大幅下降，对外需的担忧叠加对地产投资乃至整个经济预期的负面影响，拖累了</w:t>
      </w:r>
      <w:r>
        <w:rPr>
          <w:color w:val="000000"/>
          <w:sz w:val="24"/>
        </w:rPr>
        <w:t>A</w:t>
      </w:r>
      <w:r>
        <w:rPr>
          <w:color w:val="000000"/>
          <w:sz w:val="24"/>
        </w:rPr>
        <w:t>股市场大小市值股票齐跌。</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报告期内，本基金重点配置了先进制造、科技硬件、新能源汽车、医药等领域及低估值蓝筹等品种。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我们认为经济的短周期回落不可避免。在预期长端利率下行的过程中，一批经历充分调整、估值具备吸引力的优质成长股将有相对较好的表现。同时，以地产为代表的价值蓝筹已反映相当悲观的市场预期，具备一定配置价值。本基金在二季度已加大优质成长股配置力度的基础上，将持续挖掘行业成长空间广阔、具备核心竞争力的公司，把握合适的配置窗口，力争为投资人获得持续稳定的超额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0975F0" w:rsidRDefault="00785A7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975F0" w:rsidRDefault="00785A7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C672D">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0975F0" w:rsidRDefault="00785A7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会计主体：交银施罗德经济新动力混合型证券投资基金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12,556,048.73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110,460,911.03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251,147.61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3,438,689.74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524,875.09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557,489.02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130,248,435.86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655,218,590.79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123,247,735.86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655,218,590.79</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7,000,700.00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213,997.98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22,145.44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36,500.76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136,353.58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143,831,006.03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769,834,179.60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2,643.24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23,240,596.68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236,342.18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901,245.02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210,231.08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983,884.64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35,038.51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163,980.76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891,885.78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1,857,067.25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188,955.54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261,689.66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1,565,096.33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27,408,464.01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136,591,333.61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637,011,368.90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5,674,576.09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105,414,346.69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142,265,909.70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742,425,715.59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143,831,006.03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769,834,179.60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1.0415</w:t>
      </w:r>
      <w:r w:rsidR="006C5149" w:rsidRPr="005C672D">
        <w:rPr>
          <w:kern w:val="0"/>
          <w:sz w:val="24"/>
        </w:rPr>
        <w:t>元，基金份额总额</w:t>
      </w:r>
      <w:r w:rsidR="006C5149" w:rsidRPr="005C672D">
        <w:rPr>
          <w:kern w:val="0"/>
          <w:sz w:val="24"/>
        </w:rPr>
        <w:t>136,591,333.61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-9,495,758.79</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15,069,520.53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358,538.84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678,281.19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335,548.14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678,281.19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22,990.70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-6,682,367.28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15,279,384.73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-7,794,761.66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12,303,263.94</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1,112,394.38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2,976,120.79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-4,099,200.98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-2,480,224.64</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927,270.63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1,592,079.25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9,131,690.76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14,589,260.75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4,087,616.44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6,631,215.66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681,269.37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1,105,202.60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4,159,062.49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6,646,613.07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203,742.46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206,229.42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-18,627,449.55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480,259.78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-18,627,449.55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480,259.78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637,011,368.90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105,414,346.69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742,425,715.59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-18,627,449.55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-18,627,449.55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w:t>
            </w:r>
            <w:r w:rsidRPr="005C672D">
              <w:rPr>
                <w:color w:val="000000"/>
                <w:sz w:val="24"/>
              </w:rPr>
              <w:lastRenderedPageBreak/>
              <w:t>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-500,420,035.29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-81,112,321.05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-581,532,356.34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56,751,856.05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8,254,308.88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65,006,164.93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-557,171,891.34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-89,366,629.93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-646,538,521.27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136,591,333.61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5,674,576.09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142,265,909.70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859,677,909.07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-10,435,140.98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849,242,768.09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480,259.78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480,259.78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-58,227,260.46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442,772.48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-57,784,487.98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541,199,564.12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21,449,642.90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562,649,207.02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-599,426,824.58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-21,006,870.42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-620,433,695.00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801,450,648.61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-9,512,108.72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791,938,539.89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975F0" w:rsidRDefault="00785A7D">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。如法律法规或监管机构以后允许基金投资其他品种，基金管理人在履行适当程序后，可以将其纳入投资范围。本基金的投资组合比例为：股票资产占基金资产的比例为</w:t>
      </w:r>
      <w:r w:rsidRPr="005C672D">
        <w:rPr>
          <w:color w:val="000000"/>
          <w:sz w:val="24"/>
        </w:rPr>
        <w:t>30%-95%</w:t>
      </w:r>
      <w:r w:rsidRPr="005C672D">
        <w:rPr>
          <w:color w:val="000000"/>
          <w:sz w:val="24"/>
        </w:rPr>
        <w:t>，债券、货币市场工具、资产支持证券等固定收益类资产占基金资产的比例为</w:t>
      </w:r>
      <w:r w:rsidRPr="005C672D">
        <w:rPr>
          <w:color w:val="000000"/>
          <w:sz w:val="24"/>
        </w:rPr>
        <w:t>0%-40%</w:t>
      </w:r>
      <w:r w:rsidRPr="005C672D">
        <w:rPr>
          <w:color w:val="000000"/>
          <w:sz w:val="24"/>
        </w:rPr>
        <w:t>；本基金投资于与经济新动力主题相关证券的比例不低于非现金基金资产的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；每个交易日日终在扣除股指期货合约需缴纳的交易保证金后，本基金保留的现金以及投资于到期日在一年以内的政府债券的比例合计不低于基金资产净值的</w:t>
      </w:r>
      <w:r w:rsidRPr="005C672D">
        <w:rPr>
          <w:color w:val="000000"/>
          <w:sz w:val="24"/>
        </w:rPr>
        <w:t>5%</w:t>
      </w:r>
      <w:r w:rsidRPr="005C672D">
        <w:rPr>
          <w:color w:val="000000"/>
          <w:sz w:val="24"/>
        </w:rPr>
        <w:t>。本基金的业绩比较基准为：沪深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颁布的《证券投资基金会计核算业务指引》、《交银施罗德经济新动力混合型证券投资基金基金合同》和在财务报表附注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w:t>
      </w:r>
      <w:r w:rsidRPr="005C672D">
        <w:rPr>
          <w:color w:val="000000"/>
          <w:sz w:val="24"/>
        </w:rPr>
        <w:lastRenderedPageBreak/>
        <w:t>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975F0" w:rsidRDefault="00785A7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975F0" w:rsidRDefault="00785A7D">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975F0" w:rsidRDefault="00785A7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0975F0" w:rsidRDefault="00785A7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975F0" w:rsidRDefault="00785A7D">
      <w:pPr>
        <w:spacing w:before="29" w:line="288" w:lineRule="auto"/>
        <w:ind w:firstLineChars="200" w:firstLine="480"/>
        <w:rPr>
          <w:color w:val="000000"/>
          <w:sz w:val="24"/>
        </w:rPr>
      </w:pPr>
      <w:r>
        <w:rPr>
          <w:color w:val="000000"/>
          <w:sz w:val="24"/>
        </w:rPr>
        <w:lastRenderedPageBreak/>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975F0" w:rsidRDefault="00785A7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975F0">
        <w:tc>
          <w:tcPr>
            <w:tcW w:w="5219" w:type="dxa"/>
            <w:vAlign w:val="center"/>
          </w:tcPr>
          <w:p w:rsidR="000975F0" w:rsidRDefault="00785A7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975F0" w:rsidRDefault="00785A7D">
            <w:pPr>
              <w:jc w:val="left"/>
            </w:pPr>
            <w:r>
              <w:rPr>
                <w:color w:val="000000"/>
                <w:sz w:val="24"/>
              </w:rPr>
              <w:t>基金管理人、基金销售机构</w:t>
            </w:r>
          </w:p>
        </w:tc>
      </w:tr>
      <w:tr w:rsidR="000975F0">
        <w:tc>
          <w:tcPr>
            <w:tcW w:w="5219" w:type="dxa"/>
            <w:vAlign w:val="center"/>
          </w:tcPr>
          <w:p w:rsidR="000975F0" w:rsidRDefault="00785A7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975F0" w:rsidRDefault="00785A7D">
            <w:pPr>
              <w:jc w:val="left"/>
            </w:pPr>
            <w:r>
              <w:rPr>
                <w:color w:val="000000"/>
                <w:sz w:val="24"/>
              </w:rPr>
              <w:t>基金托管人、基金销售机构</w:t>
            </w:r>
          </w:p>
        </w:tc>
      </w:tr>
      <w:tr w:rsidR="000975F0">
        <w:tc>
          <w:tcPr>
            <w:tcW w:w="5219" w:type="dxa"/>
            <w:vAlign w:val="center"/>
          </w:tcPr>
          <w:p w:rsidR="000975F0" w:rsidRDefault="00785A7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975F0" w:rsidRDefault="00785A7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4,087,616.44</w:t>
            </w:r>
          </w:p>
        </w:tc>
        <w:tc>
          <w:tcPr>
            <w:tcW w:w="2657" w:type="dxa"/>
            <w:vAlign w:val="center"/>
          </w:tcPr>
          <w:p w:rsidR="001548F9" w:rsidRPr="005C672D" w:rsidRDefault="001548F9" w:rsidP="00AC6DDA">
            <w:pPr>
              <w:spacing w:before="29" w:line="288" w:lineRule="auto"/>
              <w:jc w:val="right"/>
              <w:rPr>
                <w:sz w:val="24"/>
              </w:rPr>
            </w:pPr>
            <w:r w:rsidRPr="005C672D">
              <w:rPr>
                <w:sz w:val="24"/>
              </w:rPr>
              <w:t>6,631,215.66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w:t>
            </w:r>
            <w:r w:rsidRPr="005C672D">
              <w:rPr>
                <w:sz w:val="24"/>
              </w:rPr>
              <w:lastRenderedPageBreak/>
              <w:t>费</w:t>
            </w:r>
          </w:p>
        </w:tc>
        <w:tc>
          <w:tcPr>
            <w:tcW w:w="2657" w:type="dxa"/>
            <w:vAlign w:val="center"/>
          </w:tcPr>
          <w:p w:rsidR="001548F9" w:rsidRPr="005C672D" w:rsidRDefault="001548F9" w:rsidP="00AC6DDA">
            <w:pPr>
              <w:spacing w:before="29" w:line="288" w:lineRule="auto"/>
              <w:jc w:val="right"/>
              <w:rPr>
                <w:sz w:val="24"/>
              </w:rPr>
            </w:pPr>
            <w:r w:rsidRPr="005C672D">
              <w:rPr>
                <w:sz w:val="24"/>
              </w:rPr>
              <w:lastRenderedPageBreak/>
              <w:t>464,226.41</w:t>
            </w:r>
          </w:p>
        </w:tc>
        <w:tc>
          <w:tcPr>
            <w:tcW w:w="2657" w:type="dxa"/>
            <w:vAlign w:val="center"/>
          </w:tcPr>
          <w:p w:rsidR="001548F9" w:rsidRPr="005C672D" w:rsidRDefault="001548F9" w:rsidP="00AC6DDA">
            <w:pPr>
              <w:spacing w:before="29" w:line="288" w:lineRule="auto"/>
              <w:jc w:val="right"/>
              <w:rPr>
                <w:sz w:val="24"/>
              </w:rPr>
            </w:pPr>
            <w:r w:rsidRPr="005C672D">
              <w:rPr>
                <w:sz w:val="24"/>
              </w:rPr>
              <w:t>1,962,641.35</w:t>
            </w:r>
          </w:p>
        </w:tc>
      </w:tr>
    </w:tbl>
    <w:p w:rsidR="000975F0" w:rsidRDefault="00785A7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681,269.37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1,105,202.60</w:t>
            </w:r>
          </w:p>
        </w:tc>
      </w:tr>
    </w:tbl>
    <w:p w:rsidR="000975F0" w:rsidRDefault="00785A7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975F0">
        <w:tc>
          <w:tcPr>
            <w:tcW w:w="2171" w:type="dxa"/>
            <w:vAlign w:val="center"/>
          </w:tcPr>
          <w:p w:rsidR="000975F0" w:rsidRDefault="00785A7D">
            <w:pPr>
              <w:jc w:val="left"/>
            </w:pPr>
            <w:r>
              <w:rPr>
                <w:sz w:val="24"/>
              </w:rPr>
              <w:lastRenderedPageBreak/>
              <w:t>中国建设银行</w:t>
            </w:r>
          </w:p>
        </w:tc>
        <w:tc>
          <w:tcPr>
            <w:tcW w:w="2023" w:type="dxa"/>
            <w:vAlign w:val="center"/>
          </w:tcPr>
          <w:p w:rsidR="000975F0" w:rsidRDefault="00785A7D">
            <w:pPr>
              <w:jc w:val="right"/>
            </w:pPr>
            <w:r>
              <w:rPr>
                <w:sz w:val="24"/>
              </w:rPr>
              <w:t>12,556,048.73</w:t>
            </w:r>
          </w:p>
        </w:tc>
        <w:tc>
          <w:tcPr>
            <w:tcW w:w="1772" w:type="dxa"/>
            <w:vAlign w:val="center"/>
          </w:tcPr>
          <w:p w:rsidR="000975F0" w:rsidRDefault="00785A7D">
            <w:pPr>
              <w:jc w:val="right"/>
            </w:pPr>
            <w:r>
              <w:rPr>
                <w:sz w:val="24"/>
              </w:rPr>
              <w:t>311,016.03</w:t>
            </w:r>
          </w:p>
        </w:tc>
        <w:tc>
          <w:tcPr>
            <w:tcW w:w="1412" w:type="dxa"/>
            <w:vAlign w:val="center"/>
          </w:tcPr>
          <w:p w:rsidR="000975F0" w:rsidRDefault="00785A7D">
            <w:pPr>
              <w:jc w:val="right"/>
            </w:pPr>
            <w:r>
              <w:rPr>
                <w:sz w:val="24"/>
              </w:rPr>
              <w:t>117,679,976.29</w:t>
            </w:r>
          </w:p>
        </w:tc>
        <w:tc>
          <w:tcPr>
            <w:tcW w:w="1807" w:type="dxa"/>
            <w:vAlign w:val="center"/>
          </w:tcPr>
          <w:p w:rsidR="000975F0" w:rsidRDefault="00785A7D">
            <w:pPr>
              <w:jc w:val="right"/>
            </w:pPr>
            <w:r>
              <w:rPr>
                <w:sz w:val="24"/>
              </w:rPr>
              <w:t>630,812.18</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0975F0">
        <w:tc>
          <w:tcPr>
            <w:tcW w:w="834" w:type="dxa"/>
            <w:vAlign w:val="center"/>
          </w:tcPr>
          <w:p w:rsidR="000975F0" w:rsidRDefault="00785A7D">
            <w:pPr>
              <w:jc w:val="center"/>
            </w:pPr>
            <w:r>
              <w:rPr>
                <w:sz w:val="24"/>
              </w:rPr>
              <w:t>603105</w:t>
            </w:r>
          </w:p>
        </w:tc>
        <w:tc>
          <w:tcPr>
            <w:tcW w:w="835" w:type="dxa"/>
            <w:vAlign w:val="center"/>
          </w:tcPr>
          <w:p w:rsidR="000975F0" w:rsidRDefault="00785A7D">
            <w:pPr>
              <w:jc w:val="center"/>
            </w:pPr>
            <w:r>
              <w:rPr>
                <w:sz w:val="24"/>
              </w:rPr>
              <w:t>芯能科技</w:t>
            </w:r>
          </w:p>
        </w:tc>
        <w:tc>
          <w:tcPr>
            <w:tcW w:w="834" w:type="dxa"/>
            <w:vAlign w:val="center"/>
          </w:tcPr>
          <w:p w:rsidR="000975F0" w:rsidRDefault="00785A7D">
            <w:pPr>
              <w:jc w:val="center"/>
            </w:pPr>
            <w:r>
              <w:rPr>
                <w:sz w:val="24"/>
              </w:rPr>
              <w:t>2018-06-29</w:t>
            </w:r>
          </w:p>
        </w:tc>
        <w:tc>
          <w:tcPr>
            <w:tcW w:w="835" w:type="dxa"/>
            <w:vAlign w:val="center"/>
          </w:tcPr>
          <w:p w:rsidR="000975F0" w:rsidRDefault="00785A7D">
            <w:pPr>
              <w:jc w:val="center"/>
            </w:pPr>
            <w:r>
              <w:rPr>
                <w:sz w:val="24"/>
              </w:rPr>
              <w:t>2018-07-09</w:t>
            </w:r>
          </w:p>
        </w:tc>
        <w:tc>
          <w:tcPr>
            <w:tcW w:w="834" w:type="dxa"/>
            <w:vAlign w:val="center"/>
          </w:tcPr>
          <w:p w:rsidR="000975F0" w:rsidRDefault="00785A7D">
            <w:pPr>
              <w:jc w:val="center"/>
            </w:pPr>
            <w:r>
              <w:rPr>
                <w:sz w:val="24"/>
              </w:rPr>
              <w:t>新股未上市</w:t>
            </w:r>
          </w:p>
        </w:tc>
        <w:tc>
          <w:tcPr>
            <w:tcW w:w="835" w:type="dxa"/>
            <w:vAlign w:val="center"/>
          </w:tcPr>
          <w:p w:rsidR="000975F0" w:rsidRDefault="00785A7D">
            <w:pPr>
              <w:jc w:val="right"/>
            </w:pPr>
            <w:r>
              <w:rPr>
                <w:sz w:val="24"/>
              </w:rPr>
              <w:t>4.83</w:t>
            </w:r>
          </w:p>
        </w:tc>
        <w:tc>
          <w:tcPr>
            <w:tcW w:w="834" w:type="dxa"/>
            <w:vAlign w:val="center"/>
          </w:tcPr>
          <w:p w:rsidR="000975F0" w:rsidRDefault="00785A7D">
            <w:pPr>
              <w:jc w:val="center"/>
            </w:pPr>
            <w:r>
              <w:rPr>
                <w:sz w:val="24"/>
              </w:rPr>
              <w:t>4.83</w:t>
            </w:r>
          </w:p>
        </w:tc>
        <w:tc>
          <w:tcPr>
            <w:tcW w:w="835" w:type="dxa"/>
            <w:vAlign w:val="center"/>
          </w:tcPr>
          <w:p w:rsidR="000975F0" w:rsidRDefault="00785A7D">
            <w:pPr>
              <w:jc w:val="right"/>
            </w:pPr>
            <w:r>
              <w:rPr>
                <w:sz w:val="24"/>
              </w:rPr>
              <w:t>3,410</w:t>
            </w:r>
          </w:p>
        </w:tc>
        <w:tc>
          <w:tcPr>
            <w:tcW w:w="834" w:type="dxa"/>
            <w:vAlign w:val="center"/>
          </w:tcPr>
          <w:p w:rsidR="000975F0" w:rsidRDefault="00785A7D">
            <w:pPr>
              <w:jc w:val="right"/>
            </w:pPr>
            <w:r>
              <w:rPr>
                <w:sz w:val="24"/>
              </w:rPr>
              <w:t>16,470.30</w:t>
            </w:r>
          </w:p>
        </w:tc>
        <w:tc>
          <w:tcPr>
            <w:tcW w:w="835" w:type="dxa"/>
            <w:vAlign w:val="center"/>
          </w:tcPr>
          <w:p w:rsidR="000975F0" w:rsidRDefault="00785A7D">
            <w:pPr>
              <w:jc w:val="right"/>
            </w:pPr>
            <w:r>
              <w:rPr>
                <w:sz w:val="24"/>
              </w:rPr>
              <w:t>16,470.30</w:t>
            </w:r>
          </w:p>
        </w:tc>
        <w:tc>
          <w:tcPr>
            <w:tcW w:w="835" w:type="dxa"/>
            <w:vAlign w:val="center"/>
          </w:tcPr>
          <w:p w:rsidR="000975F0" w:rsidRDefault="00785A7D">
            <w:pPr>
              <w:jc w:val="center"/>
            </w:pPr>
            <w:r>
              <w:rPr>
                <w:sz w:val="24"/>
              </w:rPr>
              <w:t>-</w:t>
            </w:r>
          </w:p>
        </w:tc>
      </w:tr>
      <w:tr w:rsidR="000975F0">
        <w:tc>
          <w:tcPr>
            <w:tcW w:w="834" w:type="dxa"/>
            <w:vAlign w:val="center"/>
          </w:tcPr>
          <w:p w:rsidR="000975F0" w:rsidRDefault="00785A7D">
            <w:pPr>
              <w:jc w:val="center"/>
            </w:pPr>
            <w:r>
              <w:rPr>
                <w:sz w:val="24"/>
              </w:rPr>
              <w:t>603693</w:t>
            </w:r>
          </w:p>
        </w:tc>
        <w:tc>
          <w:tcPr>
            <w:tcW w:w="835" w:type="dxa"/>
            <w:vAlign w:val="center"/>
          </w:tcPr>
          <w:p w:rsidR="000975F0" w:rsidRDefault="00785A7D">
            <w:pPr>
              <w:jc w:val="center"/>
            </w:pPr>
            <w:r>
              <w:rPr>
                <w:sz w:val="24"/>
              </w:rPr>
              <w:t>江苏新能</w:t>
            </w:r>
          </w:p>
        </w:tc>
        <w:tc>
          <w:tcPr>
            <w:tcW w:w="834" w:type="dxa"/>
            <w:vAlign w:val="center"/>
          </w:tcPr>
          <w:p w:rsidR="000975F0" w:rsidRDefault="00785A7D">
            <w:pPr>
              <w:jc w:val="center"/>
            </w:pPr>
            <w:r>
              <w:rPr>
                <w:sz w:val="24"/>
              </w:rPr>
              <w:t>2018-06-25</w:t>
            </w:r>
          </w:p>
        </w:tc>
        <w:tc>
          <w:tcPr>
            <w:tcW w:w="835" w:type="dxa"/>
            <w:vAlign w:val="center"/>
          </w:tcPr>
          <w:p w:rsidR="000975F0" w:rsidRDefault="00785A7D">
            <w:pPr>
              <w:jc w:val="center"/>
            </w:pPr>
            <w:r>
              <w:rPr>
                <w:sz w:val="24"/>
              </w:rPr>
              <w:t>2018-07-03</w:t>
            </w:r>
          </w:p>
        </w:tc>
        <w:tc>
          <w:tcPr>
            <w:tcW w:w="834" w:type="dxa"/>
            <w:vAlign w:val="center"/>
          </w:tcPr>
          <w:p w:rsidR="000975F0" w:rsidRDefault="00785A7D">
            <w:pPr>
              <w:jc w:val="center"/>
            </w:pPr>
            <w:r>
              <w:rPr>
                <w:sz w:val="24"/>
              </w:rPr>
              <w:t>新股未上市</w:t>
            </w:r>
          </w:p>
        </w:tc>
        <w:tc>
          <w:tcPr>
            <w:tcW w:w="835" w:type="dxa"/>
            <w:vAlign w:val="center"/>
          </w:tcPr>
          <w:p w:rsidR="000975F0" w:rsidRDefault="00785A7D">
            <w:pPr>
              <w:jc w:val="right"/>
            </w:pPr>
            <w:r>
              <w:rPr>
                <w:sz w:val="24"/>
              </w:rPr>
              <w:t>9.00</w:t>
            </w:r>
          </w:p>
        </w:tc>
        <w:tc>
          <w:tcPr>
            <w:tcW w:w="834" w:type="dxa"/>
            <w:vAlign w:val="center"/>
          </w:tcPr>
          <w:p w:rsidR="000975F0" w:rsidRDefault="00785A7D">
            <w:pPr>
              <w:jc w:val="center"/>
            </w:pPr>
            <w:r>
              <w:rPr>
                <w:sz w:val="24"/>
              </w:rPr>
              <w:t>9.00</w:t>
            </w:r>
          </w:p>
        </w:tc>
        <w:tc>
          <w:tcPr>
            <w:tcW w:w="835" w:type="dxa"/>
            <w:vAlign w:val="center"/>
          </w:tcPr>
          <w:p w:rsidR="000975F0" w:rsidRDefault="00785A7D">
            <w:pPr>
              <w:jc w:val="right"/>
            </w:pPr>
            <w:r>
              <w:rPr>
                <w:sz w:val="24"/>
              </w:rPr>
              <w:t>5,384</w:t>
            </w:r>
          </w:p>
        </w:tc>
        <w:tc>
          <w:tcPr>
            <w:tcW w:w="834" w:type="dxa"/>
            <w:vAlign w:val="center"/>
          </w:tcPr>
          <w:p w:rsidR="000975F0" w:rsidRDefault="00785A7D">
            <w:pPr>
              <w:jc w:val="right"/>
            </w:pPr>
            <w:r>
              <w:rPr>
                <w:sz w:val="24"/>
              </w:rPr>
              <w:t>48,456.00</w:t>
            </w:r>
          </w:p>
        </w:tc>
        <w:tc>
          <w:tcPr>
            <w:tcW w:w="835" w:type="dxa"/>
            <w:vAlign w:val="center"/>
          </w:tcPr>
          <w:p w:rsidR="000975F0" w:rsidRDefault="00785A7D">
            <w:pPr>
              <w:jc w:val="right"/>
            </w:pPr>
            <w:r>
              <w:rPr>
                <w:sz w:val="24"/>
              </w:rPr>
              <w:t>48,456.00</w:t>
            </w:r>
          </w:p>
        </w:tc>
        <w:tc>
          <w:tcPr>
            <w:tcW w:w="835" w:type="dxa"/>
            <w:vAlign w:val="center"/>
          </w:tcPr>
          <w:p w:rsidR="000975F0" w:rsidRDefault="00785A7D">
            <w:pPr>
              <w:jc w:val="center"/>
            </w:pPr>
            <w:r>
              <w:rPr>
                <w:sz w:val="24"/>
              </w:rPr>
              <w:t>-</w:t>
            </w:r>
          </w:p>
        </w:tc>
      </w:tr>
      <w:tr w:rsidR="000975F0">
        <w:tc>
          <w:tcPr>
            <w:tcW w:w="834" w:type="dxa"/>
            <w:vAlign w:val="center"/>
          </w:tcPr>
          <w:p w:rsidR="000975F0" w:rsidRDefault="00785A7D">
            <w:pPr>
              <w:jc w:val="center"/>
            </w:pPr>
            <w:r>
              <w:rPr>
                <w:sz w:val="24"/>
              </w:rPr>
              <w:t>603706</w:t>
            </w:r>
          </w:p>
        </w:tc>
        <w:tc>
          <w:tcPr>
            <w:tcW w:w="835" w:type="dxa"/>
            <w:vAlign w:val="center"/>
          </w:tcPr>
          <w:p w:rsidR="000975F0" w:rsidRDefault="00785A7D">
            <w:pPr>
              <w:jc w:val="center"/>
            </w:pPr>
            <w:r>
              <w:rPr>
                <w:sz w:val="24"/>
              </w:rPr>
              <w:t>东方环宇</w:t>
            </w:r>
          </w:p>
        </w:tc>
        <w:tc>
          <w:tcPr>
            <w:tcW w:w="834" w:type="dxa"/>
            <w:vAlign w:val="center"/>
          </w:tcPr>
          <w:p w:rsidR="000975F0" w:rsidRDefault="00785A7D">
            <w:pPr>
              <w:jc w:val="center"/>
            </w:pPr>
            <w:r>
              <w:rPr>
                <w:sz w:val="24"/>
              </w:rPr>
              <w:t>2018-06-29</w:t>
            </w:r>
          </w:p>
        </w:tc>
        <w:tc>
          <w:tcPr>
            <w:tcW w:w="835" w:type="dxa"/>
            <w:vAlign w:val="center"/>
          </w:tcPr>
          <w:p w:rsidR="000975F0" w:rsidRDefault="00785A7D">
            <w:pPr>
              <w:jc w:val="center"/>
            </w:pPr>
            <w:r>
              <w:rPr>
                <w:sz w:val="24"/>
              </w:rPr>
              <w:t>2018-07-09</w:t>
            </w:r>
          </w:p>
        </w:tc>
        <w:tc>
          <w:tcPr>
            <w:tcW w:w="834" w:type="dxa"/>
            <w:vAlign w:val="center"/>
          </w:tcPr>
          <w:p w:rsidR="000975F0" w:rsidRDefault="00785A7D">
            <w:pPr>
              <w:jc w:val="center"/>
            </w:pPr>
            <w:r>
              <w:rPr>
                <w:sz w:val="24"/>
              </w:rPr>
              <w:t>新股未上市</w:t>
            </w:r>
          </w:p>
        </w:tc>
        <w:tc>
          <w:tcPr>
            <w:tcW w:w="835" w:type="dxa"/>
            <w:vAlign w:val="center"/>
          </w:tcPr>
          <w:p w:rsidR="000975F0" w:rsidRDefault="00785A7D">
            <w:pPr>
              <w:jc w:val="right"/>
            </w:pPr>
            <w:r>
              <w:rPr>
                <w:sz w:val="24"/>
              </w:rPr>
              <w:t>13.09</w:t>
            </w:r>
          </w:p>
        </w:tc>
        <w:tc>
          <w:tcPr>
            <w:tcW w:w="834" w:type="dxa"/>
            <w:vAlign w:val="center"/>
          </w:tcPr>
          <w:p w:rsidR="000975F0" w:rsidRDefault="00785A7D">
            <w:pPr>
              <w:jc w:val="center"/>
            </w:pPr>
            <w:r>
              <w:rPr>
                <w:sz w:val="24"/>
              </w:rPr>
              <w:t>13.09</w:t>
            </w:r>
          </w:p>
        </w:tc>
        <w:tc>
          <w:tcPr>
            <w:tcW w:w="835" w:type="dxa"/>
            <w:vAlign w:val="center"/>
          </w:tcPr>
          <w:p w:rsidR="000975F0" w:rsidRDefault="00785A7D">
            <w:pPr>
              <w:jc w:val="right"/>
            </w:pPr>
            <w:r>
              <w:rPr>
                <w:sz w:val="24"/>
              </w:rPr>
              <w:t>1,765</w:t>
            </w:r>
          </w:p>
        </w:tc>
        <w:tc>
          <w:tcPr>
            <w:tcW w:w="834" w:type="dxa"/>
            <w:vAlign w:val="center"/>
          </w:tcPr>
          <w:p w:rsidR="000975F0" w:rsidRDefault="00785A7D">
            <w:pPr>
              <w:jc w:val="right"/>
            </w:pPr>
            <w:r>
              <w:rPr>
                <w:sz w:val="24"/>
              </w:rPr>
              <w:t>23,103.85</w:t>
            </w:r>
          </w:p>
        </w:tc>
        <w:tc>
          <w:tcPr>
            <w:tcW w:w="835" w:type="dxa"/>
            <w:vAlign w:val="center"/>
          </w:tcPr>
          <w:p w:rsidR="000975F0" w:rsidRDefault="00785A7D">
            <w:pPr>
              <w:jc w:val="right"/>
            </w:pPr>
            <w:r>
              <w:rPr>
                <w:sz w:val="24"/>
              </w:rPr>
              <w:t>23,103.85</w:t>
            </w:r>
          </w:p>
        </w:tc>
        <w:tc>
          <w:tcPr>
            <w:tcW w:w="835" w:type="dxa"/>
            <w:vAlign w:val="center"/>
          </w:tcPr>
          <w:p w:rsidR="000975F0" w:rsidRDefault="00785A7D">
            <w:pPr>
              <w:jc w:val="center"/>
            </w:pPr>
            <w:r>
              <w:rPr>
                <w:sz w:val="24"/>
              </w:rPr>
              <w:t>-</w:t>
            </w:r>
          </w:p>
        </w:tc>
      </w:tr>
    </w:tbl>
    <w:p w:rsidR="000975F0" w:rsidRDefault="00785A7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0975F0">
        <w:tc>
          <w:tcPr>
            <w:tcW w:w="616" w:type="dxa"/>
            <w:vAlign w:val="center"/>
          </w:tcPr>
          <w:p w:rsidR="000975F0" w:rsidRDefault="00785A7D">
            <w:pPr>
              <w:jc w:val="center"/>
            </w:pPr>
            <w:r>
              <w:rPr>
                <w:sz w:val="24"/>
              </w:rPr>
              <w:t>600217</w:t>
            </w:r>
          </w:p>
        </w:tc>
        <w:tc>
          <w:tcPr>
            <w:tcW w:w="686" w:type="dxa"/>
            <w:vAlign w:val="center"/>
          </w:tcPr>
          <w:p w:rsidR="000975F0" w:rsidRDefault="00785A7D">
            <w:pPr>
              <w:jc w:val="center"/>
            </w:pPr>
            <w:r>
              <w:rPr>
                <w:sz w:val="24"/>
              </w:rPr>
              <w:t>中再资环</w:t>
            </w:r>
          </w:p>
        </w:tc>
        <w:tc>
          <w:tcPr>
            <w:tcW w:w="742" w:type="dxa"/>
            <w:vAlign w:val="center"/>
          </w:tcPr>
          <w:p w:rsidR="000975F0" w:rsidRDefault="00785A7D">
            <w:pPr>
              <w:jc w:val="center"/>
            </w:pPr>
            <w:r>
              <w:rPr>
                <w:sz w:val="24"/>
              </w:rPr>
              <w:t>2018-03-29</w:t>
            </w:r>
          </w:p>
        </w:tc>
        <w:tc>
          <w:tcPr>
            <w:tcW w:w="798" w:type="dxa"/>
            <w:vAlign w:val="center"/>
          </w:tcPr>
          <w:p w:rsidR="000975F0" w:rsidRDefault="00785A7D">
            <w:pPr>
              <w:jc w:val="center"/>
            </w:pPr>
            <w:r>
              <w:rPr>
                <w:sz w:val="24"/>
              </w:rPr>
              <w:t>重大事项</w:t>
            </w:r>
          </w:p>
        </w:tc>
        <w:tc>
          <w:tcPr>
            <w:tcW w:w="798" w:type="dxa"/>
            <w:vAlign w:val="center"/>
          </w:tcPr>
          <w:p w:rsidR="000975F0" w:rsidRDefault="00785A7D">
            <w:pPr>
              <w:jc w:val="right"/>
            </w:pPr>
            <w:r>
              <w:rPr>
                <w:sz w:val="24"/>
              </w:rPr>
              <w:t>4.80</w:t>
            </w:r>
          </w:p>
        </w:tc>
        <w:tc>
          <w:tcPr>
            <w:tcW w:w="686" w:type="dxa"/>
            <w:vAlign w:val="center"/>
          </w:tcPr>
          <w:p w:rsidR="000975F0" w:rsidRDefault="00785A7D">
            <w:pPr>
              <w:jc w:val="center"/>
            </w:pPr>
            <w:r>
              <w:rPr>
                <w:sz w:val="24"/>
              </w:rPr>
              <w:t>-</w:t>
            </w:r>
          </w:p>
        </w:tc>
        <w:tc>
          <w:tcPr>
            <w:tcW w:w="658" w:type="dxa"/>
            <w:vAlign w:val="center"/>
          </w:tcPr>
          <w:p w:rsidR="000975F0" w:rsidRDefault="00785A7D">
            <w:pPr>
              <w:jc w:val="right"/>
            </w:pPr>
            <w:r>
              <w:rPr>
                <w:sz w:val="24"/>
              </w:rPr>
              <w:t>-</w:t>
            </w:r>
          </w:p>
        </w:tc>
        <w:tc>
          <w:tcPr>
            <w:tcW w:w="1049" w:type="dxa"/>
            <w:vAlign w:val="center"/>
          </w:tcPr>
          <w:p w:rsidR="000975F0" w:rsidRDefault="00785A7D">
            <w:pPr>
              <w:jc w:val="right"/>
            </w:pPr>
            <w:r>
              <w:rPr>
                <w:sz w:val="24"/>
              </w:rPr>
              <w:t>2,857,904</w:t>
            </w:r>
          </w:p>
        </w:tc>
        <w:tc>
          <w:tcPr>
            <w:tcW w:w="1218" w:type="dxa"/>
            <w:vAlign w:val="center"/>
          </w:tcPr>
          <w:p w:rsidR="000975F0" w:rsidRDefault="00785A7D">
            <w:pPr>
              <w:jc w:val="right"/>
            </w:pPr>
            <w:r>
              <w:rPr>
                <w:sz w:val="24"/>
              </w:rPr>
              <w:t>19,122,539.41</w:t>
            </w:r>
          </w:p>
        </w:tc>
        <w:tc>
          <w:tcPr>
            <w:tcW w:w="1160" w:type="dxa"/>
            <w:vAlign w:val="center"/>
          </w:tcPr>
          <w:p w:rsidR="000975F0" w:rsidRDefault="00785A7D">
            <w:pPr>
              <w:jc w:val="right"/>
            </w:pPr>
            <w:r>
              <w:rPr>
                <w:sz w:val="24"/>
              </w:rPr>
              <w:t>13,717,939.20</w:t>
            </w:r>
          </w:p>
        </w:tc>
        <w:tc>
          <w:tcPr>
            <w:tcW w:w="601" w:type="dxa"/>
            <w:vAlign w:val="center"/>
          </w:tcPr>
          <w:p w:rsidR="000975F0" w:rsidRDefault="00785A7D">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123,247,735.86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85.69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123,247,735.86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85.69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7,000,700.00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7,000,700.00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12,807,196.34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8.90</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775,373.83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0.54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143,831,006.03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108,137,902.21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76.01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6,666,475.20</w:t>
            </w:r>
          </w:p>
        </w:tc>
        <w:tc>
          <w:tcPr>
            <w:tcW w:w="2160" w:type="dxa"/>
            <w:vAlign w:val="center"/>
          </w:tcPr>
          <w:p w:rsidR="001548F9" w:rsidRPr="005C672D" w:rsidRDefault="001548F9" w:rsidP="00AC6DDA">
            <w:pPr>
              <w:spacing w:before="29" w:line="288" w:lineRule="auto"/>
              <w:jc w:val="right"/>
              <w:rPr>
                <w:sz w:val="24"/>
              </w:rPr>
            </w:pPr>
            <w:r w:rsidRPr="005C672D">
              <w:rPr>
                <w:sz w:val="24"/>
              </w:rPr>
              <w:t>4.69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8,371,798.60</w:t>
            </w:r>
          </w:p>
        </w:tc>
        <w:tc>
          <w:tcPr>
            <w:tcW w:w="2160" w:type="dxa"/>
            <w:vAlign w:val="center"/>
          </w:tcPr>
          <w:p w:rsidR="001548F9" w:rsidRPr="005C672D" w:rsidRDefault="001548F9" w:rsidP="00AC6DDA">
            <w:pPr>
              <w:spacing w:before="29" w:line="288" w:lineRule="auto"/>
              <w:jc w:val="right"/>
              <w:rPr>
                <w:sz w:val="24"/>
              </w:rPr>
            </w:pPr>
            <w:r w:rsidRPr="005C672D">
              <w:rPr>
                <w:sz w:val="24"/>
              </w:rPr>
              <w:t>5.88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123,247,735.86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86.63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lastRenderedPageBreak/>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0975F0">
        <w:tc>
          <w:tcPr>
            <w:tcW w:w="862" w:type="dxa"/>
            <w:vAlign w:val="center"/>
          </w:tcPr>
          <w:p w:rsidR="000975F0" w:rsidRDefault="00785A7D">
            <w:pPr>
              <w:jc w:val="center"/>
            </w:pPr>
            <w:r>
              <w:rPr>
                <w:color w:val="000000"/>
                <w:sz w:val="24"/>
              </w:rPr>
              <w:t>1</w:t>
            </w:r>
          </w:p>
        </w:tc>
        <w:tc>
          <w:tcPr>
            <w:tcW w:w="1346" w:type="dxa"/>
            <w:vAlign w:val="center"/>
          </w:tcPr>
          <w:p w:rsidR="000975F0" w:rsidRDefault="00785A7D">
            <w:pPr>
              <w:jc w:val="center"/>
            </w:pPr>
            <w:r>
              <w:rPr>
                <w:color w:val="000000"/>
                <w:sz w:val="24"/>
              </w:rPr>
              <w:t>300014</w:t>
            </w:r>
          </w:p>
        </w:tc>
        <w:tc>
          <w:tcPr>
            <w:tcW w:w="1795" w:type="dxa"/>
            <w:vAlign w:val="center"/>
          </w:tcPr>
          <w:p w:rsidR="000975F0" w:rsidRDefault="00785A7D">
            <w:pPr>
              <w:jc w:val="center"/>
            </w:pPr>
            <w:r>
              <w:rPr>
                <w:color w:val="000000"/>
                <w:sz w:val="24"/>
              </w:rPr>
              <w:t>亿纬锂能</w:t>
            </w:r>
          </w:p>
        </w:tc>
        <w:tc>
          <w:tcPr>
            <w:tcW w:w="1681" w:type="dxa"/>
            <w:vAlign w:val="center"/>
          </w:tcPr>
          <w:p w:rsidR="000975F0" w:rsidRDefault="00785A7D">
            <w:pPr>
              <w:jc w:val="right"/>
            </w:pPr>
            <w:r>
              <w:rPr>
                <w:color w:val="000000"/>
                <w:sz w:val="24"/>
              </w:rPr>
              <w:t>801,872</w:t>
            </w:r>
          </w:p>
        </w:tc>
        <w:tc>
          <w:tcPr>
            <w:tcW w:w="1795" w:type="dxa"/>
            <w:vAlign w:val="center"/>
          </w:tcPr>
          <w:p w:rsidR="000975F0" w:rsidRDefault="00785A7D">
            <w:pPr>
              <w:jc w:val="right"/>
            </w:pPr>
            <w:r>
              <w:rPr>
                <w:color w:val="000000"/>
                <w:sz w:val="24"/>
              </w:rPr>
              <w:t>14,112,947.20</w:t>
            </w:r>
          </w:p>
        </w:tc>
        <w:tc>
          <w:tcPr>
            <w:tcW w:w="1519" w:type="dxa"/>
            <w:vAlign w:val="center"/>
          </w:tcPr>
          <w:p w:rsidR="000975F0" w:rsidRDefault="00785A7D">
            <w:pPr>
              <w:jc w:val="right"/>
            </w:pPr>
            <w:r>
              <w:rPr>
                <w:color w:val="000000"/>
                <w:sz w:val="24"/>
              </w:rPr>
              <w:t>9.92</w:t>
            </w:r>
          </w:p>
        </w:tc>
      </w:tr>
      <w:tr w:rsidR="000975F0">
        <w:tc>
          <w:tcPr>
            <w:tcW w:w="862" w:type="dxa"/>
            <w:vAlign w:val="center"/>
          </w:tcPr>
          <w:p w:rsidR="000975F0" w:rsidRDefault="00785A7D">
            <w:pPr>
              <w:jc w:val="center"/>
            </w:pPr>
            <w:r>
              <w:rPr>
                <w:color w:val="000000"/>
                <w:sz w:val="24"/>
              </w:rPr>
              <w:t>2</w:t>
            </w:r>
          </w:p>
        </w:tc>
        <w:tc>
          <w:tcPr>
            <w:tcW w:w="1346" w:type="dxa"/>
            <w:vAlign w:val="center"/>
          </w:tcPr>
          <w:p w:rsidR="000975F0" w:rsidRDefault="00785A7D">
            <w:pPr>
              <w:jc w:val="center"/>
            </w:pPr>
            <w:r>
              <w:rPr>
                <w:color w:val="000000"/>
                <w:sz w:val="24"/>
              </w:rPr>
              <w:t>600217</w:t>
            </w:r>
          </w:p>
        </w:tc>
        <w:tc>
          <w:tcPr>
            <w:tcW w:w="1795" w:type="dxa"/>
            <w:vAlign w:val="center"/>
          </w:tcPr>
          <w:p w:rsidR="000975F0" w:rsidRDefault="00785A7D">
            <w:pPr>
              <w:jc w:val="center"/>
            </w:pPr>
            <w:r>
              <w:rPr>
                <w:color w:val="000000"/>
                <w:sz w:val="24"/>
              </w:rPr>
              <w:t>中再资环</w:t>
            </w:r>
          </w:p>
        </w:tc>
        <w:tc>
          <w:tcPr>
            <w:tcW w:w="1681" w:type="dxa"/>
            <w:vAlign w:val="center"/>
          </w:tcPr>
          <w:p w:rsidR="000975F0" w:rsidRDefault="00785A7D">
            <w:pPr>
              <w:jc w:val="right"/>
            </w:pPr>
            <w:r>
              <w:rPr>
                <w:color w:val="000000"/>
                <w:sz w:val="24"/>
              </w:rPr>
              <w:t>2,857,904</w:t>
            </w:r>
          </w:p>
        </w:tc>
        <w:tc>
          <w:tcPr>
            <w:tcW w:w="1795" w:type="dxa"/>
            <w:vAlign w:val="center"/>
          </w:tcPr>
          <w:p w:rsidR="000975F0" w:rsidRDefault="00785A7D">
            <w:pPr>
              <w:jc w:val="right"/>
            </w:pPr>
            <w:r>
              <w:rPr>
                <w:color w:val="000000"/>
                <w:sz w:val="24"/>
              </w:rPr>
              <w:t>13,717,939.20</w:t>
            </w:r>
          </w:p>
        </w:tc>
        <w:tc>
          <w:tcPr>
            <w:tcW w:w="1519" w:type="dxa"/>
            <w:vAlign w:val="center"/>
          </w:tcPr>
          <w:p w:rsidR="000975F0" w:rsidRDefault="00785A7D">
            <w:pPr>
              <w:jc w:val="right"/>
            </w:pPr>
            <w:r>
              <w:rPr>
                <w:color w:val="000000"/>
                <w:sz w:val="24"/>
              </w:rPr>
              <w:t>9.64</w:t>
            </w:r>
          </w:p>
        </w:tc>
      </w:tr>
      <w:tr w:rsidR="000975F0">
        <w:tc>
          <w:tcPr>
            <w:tcW w:w="862" w:type="dxa"/>
            <w:vAlign w:val="center"/>
          </w:tcPr>
          <w:p w:rsidR="000975F0" w:rsidRDefault="00785A7D">
            <w:pPr>
              <w:jc w:val="center"/>
            </w:pPr>
            <w:r>
              <w:rPr>
                <w:color w:val="000000"/>
                <w:sz w:val="24"/>
              </w:rPr>
              <w:t>3</w:t>
            </w:r>
          </w:p>
        </w:tc>
        <w:tc>
          <w:tcPr>
            <w:tcW w:w="1346" w:type="dxa"/>
            <w:vAlign w:val="center"/>
          </w:tcPr>
          <w:p w:rsidR="000975F0" w:rsidRDefault="00785A7D">
            <w:pPr>
              <w:jc w:val="center"/>
            </w:pPr>
            <w:r>
              <w:rPr>
                <w:color w:val="000000"/>
                <w:sz w:val="24"/>
              </w:rPr>
              <w:t>601100</w:t>
            </w:r>
          </w:p>
        </w:tc>
        <w:tc>
          <w:tcPr>
            <w:tcW w:w="1795" w:type="dxa"/>
            <w:vAlign w:val="center"/>
          </w:tcPr>
          <w:p w:rsidR="000975F0" w:rsidRDefault="00785A7D">
            <w:pPr>
              <w:jc w:val="center"/>
            </w:pPr>
            <w:r>
              <w:rPr>
                <w:color w:val="000000"/>
                <w:sz w:val="24"/>
              </w:rPr>
              <w:t>恒立液压</w:t>
            </w:r>
          </w:p>
        </w:tc>
        <w:tc>
          <w:tcPr>
            <w:tcW w:w="1681" w:type="dxa"/>
            <w:vAlign w:val="center"/>
          </w:tcPr>
          <w:p w:rsidR="000975F0" w:rsidRDefault="00785A7D">
            <w:pPr>
              <w:jc w:val="right"/>
            </w:pPr>
            <w:r>
              <w:rPr>
                <w:color w:val="000000"/>
                <w:sz w:val="24"/>
              </w:rPr>
              <w:t>624,389</w:t>
            </w:r>
          </w:p>
        </w:tc>
        <w:tc>
          <w:tcPr>
            <w:tcW w:w="1795" w:type="dxa"/>
            <w:vAlign w:val="center"/>
          </w:tcPr>
          <w:p w:rsidR="000975F0" w:rsidRDefault="00785A7D">
            <w:pPr>
              <w:jc w:val="right"/>
            </w:pPr>
            <w:r>
              <w:rPr>
                <w:color w:val="000000"/>
                <w:sz w:val="24"/>
              </w:rPr>
              <w:t>13,037,242.32</w:t>
            </w:r>
          </w:p>
        </w:tc>
        <w:tc>
          <w:tcPr>
            <w:tcW w:w="1519" w:type="dxa"/>
            <w:vAlign w:val="center"/>
          </w:tcPr>
          <w:p w:rsidR="000975F0" w:rsidRDefault="00785A7D">
            <w:pPr>
              <w:jc w:val="right"/>
            </w:pPr>
            <w:r>
              <w:rPr>
                <w:color w:val="000000"/>
                <w:sz w:val="24"/>
              </w:rPr>
              <w:t>9.16</w:t>
            </w:r>
          </w:p>
        </w:tc>
      </w:tr>
      <w:tr w:rsidR="000975F0">
        <w:tc>
          <w:tcPr>
            <w:tcW w:w="862" w:type="dxa"/>
            <w:vAlign w:val="center"/>
          </w:tcPr>
          <w:p w:rsidR="000975F0" w:rsidRDefault="00785A7D">
            <w:pPr>
              <w:jc w:val="center"/>
            </w:pPr>
            <w:r>
              <w:rPr>
                <w:color w:val="000000"/>
                <w:sz w:val="24"/>
              </w:rPr>
              <w:t>4</w:t>
            </w:r>
          </w:p>
        </w:tc>
        <w:tc>
          <w:tcPr>
            <w:tcW w:w="1346" w:type="dxa"/>
            <w:vAlign w:val="center"/>
          </w:tcPr>
          <w:p w:rsidR="000975F0" w:rsidRDefault="00785A7D">
            <w:pPr>
              <w:jc w:val="center"/>
            </w:pPr>
            <w:r>
              <w:rPr>
                <w:color w:val="000000"/>
                <w:sz w:val="24"/>
              </w:rPr>
              <w:t>000661</w:t>
            </w:r>
          </w:p>
        </w:tc>
        <w:tc>
          <w:tcPr>
            <w:tcW w:w="1795" w:type="dxa"/>
            <w:vAlign w:val="center"/>
          </w:tcPr>
          <w:p w:rsidR="000975F0" w:rsidRDefault="00785A7D">
            <w:pPr>
              <w:jc w:val="center"/>
            </w:pPr>
            <w:r>
              <w:rPr>
                <w:color w:val="000000"/>
                <w:sz w:val="24"/>
              </w:rPr>
              <w:t>长春高新</w:t>
            </w:r>
          </w:p>
        </w:tc>
        <w:tc>
          <w:tcPr>
            <w:tcW w:w="1681" w:type="dxa"/>
            <w:vAlign w:val="center"/>
          </w:tcPr>
          <w:p w:rsidR="000975F0" w:rsidRDefault="00785A7D">
            <w:pPr>
              <w:jc w:val="right"/>
            </w:pPr>
            <w:r>
              <w:rPr>
                <w:color w:val="000000"/>
                <w:sz w:val="24"/>
              </w:rPr>
              <w:t>53,429</w:t>
            </w:r>
          </w:p>
        </w:tc>
        <w:tc>
          <w:tcPr>
            <w:tcW w:w="1795" w:type="dxa"/>
            <w:vAlign w:val="center"/>
          </w:tcPr>
          <w:p w:rsidR="000975F0" w:rsidRDefault="00785A7D">
            <w:pPr>
              <w:jc w:val="right"/>
            </w:pPr>
            <w:r>
              <w:rPr>
                <w:color w:val="000000"/>
                <w:sz w:val="24"/>
              </w:rPr>
              <w:t>12,165,783.30</w:t>
            </w:r>
          </w:p>
        </w:tc>
        <w:tc>
          <w:tcPr>
            <w:tcW w:w="1519" w:type="dxa"/>
            <w:vAlign w:val="center"/>
          </w:tcPr>
          <w:p w:rsidR="000975F0" w:rsidRDefault="00785A7D">
            <w:pPr>
              <w:jc w:val="right"/>
            </w:pPr>
            <w:r>
              <w:rPr>
                <w:color w:val="000000"/>
                <w:sz w:val="24"/>
              </w:rPr>
              <w:t>8.55</w:t>
            </w:r>
          </w:p>
        </w:tc>
      </w:tr>
      <w:tr w:rsidR="000975F0">
        <w:tc>
          <w:tcPr>
            <w:tcW w:w="862" w:type="dxa"/>
            <w:vAlign w:val="center"/>
          </w:tcPr>
          <w:p w:rsidR="000975F0" w:rsidRDefault="00785A7D">
            <w:pPr>
              <w:jc w:val="center"/>
            </w:pPr>
            <w:r>
              <w:rPr>
                <w:color w:val="000000"/>
                <w:sz w:val="24"/>
              </w:rPr>
              <w:t>5</w:t>
            </w:r>
          </w:p>
        </w:tc>
        <w:tc>
          <w:tcPr>
            <w:tcW w:w="1346" w:type="dxa"/>
            <w:vAlign w:val="center"/>
          </w:tcPr>
          <w:p w:rsidR="000975F0" w:rsidRDefault="00785A7D">
            <w:pPr>
              <w:jc w:val="center"/>
            </w:pPr>
            <w:r>
              <w:rPr>
                <w:color w:val="000000"/>
                <w:sz w:val="24"/>
              </w:rPr>
              <w:t>300602</w:t>
            </w:r>
          </w:p>
        </w:tc>
        <w:tc>
          <w:tcPr>
            <w:tcW w:w="1795" w:type="dxa"/>
            <w:vAlign w:val="center"/>
          </w:tcPr>
          <w:p w:rsidR="000975F0" w:rsidRDefault="00785A7D">
            <w:pPr>
              <w:jc w:val="center"/>
            </w:pPr>
            <w:r>
              <w:rPr>
                <w:color w:val="000000"/>
                <w:sz w:val="24"/>
              </w:rPr>
              <w:t>飞荣达</w:t>
            </w:r>
          </w:p>
        </w:tc>
        <w:tc>
          <w:tcPr>
            <w:tcW w:w="1681" w:type="dxa"/>
            <w:vAlign w:val="center"/>
          </w:tcPr>
          <w:p w:rsidR="000975F0" w:rsidRDefault="00785A7D">
            <w:pPr>
              <w:jc w:val="right"/>
            </w:pPr>
            <w:r>
              <w:rPr>
                <w:color w:val="000000"/>
                <w:sz w:val="24"/>
              </w:rPr>
              <w:t>378,654</w:t>
            </w:r>
          </w:p>
        </w:tc>
        <w:tc>
          <w:tcPr>
            <w:tcW w:w="1795" w:type="dxa"/>
            <w:vAlign w:val="center"/>
          </w:tcPr>
          <w:p w:rsidR="000975F0" w:rsidRDefault="00785A7D">
            <w:pPr>
              <w:jc w:val="right"/>
            </w:pPr>
            <w:r>
              <w:rPr>
                <w:color w:val="000000"/>
                <w:sz w:val="24"/>
              </w:rPr>
              <w:t>10,784,065.92</w:t>
            </w:r>
          </w:p>
        </w:tc>
        <w:tc>
          <w:tcPr>
            <w:tcW w:w="1519" w:type="dxa"/>
            <w:vAlign w:val="center"/>
          </w:tcPr>
          <w:p w:rsidR="000975F0" w:rsidRDefault="00785A7D">
            <w:pPr>
              <w:jc w:val="right"/>
            </w:pPr>
            <w:r>
              <w:rPr>
                <w:color w:val="000000"/>
                <w:sz w:val="24"/>
              </w:rPr>
              <w:t>7.58</w:t>
            </w:r>
          </w:p>
        </w:tc>
      </w:tr>
      <w:tr w:rsidR="000975F0">
        <w:tc>
          <w:tcPr>
            <w:tcW w:w="862" w:type="dxa"/>
            <w:vAlign w:val="center"/>
          </w:tcPr>
          <w:p w:rsidR="000975F0" w:rsidRDefault="00785A7D">
            <w:pPr>
              <w:jc w:val="center"/>
            </w:pPr>
            <w:r>
              <w:rPr>
                <w:color w:val="000000"/>
                <w:sz w:val="24"/>
              </w:rPr>
              <w:t>6</w:t>
            </w:r>
          </w:p>
        </w:tc>
        <w:tc>
          <w:tcPr>
            <w:tcW w:w="1346" w:type="dxa"/>
            <w:vAlign w:val="center"/>
          </w:tcPr>
          <w:p w:rsidR="000975F0" w:rsidRDefault="00785A7D">
            <w:pPr>
              <w:jc w:val="center"/>
            </w:pPr>
            <w:r>
              <w:rPr>
                <w:color w:val="000000"/>
                <w:sz w:val="24"/>
              </w:rPr>
              <w:t>600048</w:t>
            </w:r>
          </w:p>
        </w:tc>
        <w:tc>
          <w:tcPr>
            <w:tcW w:w="1795" w:type="dxa"/>
            <w:vAlign w:val="center"/>
          </w:tcPr>
          <w:p w:rsidR="000975F0" w:rsidRDefault="00785A7D">
            <w:pPr>
              <w:jc w:val="center"/>
            </w:pPr>
            <w:r>
              <w:rPr>
                <w:color w:val="000000"/>
                <w:sz w:val="24"/>
              </w:rPr>
              <w:t>保利地产</w:t>
            </w:r>
          </w:p>
        </w:tc>
        <w:tc>
          <w:tcPr>
            <w:tcW w:w="1681" w:type="dxa"/>
            <w:vAlign w:val="center"/>
          </w:tcPr>
          <w:p w:rsidR="000975F0" w:rsidRDefault="00785A7D">
            <w:pPr>
              <w:jc w:val="right"/>
            </w:pPr>
            <w:r>
              <w:rPr>
                <w:color w:val="000000"/>
                <w:sz w:val="24"/>
              </w:rPr>
              <w:t>686,213</w:t>
            </w:r>
          </w:p>
        </w:tc>
        <w:tc>
          <w:tcPr>
            <w:tcW w:w="1795" w:type="dxa"/>
            <w:vAlign w:val="center"/>
          </w:tcPr>
          <w:p w:rsidR="000975F0" w:rsidRDefault="00785A7D">
            <w:pPr>
              <w:jc w:val="right"/>
            </w:pPr>
            <w:r>
              <w:rPr>
                <w:color w:val="000000"/>
                <w:sz w:val="24"/>
              </w:rPr>
              <w:t>8,371,798.60</w:t>
            </w:r>
          </w:p>
        </w:tc>
        <w:tc>
          <w:tcPr>
            <w:tcW w:w="1519" w:type="dxa"/>
            <w:vAlign w:val="center"/>
          </w:tcPr>
          <w:p w:rsidR="000975F0" w:rsidRDefault="00785A7D">
            <w:pPr>
              <w:jc w:val="right"/>
            </w:pPr>
            <w:r>
              <w:rPr>
                <w:color w:val="000000"/>
                <w:sz w:val="24"/>
              </w:rPr>
              <w:t>5.88</w:t>
            </w:r>
          </w:p>
        </w:tc>
      </w:tr>
      <w:tr w:rsidR="000975F0">
        <w:tc>
          <w:tcPr>
            <w:tcW w:w="862" w:type="dxa"/>
            <w:vAlign w:val="center"/>
          </w:tcPr>
          <w:p w:rsidR="000975F0" w:rsidRDefault="00785A7D">
            <w:pPr>
              <w:jc w:val="center"/>
            </w:pPr>
            <w:r>
              <w:rPr>
                <w:color w:val="000000"/>
                <w:sz w:val="24"/>
              </w:rPr>
              <w:t>7</w:t>
            </w:r>
          </w:p>
        </w:tc>
        <w:tc>
          <w:tcPr>
            <w:tcW w:w="1346" w:type="dxa"/>
            <w:vAlign w:val="center"/>
          </w:tcPr>
          <w:p w:rsidR="000975F0" w:rsidRDefault="00785A7D">
            <w:pPr>
              <w:jc w:val="center"/>
            </w:pPr>
            <w:r>
              <w:rPr>
                <w:color w:val="000000"/>
                <w:sz w:val="24"/>
              </w:rPr>
              <w:t>601231</w:t>
            </w:r>
          </w:p>
        </w:tc>
        <w:tc>
          <w:tcPr>
            <w:tcW w:w="1795" w:type="dxa"/>
            <w:vAlign w:val="center"/>
          </w:tcPr>
          <w:p w:rsidR="000975F0" w:rsidRDefault="00785A7D">
            <w:pPr>
              <w:jc w:val="center"/>
            </w:pPr>
            <w:r>
              <w:rPr>
                <w:color w:val="000000"/>
                <w:sz w:val="24"/>
              </w:rPr>
              <w:t>环旭电子</w:t>
            </w:r>
          </w:p>
        </w:tc>
        <w:tc>
          <w:tcPr>
            <w:tcW w:w="1681" w:type="dxa"/>
            <w:vAlign w:val="center"/>
          </w:tcPr>
          <w:p w:rsidR="000975F0" w:rsidRDefault="00785A7D">
            <w:pPr>
              <w:jc w:val="right"/>
            </w:pPr>
            <w:r>
              <w:rPr>
                <w:color w:val="000000"/>
                <w:sz w:val="24"/>
              </w:rPr>
              <w:t>862,200</w:t>
            </w:r>
          </w:p>
        </w:tc>
        <w:tc>
          <w:tcPr>
            <w:tcW w:w="1795" w:type="dxa"/>
            <w:vAlign w:val="center"/>
          </w:tcPr>
          <w:p w:rsidR="000975F0" w:rsidRDefault="00785A7D">
            <w:pPr>
              <w:jc w:val="right"/>
            </w:pPr>
            <w:r>
              <w:rPr>
                <w:color w:val="000000"/>
                <w:sz w:val="24"/>
              </w:rPr>
              <w:t>7,820,154.00</w:t>
            </w:r>
          </w:p>
        </w:tc>
        <w:tc>
          <w:tcPr>
            <w:tcW w:w="1519" w:type="dxa"/>
            <w:vAlign w:val="center"/>
          </w:tcPr>
          <w:p w:rsidR="000975F0" w:rsidRDefault="00785A7D">
            <w:pPr>
              <w:jc w:val="right"/>
            </w:pPr>
            <w:r>
              <w:rPr>
                <w:color w:val="000000"/>
                <w:sz w:val="24"/>
              </w:rPr>
              <w:t>5.50</w:t>
            </w:r>
          </w:p>
        </w:tc>
      </w:tr>
      <w:tr w:rsidR="000975F0">
        <w:tc>
          <w:tcPr>
            <w:tcW w:w="862" w:type="dxa"/>
            <w:vAlign w:val="center"/>
          </w:tcPr>
          <w:p w:rsidR="000975F0" w:rsidRDefault="00785A7D">
            <w:pPr>
              <w:jc w:val="center"/>
            </w:pPr>
            <w:r>
              <w:rPr>
                <w:color w:val="000000"/>
                <w:sz w:val="24"/>
              </w:rPr>
              <w:t>8</w:t>
            </w:r>
          </w:p>
        </w:tc>
        <w:tc>
          <w:tcPr>
            <w:tcW w:w="1346" w:type="dxa"/>
            <w:vAlign w:val="center"/>
          </w:tcPr>
          <w:p w:rsidR="000975F0" w:rsidRDefault="00785A7D">
            <w:pPr>
              <w:jc w:val="center"/>
            </w:pPr>
            <w:r>
              <w:rPr>
                <w:color w:val="000000"/>
                <w:sz w:val="24"/>
              </w:rPr>
              <w:t>603005</w:t>
            </w:r>
          </w:p>
        </w:tc>
        <w:tc>
          <w:tcPr>
            <w:tcW w:w="1795" w:type="dxa"/>
            <w:vAlign w:val="center"/>
          </w:tcPr>
          <w:p w:rsidR="000975F0" w:rsidRDefault="00785A7D">
            <w:pPr>
              <w:jc w:val="center"/>
            </w:pPr>
            <w:r>
              <w:rPr>
                <w:color w:val="000000"/>
                <w:sz w:val="24"/>
              </w:rPr>
              <w:t>晶方科技</w:t>
            </w:r>
          </w:p>
        </w:tc>
        <w:tc>
          <w:tcPr>
            <w:tcW w:w="1681" w:type="dxa"/>
            <w:vAlign w:val="center"/>
          </w:tcPr>
          <w:p w:rsidR="000975F0" w:rsidRDefault="00785A7D">
            <w:pPr>
              <w:jc w:val="right"/>
            </w:pPr>
            <w:r>
              <w:rPr>
                <w:color w:val="000000"/>
                <w:sz w:val="24"/>
              </w:rPr>
              <w:t>351,600</w:t>
            </w:r>
          </w:p>
        </w:tc>
        <w:tc>
          <w:tcPr>
            <w:tcW w:w="1795" w:type="dxa"/>
            <w:vAlign w:val="center"/>
          </w:tcPr>
          <w:p w:rsidR="000975F0" w:rsidRDefault="00785A7D">
            <w:pPr>
              <w:jc w:val="right"/>
            </w:pPr>
            <w:r>
              <w:rPr>
                <w:color w:val="000000"/>
                <w:sz w:val="24"/>
              </w:rPr>
              <w:t>7,742,232.00</w:t>
            </w:r>
          </w:p>
        </w:tc>
        <w:tc>
          <w:tcPr>
            <w:tcW w:w="1519" w:type="dxa"/>
            <w:vAlign w:val="center"/>
          </w:tcPr>
          <w:p w:rsidR="000975F0" w:rsidRDefault="00785A7D">
            <w:pPr>
              <w:jc w:val="right"/>
            </w:pPr>
            <w:r>
              <w:rPr>
                <w:color w:val="000000"/>
                <w:sz w:val="24"/>
              </w:rPr>
              <w:t>5.44</w:t>
            </w:r>
          </w:p>
        </w:tc>
      </w:tr>
      <w:tr w:rsidR="000975F0">
        <w:tc>
          <w:tcPr>
            <w:tcW w:w="862" w:type="dxa"/>
            <w:vAlign w:val="center"/>
          </w:tcPr>
          <w:p w:rsidR="000975F0" w:rsidRDefault="00785A7D">
            <w:pPr>
              <w:jc w:val="center"/>
            </w:pPr>
            <w:r>
              <w:rPr>
                <w:color w:val="000000"/>
                <w:sz w:val="24"/>
              </w:rPr>
              <w:t>9</w:t>
            </w:r>
          </w:p>
        </w:tc>
        <w:tc>
          <w:tcPr>
            <w:tcW w:w="1346" w:type="dxa"/>
            <w:vAlign w:val="center"/>
          </w:tcPr>
          <w:p w:rsidR="000975F0" w:rsidRDefault="00785A7D">
            <w:pPr>
              <w:jc w:val="center"/>
            </w:pPr>
            <w:r>
              <w:rPr>
                <w:color w:val="000000"/>
                <w:sz w:val="24"/>
              </w:rPr>
              <w:t>600690</w:t>
            </w:r>
          </w:p>
        </w:tc>
        <w:tc>
          <w:tcPr>
            <w:tcW w:w="1795" w:type="dxa"/>
            <w:vAlign w:val="center"/>
          </w:tcPr>
          <w:p w:rsidR="000975F0" w:rsidRDefault="00785A7D">
            <w:pPr>
              <w:jc w:val="center"/>
            </w:pPr>
            <w:r>
              <w:rPr>
                <w:color w:val="000000"/>
                <w:sz w:val="24"/>
              </w:rPr>
              <w:t>青岛海尔</w:t>
            </w:r>
          </w:p>
        </w:tc>
        <w:tc>
          <w:tcPr>
            <w:tcW w:w="1681" w:type="dxa"/>
            <w:vAlign w:val="center"/>
          </w:tcPr>
          <w:p w:rsidR="000975F0" w:rsidRDefault="00785A7D">
            <w:pPr>
              <w:jc w:val="right"/>
            </w:pPr>
            <w:r>
              <w:rPr>
                <w:color w:val="000000"/>
                <w:sz w:val="24"/>
              </w:rPr>
              <w:t>401,917</w:t>
            </w:r>
          </w:p>
        </w:tc>
        <w:tc>
          <w:tcPr>
            <w:tcW w:w="1795" w:type="dxa"/>
            <w:vAlign w:val="center"/>
          </w:tcPr>
          <w:p w:rsidR="000975F0" w:rsidRDefault="00785A7D">
            <w:pPr>
              <w:jc w:val="right"/>
            </w:pPr>
            <w:r>
              <w:rPr>
                <w:color w:val="000000"/>
                <w:sz w:val="24"/>
              </w:rPr>
              <w:t>7,740,921.42</w:t>
            </w:r>
          </w:p>
        </w:tc>
        <w:tc>
          <w:tcPr>
            <w:tcW w:w="1519" w:type="dxa"/>
            <w:vAlign w:val="center"/>
          </w:tcPr>
          <w:p w:rsidR="000975F0" w:rsidRDefault="00785A7D">
            <w:pPr>
              <w:jc w:val="right"/>
            </w:pPr>
            <w:r>
              <w:rPr>
                <w:color w:val="000000"/>
                <w:sz w:val="24"/>
              </w:rPr>
              <w:t>5.44</w:t>
            </w:r>
          </w:p>
        </w:tc>
      </w:tr>
      <w:tr w:rsidR="000975F0">
        <w:tc>
          <w:tcPr>
            <w:tcW w:w="862" w:type="dxa"/>
            <w:vAlign w:val="center"/>
          </w:tcPr>
          <w:p w:rsidR="000975F0" w:rsidRDefault="00785A7D">
            <w:pPr>
              <w:jc w:val="center"/>
            </w:pPr>
            <w:r>
              <w:rPr>
                <w:color w:val="000000"/>
                <w:sz w:val="24"/>
              </w:rPr>
              <w:t>10</w:t>
            </w:r>
          </w:p>
        </w:tc>
        <w:tc>
          <w:tcPr>
            <w:tcW w:w="1346" w:type="dxa"/>
            <w:vAlign w:val="center"/>
          </w:tcPr>
          <w:p w:rsidR="000975F0" w:rsidRDefault="00785A7D">
            <w:pPr>
              <w:jc w:val="center"/>
            </w:pPr>
            <w:r>
              <w:rPr>
                <w:color w:val="000000"/>
                <w:sz w:val="24"/>
              </w:rPr>
              <w:t>002709</w:t>
            </w:r>
          </w:p>
        </w:tc>
        <w:tc>
          <w:tcPr>
            <w:tcW w:w="1795" w:type="dxa"/>
            <w:vAlign w:val="center"/>
          </w:tcPr>
          <w:p w:rsidR="000975F0" w:rsidRDefault="00785A7D">
            <w:pPr>
              <w:jc w:val="center"/>
            </w:pPr>
            <w:r>
              <w:rPr>
                <w:color w:val="000000"/>
                <w:sz w:val="24"/>
              </w:rPr>
              <w:t>天赐材料</w:t>
            </w:r>
          </w:p>
        </w:tc>
        <w:tc>
          <w:tcPr>
            <w:tcW w:w="1681" w:type="dxa"/>
            <w:vAlign w:val="center"/>
          </w:tcPr>
          <w:p w:rsidR="000975F0" w:rsidRDefault="00785A7D">
            <w:pPr>
              <w:jc w:val="right"/>
            </w:pPr>
            <w:r>
              <w:rPr>
                <w:color w:val="000000"/>
                <w:sz w:val="24"/>
              </w:rPr>
              <w:t>180,930</w:t>
            </w:r>
          </w:p>
        </w:tc>
        <w:tc>
          <w:tcPr>
            <w:tcW w:w="1795" w:type="dxa"/>
            <w:vAlign w:val="center"/>
          </w:tcPr>
          <w:p w:rsidR="000975F0" w:rsidRDefault="00785A7D">
            <w:pPr>
              <w:jc w:val="right"/>
            </w:pPr>
            <w:r>
              <w:rPr>
                <w:color w:val="000000"/>
                <w:sz w:val="24"/>
              </w:rPr>
              <w:t>6,973,042.20</w:t>
            </w:r>
          </w:p>
        </w:tc>
        <w:tc>
          <w:tcPr>
            <w:tcW w:w="1519" w:type="dxa"/>
            <w:vAlign w:val="center"/>
          </w:tcPr>
          <w:p w:rsidR="000975F0" w:rsidRDefault="00785A7D">
            <w:pPr>
              <w:jc w:val="right"/>
            </w:pPr>
            <w:r>
              <w:rPr>
                <w:color w:val="000000"/>
                <w:sz w:val="24"/>
              </w:rPr>
              <w:t>4.90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975F0">
        <w:tc>
          <w:tcPr>
            <w:tcW w:w="869" w:type="dxa"/>
            <w:vAlign w:val="center"/>
          </w:tcPr>
          <w:p w:rsidR="000975F0" w:rsidRDefault="00785A7D">
            <w:pPr>
              <w:jc w:val="center"/>
            </w:pPr>
            <w:r>
              <w:rPr>
                <w:sz w:val="24"/>
              </w:rPr>
              <w:t>1</w:t>
            </w:r>
          </w:p>
        </w:tc>
        <w:tc>
          <w:tcPr>
            <w:tcW w:w="1650" w:type="dxa"/>
            <w:vAlign w:val="center"/>
          </w:tcPr>
          <w:p w:rsidR="000975F0" w:rsidRDefault="00785A7D">
            <w:pPr>
              <w:jc w:val="center"/>
            </w:pPr>
            <w:r>
              <w:rPr>
                <w:sz w:val="24"/>
              </w:rPr>
              <w:t>601398</w:t>
            </w:r>
          </w:p>
        </w:tc>
        <w:tc>
          <w:tcPr>
            <w:tcW w:w="1980" w:type="dxa"/>
            <w:vAlign w:val="center"/>
          </w:tcPr>
          <w:p w:rsidR="000975F0" w:rsidRDefault="00785A7D">
            <w:pPr>
              <w:jc w:val="center"/>
            </w:pPr>
            <w:r>
              <w:rPr>
                <w:sz w:val="24"/>
              </w:rPr>
              <w:t>工商银行</w:t>
            </w:r>
          </w:p>
        </w:tc>
        <w:tc>
          <w:tcPr>
            <w:tcW w:w="2879" w:type="dxa"/>
            <w:vAlign w:val="center"/>
          </w:tcPr>
          <w:p w:rsidR="000975F0" w:rsidRDefault="00785A7D">
            <w:pPr>
              <w:jc w:val="right"/>
            </w:pPr>
            <w:r>
              <w:rPr>
                <w:sz w:val="24"/>
              </w:rPr>
              <w:t>48,049,335.73</w:t>
            </w:r>
          </w:p>
        </w:tc>
        <w:tc>
          <w:tcPr>
            <w:tcW w:w="1620" w:type="dxa"/>
            <w:vAlign w:val="center"/>
          </w:tcPr>
          <w:p w:rsidR="000975F0" w:rsidRDefault="00785A7D">
            <w:pPr>
              <w:jc w:val="right"/>
            </w:pPr>
            <w:r>
              <w:rPr>
                <w:sz w:val="24"/>
              </w:rPr>
              <w:t>6.47</w:t>
            </w:r>
          </w:p>
        </w:tc>
      </w:tr>
      <w:tr w:rsidR="000975F0">
        <w:tc>
          <w:tcPr>
            <w:tcW w:w="869" w:type="dxa"/>
            <w:vAlign w:val="center"/>
          </w:tcPr>
          <w:p w:rsidR="000975F0" w:rsidRDefault="00785A7D">
            <w:pPr>
              <w:jc w:val="center"/>
            </w:pPr>
            <w:r>
              <w:rPr>
                <w:sz w:val="24"/>
              </w:rPr>
              <w:t>2</w:t>
            </w:r>
          </w:p>
        </w:tc>
        <w:tc>
          <w:tcPr>
            <w:tcW w:w="1650" w:type="dxa"/>
            <w:vAlign w:val="center"/>
          </w:tcPr>
          <w:p w:rsidR="000975F0" w:rsidRDefault="00785A7D">
            <w:pPr>
              <w:jc w:val="center"/>
            </w:pPr>
            <w:r>
              <w:rPr>
                <w:sz w:val="24"/>
              </w:rPr>
              <w:t>600066</w:t>
            </w:r>
          </w:p>
        </w:tc>
        <w:tc>
          <w:tcPr>
            <w:tcW w:w="1980" w:type="dxa"/>
            <w:vAlign w:val="center"/>
          </w:tcPr>
          <w:p w:rsidR="000975F0" w:rsidRDefault="00785A7D">
            <w:pPr>
              <w:jc w:val="center"/>
            </w:pPr>
            <w:r>
              <w:rPr>
                <w:sz w:val="24"/>
              </w:rPr>
              <w:t>宇通客车</w:t>
            </w:r>
          </w:p>
        </w:tc>
        <w:tc>
          <w:tcPr>
            <w:tcW w:w="2879" w:type="dxa"/>
            <w:vAlign w:val="center"/>
          </w:tcPr>
          <w:p w:rsidR="000975F0" w:rsidRDefault="00785A7D">
            <w:pPr>
              <w:jc w:val="right"/>
            </w:pPr>
            <w:r>
              <w:rPr>
                <w:sz w:val="24"/>
              </w:rPr>
              <w:t>36,063,412.26</w:t>
            </w:r>
          </w:p>
        </w:tc>
        <w:tc>
          <w:tcPr>
            <w:tcW w:w="1620" w:type="dxa"/>
            <w:vAlign w:val="center"/>
          </w:tcPr>
          <w:p w:rsidR="000975F0" w:rsidRDefault="00785A7D">
            <w:pPr>
              <w:jc w:val="right"/>
            </w:pPr>
            <w:r>
              <w:rPr>
                <w:sz w:val="24"/>
              </w:rPr>
              <w:t>4.86</w:t>
            </w:r>
          </w:p>
        </w:tc>
      </w:tr>
      <w:tr w:rsidR="000975F0">
        <w:tc>
          <w:tcPr>
            <w:tcW w:w="869" w:type="dxa"/>
            <w:vAlign w:val="center"/>
          </w:tcPr>
          <w:p w:rsidR="000975F0" w:rsidRDefault="00785A7D">
            <w:pPr>
              <w:jc w:val="center"/>
            </w:pPr>
            <w:r>
              <w:rPr>
                <w:sz w:val="24"/>
              </w:rPr>
              <w:t>3</w:t>
            </w:r>
          </w:p>
        </w:tc>
        <w:tc>
          <w:tcPr>
            <w:tcW w:w="1650" w:type="dxa"/>
            <w:vAlign w:val="center"/>
          </w:tcPr>
          <w:p w:rsidR="000975F0" w:rsidRDefault="00785A7D">
            <w:pPr>
              <w:jc w:val="center"/>
            </w:pPr>
            <w:r>
              <w:rPr>
                <w:sz w:val="24"/>
              </w:rPr>
              <w:t>300012</w:t>
            </w:r>
          </w:p>
        </w:tc>
        <w:tc>
          <w:tcPr>
            <w:tcW w:w="1980" w:type="dxa"/>
            <w:vAlign w:val="center"/>
          </w:tcPr>
          <w:p w:rsidR="000975F0" w:rsidRDefault="00785A7D">
            <w:pPr>
              <w:jc w:val="center"/>
            </w:pPr>
            <w:r>
              <w:rPr>
                <w:sz w:val="24"/>
              </w:rPr>
              <w:t>华测检测</w:t>
            </w:r>
          </w:p>
        </w:tc>
        <w:tc>
          <w:tcPr>
            <w:tcW w:w="2879" w:type="dxa"/>
            <w:vAlign w:val="center"/>
          </w:tcPr>
          <w:p w:rsidR="000975F0" w:rsidRDefault="00785A7D">
            <w:pPr>
              <w:jc w:val="right"/>
            </w:pPr>
            <w:r>
              <w:rPr>
                <w:sz w:val="24"/>
              </w:rPr>
              <w:t>32,374,687.36</w:t>
            </w:r>
          </w:p>
        </w:tc>
        <w:tc>
          <w:tcPr>
            <w:tcW w:w="1620" w:type="dxa"/>
            <w:vAlign w:val="center"/>
          </w:tcPr>
          <w:p w:rsidR="000975F0" w:rsidRDefault="00785A7D">
            <w:pPr>
              <w:jc w:val="right"/>
            </w:pPr>
            <w:r>
              <w:rPr>
                <w:sz w:val="24"/>
              </w:rPr>
              <w:t>4.36</w:t>
            </w:r>
          </w:p>
        </w:tc>
      </w:tr>
      <w:tr w:rsidR="000975F0">
        <w:tc>
          <w:tcPr>
            <w:tcW w:w="869" w:type="dxa"/>
            <w:vAlign w:val="center"/>
          </w:tcPr>
          <w:p w:rsidR="000975F0" w:rsidRDefault="00785A7D">
            <w:pPr>
              <w:jc w:val="center"/>
            </w:pPr>
            <w:r>
              <w:rPr>
                <w:sz w:val="24"/>
              </w:rPr>
              <w:t>4</w:t>
            </w:r>
          </w:p>
        </w:tc>
        <w:tc>
          <w:tcPr>
            <w:tcW w:w="1650" w:type="dxa"/>
            <w:vAlign w:val="center"/>
          </w:tcPr>
          <w:p w:rsidR="000975F0" w:rsidRDefault="00785A7D">
            <w:pPr>
              <w:jc w:val="center"/>
            </w:pPr>
            <w:r>
              <w:rPr>
                <w:sz w:val="24"/>
              </w:rPr>
              <w:t>000001</w:t>
            </w:r>
          </w:p>
        </w:tc>
        <w:tc>
          <w:tcPr>
            <w:tcW w:w="1980" w:type="dxa"/>
            <w:vAlign w:val="center"/>
          </w:tcPr>
          <w:p w:rsidR="000975F0" w:rsidRDefault="00785A7D">
            <w:pPr>
              <w:jc w:val="center"/>
            </w:pPr>
            <w:r>
              <w:rPr>
                <w:sz w:val="24"/>
              </w:rPr>
              <w:t>平安银行</w:t>
            </w:r>
          </w:p>
        </w:tc>
        <w:tc>
          <w:tcPr>
            <w:tcW w:w="2879" w:type="dxa"/>
            <w:vAlign w:val="center"/>
          </w:tcPr>
          <w:p w:rsidR="000975F0" w:rsidRDefault="00785A7D">
            <w:pPr>
              <w:jc w:val="right"/>
            </w:pPr>
            <w:r>
              <w:rPr>
                <w:sz w:val="24"/>
              </w:rPr>
              <w:t>28,637,772.88</w:t>
            </w:r>
          </w:p>
        </w:tc>
        <w:tc>
          <w:tcPr>
            <w:tcW w:w="1620" w:type="dxa"/>
            <w:vAlign w:val="center"/>
          </w:tcPr>
          <w:p w:rsidR="000975F0" w:rsidRDefault="00785A7D">
            <w:pPr>
              <w:jc w:val="right"/>
            </w:pPr>
            <w:r>
              <w:rPr>
                <w:sz w:val="24"/>
              </w:rPr>
              <w:t>3.86</w:t>
            </w:r>
          </w:p>
        </w:tc>
      </w:tr>
      <w:tr w:rsidR="000975F0">
        <w:tc>
          <w:tcPr>
            <w:tcW w:w="869" w:type="dxa"/>
            <w:vAlign w:val="center"/>
          </w:tcPr>
          <w:p w:rsidR="000975F0" w:rsidRDefault="00785A7D">
            <w:pPr>
              <w:jc w:val="center"/>
            </w:pPr>
            <w:r>
              <w:rPr>
                <w:sz w:val="24"/>
              </w:rPr>
              <w:t>5</w:t>
            </w:r>
          </w:p>
        </w:tc>
        <w:tc>
          <w:tcPr>
            <w:tcW w:w="1650" w:type="dxa"/>
            <w:vAlign w:val="center"/>
          </w:tcPr>
          <w:p w:rsidR="000975F0" w:rsidRDefault="00785A7D">
            <w:pPr>
              <w:jc w:val="center"/>
            </w:pPr>
            <w:r>
              <w:rPr>
                <w:sz w:val="24"/>
              </w:rPr>
              <w:t>300600</w:t>
            </w:r>
          </w:p>
        </w:tc>
        <w:tc>
          <w:tcPr>
            <w:tcW w:w="1980" w:type="dxa"/>
            <w:vAlign w:val="center"/>
          </w:tcPr>
          <w:p w:rsidR="000975F0" w:rsidRDefault="00785A7D">
            <w:pPr>
              <w:jc w:val="center"/>
            </w:pPr>
            <w:r>
              <w:rPr>
                <w:sz w:val="24"/>
              </w:rPr>
              <w:t>瑞特股份</w:t>
            </w:r>
          </w:p>
        </w:tc>
        <w:tc>
          <w:tcPr>
            <w:tcW w:w="2879" w:type="dxa"/>
            <w:vAlign w:val="center"/>
          </w:tcPr>
          <w:p w:rsidR="000975F0" w:rsidRDefault="00785A7D">
            <w:pPr>
              <w:jc w:val="right"/>
            </w:pPr>
            <w:r>
              <w:rPr>
                <w:sz w:val="24"/>
              </w:rPr>
              <w:t>27,578,992.81</w:t>
            </w:r>
          </w:p>
        </w:tc>
        <w:tc>
          <w:tcPr>
            <w:tcW w:w="1620" w:type="dxa"/>
            <w:vAlign w:val="center"/>
          </w:tcPr>
          <w:p w:rsidR="000975F0" w:rsidRDefault="00785A7D">
            <w:pPr>
              <w:jc w:val="right"/>
            </w:pPr>
            <w:r>
              <w:rPr>
                <w:sz w:val="24"/>
              </w:rPr>
              <w:t>3.71</w:t>
            </w:r>
          </w:p>
        </w:tc>
      </w:tr>
      <w:tr w:rsidR="000975F0">
        <w:tc>
          <w:tcPr>
            <w:tcW w:w="869" w:type="dxa"/>
            <w:vAlign w:val="center"/>
          </w:tcPr>
          <w:p w:rsidR="000975F0" w:rsidRDefault="00785A7D">
            <w:pPr>
              <w:jc w:val="center"/>
            </w:pPr>
            <w:r>
              <w:rPr>
                <w:sz w:val="24"/>
              </w:rPr>
              <w:lastRenderedPageBreak/>
              <w:t>6</w:t>
            </w:r>
          </w:p>
        </w:tc>
        <w:tc>
          <w:tcPr>
            <w:tcW w:w="1650" w:type="dxa"/>
            <w:vAlign w:val="center"/>
          </w:tcPr>
          <w:p w:rsidR="000975F0" w:rsidRDefault="00785A7D">
            <w:pPr>
              <w:jc w:val="center"/>
            </w:pPr>
            <w:r>
              <w:rPr>
                <w:sz w:val="24"/>
              </w:rPr>
              <w:t>300014</w:t>
            </w:r>
          </w:p>
        </w:tc>
        <w:tc>
          <w:tcPr>
            <w:tcW w:w="1980" w:type="dxa"/>
            <w:vAlign w:val="center"/>
          </w:tcPr>
          <w:p w:rsidR="000975F0" w:rsidRDefault="00785A7D">
            <w:pPr>
              <w:jc w:val="center"/>
            </w:pPr>
            <w:r>
              <w:rPr>
                <w:sz w:val="24"/>
              </w:rPr>
              <w:t>亿纬锂能</w:t>
            </w:r>
          </w:p>
        </w:tc>
        <w:tc>
          <w:tcPr>
            <w:tcW w:w="2879" w:type="dxa"/>
            <w:vAlign w:val="center"/>
          </w:tcPr>
          <w:p w:rsidR="000975F0" w:rsidRDefault="00785A7D">
            <w:pPr>
              <w:jc w:val="right"/>
            </w:pPr>
            <w:r>
              <w:rPr>
                <w:sz w:val="24"/>
              </w:rPr>
              <w:t>26,405,137.55</w:t>
            </w:r>
          </w:p>
        </w:tc>
        <w:tc>
          <w:tcPr>
            <w:tcW w:w="1620" w:type="dxa"/>
            <w:vAlign w:val="center"/>
          </w:tcPr>
          <w:p w:rsidR="000975F0" w:rsidRDefault="00785A7D">
            <w:pPr>
              <w:jc w:val="right"/>
            </w:pPr>
            <w:r>
              <w:rPr>
                <w:sz w:val="24"/>
              </w:rPr>
              <w:t>3.56</w:t>
            </w:r>
          </w:p>
        </w:tc>
      </w:tr>
      <w:tr w:rsidR="000975F0">
        <w:tc>
          <w:tcPr>
            <w:tcW w:w="869" w:type="dxa"/>
            <w:vAlign w:val="center"/>
          </w:tcPr>
          <w:p w:rsidR="000975F0" w:rsidRDefault="00785A7D">
            <w:pPr>
              <w:jc w:val="center"/>
            </w:pPr>
            <w:r>
              <w:rPr>
                <w:sz w:val="24"/>
              </w:rPr>
              <w:t>7</w:t>
            </w:r>
          </w:p>
        </w:tc>
        <w:tc>
          <w:tcPr>
            <w:tcW w:w="1650" w:type="dxa"/>
            <w:vAlign w:val="center"/>
          </w:tcPr>
          <w:p w:rsidR="000975F0" w:rsidRDefault="00785A7D">
            <w:pPr>
              <w:jc w:val="center"/>
            </w:pPr>
            <w:r>
              <w:rPr>
                <w:sz w:val="24"/>
              </w:rPr>
              <w:t>600690</w:t>
            </w:r>
          </w:p>
        </w:tc>
        <w:tc>
          <w:tcPr>
            <w:tcW w:w="1980" w:type="dxa"/>
            <w:vAlign w:val="center"/>
          </w:tcPr>
          <w:p w:rsidR="000975F0" w:rsidRDefault="00785A7D">
            <w:pPr>
              <w:jc w:val="center"/>
            </w:pPr>
            <w:r>
              <w:rPr>
                <w:sz w:val="24"/>
              </w:rPr>
              <w:t>青岛海尔</w:t>
            </w:r>
          </w:p>
        </w:tc>
        <w:tc>
          <w:tcPr>
            <w:tcW w:w="2879" w:type="dxa"/>
            <w:vAlign w:val="center"/>
          </w:tcPr>
          <w:p w:rsidR="000975F0" w:rsidRDefault="00785A7D">
            <w:pPr>
              <w:jc w:val="right"/>
            </w:pPr>
            <w:r>
              <w:rPr>
                <w:sz w:val="24"/>
              </w:rPr>
              <w:t>25,156,350.53</w:t>
            </w:r>
          </w:p>
        </w:tc>
        <w:tc>
          <w:tcPr>
            <w:tcW w:w="1620" w:type="dxa"/>
            <w:vAlign w:val="center"/>
          </w:tcPr>
          <w:p w:rsidR="000975F0" w:rsidRDefault="00785A7D">
            <w:pPr>
              <w:jc w:val="right"/>
            </w:pPr>
            <w:r>
              <w:rPr>
                <w:sz w:val="24"/>
              </w:rPr>
              <w:t>3.39</w:t>
            </w:r>
          </w:p>
        </w:tc>
      </w:tr>
      <w:tr w:rsidR="000975F0">
        <w:tc>
          <w:tcPr>
            <w:tcW w:w="869" w:type="dxa"/>
            <w:vAlign w:val="center"/>
          </w:tcPr>
          <w:p w:rsidR="000975F0" w:rsidRDefault="00785A7D">
            <w:pPr>
              <w:jc w:val="center"/>
            </w:pPr>
            <w:r>
              <w:rPr>
                <w:sz w:val="24"/>
              </w:rPr>
              <w:t>8</w:t>
            </w:r>
          </w:p>
        </w:tc>
        <w:tc>
          <w:tcPr>
            <w:tcW w:w="1650" w:type="dxa"/>
            <w:vAlign w:val="center"/>
          </w:tcPr>
          <w:p w:rsidR="000975F0" w:rsidRDefault="00785A7D">
            <w:pPr>
              <w:jc w:val="center"/>
            </w:pPr>
            <w:r>
              <w:rPr>
                <w:sz w:val="24"/>
              </w:rPr>
              <w:t>002709</w:t>
            </w:r>
          </w:p>
        </w:tc>
        <w:tc>
          <w:tcPr>
            <w:tcW w:w="1980" w:type="dxa"/>
            <w:vAlign w:val="center"/>
          </w:tcPr>
          <w:p w:rsidR="000975F0" w:rsidRDefault="00785A7D">
            <w:pPr>
              <w:jc w:val="center"/>
            </w:pPr>
            <w:r>
              <w:rPr>
                <w:sz w:val="24"/>
              </w:rPr>
              <w:t>天赐材料</w:t>
            </w:r>
          </w:p>
        </w:tc>
        <w:tc>
          <w:tcPr>
            <w:tcW w:w="2879" w:type="dxa"/>
            <w:vAlign w:val="center"/>
          </w:tcPr>
          <w:p w:rsidR="000975F0" w:rsidRDefault="00785A7D">
            <w:pPr>
              <w:jc w:val="right"/>
            </w:pPr>
            <w:r>
              <w:rPr>
                <w:sz w:val="24"/>
              </w:rPr>
              <w:t>24,422,075.55</w:t>
            </w:r>
          </w:p>
        </w:tc>
        <w:tc>
          <w:tcPr>
            <w:tcW w:w="1620" w:type="dxa"/>
            <w:vAlign w:val="center"/>
          </w:tcPr>
          <w:p w:rsidR="000975F0" w:rsidRDefault="00785A7D">
            <w:pPr>
              <w:jc w:val="right"/>
            </w:pPr>
            <w:r>
              <w:rPr>
                <w:sz w:val="24"/>
              </w:rPr>
              <w:t>3.29</w:t>
            </w:r>
          </w:p>
        </w:tc>
      </w:tr>
      <w:tr w:rsidR="000975F0">
        <w:tc>
          <w:tcPr>
            <w:tcW w:w="869" w:type="dxa"/>
            <w:vAlign w:val="center"/>
          </w:tcPr>
          <w:p w:rsidR="000975F0" w:rsidRDefault="00785A7D">
            <w:pPr>
              <w:jc w:val="center"/>
            </w:pPr>
            <w:r>
              <w:rPr>
                <w:sz w:val="24"/>
              </w:rPr>
              <w:t>9</w:t>
            </w:r>
          </w:p>
        </w:tc>
        <w:tc>
          <w:tcPr>
            <w:tcW w:w="1650" w:type="dxa"/>
            <w:vAlign w:val="center"/>
          </w:tcPr>
          <w:p w:rsidR="000975F0" w:rsidRDefault="00785A7D">
            <w:pPr>
              <w:jc w:val="center"/>
            </w:pPr>
            <w:r>
              <w:rPr>
                <w:sz w:val="24"/>
              </w:rPr>
              <w:t>300602</w:t>
            </w:r>
          </w:p>
        </w:tc>
        <w:tc>
          <w:tcPr>
            <w:tcW w:w="1980" w:type="dxa"/>
            <w:vAlign w:val="center"/>
          </w:tcPr>
          <w:p w:rsidR="000975F0" w:rsidRDefault="00785A7D">
            <w:pPr>
              <w:jc w:val="center"/>
            </w:pPr>
            <w:r>
              <w:rPr>
                <w:sz w:val="24"/>
              </w:rPr>
              <w:t>飞荣达</w:t>
            </w:r>
          </w:p>
        </w:tc>
        <w:tc>
          <w:tcPr>
            <w:tcW w:w="2879" w:type="dxa"/>
            <w:vAlign w:val="center"/>
          </w:tcPr>
          <w:p w:rsidR="000975F0" w:rsidRDefault="00785A7D">
            <w:pPr>
              <w:jc w:val="right"/>
            </w:pPr>
            <w:r>
              <w:rPr>
                <w:sz w:val="24"/>
              </w:rPr>
              <w:t>23,918,985.00</w:t>
            </w:r>
          </w:p>
        </w:tc>
        <w:tc>
          <w:tcPr>
            <w:tcW w:w="1620" w:type="dxa"/>
            <w:vAlign w:val="center"/>
          </w:tcPr>
          <w:p w:rsidR="000975F0" w:rsidRDefault="00785A7D">
            <w:pPr>
              <w:jc w:val="right"/>
            </w:pPr>
            <w:r>
              <w:rPr>
                <w:sz w:val="24"/>
              </w:rPr>
              <w:t>3.22</w:t>
            </w:r>
          </w:p>
        </w:tc>
      </w:tr>
      <w:tr w:rsidR="000975F0">
        <w:tc>
          <w:tcPr>
            <w:tcW w:w="869" w:type="dxa"/>
            <w:vAlign w:val="center"/>
          </w:tcPr>
          <w:p w:rsidR="000975F0" w:rsidRDefault="00785A7D">
            <w:pPr>
              <w:jc w:val="center"/>
            </w:pPr>
            <w:r>
              <w:rPr>
                <w:sz w:val="24"/>
              </w:rPr>
              <w:t>10</w:t>
            </w:r>
          </w:p>
        </w:tc>
        <w:tc>
          <w:tcPr>
            <w:tcW w:w="1650" w:type="dxa"/>
            <w:vAlign w:val="center"/>
          </w:tcPr>
          <w:p w:rsidR="000975F0" w:rsidRDefault="00785A7D">
            <w:pPr>
              <w:jc w:val="center"/>
            </w:pPr>
            <w:r>
              <w:rPr>
                <w:sz w:val="24"/>
              </w:rPr>
              <w:t>603638</w:t>
            </w:r>
          </w:p>
        </w:tc>
        <w:tc>
          <w:tcPr>
            <w:tcW w:w="1980" w:type="dxa"/>
            <w:vAlign w:val="center"/>
          </w:tcPr>
          <w:p w:rsidR="000975F0" w:rsidRDefault="00785A7D">
            <w:pPr>
              <w:jc w:val="center"/>
            </w:pPr>
            <w:r>
              <w:rPr>
                <w:sz w:val="24"/>
              </w:rPr>
              <w:t>艾迪精密</w:t>
            </w:r>
          </w:p>
        </w:tc>
        <w:tc>
          <w:tcPr>
            <w:tcW w:w="2879" w:type="dxa"/>
            <w:vAlign w:val="center"/>
          </w:tcPr>
          <w:p w:rsidR="000975F0" w:rsidRDefault="00785A7D">
            <w:pPr>
              <w:jc w:val="right"/>
            </w:pPr>
            <w:r>
              <w:rPr>
                <w:sz w:val="24"/>
              </w:rPr>
              <w:t>23,807,860.20</w:t>
            </w:r>
          </w:p>
        </w:tc>
        <w:tc>
          <w:tcPr>
            <w:tcW w:w="1620" w:type="dxa"/>
            <w:vAlign w:val="center"/>
          </w:tcPr>
          <w:p w:rsidR="000975F0" w:rsidRDefault="00785A7D">
            <w:pPr>
              <w:jc w:val="right"/>
            </w:pPr>
            <w:r>
              <w:rPr>
                <w:sz w:val="24"/>
              </w:rPr>
              <w:t>3.21</w:t>
            </w:r>
          </w:p>
        </w:tc>
      </w:tr>
      <w:tr w:rsidR="000975F0">
        <w:tc>
          <w:tcPr>
            <w:tcW w:w="869" w:type="dxa"/>
            <w:vAlign w:val="center"/>
          </w:tcPr>
          <w:p w:rsidR="000975F0" w:rsidRDefault="00785A7D">
            <w:pPr>
              <w:jc w:val="center"/>
            </w:pPr>
            <w:r>
              <w:rPr>
                <w:sz w:val="24"/>
              </w:rPr>
              <w:t>11</w:t>
            </w:r>
          </w:p>
        </w:tc>
        <w:tc>
          <w:tcPr>
            <w:tcW w:w="1650" w:type="dxa"/>
            <w:vAlign w:val="center"/>
          </w:tcPr>
          <w:p w:rsidR="000975F0" w:rsidRDefault="00785A7D">
            <w:pPr>
              <w:jc w:val="center"/>
            </w:pPr>
            <w:r>
              <w:rPr>
                <w:sz w:val="24"/>
              </w:rPr>
              <w:t>601100</w:t>
            </w:r>
          </w:p>
        </w:tc>
        <w:tc>
          <w:tcPr>
            <w:tcW w:w="1980" w:type="dxa"/>
            <w:vAlign w:val="center"/>
          </w:tcPr>
          <w:p w:rsidR="000975F0" w:rsidRDefault="00785A7D">
            <w:pPr>
              <w:jc w:val="center"/>
            </w:pPr>
            <w:r>
              <w:rPr>
                <w:sz w:val="24"/>
              </w:rPr>
              <w:t>恒立液压</w:t>
            </w:r>
          </w:p>
        </w:tc>
        <w:tc>
          <w:tcPr>
            <w:tcW w:w="2879" w:type="dxa"/>
            <w:vAlign w:val="center"/>
          </w:tcPr>
          <w:p w:rsidR="000975F0" w:rsidRDefault="00785A7D">
            <w:pPr>
              <w:jc w:val="right"/>
            </w:pPr>
            <w:r>
              <w:rPr>
                <w:sz w:val="24"/>
              </w:rPr>
              <w:t>23,712,020.40</w:t>
            </w:r>
          </w:p>
        </w:tc>
        <w:tc>
          <w:tcPr>
            <w:tcW w:w="1620" w:type="dxa"/>
            <w:vAlign w:val="center"/>
          </w:tcPr>
          <w:p w:rsidR="000975F0" w:rsidRDefault="00785A7D">
            <w:pPr>
              <w:jc w:val="right"/>
            </w:pPr>
            <w:r>
              <w:rPr>
                <w:sz w:val="24"/>
              </w:rPr>
              <w:t>3.19</w:t>
            </w:r>
          </w:p>
        </w:tc>
      </w:tr>
      <w:tr w:rsidR="000975F0">
        <w:tc>
          <w:tcPr>
            <w:tcW w:w="869" w:type="dxa"/>
            <w:vAlign w:val="center"/>
          </w:tcPr>
          <w:p w:rsidR="000975F0" w:rsidRDefault="00785A7D">
            <w:pPr>
              <w:jc w:val="center"/>
            </w:pPr>
            <w:r>
              <w:rPr>
                <w:sz w:val="24"/>
              </w:rPr>
              <w:t>12</w:t>
            </w:r>
          </w:p>
        </w:tc>
        <w:tc>
          <w:tcPr>
            <w:tcW w:w="1650" w:type="dxa"/>
            <w:vAlign w:val="center"/>
          </w:tcPr>
          <w:p w:rsidR="000975F0" w:rsidRDefault="00785A7D">
            <w:pPr>
              <w:jc w:val="center"/>
            </w:pPr>
            <w:r>
              <w:rPr>
                <w:sz w:val="24"/>
              </w:rPr>
              <w:t>601877</w:t>
            </w:r>
          </w:p>
        </w:tc>
        <w:tc>
          <w:tcPr>
            <w:tcW w:w="1980" w:type="dxa"/>
            <w:vAlign w:val="center"/>
          </w:tcPr>
          <w:p w:rsidR="000975F0" w:rsidRDefault="00785A7D">
            <w:pPr>
              <w:jc w:val="center"/>
            </w:pPr>
            <w:r>
              <w:rPr>
                <w:sz w:val="24"/>
              </w:rPr>
              <w:t>正泰电器</w:t>
            </w:r>
          </w:p>
        </w:tc>
        <w:tc>
          <w:tcPr>
            <w:tcW w:w="2879" w:type="dxa"/>
            <w:vAlign w:val="center"/>
          </w:tcPr>
          <w:p w:rsidR="000975F0" w:rsidRDefault="00785A7D">
            <w:pPr>
              <w:jc w:val="right"/>
            </w:pPr>
            <w:r>
              <w:rPr>
                <w:sz w:val="24"/>
              </w:rPr>
              <w:t>20,777,411.36</w:t>
            </w:r>
          </w:p>
        </w:tc>
        <w:tc>
          <w:tcPr>
            <w:tcW w:w="1620" w:type="dxa"/>
            <w:vAlign w:val="center"/>
          </w:tcPr>
          <w:p w:rsidR="000975F0" w:rsidRDefault="00785A7D">
            <w:pPr>
              <w:jc w:val="right"/>
            </w:pPr>
            <w:r>
              <w:rPr>
                <w:sz w:val="24"/>
              </w:rPr>
              <w:t>2.80</w:t>
            </w:r>
          </w:p>
        </w:tc>
      </w:tr>
      <w:tr w:rsidR="000975F0">
        <w:tc>
          <w:tcPr>
            <w:tcW w:w="869" w:type="dxa"/>
            <w:vAlign w:val="center"/>
          </w:tcPr>
          <w:p w:rsidR="000975F0" w:rsidRDefault="00785A7D">
            <w:pPr>
              <w:jc w:val="center"/>
            </w:pPr>
            <w:r>
              <w:rPr>
                <w:sz w:val="24"/>
              </w:rPr>
              <w:t>13</w:t>
            </w:r>
          </w:p>
        </w:tc>
        <w:tc>
          <w:tcPr>
            <w:tcW w:w="1650" w:type="dxa"/>
            <w:vAlign w:val="center"/>
          </w:tcPr>
          <w:p w:rsidR="000975F0" w:rsidRDefault="00785A7D">
            <w:pPr>
              <w:jc w:val="center"/>
            </w:pPr>
            <w:r>
              <w:rPr>
                <w:sz w:val="24"/>
              </w:rPr>
              <w:t>002142</w:t>
            </w:r>
          </w:p>
        </w:tc>
        <w:tc>
          <w:tcPr>
            <w:tcW w:w="1980" w:type="dxa"/>
            <w:vAlign w:val="center"/>
          </w:tcPr>
          <w:p w:rsidR="000975F0" w:rsidRDefault="00785A7D">
            <w:pPr>
              <w:jc w:val="center"/>
            </w:pPr>
            <w:r>
              <w:rPr>
                <w:sz w:val="24"/>
              </w:rPr>
              <w:t>宁波银行</w:t>
            </w:r>
          </w:p>
        </w:tc>
        <w:tc>
          <w:tcPr>
            <w:tcW w:w="2879" w:type="dxa"/>
            <w:vAlign w:val="center"/>
          </w:tcPr>
          <w:p w:rsidR="000975F0" w:rsidRDefault="00785A7D">
            <w:pPr>
              <w:jc w:val="right"/>
            </w:pPr>
            <w:r>
              <w:rPr>
                <w:sz w:val="24"/>
              </w:rPr>
              <w:t>20,595,210.00</w:t>
            </w:r>
          </w:p>
        </w:tc>
        <w:tc>
          <w:tcPr>
            <w:tcW w:w="1620" w:type="dxa"/>
            <w:vAlign w:val="center"/>
          </w:tcPr>
          <w:p w:rsidR="000975F0" w:rsidRDefault="00785A7D">
            <w:pPr>
              <w:jc w:val="right"/>
            </w:pPr>
            <w:r>
              <w:rPr>
                <w:sz w:val="24"/>
              </w:rPr>
              <w:t>2.77</w:t>
            </w:r>
          </w:p>
        </w:tc>
      </w:tr>
      <w:tr w:rsidR="000975F0">
        <w:tc>
          <w:tcPr>
            <w:tcW w:w="869" w:type="dxa"/>
            <w:vAlign w:val="center"/>
          </w:tcPr>
          <w:p w:rsidR="000975F0" w:rsidRDefault="00785A7D">
            <w:pPr>
              <w:jc w:val="center"/>
            </w:pPr>
            <w:r>
              <w:rPr>
                <w:sz w:val="24"/>
              </w:rPr>
              <w:t>14</w:t>
            </w:r>
          </w:p>
        </w:tc>
        <w:tc>
          <w:tcPr>
            <w:tcW w:w="1650" w:type="dxa"/>
            <w:vAlign w:val="center"/>
          </w:tcPr>
          <w:p w:rsidR="000975F0" w:rsidRDefault="00785A7D">
            <w:pPr>
              <w:jc w:val="center"/>
            </w:pPr>
            <w:r>
              <w:rPr>
                <w:sz w:val="24"/>
              </w:rPr>
              <w:t>600038</w:t>
            </w:r>
          </w:p>
        </w:tc>
        <w:tc>
          <w:tcPr>
            <w:tcW w:w="1980" w:type="dxa"/>
            <w:vAlign w:val="center"/>
          </w:tcPr>
          <w:p w:rsidR="000975F0" w:rsidRDefault="00785A7D">
            <w:pPr>
              <w:jc w:val="center"/>
            </w:pPr>
            <w:r>
              <w:rPr>
                <w:sz w:val="24"/>
              </w:rPr>
              <w:t>中直股份</w:t>
            </w:r>
          </w:p>
        </w:tc>
        <w:tc>
          <w:tcPr>
            <w:tcW w:w="2879" w:type="dxa"/>
            <w:vAlign w:val="center"/>
          </w:tcPr>
          <w:p w:rsidR="000975F0" w:rsidRDefault="00785A7D">
            <w:pPr>
              <w:jc w:val="right"/>
            </w:pPr>
            <w:r>
              <w:rPr>
                <w:sz w:val="24"/>
              </w:rPr>
              <w:t>20,269,829.01</w:t>
            </w:r>
          </w:p>
        </w:tc>
        <w:tc>
          <w:tcPr>
            <w:tcW w:w="1620" w:type="dxa"/>
            <w:vAlign w:val="center"/>
          </w:tcPr>
          <w:p w:rsidR="000975F0" w:rsidRDefault="00785A7D">
            <w:pPr>
              <w:jc w:val="right"/>
            </w:pPr>
            <w:r>
              <w:rPr>
                <w:sz w:val="24"/>
              </w:rPr>
              <w:t>2.73</w:t>
            </w:r>
          </w:p>
        </w:tc>
      </w:tr>
      <w:tr w:rsidR="000975F0">
        <w:tc>
          <w:tcPr>
            <w:tcW w:w="869" w:type="dxa"/>
            <w:vAlign w:val="center"/>
          </w:tcPr>
          <w:p w:rsidR="000975F0" w:rsidRDefault="00785A7D">
            <w:pPr>
              <w:jc w:val="center"/>
            </w:pPr>
            <w:r>
              <w:rPr>
                <w:sz w:val="24"/>
              </w:rPr>
              <w:t>15</w:t>
            </w:r>
          </w:p>
        </w:tc>
        <w:tc>
          <w:tcPr>
            <w:tcW w:w="1650" w:type="dxa"/>
            <w:vAlign w:val="center"/>
          </w:tcPr>
          <w:p w:rsidR="000975F0" w:rsidRDefault="00785A7D">
            <w:pPr>
              <w:jc w:val="center"/>
            </w:pPr>
            <w:r>
              <w:rPr>
                <w:sz w:val="24"/>
              </w:rPr>
              <w:t>002111</w:t>
            </w:r>
          </w:p>
        </w:tc>
        <w:tc>
          <w:tcPr>
            <w:tcW w:w="1980" w:type="dxa"/>
            <w:vAlign w:val="center"/>
          </w:tcPr>
          <w:p w:rsidR="000975F0" w:rsidRDefault="00785A7D">
            <w:pPr>
              <w:jc w:val="center"/>
            </w:pPr>
            <w:r>
              <w:rPr>
                <w:sz w:val="24"/>
              </w:rPr>
              <w:t>威海广泰</w:t>
            </w:r>
          </w:p>
        </w:tc>
        <w:tc>
          <w:tcPr>
            <w:tcW w:w="2879" w:type="dxa"/>
            <w:vAlign w:val="center"/>
          </w:tcPr>
          <w:p w:rsidR="000975F0" w:rsidRDefault="00785A7D">
            <w:pPr>
              <w:jc w:val="right"/>
            </w:pPr>
            <w:r>
              <w:rPr>
                <w:sz w:val="24"/>
              </w:rPr>
              <w:t>20,091,931.29</w:t>
            </w:r>
          </w:p>
        </w:tc>
        <w:tc>
          <w:tcPr>
            <w:tcW w:w="1620" w:type="dxa"/>
            <w:vAlign w:val="center"/>
          </w:tcPr>
          <w:p w:rsidR="000975F0" w:rsidRDefault="00785A7D">
            <w:pPr>
              <w:jc w:val="right"/>
            </w:pPr>
            <w:r>
              <w:rPr>
                <w:sz w:val="24"/>
              </w:rPr>
              <w:t>2.71</w:t>
            </w:r>
          </w:p>
        </w:tc>
      </w:tr>
      <w:tr w:rsidR="000975F0">
        <w:tc>
          <w:tcPr>
            <w:tcW w:w="869" w:type="dxa"/>
            <w:vAlign w:val="center"/>
          </w:tcPr>
          <w:p w:rsidR="000975F0" w:rsidRDefault="00785A7D">
            <w:pPr>
              <w:jc w:val="center"/>
            </w:pPr>
            <w:r>
              <w:rPr>
                <w:sz w:val="24"/>
              </w:rPr>
              <w:t>16</w:t>
            </w:r>
          </w:p>
        </w:tc>
        <w:tc>
          <w:tcPr>
            <w:tcW w:w="1650" w:type="dxa"/>
            <w:vAlign w:val="center"/>
          </w:tcPr>
          <w:p w:rsidR="000975F0" w:rsidRDefault="00785A7D">
            <w:pPr>
              <w:jc w:val="center"/>
            </w:pPr>
            <w:r>
              <w:rPr>
                <w:sz w:val="24"/>
              </w:rPr>
              <w:t>000725</w:t>
            </w:r>
          </w:p>
        </w:tc>
        <w:tc>
          <w:tcPr>
            <w:tcW w:w="1980" w:type="dxa"/>
            <w:vAlign w:val="center"/>
          </w:tcPr>
          <w:p w:rsidR="000975F0" w:rsidRDefault="00785A7D">
            <w:pPr>
              <w:jc w:val="center"/>
            </w:pPr>
            <w:r>
              <w:rPr>
                <w:sz w:val="24"/>
              </w:rPr>
              <w:t>京东方</w:t>
            </w:r>
            <w:r>
              <w:rPr>
                <w:sz w:val="24"/>
              </w:rPr>
              <w:t>A</w:t>
            </w:r>
          </w:p>
        </w:tc>
        <w:tc>
          <w:tcPr>
            <w:tcW w:w="2879" w:type="dxa"/>
            <w:vAlign w:val="center"/>
          </w:tcPr>
          <w:p w:rsidR="000975F0" w:rsidRDefault="00785A7D">
            <w:pPr>
              <w:jc w:val="right"/>
            </w:pPr>
            <w:r>
              <w:rPr>
                <w:sz w:val="24"/>
              </w:rPr>
              <w:t>19,967,235.00</w:t>
            </w:r>
          </w:p>
        </w:tc>
        <w:tc>
          <w:tcPr>
            <w:tcW w:w="1620" w:type="dxa"/>
            <w:vAlign w:val="center"/>
          </w:tcPr>
          <w:p w:rsidR="000975F0" w:rsidRDefault="00785A7D">
            <w:pPr>
              <w:jc w:val="right"/>
            </w:pPr>
            <w:r>
              <w:rPr>
                <w:sz w:val="24"/>
              </w:rPr>
              <w:t>2.69</w:t>
            </w:r>
          </w:p>
        </w:tc>
      </w:tr>
      <w:tr w:rsidR="000975F0">
        <w:tc>
          <w:tcPr>
            <w:tcW w:w="869" w:type="dxa"/>
            <w:vAlign w:val="center"/>
          </w:tcPr>
          <w:p w:rsidR="000975F0" w:rsidRDefault="00785A7D">
            <w:pPr>
              <w:jc w:val="center"/>
            </w:pPr>
            <w:r>
              <w:rPr>
                <w:sz w:val="24"/>
              </w:rPr>
              <w:t>17</w:t>
            </w:r>
          </w:p>
        </w:tc>
        <w:tc>
          <w:tcPr>
            <w:tcW w:w="1650" w:type="dxa"/>
            <w:vAlign w:val="center"/>
          </w:tcPr>
          <w:p w:rsidR="000975F0" w:rsidRDefault="00785A7D">
            <w:pPr>
              <w:jc w:val="center"/>
            </w:pPr>
            <w:r>
              <w:rPr>
                <w:sz w:val="24"/>
              </w:rPr>
              <w:t>600436</w:t>
            </w:r>
          </w:p>
        </w:tc>
        <w:tc>
          <w:tcPr>
            <w:tcW w:w="1980" w:type="dxa"/>
            <w:vAlign w:val="center"/>
          </w:tcPr>
          <w:p w:rsidR="000975F0" w:rsidRDefault="00785A7D">
            <w:pPr>
              <w:jc w:val="center"/>
            </w:pPr>
            <w:r>
              <w:rPr>
                <w:sz w:val="24"/>
              </w:rPr>
              <w:t>片仔癀</w:t>
            </w:r>
          </w:p>
        </w:tc>
        <w:tc>
          <w:tcPr>
            <w:tcW w:w="2879" w:type="dxa"/>
            <w:vAlign w:val="center"/>
          </w:tcPr>
          <w:p w:rsidR="000975F0" w:rsidRDefault="00785A7D">
            <w:pPr>
              <w:jc w:val="right"/>
            </w:pPr>
            <w:r>
              <w:rPr>
                <w:sz w:val="24"/>
              </w:rPr>
              <w:t>19,608,384.03</w:t>
            </w:r>
          </w:p>
        </w:tc>
        <w:tc>
          <w:tcPr>
            <w:tcW w:w="1620" w:type="dxa"/>
            <w:vAlign w:val="center"/>
          </w:tcPr>
          <w:p w:rsidR="000975F0" w:rsidRDefault="00785A7D">
            <w:pPr>
              <w:jc w:val="right"/>
            </w:pPr>
            <w:r>
              <w:rPr>
                <w:sz w:val="24"/>
              </w:rPr>
              <w:t>2.64</w:t>
            </w:r>
          </w:p>
        </w:tc>
      </w:tr>
      <w:tr w:rsidR="000975F0">
        <w:tc>
          <w:tcPr>
            <w:tcW w:w="869" w:type="dxa"/>
            <w:vAlign w:val="center"/>
          </w:tcPr>
          <w:p w:rsidR="000975F0" w:rsidRDefault="00785A7D">
            <w:pPr>
              <w:jc w:val="center"/>
            </w:pPr>
            <w:r>
              <w:rPr>
                <w:sz w:val="24"/>
              </w:rPr>
              <w:t>18</w:t>
            </w:r>
          </w:p>
        </w:tc>
        <w:tc>
          <w:tcPr>
            <w:tcW w:w="1650" w:type="dxa"/>
            <w:vAlign w:val="center"/>
          </w:tcPr>
          <w:p w:rsidR="000975F0" w:rsidRDefault="00785A7D">
            <w:pPr>
              <w:jc w:val="center"/>
            </w:pPr>
            <w:r>
              <w:rPr>
                <w:sz w:val="24"/>
              </w:rPr>
              <w:t>600217</w:t>
            </w:r>
          </w:p>
        </w:tc>
        <w:tc>
          <w:tcPr>
            <w:tcW w:w="1980" w:type="dxa"/>
            <w:vAlign w:val="center"/>
          </w:tcPr>
          <w:p w:rsidR="000975F0" w:rsidRDefault="00785A7D">
            <w:pPr>
              <w:jc w:val="center"/>
            </w:pPr>
            <w:r>
              <w:rPr>
                <w:sz w:val="24"/>
              </w:rPr>
              <w:t>中再资环</w:t>
            </w:r>
          </w:p>
        </w:tc>
        <w:tc>
          <w:tcPr>
            <w:tcW w:w="2879" w:type="dxa"/>
            <w:vAlign w:val="center"/>
          </w:tcPr>
          <w:p w:rsidR="000975F0" w:rsidRDefault="00785A7D">
            <w:pPr>
              <w:jc w:val="right"/>
            </w:pPr>
            <w:r>
              <w:rPr>
                <w:sz w:val="24"/>
              </w:rPr>
              <w:t>19,122,539.41</w:t>
            </w:r>
          </w:p>
        </w:tc>
        <w:tc>
          <w:tcPr>
            <w:tcW w:w="1620" w:type="dxa"/>
            <w:vAlign w:val="center"/>
          </w:tcPr>
          <w:p w:rsidR="000975F0" w:rsidRDefault="00785A7D">
            <w:pPr>
              <w:jc w:val="right"/>
            </w:pPr>
            <w:r>
              <w:rPr>
                <w:sz w:val="24"/>
              </w:rPr>
              <w:t>2.58</w:t>
            </w:r>
          </w:p>
        </w:tc>
      </w:tr>
      <w:tr w:rsidR="000975F0">
        <w:tc>
          <w:tcPr>
            <w:tcW w:w="869" w:type="dxa"/>
            <w:vAlign w:val="center"/>
          </w:tcPr>
          <w:p w:rsidR="000975F0" w:rsidRDefault="00785A7D">
            <w:pPr>
              <w:jc w:val="center"/>
            </w:pPr>
            <w:r>
              <w:rPr>
                <w:sz w:val="24"/>
              </w:rPr>
              <w:t>19</w:t>
            </w:r>
          </w:p>
        </w:tc>
        <w:tc>
          <w:tcPr>
            <w:tcW w:w="1650" w:type="dxa"/>
            <w:vAlign w:val="center"/>
          </w:tcPr>
          <w:p w:rsidR="000975F0" w:rsidRDefault="00785A7D">
            <w:pPr>
              <w:jc w:val="center"/>
            </w:pPr>
            <w:r>
              <w:rPr>
                <w:sz w:val="24"/>
              </w:rPr>
              <w:t>600482</w:t>
            </w:r>
          </w:p>
        </w:tc>
        <w:tc>
          <w:tcPr>
            <w:tcW w:w="1980" w:type="dxa"/>
            <w:vAlign w:val="center"/>
          </w:tcPr>
          <w:p w:rsidR="000975F0" w:rsidRDefault="00785A7D">
            <w:pPr>
              <w:jc w:val="center"/>
            </w:pPr>
            <w:r>
              <w:rPr>
                <w:sz w:val="24"/>
              </w:rPr>
              <w:t>中国动力</w:t>
            </w:r>
          </w:p>
        </w:tc>
        <w:tc>
          <w:tcPr>
            <w:tcW w:w="2879" w:type="dxa"/>
            <w:vAlign w:val="center"/>
          </w:tcPr>
          <w:p w:rsidR="000975F0" w:rsidRDefault="00785A7D">
            <w:pPr>
              <w:jc w:val="right"/>
            </w:pPr>
            <w:r>
              <w:rPr>
                <w:sz w:val="24"/>
              </w:rPr>
              <w:t>18,828,951.18</w:t>
            </w:r>
          </w:p>
        </w:tc>
        <w:tc>
          <w:tcPr>
            <w:tcW w:w="1620" w:type="dxa"/>
            <w:vAlign w:val="center"/>
          </w:tcPr>
          <w:p w:rsidR="000975F0" w:rsidRDefault="00785A7D">
            <w:pPr>
              <w:jc w:val="right"/>
            </w:pPr>
            <w:r>
              <w:rPr>
                <w:sz w:val="24"/>
              </w:rPr>
              <w:t>2.54</w:t>
            </w:r>
          </w:p>
        </w:tc>
      </w:tr>
      <w:tr w:rsidR="000975F0">
        <w:tc>
          <w:tcPr>
            <w:tcW w:w="869" w:type="dxa"/>
            <w:vAlign w:val="center"/>
          </w:tcPr>
          <w:p w:rsidR="000975F0" w:rsidRDefault="00785A7D">
            <w:pPr>
              <w:jc w:val="center"/>
            </w:pPr>
            <w:r>
              <w:rPr>
                <w:sz w:val="24"/>
              </w:rPr>
              <w:t>20</w:t>
            </w:r>
          </w:p>
        </w:tc>
        <w:tc>
          <w:tcPr>
            <w:tcW w:w="1650" w:type="dxa"/>
            <w:vAlign w:val="center"/>
          </w:tcPr>
          <w:p w:rsidR="000975F0" w:rsidRDefault="00785A7D">
            <w:pPr>
              <w:jc w:val="center"/>
            </w:pPr>
            <w:r>
              <w:rPr>
                <w:sz w:val="24"/>
              </w:rPr>
              <w:t>600048</w:t>
            </w:r>
          </w:p>
        </w:tc>
        <w:tc>
          <w:tcPr>
            <w:tcW w:w="1980" w:type="dxa"/>
            <w:vAlign w:val="center"/>
          </w:tcPr>
          <w:p w:rsidR="000975F0" w:rsidRDefault="00785A7D">
            <w:pPr>
              <w:jc w:val="center"/>
            </w:pPr>
            <w:r>
              <w:rPr>
                <w:sz w:val="24"/>
              </w:rPr>
              <w:t>保利地产</w:t>
            </w:r>
          </w:p>
        </w:tc>
        <w:tc>
          <w:tcPr>
            <w:tcW w:w="2879" w:type="dxa"/>
            <w:vAlign w:val="center"/>
          </w:tcPr>
          <w:p w:rsidR="000975F0" w:rsidRDefault="00785A7D">
            <w:pPr>
              <w:jc w:val="right"/>
            </w:pPr>
            <w:r>
              <w:rPr>
                <w:sz w:val="24"/>
              </w:rPr>
              <w:t>18,774,507.00</w:t>
            </w:r>
          </w:p>
        </w:tc>
        <w:tc>
          <w:tcPr>
            <w:tcW w:w="1620" w:type="dxa"/>
            <w:vAlign w:val="center"/>
          </w:tcPr>
          <w:p w:rsidR="000975F0" w:rsidRDefault="00785A7D">
            <w:pPr>
              <w:jc w:val="right"/>
            </w:pPr>
            <w:r>
              <w:rPr>
                <w:sz w:val="24"/>
              </w:rPr>
              <w:t>2.53</w:t>
            </w:r>
          </w:p>
        </w:tc>
      </w:tr>
      <w:tr w:rsidR="000975F0">
        <w:tc>
          <w:tcPr>
            <w:tcW w:w="869" w:type="dxa"/>
            <w:vAlign w:val="center"/>
          </w:tcPr>
          <w:p w:rsidR="000975F0" w:rsidRDefault="00785A7D">
            <w:pPr>
              <w:jc w:val="center"/>
            </w:pPr>
            <w:r>
              <w:rPr>
                <w:sz w:val="24"/>
              </w:rPr>
              <w:t>21</w:t>
            </w:r>
          </w:p>
        </w:tc>
        <w:tc>
          <w:tcPr>
            <w:tcW w:w="1650" w:type="dxa"/>
            <w:vAlign w:val="center"/>
          </w:tcPr>
          <w:p w:rsidR="000975F0" w:rsidRDefault="00785A7D">
            <w:pPr>
              <w:jc w:val="center"/>
            </w:pPr>
            <w:r>
              <w:rPr>
                <w:sz w:val="24"/>
              </w:rPr>
              <w:t>603338</w:t>
            </w:r>
          </w:p>
        </w:tc>
        <w:tc>
          <w:tcPr>
            <w:tcW w:w="1980" w:type="dxa"/>
            <w:vAlign w:val="center"/>
          </w:tcPr>
          <w:p w:rsidR="000975F0" w:rsidRDefault="00785A7D">
            <w:pPr>
              <w:jc w:val="center"/>
            </w:pPr>
            <w:r>
              <w:rPr>
                <w:sz w:val="24"/>
              </w:rPr>
              <w:t>浙江鼎力</w:t>
            </w:r>
          </w:p>
        </w:tc>
        <w:tc>
          <w:tcPr>
            <w:tcW w:w="2879" w:type="dxa"/>
            <w:vAlign w:val="center"/>
          </w:tcPr>
          <w:p w:rsidR="000975F0" w:rsidRDefault="00785A7D">
            <w:pPr>
              <w:jc w:val="right"/>
            </w:pPr>
            <w:r>
              <w:rPr>
                <w:sz w:val="24"/>
              </w:rPr>
              <w:t>18,743,307.64</w:t>
            </w:r>
          </w:p>
        </w:tc>
        <w:tc>
          <w:tcPr>
            <w:tcW w:w="1620" w:type="dxa"/>
            <w:vAlign w:val="center"/>
          </w:tcPr>
          <w:p w:rsidR="000975F0" w:rsidRDefault="00785A7D">
            <w:pPr>
              <w:jc w:val="right"/>
            </w:pPr>
            <w:r>
              <w:rPr>
                <w:sz w:val="24"/>
              </w:rPr>
              <w:t>2.52</w:t>
            </w:r>
          </w:p>
        </w:tc>
      </w:tr>
      <w:tr w:rsidR="000975F0">
        <w:tc>
          <w:tcPr>
            <w:tcW w:w="869" w:type="dxa"/>
            <w:vAlign w:val="center"/>
          </w:tcPr>
          <w:p w:rsidR="000975F0" w:rsidRDefault="00785A7D">
            <w:pPr>
              <w:jc w:val="center"/>
            </w:pPr>
            <w:r>
              <w:rPr>
                <w:sz w:val="24"/>
              </w:rPr>
              <w:t>22</w:t>
            </w:r>
          </w:p>
        </w:tc>
        <w:tc>
          <w:tcPr>
            <w:tcW w:w="1650" w:type="dxa"/>
            <w:vAlign w:val="center"/>
          </w:tcPr>
          <w:p w:rsidR="000975F0" w:rsidRDefault="00785A7D">
            <w:pPr>
              <w:jc w:val="center"/>
            </w:pPr>
            <w:r>
              <w:rPr>
                <w:sz w:val="24"/>
              </w:rPr>
              <w:t>000661</w:t>
            </w:r>
          </w:p>
        </w:tc>
        <w:tc>
          <w:tcPr>
            <w:tcW w:w="1980" w:type="dxa"/>
            <w:vAlign w:val="center"/>
          </w:tcPr>
          <w:p w:rsidR="000975F0" w:rsidRDefault="00785A7D">
            <w:pPr>
              <w:jc w:val="center"/>
            </w:pPr>
            <w:r>
              <w:rPr>
                <w:sz w:val="24"/>
              </w:rPr>
              <w:t>长春高新</w:t>
            </w:r>
          </w:p>
        </w:tc>
        <w:tc>
          <w:tcPr>
            <w:tcW w:w="2879" w:type="dxa"/>
            <w:vAlign w:val="center"/>
          </w:tcPr>
          <w:p w:rsidR="000975F0" w:rsidRDefault="00785A7D">
            <w:pPr>
              <w:jc w:val="right"/>
            </w:pPr>
            <w:r>
              <w:rPr>
                <w:sz w:val="24"/>
              </w:rPr>
              <w:t>16,070,750.00</w:t>
            </w:r>
          </w:p>
        </w:tc>
        <w:tc>
          <w:tcPr>
            <w:tcW w:w="1620" w:type="dxa"/>
            <w:vAlign w:val="center"/>
          </w:tcPr>
          <w:p w:rsidR="000975F0" w:rsidRDefault="00785A7D">
            <w:pPr>
              <w:jc w:val="right"/>
            </w:pPr>
            <w:r>
              <w:rPr>
                <w:sz w:val="24"/>
              </w:rPr>
              <w:t>2.16</w:t>
            </w:r>
          </w:p>
        </w:tc>
      </w:tr>
      <w:tr w:rsidR="000975F0">
        <w:tc>
          <w:tcPr>
            <w:tcW w:w="869" w:type="dxa"/>
            <w:vAlign w:val="center"/>
          </w:tcPr>
          <w:p w:rsidR="000975F0" w:rsidRDefault="00785A7D">
            <w:pPr>
              <w:jc w:val="center"/>
            </w:pPr>
            <w:r>
              <w:rPr>
                <w:sz w:val="24"/>
              </w:rPr>
              <w:t>23</w:t>
            </w:r>
          </w:p>
        </w:tc>
        <w:tc>
          <w:tcPr>
            <w:tcW w:w="1650" w:type="dxa"/>
            <w:vAlign w:val="center"/>
          </w:tcPr>
          <w:p w:rsidR="000975F0" w:rsidRDefault="00785A7D">
            <w:pPr>
              <w:jc w:val="center"/>
            </w:pPr>
            <w:r>
              <w:rPr>
                <w:sz w:val="24"/>
              </w:rPr>
              <w:t>002353</w:t>
            </w:r>
          </w:p>
        </w:tc>
        <w:tc>
          <w:tcPr>
            <w:tcW w:w="1980" w:type="dxa"/>
            <w:vAlign w:val="center"/>
          </w:tcPr>
          <w:p w:rsidR="000975F0" w:rsidRDefault="00785A7D">
            <w:pPr>
              <w:jc w:val="center"/>
            </w:pPr>
            <w:r>
              <w:rPr>
                <w:sz w:val="24"/>
              </w:rPr>
              <w:t>杰瑞股份</w:t>
            </w:r>
          </w:p>
        </w:tc>
        <w:tc>
          <w:tcPr>
            <w:tcW w:w="2879" w:type="dxa"/>
            <w:vAlign w:val="center"/>
          </w:tcPr>
          <w:p w:rsidR="000975F0" w:rsidRDefault="00785A7D">
            <w:pPr>
              <w:jc w:val="right"/>
            </w:pPr>
            <w:r>
              <w:rPr>
                <w:sz w:val="24"/>
              </w:rPr>
              <w:t>15,344,118.00</w:t>
            </w:r>
          </w:p>
        </w:tc>
        <w:tc>
          <w:tcPr>
            <w:tcW w:w="1620" w:type="dxa"/>
            <w:vAlign w:val="center"/>
          </w:tcPr>
          <w:p w:rsidR="000975F0" w:rsidRDefault="00785A7D">
            <w:pPr>
              <w:jc w:val="right"/>
            </w:pPr>
            <w:r>
              <w:rPr>
                <w:sz w:val="24"/>
              </w:rPr>
              <w:t>2.07</w:t>
            </w:r>
          </w:p>
        </w:tc>
      </w:tr>
      <w:tr w:rsidR="000975F0">
        <w:tc>
          <w:tcPr>
            <w:tcW w:w="869" w:type="dxa"/>
            <w:vAlign w:val="center"/>
          </w:tcPr>
          <w:p w:rsidR="000975F0" w:rsidRDefault="00785A7D">
            <w:pPr>
              <w:jc w:val="center"/>
            </w:pPr>
            <w:r>
              <w:rPr>
                <w:sz w:val="24"/>
              </w:rPr>
              <w:t>24</w:t>
            </w:r>
          </w:p>
        </w:tc>
        <w:tc>
          <w:tcPr>
            <w:tcW w:w="1650" w:type="dxa"/>
            <w:vAlign w:val="center"/>
          </w:tcPr>
          <w:p w:rsidR="000975F0" w:rsidRDefault="00785A7D">
            <w:pPr>
              <w:jc w:val="center"/>
            </w:pPr>
            <w:r>
              <w:rPr>
                <w:sz w:val="24"/>
              </w:rPr>
              <w:t>002367</w:t>
            </w:r>
          </w:p>
        </w:tc>
        <w:tc>
          <w:tcPr>
            <w:tcW w:w="1980" w:type="dxa"/>
            <w:vAlign w:val="center"/>
          </w:tcPr>
          <w:p w:rsidR="000975F0" w:rsidRDefault="00785A7D">
            <w:pPr>
              <w:jc w:val="center"/>
            </w:pPr>
            <w:r>
              <w:rPr>
                <w:sz w:val="24"/>
              </w:rPr>
              <w:t>康力电梯</w:t>
            </w:r>
          </w:p>
        </w:tc>
        <w:tc>
          <w:tcPr>
            <w:tcW w:w="2879" w:type="dxa"/>
            <w:vAlign w:val="center"/>
          </w:tcPr>
          <w:p w:rsidR="000975F0" w:rsidRDefault="00785A7D">
            <w:pPr>
              <w:jc w:val="right"/>
            </w:pPr>
            <w:r>
              <w:rPr>
                <w:sz w:val="24"/>
              </w:rPr>
              <w:t>15,108,717.58</w:t>
            </w:r>
          </w:p>
        </w:tc>
        <w:tc>
          <w:tcPr>
            <w:tcW w:w="1620" w:type="dxa"/>
            <w:vAlign w:val="center"/>
          </w:tcPr>
          <w:p w:rsidR="000975F0" w:rsidRDefault="00785A7D">
            <w:pPr>
              <w:jc w:val="right"/>
            </w:pPr>
            <w:r>
              <w:rPr>
                <w:sz w:val="24"/>
              </w:rPr>
              <w:t>2.04</w:t>
            </w:r>
          </w:p>
        </w:tc>
      </w:tr>
      <w:tr w:rsidR="000975F0">
        <w:tc>
          <w:tcPr>
            <w:tcW w:w="869" w:type="dxa"/>
            <w:vAlign w:val="center"/>
          </w:tcPr>
          <w:p w:rsidR="000975F0" w:rsidRDefault="00785A7D">
            <w:pPr>
              <w:jc w:val="center"/>
            </w:pPr>
            <w:r>
              <w:rPr>
                <w:sz w:val="24"/>
              </w:rPr>
              <w:t>25</w:t>
            </w:r>
          </w:p>
        </w:tc>
        <w:tc>
          <w:tcPr>
            <w:tcW w:w="1650" w:type="dxa"/>
            <w:vAlign w:val="center"/>
          </w:tcPr>
          <w:p w:rsidR="000975F0" w:rsidRDefault="00785A7D">
            <w:pPr>
              <w:jc w:val="center"/>
            </w:pPr>
            <w:r>
              <w:rPr>
                <w:sz w:val="24"/>
              </w:rPr>
              <w:t>000581</w:t>
            </w:r>
          </w:p>
        </w:tc>
        <w:tc>
          <w:tcPr>
            <w:tcW w:w="1980" w:type="dxa"/>
            <w:vAlign w:val="center"/>
          </w:tcPr>
          <w:p w:rsidR="000975F0" w:rsidRDefault="00785A7D">
            <w:pPr>
              <w:jc w:val="center"/>
            </w:pPr>
            <w:r>
              <w:rPr>
                <w:sz w:val="24"/>
              </w:rPr>
              <w:t>威孚高科</w:t>
            </w:r>
          </w:p>
        </w:tc>
        <w:tc>
          <w:tcPr>
            <w:tcW w:w="2879" w:type="dxa"/>
            <w:vAlign w:val="center"/>
          </w:tcPr>
          <w:p w:rsidR="000975F0" w:rsidRDefault="00785A7D">
            <w:pPr>
              <w:jc w:val="right"/>
            </w:pPr>
            <w:r>
              <w:rPr>
                <w:sz w:val="24"/>
              </w:rPr>
              <w:t>14,885,521.43</w:t>
            </w:r>
          </w:p>
        </w:tc>
        <w:tc>
          <w:tcPr>
            <w:tcW w:w="1620" w:type="dxa"/>
            <w:vAlign w:val="center"/>
          </w:tcPr>
          <w:p w:rsidR="000975F0" w:rsidRDefault="00785A7D">
            <w:pPr>
              <w:jc w:val="right"/>
            </w:pPr>
            <w:r>
              <w:rPr>
                <w:sz w:val="24"/>
              </w:rP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975F0">
        <w:tc>
          <w:tcPr>
            <w:tcW w:w="869" w:type="dxa"/>
            <w:vAlign w:val="center"/>
          </w:tcPr>
          <w:p w:rsidR="000975F0" w:rsidRDefault="00785A7D">
            <w:pPr>
              <w:jc w:val="center"/>
            </w:pPr>
            <w:r>
              <w:lastRenderedPageBreak/>
              <w:t>1</w:t>
            </w:r>
          </w:p>
        </w:tc>
        <w:tc>
          <w:tcPr>
            <w:tcW w:w="1650" w:type="dxa"/>
            <w:vAlign w:val="center"/>
          </w:tcPr>
          <w:p w:rsidR="000975F0" w:rsidRDefault="00785A7D">
            <w:pPr>
              <w:jc w:val="center"/>
            </w:pPr>
            <w:r>
              <w:t>600066</w:t>
            </w:r>
          </w:p>
        </w:tc>
        <w:tc>
          <w:tcPr>
            <w:tcW w:w="1980" w:type="dxa"/>
            <w:vAlign w:val="center"/>
          </w:tcPr>
          <w:p w:rsidR="000975F0" w:rsidRDefault="00785A7D">
            <w:pPr>
              <w:jc w:val="center"/>
            </w:pPr>
            <w:r>
              <w:t>宇通客车</w:t>
            </w:r>
          </w:p>
        </w:tc>
        <w:tc>
          <w:tcPr>
            <w:tcW w:w="2879" w:type="dxa"/>
            <w:vAlign w:val="center"/>
          </w:tcPr>
          <w:p w:rsidR="000975F0" w:rsidRDefault="00785A7D">
            <w:pPr>
              <w:jc w:val="right"/>
            </w:pPr>
            <w:r>
              <w:t>66,176,417.19</w:t>
            </w:r>
          </w:p>
        </w:tc>
        <w:tc>
          <w:tcPr>
            <w:tcW w:w="1620" w:type="dxa"/>
            <w:vAlign w:val="center"/>
          </w:tcPr>
          <w:p w:rsidR="000975F0" w:rsidRDefault="00785A7D">
            <w:pPr>
              <w:jc w:val="right"/>
            </w:pPr>
            <w:r>
              <w:t>8.91</w:t>
            </w:r>
          </w:p>
        </w:tc>
      </w:tr>
      <w:tr w:rsidR="000975F0">
        <w:tc>
          <w:tcPr>
            <w:tcW w:w="869" w:type="dxa"/>
            <w:vAlign w:val="center"/>
          </w:tcPr>
          <w:p w:rsidR="000975F0" w:rsidRDefault="00785A7D">
            <w:pPr>
              <w:jc w:val="center"/>
            </w:pPr>
            <w:r>
              <w:t>2</w:t>
            </w:r>
          </w:p>
        </w:tc>
        <w:tc>
          <w:tcPr>
            <w:tcW w:w="1650" w:type="dxa"/>
            <w:vAlign w:val="center"/>
          </w:tcPr>
          <w:p w:rsidR="000975F0" w:rsidRDefault="00785A7D">
            <w:pPr>
              <w:jc w:val="center"/>
            </w:pPr>
            <w:r>
              <w:t>601398</w:t>
            </w:r>
          </w:p>
        </w:tc>
        <w:tc>
          <w:tcPr>
            <w:tcW w:w="1980" w:type="dxa"/>
            <w:vAlign w:val="center"/>
          </w:tcPr>
          <w:p w:rsidR="000975F0" w:rsidRDefault="00785A7D">
            <w:pPr>
              <w:jc w:val="center"/>
            </w:pPr>
            <w:r>
              <w:t>工商银行</w:t>
            </w:r>
          </w:p>
        </w:tc>
        <w:tc>
          <w:tcPr>
            <w:tcW w:w="2879" w:type="dxa"/>
            <w:vAlign w:val="center"/>
          </w:tcPr>
          <w:p w:rsidR="000975F0" w:rsidRDefault="00785A7D">
            <w:pPr>
              <w:jc w:val="right"/>
            </w:pPr>
            <w:r>
              <w:t>49,090,532.44</w:t>
            </w:r>
          </w:p>
        </w:tc>
        <w:tc>
          <w:tcPr>
            <w:tcW w:w="1620" w:type="dxa"/>
            <w:vAlign w:val="center"/>
          </w:tcPr>
          <w:p w:rsidR="000975F0" w:rsidRDefault="00785A7D">
            <w:pPr>
              <w:jc w:val="right"/>
            </w:pPr>
            <w:r>
              <w:t>6.61</w:t>
            </w:r>
          </w:p>
        </w:tc>
      </w:tr>
      <w:tr w:rsidR="000975F0">
        <w:tc>
          <w:tcPr>
            <w:tcW w:w="869" w:type="dxa"/>
            <w:vAlign w:val="center"/>
          </w:tcPr>
          <w:p w:rsidR="000975F0" w:rsidRDefault="00785A7D">
            <w:pPr>
              <w:jc w:val="center"/>
            </w:pPr>
            <w:r>
              <w:t>3</w:t>
            </w:r>
          </w:p>
        </w:tc>
        <w:tc>
          <w:tcPr>
            <w:tcW w:w="1650" w:type="dxa"/>
            <w:vAlign w:val="center"/>
          </w:tcPr>
          <w:p w:rsidR="000975F0" w:rsidRDefault="00785A7D">
            <w:pPr>
              <w:jc w:val="center"/>
            </w:pPr>
            <w:r>
              <w:t>601100</w:t>
            </w:r>
          </w:p>
        </w:tc>
        <w:tc>
          <w:tcPr>
            <w:tcW w:w="1980" w:type="dxa"/>
            <w:vAlign w:val="center"/>
          </w:tcPr>
          <w:p w:rsidR="000975F0" w:rsidRDefault="00785A7D">
            <w:pPr>
              <w:jc w:val="center"/>
            </w:pPr>
            <w:r>
              <w:t>恒立液压</w:t>
            </w:r>
          </w:p>
        </w:tc>
        <w:tc>
          <w:tcPr>
            <w:tcW w:w="2879" w:type="dxa"/>
            <w:vAlign w:val="center"/>
          </w:tcPr>
          <w:p w:rsidR="000975F0" w:rsidRDefault="00785A7D">
            <w:pPr>
              <w:jc w:val="right"/>
            </w:pPr>
            <w:r>
              <w:t>48,813,928.19</w:t>
            </w:r>
          </w:p>
        </w:tc>
        <w:tc>
          <w:tcPr>
            <w:tcW w:w="1620" w:type="dxa"/>
            <w:vAlign w:val="center"/>
          </w:tcPr>
          <w:p w:rsidR="000975F0" w:rsidRDefault="00785A7D">
            <w:pPr>
              <w:jc w:val="right"/>
            </w:pPr>
            <w:r>
              <w:t>6.57</w:t>
            </w:r>
          </w:p>
        </w:tc>
      </w:tr>
      <w:tr w:rsidR="000975F0">
        <w:tc>
          <w:tcPr>
            <w:tcW w:w="869" w:type="dxa"/>
            <w:vAlign w:val="center"/>
          </w:tcPr>
          <w:p w:rsidR="000975F0" w:rsidRDefault="00785A7D">
            <w:pPr>
              <w:jc w:val="center"/>
            </w:pPr>
            <w:r>
              <w:t>4</w:t>
            </w:r>
          </w:p>
        </w:tc>
        <w:tc>
          <w:tcPr>
            <w:tcW w:w="1650" w:type="dxa"/>
            <w:vAlign w:val="center"/>
          </w:tcPr>
          <w:p w:rsidR="000975F0" w:rsidRDefault="00785A7D">
            <w:pPr>
              <w:jc w:val="center"/>
            </w:pPr>
            <w:r>
              <w:t>300129</w:t>
            </w:r>
          </w:p>
        </w:tc>
        <w:tc>
          <w:tcPr>
            <w:tcW w:w="1980" w:type="dxa"/>
            <w:vAlign w:val="center"/>
          </w:tcPr>
          <w:p w:rsidR="000975F0" w:rsidRDefault="00785A7D">
            <w:pPr>
              <w:jc w:val="center"/>
            </w:pPr>
            <w:r>
              <w:t>泰胜风能</w:t>
            </w:r>
          </w:p>
        </w:tc>
        <w:tc>
          <w:tcPr>
            <w:tcW w:w="2879" w:type="dxa"/>
            <w:vAlign w:val="center"/>
          </w:tcPr>
          <w:p w:rsidR="000975F0" w:rsidRDefault="00785A7D">
            <w:pPr>
              <w:jc w:val="right"/>
            </w:pPr>
            <w:r>
              <w:t>48,047,255.82</w:t>
            </w:r>
          </w:p>
        </w:tc>
        <w:tc>
          <w:tcPr>
            <w:tcW w:w="1620" w:type="dxa"/>
            <w:vAlign w:val="center"/>
          </w:tcPr>
          <w:p w:rsidR="000975F0" w:rsidRDefault="00785A7D">
            <w:pPr>
              <w:jc w:val="right"/>
            </w:pPr>
            <w:r>
              <w:t>6.47</w:t>
            </w:r>
          </w:p>
        </w:tc>
      </w:tr>
      <w:tr w:rsidR="000975F0">
        <w:tc>
          <w:tcPr>
            <w:tcW w:w="869" w:type="dxa"/>
            <w:vAlign w:val="center"/>
          </w:tcPr>
          <w:p w:rsidR="000975F0" w:rsidRDefault="00785A7D">
            <w:pPr>
              <w:jc w:val="center"/>
            </w:pPr>
            <w:r>
              <w:t>5</w:t>
            </w:r>
          </w:p>
        </w:tc>
        <w:tc>
          <w:tcPr>
            <w:tcW w:w="1650" w:type="dxa"/>
            <w:vAlign w:val="center"/>
          </w:tcPr>
          <w:p w:rsidR="000975F0" w:rsidRDefault="00785A7D">
            <w:pPr>
              <w:jc w:val="center"/>
            </w:pPr>
            <w:r>
              <w:t>600030</w:t>
            </w:r>
          </w:p>
        </w:tc>
        <w:tc>
          <w:tcPr>
            <w:tcW w:w="1980" w:type="dxa"/>
            <w:vAlign w:val="center"/>
          </w:tcPr>
          <w:p w:rsidR="000975F0" w:rsidRDefault="00785A7D">
            <w:pPr>
              <w:jc w:val="center"/>
            </w:pPr>
            <w:r>
              <w:t>中信证券</w:t>
            </w:r>
          </w:p>
        </w:tc>
        <w:tc>
          <w:tcPr>
            <w:tcW w:w="2879" w:type="dxa"/>
            <w:vAlign w:val="center"/>
          </w:tcPr>
          <w:p w:rsidR="000975F0" w:rsidRDefault="00785A7D">
            <w:pPr>
              <w:jc w:val="right"/>
            </w:pPr>
            <w:r>
              <w:t>44,938,396.84</w:t>
            </w:r>
          </w:p>
        </w:tc>
        <w:tc>
          <w:tcPr>
            <w:tcW w:w="1620" w:type="dxa"/>
            <w:vAlign w:val="center"/>
          </w:tcPr>
          <w:p w:rsidR="000975F0" w:rsidRDefault="00785A7D">
            <w:pPr>
              <w:jc w:val="right"/>
            </w:pPr>
            <w:r>
              <w:t>6.05</w:t>
            </w:r>
          </w:p>
        </w:tc>
      </w:tr>
      <w:tr w:rsidR="000975F0">
        <w:tc>
          <w:tcPr>
            <w:tcW w:w="869" w:type="dxa"/>
            <w:vAlign w:val="center"/>
          </w:tcPr>
          <w:p w:rsidR="000975F0" w:rsidRDefault="00785A7D">
            <w:pPr>
              <w:jc w:val="center"/>
            </w:pPr>
            <w:r>
              <w:t>6</w:t>
            </w:r>
          </w:p>
        </w:tc>
        <w:tc>
          <w:tcPr>
            <w:tcW w:w="1650" w:type="dxa"/>
            <w:vAlign w:val="center"/>
          </w:tcPr>
          <w:p w:rsidR="000975F0" w:rsidRDefault="00785A7D">
            <w:pPr>
              <w:jc w:val="center"/>
            </w:pPr>
            <w:r>
              <w:t>601877</w:t>
            </w:r>
          </w:p>
        </w:tc>
        <w:tc>
          <w:tcPr>
            <w:tcW w:w="1980" w:type="dxa"/>
            <w:vAlign w:val="center"/>
          </w:tcPr>
          <w:p w:rsidR="000975F0" w:rsidRDefault="00785A7D">
            <w:pPr>
              <w:jc w:val="center"/>
            </w:pPr>
            <w:r>
              <w:t>正泰电器</w:t>
            </w:r>
          </w:p>
        </w:tc>
        <w:tc>
          <w:tcPr>
            <w:tcW w:w="2879" w:type="dxa"/>
            <w:vAlign w:val="center"/>
          </w:tcPr>
          <w:p w:rsidR="000975F0" w:rsidRDefault="00785A7D">
            <w:pPr>
              <w:jc w:val="right"/>
            </w:pPr>
            <w:r>
              <w:t>42,659,632.25</w:t>
            </w:r>
          </w:p>
        </w:tc>
        <w:tc>
          <w:tcPr>
            <w:tcW w:w="1620" w:type="dxa"/>
            <w:vAlign w:val="center"/>
          </w:tcPr>
          <w:p w:rsidR="000975F0" w:rsidRDefault="00785A7D">
            <w:pPr>
              <w:jc w:val="right"/>
            </w:pPr>
            <w:r>
              <w:t>5.75</w:t>
            </w:r>
          </w:p>
        </w:tc>
      </w:tr>
      <w:tr w:rsidR="000975F0">
        <w:tc>
          <w:tcPr>
            <w:tcW w:w="869" w:type="dxa"/>
            <w:vAlign w:val="center"/>
          </w:tcPr>
          <w:p w:rsidR="000975F0" w:rsidRDefault="00785A7D">
            <w:pPr>
              <w:jc w:val="center"/>
            </w:pPr>
            <w:r>
              <w:t>7</w:t>
            </w:r>
          </w:p>
        </w:tc>
        <w:tc>
          <w:tcPr>
            <w:tcW w:w="1650" w:type="dxa"/>
            <w:vAlign w:val="center"/>
          </w:tcPr>
          <w:p w:rsidR="000975F0" w:rsidRDefault="00785A7D">
            <w:pPr>
              <w:jc w:val="center"/>
            </w:pPr>
            <w:r>
              <w:t>601688</w:t>
            </w:r>
          </w:p>
        </w:tc>
        <w:tc>
          <w:tcPr>
            <w:tcW w:w="1980" w:type="dxa"/>
            <w:vAlign w:val="center"/>
          </w:tcPr>
          <w:p w:rsidR="000975F0" w:rsidRDefault="00785A7D">
            <w:pPr>
              <w:jc w:val="center"/>
            </w:pPr>
            <w:r>
              <w:t>华泰证券</w:t>
            </w:r>
          </w:p>
        </w:tc>
        <w:tc>
          <w:tcPr>
            <w:tcW w:w="2879" w:type="dxa"/>
            <w:vAlign w:val="center"/>
          </w:tcPr>
          <w:p w:rsidR="000975F0" w:rsidRDefault="00785A7D">
            <w:pPr>
              <w:jc w:val="right"/>
            </w:pPr>
            <w:r>
              <w:t>39,509,021.29</w:t>
            </w:r>
          </w:p>
        </w:tc>
        <w:tc>
          <w:tcPr>
            <w:tcW w:w="1620" w:type="dxa"/>
            <w:vAlign w:val="center"/>
          </w:tcPr>
          <w:p w:rsidR="000975F0" w:rsidRDefault="00785A7D">
            <w:pPr>
              <w:jc w:val="right"/>
            </w:pPr>
            <w:r>
              <w:t>5.32</w:t>
            </w:r>
          </w:p>
        </w:tc>
      </w:tr>
      <w:tr w:rsidR="000975F0">
        <w:tc>
          <w:tcPr>
            <w:tcW w:w="869" w:type="dxa"/>
            <w:vAlign w:val="center"/>
          </w:tcPr>
          <w:p w:rsidR="000975F0" w:rsidRDefault="00785A7D">
            <w:pPr>
              <w:jc w:val="center"/>
            </w:pPr>
            <w:r>
              <w:t>8</w:t>
            </w:r>
          </w:p>
        </w:tc>
        <w:tc>
          <w:tcPr>
            <w:tcW w:w="1650" w:type="dxa"/>
            <w:vAlign w:val="center"/>
          </w:tcPr>
          <w:p w:rsidR="000975F0" w:rsidRDefault="00785A7D">
            <w:pPr>
              <w:jc w:val="center"/>
            </w:pPr>
            <w:r>
              <w:t>300413</w:t>
            </w:r>
          </w:p>
        </w:tc>
        <w:tc>
          <w:tcPr>
            <w:tcW w:w="1980" w:type="dxa"/>
            <w:vAlign w:val="center"/>
          </w:tcPr>
          <w:p w:rsidR="000975F0" w:rsidRDefault="00785A7D">
            <w:pPr>
              <w:jc w:val="center"/>
            </w:pPr>
            <w:r>
              <w:t>快乐购</w:t>
            </w:r>
          </w:p>
        </w:tc>
        <w:tc>
          <w:tcPr>
            <w:tcW w:w="2879" w:type="dxa"/>
            <w:vAlign w:val="center"/>
          </w:tcPr>
          <w:p w:rsidR="000975F0" w:rsidRDefault="00785A7D">
            <w:pPr>
              <w:jc w:val="right"/>
            </w:pPr>
            <w:r>
              <w:t>37,266,808.16</w:t>
            </w:r>
          </w:p>
        </w:tc>
        <w:tc>
          <w:tcPr>
            <w:tcW w:w="1620" w:type="dxa"/>
            <w:vAlign w:val="center"/>
          </w:tcPr>
          <w:p w:rsidR="000975F0" w:rsidRDefault="00785A7D">
            <w:pPr>
              <w:jc w:val="right"/>
            </w:pPr>
            <w:r>
              <w:t>5.02</w:t>
            </w:r>
          </w:p>
        </w:tc>
      </w:tr>
      <w:tr w:rsidR="000975F0">
        <w:tc>
          <w:tcPr>
            <w:tcW w:w="869" w:type="dxa"/>
            <w:vAlign w:val="center"/>
          </w:tcPr>
          <w:p w:rsidR="000975F0" w:rsidRDefault="00785A7D">
            <w:pPr>
              <w:jc w:val="center"/>
            </w:pPr>
            <w:r>
              <w:t>9</w:t>
            </w:r>
          </w:p>
        </w:tc>
        <w:tc>
          <w:tcPr>
            <w:tcW w:w="1650" w:type="dxa"/>
            <w:vAlign w:val="center"/>
          </w:tcPr>
          <w:p w:rsidR="000975F0" w:rsidRDefault="00785A7D">
            <w:pPr>
              <w:jc w:val="center"/>
            </w:pPr>
            <w:r>
              <w:t>300012</w:t>
            </w:r>
          </w:p>
        </w:tc>
        <w:tc>
          <w:tcPr>
            <w:tcW w:w="1980" w:type="dxa"/>
            <w:vAlign w:val="center"/>
          </w:tcPr>
          <w:p w:rsidR="000975F0" w:rsidRDefault="00785A7D">
            <w:pPr>
              <w:jc w:val="center"/>
            </w:pPr>
            <w:r>
              <w:t>华测检测</w:t>
            </w:r>
          </w:p>
        </w:tc>
        <w:tc>
          <w:tcPr>
            <w:tcW w:w="2879" w:type="dxa"/>
            <w:vAlign w:val="center"/>
          </w:tcPr>
          <w:p w:rsidR="000975F0" w:rsidRDefault="00785A7D">
            <w:pPr>
              <w:jc w:val="right"/>
            </w:pPr>
            <w:r>
              <w:t>35,744,158.70</w:t>
            </w:r>
          </w:p>
        </w:tc>
        <w:tc>
          <w:tcPr>
            <w:tcW w:w="1620" w:type="dxa"/>
            <w:vAlign w:val="center"/>
          </w:tcPr>
          <w:p w:rsidR="000975F0" w:rsidRDefault="00785A7D">
            <w:pPr>
              <w:jc w:val="right"/>
            </w:pPr>
            <w:r>
              <w:t>4.81</w:t>
            </w:r>
          </w:p>
        </w:tc>
      </w:tr>
      <w:tr w:rsidR="000975F0">
        <w:tc>
          <w:tcPr>
            <w:tcW w:w="869" w:type="dxa"/>
            <w:vAlign w:val="center"/>
          </w:tcPr>
          <w:p w:rsidR="000975F0" w:rsidRDefault="00785A7D">
            <w:pPr>
              <w:jc w:val="center"/>
            </w:pPr>
            <w:r>
              <w:t>10</w:t>
            </w:r>
          </w:p>
        </w:tc>
        <w:tc>
          <w:tcPr>
            <w:tcW w:w="1650" w:type="dxa"/>
            <w:vAlign w:val="center"/>
          </w:tcPr>
          <w:p w:rsidR="000975F0" w:rsidRDefault="00785A7D">
            <w:pPr>
              <w:jc w:val="center"/>
            </w:pPr>
            <w:r>
              <w:t>002624</w:t>
            </w:r>
          </w:p>
        </w:tc>
        <w:tc>
          <w:tcPr>
            <w:tcW w:w="1980" w:type="dxa"/>
            <w:vAlign w:val="center"/>
          </w:tcPr>
          <w:p w:rsidR="000975F0" w:rsidRDefault="00785A7D">
            <w:pPr>
              <w:jc w:val="center"/>
            </w:pPr>
            <w:r>
              <w:t>完美世界</w:t>
            </w:r>
          </w:p>
        </w:tc>
        <w:tc>
          <w:tcPr>
            <w:tcW w:w="2879" w:type="dxa"/>
            <w:vAlign w:val="center"/>
          </w:tcPr>
          <w:p w:rsidR="000975F0" w:rsidRDefault="00785A7D">
            <w:pPr>
              <w:jc w:val="right"/>
            </w:pPr>
            <w:r>
              <w:t>34,430,691.57</w:t>
            </w:r>
          </w:p>
        </w:tc>
        <w:tc>
          <w:tcPr>
            <w:tcW w:w="1620" w:type="dxa"/>
            <w:vAlign w:val="center"/>
          </w:tcPr>
          <w:p w:rsidR="000975F0" w:rsidRDefault="00785A7D">
            <w:pPr>
              <w:jc w:val="right"/>
            </w:pPr>
            <w:r>
              <w:t>4.64</w:t>
            </w:r>
          </w:p>
        </w:tc>
      </w:tr>
      <w:tr w:rsidR="000975F0">
        <w:tc>
          <w:tcPr>
            <w:tcW w:w="869" w:type="dxa"/>
            <w:vAlign w:val="center"/>
          </w:tcPr>
          <w:p w:rsidR="000975F0" w:rsidRDefault="00785A7D">
            <w:pPr>
              <w:jc w:val="center"/>
            </w:pPr>
            <w:r>
              <w:t>11</w:t>
            </w:r>
          </w:p>
        </w:tc>
        <w:tc>
          <w:tcPr>
            <w:tcW w:w="1650" w:type="dxa"/>
            <w:vAlign w:val="center"/>
          </w:tcPr>
          <w:p w:rsidR="000975F0" w:rsidRDefault="00785A7D">
            <w:pPr>
              <w:jc w:val="center"/>
            </w:pPr>
            <w:r>
              <w:t>000725</w:t>
            </w:r>
          </w:p>
        </w:tc>
        <w:tc>
          <w:tcPr>
            <w:tcW w:w="1980" w:type="dxa"/>
            <w:vAlign w:val="center"/>
          </w:tcPr>
          <w:p w:rsidR="000975F0" w:rsidRDefault="00785A7D">
            <w:pPr>
              <w:jc w:val="center"/>
            </w:pPr>
            <w:r>
              <w:t>京东方</w:t>
            </w:r>
            <w:r>
              <w:t>A</w:t>
            </w:r>
          </w:p>
        </w:tc>
        <w:tc>
          <w:tcPr>
            <w:tcW w:w="2879" w:type="dxa"/>
            <w:vAlign w:val="center"/>
          </w:tcPr>
          <w:p w:rsidR="000975F0" w:rsidRDefault="00785A7D">
            <w:pPr>
              <w:jc w:val="right"/>
            </w:pPr>
            <w:r>
              <w:t>33,830,736.62</w:t>
            </w:r>
          </w:p>
        </w:tc>
        <w:tc>
          <w:tcPr>
            <w:tcW w:w="1620" w:type="dxa"/>
            <w:vAlign w:val="center"/>
          </w:tcPr>
          <w:p w:rsidR="000975F0" w:rsidRDefault="00785A7D">
            <w:pPr>
              <w:jc w:val="right"/>
            </w:pPr>
            <w:r>
              <w:t>4.56</w:t>
            </w:r>
          </w:p>
        </w:tc>
      </w:tr>
      <w:tr w:rsidR="000975F0">
        <w:tc>
          <w:tcPr>
            <w:tcW w:w="869" w:type="dxa"/>
            <w:vAlign w:val="center"/>
          </w:tcPr>
          <w:p w:rsidR="000975F0" w:rsidRDefault="00785A7D">
            <w:pPr>
              <w:jc w:val="center"/>
            </w:pPr>
            <w:r>
              <w:t>12</w:t>
            </w:r>
          </w:p>
        </w:tc>
        <w:tc>
          <w:tcPr>
            <w:tcW w:w="1650" w:type="dxa"/>
            <w:vAlign w:val="center"/>
          </w:tcPr>
          <w:p w:rsidR="000975F0" w:rsidRDefault="00785A7D">
            <w:pPr>
              <w:jc w:val="center"/>
            </w:pPr>
            <w:r>
              <w:t>002709</w:t>
            </w:r>
          </w:p>
        </w:tc>
        <w:tc>
          <w:tcPr>
            <w:tcW w:w="1980" w:type="dxa"/>
            <w:vAlign w:val="center"/>
          </w:tcPr>
          <w:p w:rsidR="000975F0" w:rsidRDefault="00785A7D">
            <w:pPr>
              <w:jc w:val="center"/>
            </w:pPr>
            <w:r>
              <w:t>天赐材料</w:t>
            </w:r>
          </w:p>
        </w:tc>
        <w:tc>
          <w:tcPr>
            <w:tcW w:w="2879" w:type="dxa"/>
            <w:vAlign w:val="center"/>
          </w:tcPr>
          <w:p w:rsidR="000975F0" w:rsidRDefault="00785A7D">
            <w:pPr>
              <w:jc w:val="right"/>
            </w:pPr>
            <w:r>
              <w:t>33,229,049.66</w:t>
            </w:r>
          </w:p>
        </w:tc>
        <w:tc>
          <w:tcPr>
            <w:tcW w:w="1620" w:type="dxa"/>
            <w:vAlign w:val="center"/>
          </w:tcPr>
          <w:p w:rsidR="000975F0" w:rsidRDefault="00785A7D">
            <w:pPr>
              <w:jc w:val="right"/>
            </w:pPr>
            <w:r>
              <w:t>4.48</w:t>
            </w:r>
          </w:p>
        </w:tc>
      </w:tr>
      <w:tr w:rsidR="000975F0">
        <w:tc>
          <w:tcPr>
            <w:tcW w:w="869" w:type="dxa"/>
            <w:vAlign w:val="center"/>
          </w:tcPr>
          <w:p w:rsidR="000975F0" w:rsidRDefault="00785A7D">
            <w:pPr>
              <w:jc w:val="center"/>
            </w:pPr>
            <w:r>
              <w:t>13</w:t>
            </w:r>
          </w:p>
        </w:tc>
        <w:tc>
          <w:tcPr>
            <w:tcW w:w="1650" w:type="dxa"/>
            <w:vAlign w:val="center"/>
          </w:tcPr>
          <w:p w:rsidR="000975F0" w:rsidRDefault="00785A7D">
            <w:pPr>
              <w:jc w:val="center"/>
            </w:pPr>
            <w:r>
              <w:t>600967</w:t>
            </w:r>
          </w:p>
        </w:tc>
        <w:tc>
          <w:tcPr>
            <w:tcW w:w="1980" w:type="dxa"/>
            <w:vAlign w:val="center"/>
          </w:tcPr>
          <w:p w:rsidR="000975F0" w:rsidRDefault="00785A7D">
            <w:pPr>
              <w:jc w:val="center"/>
            </w:pPr>
            <w:r>
              <w:t>内蒙一机</w:t>
            </w:r>
          </w:p>
        </w:tc>
        <w:tc>
          <w:tcPr>
            <w:tcW w:w="2879" w:type="dxa"/>
            <w:vAlign w:val="center"/>
          </w:tcPr>
          <w:p w:rsidR="000975F0" w:rsidRDefault="00785A7D">
            <w:pPr>
              <w:jc w:val="right"/>
            </w:pPr>
            <w:r>
              <w:t>32,073,715.32</w:t>
            </w:r>
          </w:p>
        </w:tc>
        <w:tc>
          <w:tcPr>
            <w:tcW w:w="1620" w:type="dxa"/>
            <w:vAlign w:val="center"/>
          </w:tcPr>
          <w:p w:rsidR="000975F0" w:rsidRDefault="00785A7D">
            <w:pPr>
              <w:jc w:val="right"/>
            </w:pPr>
            <w:r>
              <w:t>4.32</w:t>
            </w:r>
          </w:p>
        </w:tc>
      </w:tr>
      <w:tr w:rsidR="000975F0">
        <w:tc>
          <w:tcPr>
            <w:tcW w:w="869" w:type="dxa"/>
            <w:vAlign w:val="center"/>
          </w:tcPr>
          <w:p w:rsidR="000975F0" w:rsidRDefault="00785A7D">
            <w:pPr>
              <w:jc w:val="center"/>
            </w:pPr>
            <w:r>
              <w:t>14</w:t>
            </w:r>
          </w:p>
        </w:tc>
        <w:tc>
          <w:tcPr>
            <w:tcW w:w="1650" w:type="dxa"/>
            <w:vAlign w:val="center"/>
          </w:tcPr>
          <w:p w:rsidR="000975F0" w:rsidRDefault="00785A7D">
            <w:pPr>
              <w:jc w:val="center"/>
            </w:pPr>
            <w:r>
              <w:t>601166</w:t>
            </w:r>
          </w:p>
        </w:tc>
        <w:tc>
          <w:tcPr>
            <w:tcW w:w="1980" w:type="dxa"/>
            <w:vAlign w:val="center"/>
          </w:tcPr>
          <w:p w:rsidR="000975F0" w:rsidRDefault="00785A7D">
            <w:pPr>
              <w:jc w:val="center"/>
            </w:pPr>
            <w:r>
              <w:t>兴业银行</w:t>
            </w:r>
          </w:p>
        </w:tc>
        <w:tc>
          <w:tcPr>
            <w:tcW w:w="2879" w:type="dxa"/>
            <w:vAlign w:val="center"/>
          </w:tcPr>
          <w:p w:rsidR="000975F0" w:rsidRDefault="00785A7D">
            <w:pPr>
              <w:jc w:val="right"/>
            </w:pPr>
            <w:r>
              <w:t>31,624,892.92</w:t>
            </w:r>
          </w:p>
        </w:tc>
        <w:tc>
          <w:tcPr>
            <w:tcW w:w="1620" w:type="dxa"/>
            <w:vAlign w:val="center"/>
          </w:tcPr>
          <w:p w:rsidR="000975F0" w:rsidRDefault="00785A7D">
            <w:pPr>
              <w:jc w:val="right"/>
            </w:pPr>
            <w:r>
              <w:t>4.26</w:t>
            </w:r>
          </w:p>
        </w:tc>
      </w:tr>
      <w:tr w:rsidR="000975F0">
        <w:tc>
          <w:tcPr>
            <w:tcW w:w="869" w:type="dxa"/>
            <w:vAlign w:val="center"/>
          </w:tcPr>
          <w:p w:rsidR="000975F0" w:rsidRDefault="00785A7D">
            <w:pPr>
              <w:jc w:val="center"/>
            </w:pPr>
            <w:r>
              <w:t>15</w:t>
            </w:r>
          </w:p>
        </w:tc>
        <w:tc>
          <w:tcPr>
            <w:tcW w:w="1650" w:type="dxa"/>
            <w:vAlign w:val="center"/>
          </w:tcPr>
          <w:p w:rsidR="000975F0" w:rsidRDefault="00785A7D">
            <w:pPr>
              <w:jc w:val="center"/>
            </w:pPr>
            <w:r>
              <w:t>600038</w:t>
            </w:r>
          </w:p>
        </w:tc>
        <w:tc>
          <w:tcPr>
            <w:tcW w:w="1980" w:type="dxa"/>
            <w:vAlign w:val="center"/>
          </w:tcPr>
          <w:p w:rsidR="000975F0" w:rsidRDefault="00785A7D">
            <w:pPr>
              <w:jc w:val="center"/>
            </w:pPr>
            <w:r>
              <w:t>中直股份</w:t>
            </w:r>
          </w:p>
        </w:tc>
        <w:tc>
          <w:tcPr>
            <w:tcW w:w="2879" w:type="dxa"/>
            <w:vAlign w:val="center"/>
          </w:tcPr>
          <w:p w:rsidR="000975F0" w:rsidRDefault="00785A7D">
            <w:pPr>
              <w:jc w:val="right"/>
            </w:pPr>
            <w:r>
              <w:t>29,758,334.30</w:t>
            </w:r>
          </w:p>
        </w:tc>
        <w:tc>
          <w:tcPr>
            <w:tcW w:w="1620" w:type="dxa"/>
            <w:vAlign w:val="center"/>
          </w:tcPr>
          <w:p w:rsidR="000975F0" w:rsidRDefault="00785A7D">
            <w:pPr>
              <w:jc w:val="right"/>
            </w:pPr>
            <w:r>
              <w:t>4.01</w:t>
            </w:r>
          </w:p>
        </w:tc>
      </w:tr>
      <w:tr w:rsidR="000975F0">
        <w:tc>
          <w:tcPr>
            <w:tcW w:w="869" w:type="dxa"/>
            <w:vAlign w:val="center"/>
          </w:tcPr>
          <w:p w:rsidR="000975F0" w:rsidRDefault="00785A7D">
            <w:pPr>
              <w:jc w:val="center"/>
            </w:pPr>
            <w:r>
              <w:t>16</w:t>
            </w:r>
          </w:p>
        </w:tc>
        <w:tc>
          <w:tcPr>
            <w:tcW w:w="1650" w:type="dxa"/>
            <w:vAlign w:val="center"/>
          </w:tcPr>
          <w:p w:rsidR="000975F0" w:rsidRDefault="00785A7D">
            <w:pPr>
              <w:jc w:val="center"/>
            </w:pPr>
            <w:r>
              <w:t>300600</w:t>
            </w:r>
          </w:p>
        </w:tc>
        <w:tc>
          <w:tcPr>
            <w:tcW w:w="1980" w:type="dxa"/>
            <w:vAlign w:val="center"/>
          </w:tcPr>
          <w:p w:rsidR="000975F0" w:rsidRDefault="00785A7D">
            <w:pPr>
              <w:jc w:val="center"/>
            </w:pPr>
            <w:r>
              <w:t>瑞特股份</w:t>
            </w:r>
          </w:p>
        </w:tc>
        <w:tc>
          <w:tcPr>
            <w:tcW w:w="2879" w:type="dxa"/>
            <w:vAlign w:val="center"/>
          </w:tcPr>
          <w:p w:rsidR="000975F0" w:rsidRDefault="00785A7D">
            <w:pPr>
              <w:jc w:val="right"/>
            </w:pPr>
            <w:r>
              <w:t>29,666,624.86</w:t>
            </w:r>
          </w:p>
        </w:tc>
        <w:tc>
          <w:tcPr>
            <w:tcW w:w="1620" w:type="dxa"/>
            <w:vAlign w:val="center"/>
          </w:tcPr>
          <w:p w:rsidR="000975F0" w:rsidRDefault="00785A7D">
            <w:pPr>
              <w:jc w:val="right"/>
            </w:pPr>
            <w:r>
              <w:t>4.00</w:t>
            </w:r>
          </w:p>
        </w:tc>
      </w:tr>
      <w:tr w:rsidR="000975F0">
        <w:tc>
          <w:tcPr>
            <w:tcW w:w="869" w:type="dxa"/>
            <w:vAlign w:val="center"/>
          </w:tcPr>
          <w:p w:rsidR="000975F0" w:rsidRDefault="00785A7D">
            <w:pPr>
              <w:jc w:val="center"/>
            </w:pPr>
            <w:r>
              <w:t>17</w:t>
            </w:r>
          </w:p>
        </w:tc>
        <w:tc>
          <w:tcPr>
            <w:tcW w:w="1650" w:type="dxa"/>
            <w:vAlign w:val="center"/>
          </w:tcPr>
          <w:p w:rsidR="000975F0" w:rsidRDefault="00785A7D">
            <w:pPr>
              <w:jc w:val="center"/>
            </w:pPr>
            <w:r>
              <w:t>600705</w:t>
            </w:r>
          </w:p>
        </w:tc>
        <w:tc>
          <w:tcPr>
            <w:tcW w:w="1980" w:type="dxa"/>
            <w:vAlign w:val="center"/>
          </w:tcPr>
          <w:p w:rsidR="000975F0" w:rsidRDefault="00785A7D">
            <w:pPr>
              <w:jc w:val="center"/>
            </w:pPr>
            <w:r>
              <w:t>中航资本</w:t>
            </w:r>
          </w:p>
        </w:tc>
        <w:tc>
          <w:tcPr>
            <w:tcW w:w="2879" w:type="dxa"/>
            <w:vAlign w:val="center"/>
          </w:tcPr>
          <w:p w:rsidR="000975F0" w:rsidRDefault="00785A7D">
            <w:pPr>
              <w:jc w:val="right"/>
            </w:pPr>
            <w:r>
              <w:t>29,001,108.69</w:t>
            </w:r>
          </w:p>
        </w:tc>
        <w:tc>
          <w:tcPr>
            <w:tcW w:w="1620" w:type="dxa"/>
            <w:vAlign w:val="center"/>
          </w:tcPr>
          <w:p w:rsidR="000975F0" w:rsidRDefault="00785A7D">
            <w:pPr>
              <w:jc w:val="right"/>
            </w:pPr>
            <w:r>
              <w:t>3.91</w:t>
            </w:r>
          </w:p>
        </w:tc>
      </w:tr>
      <w:tr w:rsidR="000975F0">
        <w:tc>
          <w:tcPr>
            <w:tcW w:w="869" w:type="dxa"/>
            <w:vAlign w:val="center"/>
          </w:tcPr>
          <w:p w:rsidR="000975F0" w:rsidRDefault="00785A7D">
            <w:pPr>
              <w:jc w:val="center"/>
            </w:pPr>
            <w:r>
              <w:t>18</w:t>
            </w:r>
          </w:p>
        </w:tc>
        <w:tc>
          <w:tcPr>
            <w:tcW w:w="1650" w:type="dxa"/>
            <w:vAlign w:val="center"/>
          </w:tcPr>
          <w:p w:rsidR="000975F0" w:rsidRDefault="00785A7D">
            <w:pPr>
              <w:jc w:val="center"/>
            </w:pPr>
            <w:r>
              <w:t>603638</w:t>
            </w:r>
          </w:p>
        </w:tc>
        <w:tc>
          <w:tcPr>
            <w:tcW w:w="1980" w:type="dxa"/>
            <w:vAlign w:val="center"/>
          </w:tcPr>
          <w:p w:rsidR="000975F0" w:rsidRDefault="00785A7D">
            <w:pPr>
              <w:jc w:val="center"/>
            </w:pPr>
            <w:r>
              <w:t>艾迪精密</w:t>
            </w:r>
          </w:p>
        </w:tc>
        <w:tc>
          <w:tcPr>
            <w:tcW w:w="2879" w:type="dxa"/>
            <w:vAlign w:val="center"/>
          </w:tcPr>
          <w:p w:rsidR="000975F0" w:rsidRDefault="00785A7D">
            <w:pPr>
              <w:jc w:val="right"/>
            </w:pPr>
            <w:r>
              <w:t>27,446,835.10</w:t>
            </w:r>
          </w:p>
        </w:tc>
        <w:tc>
          <w:tcPr>
            <w:tcW w:w="1620" w:type="dxa"/>
            <w:vAlign w:val="center"/>
          </w:tcPr>
          <w:p w:rsidR="000975F0" w:rsidRDefault="00785A7D">
            <w:pPr>
              <w:jc w:val="right"/>
            </w:pPr>
            <w:r>
              <w:t>3.70</w:t>
            </w:r>
          </w:p>
        </w:tc>
      </w:tr>
      <w:tr w:rsidR="000975F0">
        <w:tc>
          <w:tcPr>
            <w:tcW w:w="869" w:type="dxa"/>
            <w:vAlign w:val="center"/>
          </w:tcPr>
          <w:p w:rsidR="000975F0" w:rsidRDefault="00785A7D">
            <w:pPr>
              <w:jc w:val="center"/>
            </w:pPr>
            <w:r>
              <w:t>19</w:t>
            </w:r>
          </w:p>
        </w:tc>
        <w:tc>
          <w:tcPr>
            <w:tcW w:w="1650" w:type="dxa"/>
            <w:vAlign w:val="center"/>
          </w:tcPr>
          <w:p w:rsidR="000975F0" w:rsidRDefault="00785A7D">
            <w:pPr>
              <w:jc w:val="center"/>
            </w:pPr>
            <w:r>
              <w:t>002304</w:t>
            </w:r>
          </w:p>
        </w:tc>
        <w:tc>
          <w:tcPr>
            <w:tcW w:w="1980" w:type="dxa"/>
            <w:vAlign w:val="center"/>
          </w:tcPr>
          <w:p w:rsidR="000975F0" w:rsidRDefault="00785A7D">
            <w:pPr>
              <w:jc w:val="center"/>
            </w:pPr>
            <w:r>
              <w:t>洋河股份</w:t>
            </w:r>
          </w:p>
        </w:tc>
        <w:tc>
          <w:tcPr>
            <w:tcW w:w="2879" w:type="dxa"/>
            <w:vAlign w:val="center"/>
          </w:tcPr>
          <w:p w:rsidR="000975F0" w:rsidRDefault="00785A7D">
            <w:pPr>
              <w:jc w:val="right"/>
            </w:pPr>
            <w:r>
              <w:t>27,218,151.12</w:t>
            </w:r>
          </w:p>
        </w:tc>
        <w:tc>
          <w:tcPr>
            <w:tcW w:w="1620" w:type="dxa"/>
            <w:vAlign w:val="center"/>
          </w:tcPr>
          <w:p w:rsidR="000975F0" w:rsidRDefault="00785A7D">
            <w:pPr>
              <w:jc w:val="right"/>
            </w:pPr>
            <w:r>
              <w:t>3.67</w:t>
            </w:r>
          </w:p>
        </w:tc>
      </w:tr>
      <w:tr w:rsidR="000975F0">
        <w:tc>
          <w:tcPr>
            <w:tcW w:w="869" w:type="dxa"/>
            <w:vAlign w:val="center"/>
          </w:tcPr>
          <w:p w:rsidR="000975F0" w:rsidRDefault="00785A7D">
            <w:pPr>
              <w:jc w:val="center"/>
            </w:pPr>
            <w:r>
              <w:t>20</w:t>
            </w:r>
          </w:p>
        </w:tc>
        <w:tc>
          <w:tcPr>
            <w:tcW w:w="1650" w:type="dxa"/>
            <w:vAlign w:val="center"/>
          </w:tcPr>
          <w:p w:rsidR="000975F0" w:rsidRDefault="00785A7D">
            <w:pPr>
              <w:jc w:val="center"/>
            </w:pPr>
            <w:r>
              <w:t>000001</w:t>
            </w:r>
          </w:p>
        </w:tc>
        <w:tc>
          <w:tcPr>
            <w:tcW w:w="1980" w:type="dxa"/>
            <w:vAlign w:val="center"/>
          </w:tcPr>
          <w:p w:rsidR="000975F0" w:rsidRDefault="00785A7D">
            <w:pPr>
              <w:jc w:val="center"/>
            </w:pPr>
            <w:r>
              <w:t>平安银行</w:t>
            </w:r>
          </w:p>
        </w:tc>
        <w:tc>
          <w:tcPr>
            <w:tcW w:w="2879" w:type="dxa"/>
            <w:vAlign w:val="center"/>
          </w:tcPr>
          <w:p w:rsidR="000975F0" w:rsidRDefault="00785A7D">
            <w:pPr>
              <w:jc w:val="right"/>
            </w:pPr>
            <w:r>
              <w:t>24,435,888.70</w:t>
            </w:r>
          </w:p>
        </w:tc>
        <w:tc>
          <w:tcPr>
            <w:tcW w:w="1620" w:type="dxa"/>
            <w:vAlign w:val="center"/>
          </w:tcPr>
          <w:p w:rsidR="000975F0" w:rsidRDefault="00785A7D">
            <w:pPr>
              <w:jc w:val="right"/>
            </w:pPr>
            <w:r>
              <w:t>3.29</w:t>
            </w:r>
          </w:p>
        </w:tc>
      </w:tr>
      <w:tr w:rsidR="000975F0">
        <w:tc>
          <w:tcPr>
            <w:tcW w:w="869" w:type="dxa"/>
            <w:vAlign w:val="center"/>
          </w:tcPr>
          <w:p w:rsidR="000975F0" w:rsidRDefault="00785A7D">
            <w:pPr>
              <w:jc w:val="center"/>
            </w:pPr>
            <w:r>
              <w:t>21</w:t>
            </w:r>
          </w:p>
        </w:tc>
        <w:tc>
          <w:tcPr>
            <w:tcW w:w="1650" w:type="dxa"/>
            <w:vAlign w:val="center"/>
          </w:tcPr>
          <w:p w:rsidR="000975F0" w:rsidRDefault="00785A7D">
            <w:pPr>
              <w:jc w:val="center"/>
            </w:pPr>
            <w:r>
              <w:t>002025</w:t>
            </w:r>
          </w:p>
        </w:tc>
        <w:tc>
          <w:tcPr>
            <w:tcW w:w="1980" w:type="dxa"/>
            <w:vAlign w:val="center"/>
          </w:tcPr>
          <w:p w:rsidR="000975F0" w:rsidRDefault="00785A7D">
            <w:pPr>
              <w:jc w:val="center"/>
            </w:pPr>
            <w:r>
              <w:t>航天电器</w:t>
            </w:r>
          </w:p>
        </w:tc>
        <w:tc>
          <w:tcPr>
            <w:tcW w:w="2879" w:type="dxa"/>
            <w:vAlign w:val="center"/>
          </w:tcPr>
          <w:p w:rsidR="000975F0" w:rsidRDefault="00785A7D">
            <w:pPr>
              <w:jc w:val="right"/>
            </w:pPr>
            <w:r>
              <w:t>22,331,362.78</w:t>
            </w:r>
          </w:p>
        </w:tc>
        <w:tc>
          <w:tcPr>
            <w:tcW w:w="1620" w:type="dxa"/>
            <w:vAlign w:val="center"/>
          </w:tcPr>
          <w:p w:rsidR="000975F0" w:rsidRDefault="00785A7D">
            <w:pPr>
              <w:jc w:val="right"/>
            </w:pPr>
            <w:r>
              <w:t>3.01</w:t>
            </w:r>
          </w:p>
        </w:tc>
      </w:tr>
      <w:tr w:rsidR="000975F0">
        <w:tc>
          <w:tcPr>
            <w:tcW w:w="869" w:type="dxa"/>
            <w:vAlign w:val="center"/>
          </w:tcPr>
          <w:p w:rsidR="000975F0" w:rsidRDefault="00785A7D">
            <w:pPr>
              <w:jc w:val="center"/>
            </w:pPr>
            <w:r>
              <w:t>22</w:t>
            </w:r>
          </w:p>
        </w:tc>
        <w:tc>
          <w:tcPr>
            <w:tcW w:w="1650" w:type="dxa"/>
            <w:vAlign w:val="center"/>
          </w:tcPr>
          <w:p w:rsidR="000975F0" w:rsidRDefault="00785A7D">
            <w:pPr>
              <w:jc w:val="center"/>
            </w:pPr>
            <w:r>
              <w:t>002142</w:t>
            </w:r>
          </w:p>
        </w:tc>
        <w:tc>
          <w:tcPr>
            <w:tcW w:w="1980" w:type="dxa"/>
            <w:vAlign w:val="center"/>
          </w:tcPr>
          <w:p w:rsidR="000975F0" w:rsidRDefault="00785A7D">
            <w:pPr>
              <w:jc w:val="center"/>
            </w:pPr>
            <w:r>
              <w:t>宁波银行</w:t>
            </w:r>
          </w:p>
        </w:tc>
        <w:tc>
          <w:tcPr>
            <w:tcW w:w="2879" w:type="dxa"/>
            <w:vAlign w:val="center"/>
          </w:tcPr>
          <w:p w:rsidR="000975F0" w:rsidRDefault="00785A7D">
            <w:pPr>
              <w:jc w:val="right"/>
            </w:pPr>
            <w:r>
              <w:t>21,563,700.76</w:t>
            </w:r>
          </w:p>
        </w:tc>
        <w:tc>
          <w:tcPr>
            <w:tcW w:w="1620" w:type="dxa"/>
            <w:vAlign w:val="center"/>
          </w:tcPr>
          <w:p w:rsidR="000975F0" w:rsidRDefault="00785A7D">
            <w:pPr>
              <w:jc w:val="right"/>
            </w:pPr>
            <w:r>
              <w:t>2.90</w:t>
            </w:r>
          </w:p>
        </w:tc>
      </w:tr>
      <w:tr w:rsidR="000975F0">
        <w:tc>
          <w:tcPr>
            <w:tcW w:w="869" w:type="dxa"/>
            <w:vAlign w:val="center"/>
          </w:tcPr>
          <w:p w:rsidR="000975F0" w:rsidRDefault="00785A7D">
            <w:pPr>
              <w:jc w:val="center"/>
            </w:pPr>
            <w:r>
              <w:t>23</w:t>
            </w:r>
          </w:p>
        </w:tc>
        <w:tc>
          <w:tcPr>
            <w:tcW w:w="1650" w:type="dxa"/>
            <w:vAlign w:val="center"/>
          </w:tcPr>
          <w:p w:rsidR="000975F0" w:rsidRDefault="00785A7D">
            <w:pPr>
              <w:jc w:val="center"/>
            </w:pPr>
            <w:r>
              <w:t>600436</w:t>
            </w:r>
          </w:p>
        </w:tc>
        <w:tc>
          <w:tcPr>
            <w:tcW w:w="1980" w:type="dxa"/>
            <w:vAlign w:val="center"/>
          </w:tcPr>
          <w:p w:rsidR="000975F0" w:rsidRDefault="00785A7D">
            <w:pPr>
              <w:jc w:val="center"/>
            </w:pPr>
            <w:r>
              <w:t>片仔癀</w:t>
            </w:r>
          </w:p>
        </w:tc>
        <w:tc>
          <w:tcPr>
            <w:tcW w:w="2879" w:type="dxa"/>
            <w:vAlign w:val="center"/>
          </w:tcPr>
          <w:p w:rsidR="000975F0" w:rsidRDefault="00785A7D">
            <w:pPr>
              <w:jc w:val="right"/>
            </w:pPr>
            <w:r>
              <w:t>21,322,137.32</w:t>
            </w:r>
          </w:p>
        </w:tc>
        <w:tc>
          <w:tcPr>
            <w:tcW w:w="1620" w:type="dxa"/>
            <w:vAlign w:val="center"/>
          </w:tcPr>
          <w:p w:rsidR="000975F0" w:rsidRDefault="00785A7D">
            <w:pPr>
              <w:jc w:val="right"/>
            </w:pPr>
            <w:r>
              <w:t>2.87</w:t>
            </w:r>
          </w:p>
        </w:tc>
      </w:tr>
      <w:tr w:rsidR="000975F0">
        <w:tc>
          <w:tcPr>
            <w:tcW w:w="869" w:type="dxa"/>
            <w:vAlign w:val="center"/>
          </w:tcPr>
          <w:p w:rsidR="000975F0" w:rsidRDefault="00785A7D">
            <w:pPr>
              <w:jc w:val="center"/>
            </w:pPr>
            <w:r>
              <w:t>24</w:t>
            </w:r>
          </w:p>
        </w:tc>
        <w:tc>
          <w:tcPr>
            <w:tcW w:w="1650" w:type="dxa"/>
            <w:vAlign w:val="center"/>
          </w:tcPr>
          <w:p w:rsidR="000975F0" w:rsidRDefault="00785A7D">
            <w:pPr>
              <w:jc w:val="center"/>
            </w:pPr>
            <w:r>
              <w:t>601139</w:t>
            </w:r>
          </w:p>
        </w:tc>
        <w:tc>
          <w:tcPr>
            <w:tcW w:w="1980" w:type="dxa"/>
            <w:vAlign w:val="center"/>
          </w:tcPr>
          <w:p w:rsidR="000975F0" w:rsidRDefault="00785A7D">
            <w:pPr>
              <w:jc w:val="center"/>
            </w:pPr>
            <w:r>
              <w:t>深圳燃气</w:t>
            </w:r>
          </w:p>
        </w:tc>
        <w:tc>
          <w:tcPr>
            <w:tcW w:w="2879" w:type="dxa"/>
            <w:vAlign w:val="center"/>
          </w:tcPr>
          <w:p w:rsidR="000975F0" w:rsidRDefault="00785A7D">
            <w:pPr>
              <w:jc w:val="right"/>
            </w:pPr>
            <w:r>
              <w:t>20,587,280.52</w:t>
            </w:r>
          </w:p>
        </w:tc>
        <w:tc>
          <w:tcPr>
            <w:tcW w:w="1620" w:type="dxa"/>
            <w:vAlign w:val="center"/>
          </w:tcPr>
          <w:p w:rsidR="000975F0" w:rsidRDefault="00785A7D">
            <w:pPr>
              <w:jc w:val="right"/>
            </w:pPr>
            <w:r>
              <w:t>2.77</w:t>
            </w:r>
          </w:p>
        </w:tc>
      </w:tr>
      <w:tr w:rsidR="000975F0">
        <w:tc>
          <w:tcPr>
            <w:tcW w:w="869" w:type="dxa"/>
            <w:vAlign w:val="center"/>
          </w:tcPr>
          <w:p w:rsidR="000975F0" w:rsidRDefault="00785A7D">
            <w:pPr>
              <w:jc w:val="center"/>
            </w:pPr>
            <w:r>
              <w:t>25</w:t>
            </w:r>
          </w:p>
        </w:tc>
        <w:tc>
          <w:tcPr>
            <w:tcW w:w="1650" w:type="dxa"/>
            <w:vAlign w:val="center"/>
          </w:tcPr>
          <w:p w:rsidR="000975F0" w:rsidRDefault="00785A7D">
            <w:pPr>
              <w:jc w:val="center"/>
            </w:pPr>
            <w:r>
              <w:t>603338</w:t>
            </w:r>
          </w:p>
        </w:tc>
        <w:tc>
          <w:tcPr>
            <w:tcW w:w="1980" w:type="dxa"/>
            <w:vAlign w:val="center"/>
          </w:tcPr>
          <w:p w:rsidR="000975F0" w:rsidRDefault="00785A7D">
            <w:pPr>
              <w:jc w:val="center"/>
            </w:pPr>
            <w:r>
              <w:t>浙江鼎力</w:t>
            </w:r>
          </w:p>
        </w:tc>
        <w:tc>
          <w:tcPr>
            <w:tcW w:w="2879" w:type="dxa"/>
            <w:vAlign w:val="center"/>
          </w:tcPr>
          <w:p w:rsidR="000975F0" w:rsidRDefault="00785A7D">
            <w:pPr>
              <w:jc w:val="right"/>
            </w:pPr>
            <w:r>
              <w:t>20,078,910.31</w:t>
            </w:r>
          </w:p>
        </w:tc>
        <w:tc>
          <w:tcPr>
            <w:tcW w:w="1620" w:type="dxa"/>
            <w:vAlign w:val="center"/>
          </w:tcPr>
          <w:p w:rsidR="000975F0" w:rsidRDefault="00785A7D">
            <w:pPr>
              <w:jc w:val="right"/>
            </w:pPr>
            <w:r>
              <w:t>2.70</w:t>
            </w:r>
          </w:p>
        </w:tc>
      </w:tr>
      <w:tr w:rsidR="000975F0">
        <w:tc>
          <w:tcPr>
            <w:tcW w:w="869" w:type="dxa"/>
            <w:vAlign w:val="center"/>
          </w:tcPr>
          <w:p w:rsidR="000975F0" w:rsidRDefault="00785A7D">
            <w:pPr>
              <w:jc w:val="center"/>
            </w:pPr>
            <w:r>
              <w:t>26</w:t>
            </w:r>
          </w:p>
        </w:tc>
        <w:tc>
          <w:tcPr>
            <w:tcW w:w="1650" w:type="dxa"/>
            <w:vAlign w:val="center"/>
          </w:tcPr>
          <w:p w:rsidR="000975F0" w:rsidRDefault="00785A7D">
            <w:pPr>
              <w:jc w:val="center"/>
            </w:pPr>
            <w:r>
              <w:t>002367</w:t>
            </w:r>
          </w:p>
        </w:tc>
        <w:tc>
          <w:tcPr>
            <w:tcW w:w="1980" w:type="dxa"/>
            <w:vAlign w:val="center"/>
          </w:tcPr>
          <w:p w:rsidR="000975F0" w:rsidRDefault="00785A7D">
            <w:pPr>
              <w:jc w:val="center"/>
            </w:pPr>
            <w:r>
              <w:t>康力电梯</w:t>
            </w:r>
          </w:p>
        </w:tc>
        <w:tc>
          <w:tcPr>
            <w:tcW w:w="2879" w:type="dxa"/>
            <w:vAlign w:val="center"/>
          </w:tcPr>
          <w:p w:rsidR="000975F0" w:rsidRDefault="00785A7D">
            <w:pPr>
              <w:jc w:val="right"/>
            </w:pPr>
            <w:r>
              <w:t>19,873,773.35</w:t>
            </w:r>
          </w:p>
        </w:tc>
        <w:tc>
          <w:tcPr>
            <w:tcW w:w="1620" w:type="dxa"/>
            <w:vAlign w:val="center"/>
          </w:tcPr>
          <w:p w:rsidR="000975F0" w:rsidRDefault="00785A7D">
            <w:pPr>
              <w:jc w:val="right"/>
            </w:pPr>
            <w:r>
              <w:t>2.68</w:t>
            </w:r>
          </w:p>
        </w:tc>
      </w:tr>
      <w:tr w:rsidR="000975F0">
        <w:tc>
          <w:tcPr>
            <w:tcW w:w="869" w:type="dxa"/>
            <w:vAlign w:val="center"/>
          </w:tcPr>
          <w:p w:rsidR="000975F0" w:rsidRDefault="00785A7D">
            <w:pPr>
              <w:jc w:val="center"/>
            </w:pPr>
            <w:r>
              <w:lastRenderedPageBreak/>
              <w:t>27</w:t>
            </w:r>
          </w:p>
        </w:tc>
        <w:tc>
          <w:tcPr>
            <w:tcW w:w="1650" w:type="dxa"/>
            <w:vAlign w:val="center"/>
          </w:tcPr>
          <w:p w:rsidR="000975F0" w:rsidRDefault="00785A7D">
            <w:pPr>
              <w:jc w:val="center"/>
            </w:pPr>
            <w:r>
              <w:t>600559</w:t>
            </w:r>
          </w:p>
        </w:tc>
        <w:tc>
          <w:tcPr>
            <w:tcW w:w="1980" w:type="dxa"/>
            <w:vAlign w:val="center"/>
          </w:tcPr>
          <w:p w:rsidR="000975F0" w:rsidRDefault="00785A7D">
            <w:pPr>
              <w:jc w:val="center"/>
            </w:pPr>
            <w:r>
              <w:t>老白干酒</w:t>
            </w:r>
          </w:p>
        </w:tc>
        <w:tc>
          <w:tcPr>
            <w:tcW w:w="2879" w:type="dxa"/>
            <w:vAlign w:val="center"/>
          </w:tcPr>
          <w:p w:rsidR="000975F0" w:rsidRDefault="00785A7D">
            <w:pPr>
              <w:jc w:val="right"/>
            </w:pPr>
            <w:r>
              <w:t>19,863,269.02</w:t>
            </w:r>
          </w:p>
        </w:tc>
        <w:tc>
          <w:tcPr>
            <w:tcW w:w="1620" w:type="dxa"/>
            <w:vAlign w:val="center"/>
          </w:tcPr>
          <w:p w:rsidR="000975F0" w:rsidRDefault="00785A7D">
            <w:pPr>
              <w:jc w:val="right"/>
            </w:pPr>
            <w:r>
              <w:t>2.68</w:t>
            </w:r>
          </w:p>
        </w:tc>
      </w:tr>
      <w:tr w:rsidR="000975F0">
        <w:tc>
          <w:tcPr>
            <w:tcW w:w="869" w:type="dxa"/>
            <w:vAlign w:val="center"/>
          </w:tcPr>
          <w:p w:rsidR="000975F0" w:rsidRDefault="00785A7D">
            <w:pPr>
              <w:jc w:val="center"/>
            </w:pPr>
            <w:r>
              <w:t>28</w:t>
            </w:r>
          </w:p>
        </w:tc>
        <w:tc>
          <w:tcPr>
            <w:tcW w:w="1650" w:type="dxa"/>
            <w:vAlign w:val="center"/>
          </w:tcPr>
          <w:p w:rsidR="000975F0" w:rsidRDefault="00785A7D">
            <w:pPr>
              <w:jc w:val="center"/>
            </w:pPr>
            <w:r>
              <w:t>002111</w:t>
            </w:r>
          </w:p>
        </w:tc>
        <w:tc>
          <w:tcPr>
            <w:tcW w:w="1980" w:type="dxa"/>
            <w:vAlign w:val="center"/>
          </w:tcPr>
          <w:p w:rsidR="000975F0" w:rsidRDefault="00785A7D">
            <w:pPr>
              <w:jc w:val="center"/>
            </w:pPr>
            <w:r>
              <w:t>威海广泰</w:t>
            </w:r>
          </w:p>
        </w:tc>
        <w:tc>
          <w:tcPr>
            <w:tcW w:w="2879" w:type="dxa"/>
            <w:vAlign w:val="center"/>
          </w:tcPr>
          <w:p w:rsidR="000975F0" w:rsidRDefault="00785A7D">
            <w:pPr>
              <w:jc w:val="right"/>
            </w:pPr>
            <w:r>
              <w:t>19,279,998.01</w:t>
            </w:r>
          </w:p>
        </w:tc>
        <w:tc>
          <w:tcPr>
            <w:tcW w:w="1620" w:type="dxa"/>
            <w:vAlign w:val="center"/>
          </w:tcPr>
          <w:p w:rsidR="000975F0" w:rsidRDefault="00785A7D">
            <w:pPr>
              <w:jc w:val="right"/>
            </w:pPr>
            <w:r>
              <w:t>2.60</w:t>
            </w:r>
          </w:p>
        </w:tc>
      </w:tr>
      <w:tr w:rsidR="000975F0">
        <w:tc>
          <w:tcPr>
            <w:tcW w:w="869" w:type="dxa"/>
            <w:vAlign w:val="center"/>
          </w:tcPr>
          <w:p w:rsidR="000975F0" w:rsidRDefault="00785A7D">
            <w:pPr>
              <w:jc w:val="center"/>
            </w:pPr>
            <w:r>
              <w:t>29</w:t>
            </w:r>
          </w:p>
        </w:tc>
        <w:tc>
          <w:tcPr>
            <w:tcW w:w="1650" w:type="dxa"/>
            <w:vAlign w:val="center"/>
          </w:tcPr>
          <w:p w:rsidR="000975F0" w:rsidRDefault="00785A7D">
            <w:pPr>
              <w:jc w:val="center"/>
            </w:pPr>
            <w:r>
              <w:t>600482</w:t>
            </w:r>
          </w:p>
        </w:tc>
        <w:tc>
          <w:tcPr>
            <w:tcW w:w="1980" w:type="dxa"/>
            <w:vAlign w:val="center"/>
          </w:tcPr>
          <w:p w:rsidR="000975F0" w:rsidRDefault="00785A7D">
            <w:pPr>
              <w:jc w:val="center"/>
            </w:pPr>
            <w:r>
              <w:t>中国动力</w:t>
            </w:r>
          </w:p>
        </w:tc>
        <w:tc>
          <w:tcPr>
            <w:tcW w:w="2879" w:type="dxa"/>
            <w:vAlign w:val="center"/>
          </w:tcPr>
          <w:p w:rsidR="000975F0" w:rsidRDefault="00785A7D">
            <w:pPr>
              <w:jc w:val="right"/>
            </w:pPr>
            <w:r>
              <w:t>18,144,088.87</w:t>
            </w:r>
          </w:p>
        </w:tc>
        <w:tc>
          <w:tcPr>
            <w:tcW w:w="1620" w:type="dxa"/>
            <w:vAlign w:val="center"/>
          </w:tcPr>
          <w:p w:rsidR="000975F0" w:rsidRDefault="00785A7D">
            <w:pPr>
              <w:jc w:val="right"/>
            </w:pPr>
            <w:r>
              <w:t>2.44</w:t>
            </w:r>
          </w:p>
        </w:tc>
      </w:tr>
      <w:tr w:rsidR="000975F0">
        <w:tc>
          <w:tcPr>
            <w:tcW w:w="869" w:type="dxa"/>
            <w:vAlign w:val="center"/>
          </w:tcPr>
          <w:p w:rsidR="000975F0" w:rsidRDefault="00785A7D">
            <w:pPr>
              <w:jc w:val="center"/>
            </w:pPr>
            <w:r>
              <w:t>30</w:t>
            </w:r>
          </w:p>
        </w:tc>
        <w:tc>
          <w:tcPr>
            <w:tcW w:w="1650" w:type="dxa"/>
            <w:vAlign w:val="center"/>
          </w:tcPr>
          <w:p w:rsidR="000975F0" w:rsidRDefault="00785A7D">
            <w:pPr>
              <w:jc w:val="center"/>
            </w:pPr>
            <w:r>
              <w:t>002659</w:t>
            </w:r>
          </w:p>
        </w:tc>
        <w:tc>
          <w:tcPr>
            <w:tcW w:w="1980" w:type="dxa"/>
            <w:vAlign w:val="center"/>
          </w:tcPr>
          <w:p w:rsidR="000975F0" w:rsidRDefault="00785A7D">
            <w:pPr>
              <w:jc w:val="center"/>
            </w:pPr>
            <w:r>
              <w:t>凯文教育</w:t>
            </w:r>
          </w:p>
        </w:tc>
        <w:tc>
          <w:tcPr>
            <w:tcW w:w="2879" w:type="dxa"/>
            <w:vAlign w:val="center"/>
          </w:tcPr>
          <w:p w:rsidR="000975F0" w:rsidRDefault="00785A7D">
            <w:pPr>
              <w:jc w:val="right"/>
            </w:pPr>
            <w:r>
              <w:t>17,962,893.06</w:t>
            </w:r>
          </w:p>
        </w:tc>
        <w:tc>
          <w:tcPr>
            <w:tcW w:w="1620" w:type="dxa"/>
            <w:vAlign w:val="center"/>
          </w:tcPr>
          <w:p w:rsidR="000975F0" w:rsidRDefault="00785A7D">
            <w:pPr>
              <w:jc w:val="right"/>
            </w:pPr>
            <w:r>
              <w:t>2.42</w:t>
            </w:r>
          </w:p>
        </w:tc>
      </w:tr>
      <w:tr w:rsidR="000975F0">
        <w:tc>
          <w:tcPr>
            <w:tcW w:w="869" w:type="dxa"/>
            <w:vAlign w:val="center"/>
          </w:tcPr>
          <w:p w:rsidR="000975F0" w:rsidRDefault="00785A7D">
            <w:pPr>
              <w:jc w:val="center"/>
            </w:pPr>
            <w:r>
              <w:t>31</w:t>
            </w:r>
          </w:p>
        </w:tc>
        <w:tc>
          <w:tcPr>
            <w:tcW w:w="1650" w:type="dxa"/>
            <w:vAlign w:val="center"/>
          </w:tcPr>
          <w:p w:rsidR="000975F0" w:rsidRDefault="00785A7D">
            <w:pPr>
              <w:jc w:val="center"/>
            </w:pPr>
            <w:r>
              <w:t>002035</w:t>
            </w:r>
          </w:p>
        </w:tc>
        <w:tc>
          <w:tcPr>
            <w:tcW w:w="1980" w:type="dxa"/>
            <w:vAlign w:val="center"/>
          </w:tcPr>
          <w:p w:rsidR="000975F0" w:rsidRDefault="00785A7D">
            <w:pPr>
              <w:jc w:val="center"/>
            </w:pPr>
            <w:r>
              <w:t>华帝股份</w:t>
            </w:r>
          </w:p>
        </w:tc>
        <w:tc>
          <w:tcPr>
            <w:tcW w:w="2879" w:type="dxa"/>
            <w:vAlign w:val="center"/>
          </w:tcPr>
          <w:p w:rsidR="000975F0" w:rsidRDefault="00785A7D">
            <w:pPr>
              <w:jc w:val="right"/>
            </w:pPr>
            <w:r>
              <w:t>17,695,584.60</w:t>
            </w:r>
          </w:p>
        </w:tc>
        <w:tc>
          <w:tcPr>
            <w:tcW w:w="1620" w:type="dxa"/>
            <w:vAlign w:val="center"/>
          </w:tcPr>
          <w:p w:rsidR="000975F0" w:rsidRDefault="00785A7D">
            <w:pPr>
              <w:jc w:val="right"/>
            </w:pPr>
            <w:r>
              <w:t>2.38</w:t>
            </w:r>
          </w:p>
        </w:tc>
      </w:tr>
      <w:tr w:rsidR="000975F0">
        <w:tc>
          <w:tcPr>
            <w:tcW w:w="869" w:type="dxa"/>
            <w:vAlign w:val="center"/>
          </w:tcPr>
          <w:p w:rsidR="000975F0" w:rsidRDefault="00785A7D">
            <w:pPr>
              <w:jc w:val="center"/>
            </w:pPr>
            <w:r>
              <w:t>32</w:t>
            </w:r>
          </w:p>
        </w:tc>
        <w:tc>
          <w:tcPr>
            <w:tcW w:w="1650" w:type="dxa"/>
            <w:vAlign w:val="center"/>
          </w:tcPr>
          <w:p w:rsidR="000975F0" w:rsidRDefault="00785A7D">
            <w:pPr>
              <w:jc w:val="center"/>
            </w:pPr>
            <w:r>
              <w:t>600690</w:t>
            </w:r>
          </w:p>
        </w:tc>
        <w:tc>
          <w:tcPr>
            <w:tcW w:w="1980" w:type="dxa"/>
            <w:vAlign w:val="center"/>
          </w:tcPr>
          <w:p w:rsidR="000975F0" w:rsidRDefault="00785A7D">
            <w:pPr>
              <w:jc w:val="center"/>
            </w:pPr>
            <w:r>
              <w:t>青岛海尔</w:t>
            </w:r>
          </w:p>
        </w:tc>
        <w:tc>
          <w:tcPr>
            <w:tcW w:w="2879" w:type="dxa"/>
            <w:vAlign w:val="center"/>
          </w:tcPr>
          <w:p w:rsidR="000975F0" w:rsidRDefault="00785A7D">
            <w:pPr>
              <w:jc w:val="right"/>
            </w:pPr>
            <w:r>
              <w:t>17,438,641.77</w:t>
            </w:r>
          </w:p>
        </w:tc>
        <w:tc>
          <w:tcPr>
            <w:tcW w:w="1620" w:type="dxa"/>
            <w:vAlign w:val="center"/>
          </w:tcPr>
          <w:p w:rsidR="000975F0" w:rsidRDefault="00785A7D">
            <w:pPr>
              <w:jc w:val="right"/>
            </w:pPr>
            <w:r>
              <w:t>2.35</w:t>
            </w:r>
          </w:p>
        </w:tc>
      </w:tr>
      <w:tr w:rsidR="000975F0">
        <w:tc>
          <w:tcPr>
            <w:tcW w:w="869" w:type="dxa"/>
            <w:vAlign w:val="center"/>
          </w:tcPr>
          <w:p w:rsidR="000975F0" w:rsidRDefault="00785A7D">
            <w:pPr>
              <w:jc w:val="center"/>
            </w:pPr>
            <w:r>
              <w:t>33</w:t>
            </w:r>
          </w:p>
        </w:tc>
        <w:tc>
          <w:tcPr>
            <w:tcW w:w="1650" w:type="dxa"/>
            <w:vAlign w:val="center"/>
          </w:tcPr>
          <w:p w:rsidR="000975F0" w:rsidRDefault="00785A7D">
            <w:pPr>
              <w:jc w:val="center"/>
            </w:pPr>
            <w:r>
              <w:t>603377</w:t>
            </w:r>
          </w:p>
        </w:tc>
        <w:tc>
          <w:tcPr>
            <w:tcW w:w="1980" w:type="dxa"/>
            <w:vAlign w:val="center"/>
          </w:tcPr>
          <w:p w:rsidR="000975F0" w:rsidRDefault="00785A7D">
            <w:pPr>
              <w:jc w:val="center"/>
            </w:pPr>
            <w:r>
              <w:t>东方时尚</w:t>
            </w:r>
          </w:p>
        </w:tc>
        <w:tc>
          <w:tcPr>
            <w:tcW w:w="2879" w:type="dxa"/>
            <w:vAlign w:val="center"/>
          </w:tcPr>
          <w:p w:rsidR="000975F0" w:rsidRDefault="00785A7D">
            <w:pPr>
              <w:jc w:val="right"/>
            </w:pPr>
            <w:r>
              <w:t>17,218,871.55</w:t>
            </w:r>
          </w:p>
        </w:tc>
        <w:tc>
          <w:tcPr>
            <w:tcW w:w="1620" w:type="dxa"/>
            <w:vAlign w:val="center"/>
          </w:tcPr>
          <w:p w:rsidR="000975F0" w:rsidRDefault="00785A7D">
            <w:pPr>
              <w:jc w:val="right"/>
            </w:pPr>
            <w:r>
              <w:t>2.32</w:t>
            </w:r>
          </w:p>
        </w:tc>
      </w:tr>
      <w:tr w:rsidR="000975F0">
        <w:tc>
          <w:tcPr>
            <w:tcW w:w="869" w:type="dxa"/>
            <w:vAlign w:val="center"/>
          </w:tcPr>
          <w:p w:rsidR="000975F0" w:rsidRDefault="00785A7D">
            <w:pPr>
              <w:jc w:val="center"/>
            </w:pPr>
            <w:r>
              <w:t>34</w:t>
            </w:r>
          </w:p>
        </w:tc>
        <w:tc>
          <w:tcPr>
            <w:tcW w:w="1650" w:type="dxa"/>
            <w:vAlign w:val="center"/>
          </w:tcPr>
          <w:p w:rsidR="000975F0" w:rsidRDefault="00785A7D">
            <w:pPr>
              <w:jc w:val="center"/>
            </w:pPr>
            <w:r>
              <w:t>300257</w:t>
            </w:r>
          </w:p>
        </w:tc>
        <w:tc>
          <w:tcPr>
            <w:tcW w:w="1980" w:type="dxa"/>
            <w:vAlign w:val="center"/>
          </w:tcPr>
          <w:p w:rsidR="000975F0" w:rsidRDefault="00785A7D">
            <w:pPr>
              <w:jc w:val="center"/>
            </w:pPr>
            <w:r>
              <w:t>开山股份</w:t>
            </w:r>
          </w:p>
        </w:tc>
        <w:tc>
          <w:tcPr>
            <w:tcW w:w="2879" w:type="dxa"/>
            <w:vAlign w:val="center"/>
          </w:tcPr>
          <w:p w:rsidR="000975F0" w:rsidRDefault="00785A7D">
            <w:pPr>
              <w:jc w:val="right"/>
            </w:pPr>
            <w:r>
              <w:t>16,869,590.32</w:t>
            </w:r>
          </w:p>
        </w:tc>
        <w:tc>
          <w:tcPr>
            <w:tcW w:w="1620" w:type="dxa"/>
            <w:vAlign w:val="center"/>
          </w:tcPr>
          <w:p w:rsidR="000975F0" w:rsidRDefault="00785A7D">
            <w:pPr>
              <w:jc w:val="right"/>
            </w:pPr>
            <w:r>
              <w:t>2.27</w:t>
            </w:r>
          </w:p>
        </w:tc>
      </w:tr>
      <w:tr w:rsidR="000975F0">
        <w:tc>
          <w:tcPr>
            <w:tcW w:w="869" w:type="dxa"/>
            <w:vAlign w:val="center"/>
          </w:tcPr>
          <w:p w:rsidR="000975F0" w:rsidRDefault="00785A7D">
            <w:pPr>
              <w:jc w:val="center"/>
            </w:pPr>
            <w:r>
              <w:t>35</w:t>
            </w:r>
          </w:p>
        </w:tc>
        <w:tc>
          <w:tcPr>
            <w:tcW w:w="1650" w:type="dxa"/>
            <w:vAlign w:val="center"/>
          </w:tcPr>
          <w:p w:rsidR="000975F0" w:rsidRDefault="00785A7D">
            <w:pPr>
              <w:jc w:val="center"/>
            </w:pPr>
            <w:r>
              <w:t>600076</w:t>
            </w:r>
          </w:p>
        </w:tc>
        <w:tc>
          <w:tcPr>
            <w:tcW w:w="1980" w:type="dxa"/>
            <w:vAlign w:val="center"/>
          </w:tcPr>
          <w:p w:rsidR="000975F0" w:rsidRDefault="00785A7D">
            <w:pPr>
              <w:jc w:val="center"/>
            </w:pPr>
            <w:r>
              <w:t>康欣新材</w:t>
            </w:r>
          </w:p>
        </w:tc>
        <w:tc>
          <w:tcPr>
            <w:tcW w:w="2879" w:type="dxa"/>
            <w:vAlign w:val="center"/>
          </w:tcPr>
          <w:p w:rsidR="000975F0" w:rsidRDefault="00785A7D">
            <w:pPr>
              <w:jc w:val="right"/>
            </w:pPr>
            <w:r>
              <w:t>14,936,564.00</w:t>
            </w:r>
          </w:p>
        </w:tc>
        <w:tc>
          <w:tcPr>
            <w:tcW w:w="1620" w:type="dxa"/>
            <w:vAlign w:val="center"/>
          </w:tcPr>
          <w:p w:rsidR="000975F0" w:rsidRDefault="00785A7D">
            <w:pPr>
              <w:jc w:val="right"/>
            </w:pPr>
            <w: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1,023,187,906.27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1,543,271,198.56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7,000,700.00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4.92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7,000,700.00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4.92</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0975F0">
        <w:tc>
          <w:tcPr>
            <w:tcW w:w="1320" w:type="dxa"/>
            <w:vAlign w:val="center"/>
          </w:tcPr>
          <w:p w:rsidR="000975F0" w:rsidRDefault="00785A7D">
            <w:pPr>
              <w:jc w:val="center"/>
            </w:pPr>
            <w:r>
              <w:rPr>
                <w:color w:val="000000"/>
                <w:sz w:val="24"/>
              </w:rPr>
              <w:t>1</w:t>
            </w:r>
          </w:p>
        </w:tc>
        <w:tc>
          <w:tcPr>
            <w:tcW w:w="1382" w:type="dxa"/>
            <w:vAlign w:val="center"/>
          </w:tcPr>
          <w:p w:rsidR="000975F0" w:rsidRDefault="00785A7D">
            <w:pPr>
              <w:jc w:val="center"/>
            </w:pPr>
            <w:r>
              <w:rPr>
                <w:color w:val="000000"/>
                <w:sz w:val="24"/>
              </w:rPr>
              <w:t>019571</w:t>
            </w:r>
          </w:p>
        </w:tc>
        <w:tc>
          <w:tcPr>
            <w:tcW w:w="1353" w:type="dxa"/>
            <w:vAlign w:val="center"/>
          </w:tcPr>
          <w:p w:rsidR="000975F0" w:rsidRDefault="00785A7D">
            <w:pPr>
              <w:jc w:val="center"/>
            </w:pPr>
            <w:r>
              <w:rPr>
                <w:color w:val="000000"/>
                <w:sz w:val="24"/>
              </w:rPr>
              <w:t>17</w:t>
            </w:r>
            <w:r>
              <w:rPr>
                <w:color w:val="000000"/>
                <w:sz w:val="24"/>
              </w:rPr>
              <w:t>国债</w:t>
            </w:r>
            <w:r>
              <w:rPr>
                <w:color w:val="000000"/>
                <w:sz w:val="24"/>
              </w:rPr>
              <w:t>17</w:t>
            </w:r>
          </w:p>
        </w:tc>
        <w:tc>
          <w:tcPr>
            <w:tcW w:w="1505" w:type="dxa"/>
            <w:vAlign w:val="center"/>
          </w:tcPr>
          <w:p w:rsidR="000975F0" w:rsidRDefault="00785A7D">
            <w:pPr>
              <w:jc w:val="right"/>
            </w:pPr>
            <w:r>
              <w:rPr>
                <w:color w:val="000000"/>
                <w:sz w:val="24"/>
              </w:rPr>
              <w:t>70,000</w:t>
            </w:r>
          </w:p>
        </w:tc>
        <w:tc>
          <w:tcPr>
            <w:tcW w:w="1737" w:type="dxa"/>
            <w:vAlign w:val="center"/>
          </w:tcPr>
          <w:p w:rsidR="000975F0" w:rsidRDefault="00785A7D">
            <w:pPr>
              <w:jc w:val="right"/>
            </w:pPr>
            <w:r>
              <w:rPr>
                <w:color w:val="000000"/>
                <w:sz w:val="24"/>
              </w:rPr>
              <w:t>7,000,700.00</w:t>
            </w:r>
          </w:p>
        </w:tc>
        <w:tc>
          <w:tcPr>
            <w:tcW w:w="1701" w:type="dxa"/>
            <w:vAlign w:val="center"/>
          </w:tcPr>
          <w:p w:rsidR="000975F0" w:rsidRDefault="00785A7D">
            <w:pPr>
              <w:jc w:val="right"/>
            </w:pPr>
            <w:r>
              <w:rPr>
                <w:color w:val="000000"/>
                <w:sz w:val="24"/>
              </w:rPr>
              <w:t>4.92</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524,875.09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213,997.98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36,500.76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775,373.83</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0975F0">
        <w:tc>
          <w:tcPr>
            <w:tcW w:w="1145" w:type="dxa"/>
            <w:vAlign w:val="center"/>
          </w:tcPr>
          <w:p w:rsidR="000975F0" w:rsidRDefault="00785A7D">
            <w:pPr>
              <w:jc w:val="center"/>
            </w:pPr>
            <w:r>
              <w:rPr>
                <w:color w:val="000000"/>
                <w:sz w:val="24"/>
              </w:rPr>
              <w:t>1</w:t>
            </w:r>
          </w:p>
        </w:tc>
        <w:tc>
          <w:tcPr>
            <w:tcW w:w="1376" w:type="dxa"/>
            <w:vAlign w:val="center"/>
          </w:tcPr>
          <w:p w:rsidR="000975F0" w:rsidRDefault="00785A7D">
            <w:pPr>
              <w:jc w:val="center"/>
            </w:pPr>
            <w:r>
              <w:rPr>
                <w:color w:val="000000"/>
                <w:sz w:val="24"/>
              </w:rPr>
              <w:t>600217</w:t>
            </w:r>
          </w:p>
        </w:tc>
        <w:tc>
          <w:tcPr>
            <w:tcW w:w="1375" w:type="dxa"/>
            <w:vAlign w:val="center"/>
          </w:tcPr>
          <w:p w:rsidR="000975F0" w:rsidRDefault="00785A7D">
            <w:pPr>
              <w:jc w:val="center"/>
            </w:pPr>
            <w:r>
              <w:rPr>
                <w:color w:val="000000"/>
                <w:sz w:val="24"/>
              </w:rPr>
              <w:t>中再资环</w:t>
            </w:r>
          </w:p>
        </w:tc>
        <w:tc>
          <w:tcPr>
            <w:tcW w:w="1908" w:type="dxa"/>
            <w:vAlign w:val="center"/>
          </w:tcPr>
          <w:p w:rsidR="000975F0" w:rsidRDefault="00785A7D">
            <w:pPr>
              <w:jc w:val="right"/>
            </w:pPr>
            <w:r>
              <w:rPr>
                <w:color w:val="000000"/>
                <w:sz w:val="24"/>
              </w:rPr>
              <w:t>13,717,939.20</w:t>
            </w:r>
          </w:p>
        </w:tc>
        <w:tc>
          <w:tcPr>
            <w:tcW w:w="1749" w:type="dxa"/>
            <w:vAlign w:val="center"/>
          </w:tcPr>
          <w:p w:rsidR="000975F0" w:rsidRDefault="00785A7D">
            <w:pPr>
              <w:jc w:val="right"/>
            </w:pPr>
            <w:r>
              <w:rPr>
                <w:color w:val="000000"/>
                <w:sz w:val="24"/>
              </w:rPr>
              <w:t>9.64</w:t>
            </w:r>
          </w:p>
        </w:tc>
        <w:tc>
          <w:tcPr>
            <w:tcW w:w="1445" w:type="dxa"/>
            <w:vAlign w:val="center"/>
          </w:tcPr>
          <w:p w:rsidR="000975F0" w:rsidRDefault="00785A7D">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596"/>
        <w:gridCol w:w="1489"/>
        <w:gridCol w:w="1708"/>
        <w:gridCol w:w="1507"/>
      </w:tblGrid>
      <w:tr w:rsidR="001D061A" w:rsidRPr="005C672D" w:rsidTr="001D061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975F0" w:rsidRDefault="00785A7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1D061A" w:rsidRPr="005C672D" w:rsidTr="001D061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975F0" w:rsidRDefault="000975F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1D061A" w:rsidRPr="005C672D" w:rsidTr="001D061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975F0" w:rsidRDefault="000975F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1D061A" w:rsidRPr="005C672D" w:rsidTr="001D061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975F0" w:rsidRDefault="00785A7D">
            <w:pPr>
              <w:jc w:val="center"/>
            </w:pPr>
            <w:r>
              <w:rPr>
                <w:bCs/>
                <w:color w:val="000000"/>
                <w:sz w:val="24"/>
              </w:rPr>
              <w:t>2,493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54,789.95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19,937,639.94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116,653,693.67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85.40%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501,766.19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0.37%</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lastRenderedPageBreak/>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843,466,001.09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637,011,368.90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56,751,856.05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557,171,891.34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136,591,333.61</w:t>
            </w:r>
          </w:p>
        </w:tc>
      </w:tr>
    </w:tbl>
    <w:p w:rsidR="000975F0" w:rsidRDefault="00785A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D9515B"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D9515B"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0975F0" w:rsidRDefault="00785A7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D9515B"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D9515B"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lastRenderedPageBreak/>
        <w:t>10.4</w:t>
      </w:r>
      <w:bookmarkStart w:id="110" w:name="_GoBack"/>
      <w:bookmarkEnd w:id="110"/>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975F0" w:rsidRDefault="00785A7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975F0" w:rsidRDefault="00785A7D">
      <w:pPr>
        <w:tabs>
          <w:tab w:val="left" w:pos="426"/>
        </w:tabs>
        <w:spacing w:before="29" w:line="288" w:lineRule="auto"/>
        <w:jc w:val="left"/>
        <w:rPr>
          <w:kern w:val="0"/>
          <w:sz w:val="24"/>
        </w:rPr>
      </w:pPr>
      <w:r>
        <w:rPr>
          <w:kern w:val="0"/>
          <w:sz w:val="24"/>
        </w:rPr>
        <w:t>基金管理人及其高级管理人员本报告期内未受监管部门稽查或处罚。</w:t>
      </w:r>
    </w:p>
    <w:p w:rsidR="000975F0" w:rsidRDefault="00785A7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975F0">
        <w:tc>
          <w:tcPr>
            <w:tcW w:w="1559" w:type="dxa"/>
            <w:vAlign w:val="center"/>
          </w:tcPr>
          <w:p w:rsidR="000975F0" w:rsidRDefault="00785A7D">
            <w:pPr>
              <w:jc w:val="center"/>
            </w:pPr>
            <w:r>
              <w:rPr>
                <w:color w:val="000000"/>
                <w:sz w:val="24"/>
              </w:rPr>
              <w:t>川财证券有限责任公司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97,237,136.59</w:t>
            </w:r>
          </w:p>
        </w:tc>
        <w:tc>
          <w:tcPr>
            <w:tcW w:w="1080" w:type="dxa"/>
            <w:vAlign w:val="center"/>
          </w:tcPr>
          <w:p w:rsidR="000975F0" w:rsidRDefault="00785A7D">
            <w:pPr>
              <w:jc w:val="right"/>
            </w:pPr>
            <w:r>
              <w:rPr>
                <w:color w:val="000000"/>
                <w:sz w:val="24"/>
              </w:rPr>
              <w:t>3.79%</w:t>
            </w:r>
          </w:p>
        </w:tc>
        <w:tc>
          <w:tcPr>
            <w:tcW w:w="1620" w:type="dxa"/>
            <w:vAlign w:val="center"/>
          </w:tcPr>
          <w:p w:rsidR="000975F0" w:rsidRDefault="00785A7D">
            <w:pPr>
              <w:jc w:val="right"/>
            </w:pPr>
            <w:r>
              <w:rPr>
                <w:color w:val="000000"/>
                <w:sz w:val="24"/>
              </w:rPr>
              <w:t>90,557.21</w:t>
            </w:r>
          </w:p>
        </w:tc>
        <w:tc>
          <w:tcPr>
            <w:tcW w:w="1080" w:type="dxa"/>
            <w:vAlign w:val="center"/>
          </w:tcPr>
          <w:p w:rsidR="000975F0" w:rsidRDefault="00785A7D">
            <w:pPr>
              <w:jc w:val="right"/>
            </w:pPr>
            <w:r>
              <w:rPr>
                <w:color w:val="000000"/>
                <w:sz w:val="24"/>
              </w:rPr>
              <w:t>3.79%</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中信建投证券股份有限公司</w:t>
            </w:r>
          </w:p>
        </w:tc>
        <w:tc>
          <w:tcPr>
            <w:tcW w:w="779" w:type="dxa"/>
            <w:vAlign w:val="center"/>
          </w:tcPr>
          <w:p w:rsidR="000975F0" w:rsidRDefault="00785A7D">
            <w:pPr>
              <w:jc w:val="center"/>
            </w:pPr>
            <w:r>
              <w:rPr>
                <w:color w:val="000000"/>
                <w:sz w:val="24"/>
              </w:rPr>
              <w:t>2</w:t>
            </w:r>
          </w:p>
        </w:tc>
        <w:tc>
          <w:tcPr>
            <w:tcW w:w="1800" w:type="dxa"/>
            <w:vAlign w:val="center"/>
          </w:tcPr>
          <w:p w:rsidR="000975F0" w:rsidRDefault="00785A7D">
            <w:pPr>
              <w:jc w:val="right"/>
            </w:pPr>
            <w:r>
              <w:rPr>
                <w:color w:val="000000"/>
                <w:sz w:val="24"/>
              </w:rPr>
              <w:t>74,320,209.63</w:t>
            </w:r>
          </w:p>
        </w:tc>
        <w:tc>
          <w:tcPr>
            <w:tcW w:w="1080" w:type="dxa"/>
            <w:vAlign w:val="center"/>
          </w:tcPr>
          <w:p w:rsidR="000975F0" w:rsidRDefault="00785A7D">
            <w:pPr>
              <w:jc w:val="right"/>
            </w:pPr>
            <w:r>
              <w:rPr>
                <w:color w:val="000000"/>
                <w:sz w:val="24"/>
              </w:rPr>
              <w:t>2.90%</w:t>
            </w:r>
          </w:p>
        </w:tc>
        <w:tc>
          <w:tcPr>
            <w:tcW w:w="1620" w:type="dxa"/>
            <w:vAlign w:val="center"/>
          </w:tcPr>
          <w:p w:rsidR="000975F0" w:rsidRDefault="00785A7D">
            <w:pPr>
              <w:jc w:val="right"/>
            </w:pPr>
            <w:r>
              <w:rPr>
                <w:color w:val="000000"/>
                <w:sz w:val="24"/>
              </w:rPr>
              <w:t>69,214.56</w:t>
            </w:r>
          </w:p>
        </w:tc>
        <w:tc>
          <w:tcPr>
            <w:tcW w:w="1080" w:type="dxa"/>
            <w:vAlign w:val="center"/>
          </w:tcPr>
          <w:p w:rsidR="000975F0" w:rsidRDefault="00785A7D">
            <w:pPr>
              <w:jc w:val="right"/>
            </w:pPr>
            <w:r>
              <w:rPr>
                <w:color w:val="000000"/>
                <w:sz w:val="24"/>
              </w:rPr>
              <w:t>2.90%</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国泰君安证券股份有限公司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729,768,510.75</w:t>
            </w:r>
          </w:p>
        </w:tc>
        <w:tc>
          <w:tcPr>
            <w:tcW w:w="1080" w:type="dxa"/>
            <w:vAlign w:val="center"/>
          </w:tcPr>
          <w:p w:rsidR="000975F0" w:rsidRDefault="00785A7D">
            <w:pPr>
              <w:jc w:val="right"/>
            </w:pPr>
            <w:r>
              <w:rPr>
                <w:color w:val="000000"/>
                <w:sz w:val="24"/>
              </w:rPr>
              <w:t>28.46%</w:t>
            </w:r>
          </w:p>
        </w:tc>
        <w:tc>
          <w:tcPr>
            <w:tcW w:w="1620" w:type="dxa"/>
            <w:vAlign w:val="center"/>
          </w:tcPr>
          <w:p w:rsidR="000975F0" w:rsidRDefault="00785A7D">
            <w:pPr>
              <w:jc w:val="right"/>
            </w:pPr>
            <w:r>
              <w:rPr>
                <w:color w:val="000000"/>
                <w:sz w:val="24"/>
              </w:rPr>
              <w:t>679,634.75</w:t>
            </w:r>
          </w:p>
        </w:tc>
        <w:tc>
          <w:tcPr>
            <w:tcW w:w="1080" w:type="dxa"/>
            <w:vAlign w:val="center"/>
          </w:tcPr>
          <w:p w:rsidR="000975F0" w:rsidRDefault="00785A7D">
            <w:pPr>
              <w:jc w:val="right"/>
            </w:pPr>
            <w:r>
              <w:rPr>
                <w:color w:val="000000"/>
                <w:sz w:val="24"/>
              </w:rPr>
              <w:t>28.46%</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兴业证券股份有限公司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433,219,885.88</w:t>
            </w:r>
          </w:p>
        </w:tc>
        <w:tc>
          <w:tcPr>
            <w:tcW w:w="1080" w:type="dxa"/>
            <w:vAlign w:val="center"/>
          </w:tcPr>
          <w:p w:rsidR="000975F0" w:rsidRDefault="00785A7D">
            <w:pPr>
              <w:jc w:val="right"/>
            </w:pPr>
            <w:r>
              <w:rPr>
                <w:color w:val="000000"/>
                <w:sz w:val="24"/>
              </w:rPr>
              <w:t>16.89%</w:t>
            </w:r>
          </w:p>
        </w:tc>
        <w:tc>
          <w:tcPr>
            <w:tcW w:w="1620" w:type="dxa"/>
            <w:vAlign w:val="center"/>
          </w:tcPr>
          <w:p w:rsidR="000975F0" w:rsidRDefault="00785A7D">
            <w:pPr>
              <w:jc w:val="right"/>
            </w:pPr>
            <w:r>
              <w:rPr>
                <w:color w:val="000000"/>
                <w:sz w:val="24"/>
              </w:rPr>
              <w:t>403,458.45</w:t>
            </w:r>
          </w:p>
        </w:tc>
        <w:tc>
          <w:tcPr>
            <w:tcW w:w="1080" w:type="dxa"/>
            <w:vAlign w:val="center"/>
          </w:tcPr>
          <w:p w:rsidR="000975F0" w:rsidRDefault="00785A7D">
            <w:pPr>
              <w:jc w:val="right"/>
            </w:pPr>
            <w:r>
              <w:rPr>
                <w:color w:val="000000"/>
                <w:sz w:val="24"/>
              </w:rPr>
              <w:t>16.89%</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中国银河证券股份有限公司</w:t>
            </w:r>
          </w:p>
        </w:tc>
        <w:tc>
          <w:tcPr>
            <w:tcW w:w="779" w:type="dxa"/>
            <w:vAlign w:val="center"/>
          </w:tcPr>
          <w:p w:rsidR="000975F0" w:rsidRDefault="00785A7D">
            <w:pPr>
              <w:jc w:val="center"/>
            </w:pPr>
            <w:r>
              <w:rPr>
                <w:color w:val="000000"/>
                <w:sz w:val="24"/>
              </w:rPr>
              <w:t>2</w:t>
            </w:r>
          </w:p>
        </w:tc>
        <w:tc>
          <w:tcPr>
            <w:tcW w:w="1800" w:type="dxa"/>
            <w:vAlign w:val="center"/>
          </w:tcPr>
          <w:p w:rsidR="000975F0" w:rsidRDefault="00785A7D">
            <w:pPr>
              <w:jc w:val="right"/>
            </w:pPr>
            <w:r>
              <w:rPr>
                <w:color w:val="000000"/>
                <w:sz w:val="24"/>
              </w:rPr>
              <w:t>40,924,414.71</w:t>
            </w:r>
          </w:p>
        </w:tc>
        <w:tc>
          <w:tcPr>
            <w:tcW w:w="1080" w:type="dxa"/>
            <w:vAlign w:val="center"/>
          </w:tcPr>
          <w:p w:rsidR="000975F0" w:rsidRDefault="00785A7D">
            <w:pPr>
              <w:jc w:val="right"/>
            </w:pPr>
            <w:r>
              <w:rPr>
                <w:color w:val="000000"/>
                <w:sz w:val="24"/>
              </w:rPr>
              <w:t>1.60%</w:t>
            </w:r>
          </w:p>
        </w:tc>
        <w:tc>
          <w:tcPr>
            <w:tcW w:w="1620" w:type="dxa"/>
            <w:vAlign w:val="center"/>
          </w:tcPr>
          <w:p w:rsidR="000975F0" w:rsidRDefault="00785A7D">
            <w:pPr>
              <w:jc w:val="right"/>
            </w:pPr>
            <w:r>
              <w:rPr>
                <w:color w:val="000000"/>
                <w:sz w:val="24"/>
              </w:rPr>
              <w:t>38,113.02</w:t>
            </w:r>
          </w:p>
        </w:tc>
        <w:tc>
          <w:tcPr>
            <w:tcW w:w="1080" w:type="dxa"/>
            <w:vAlign w:val="center"/>
          </w:tcPr>
          <w:p w:rsidR="000975F0" w:rsidRDefault="00785A7D">
            <w:pPr>
              <w:jc w:val="right"/>
            </w:pPr>
            <w:r>
              <w:rPr>
                <w:color w:val="000000"/>
                <w:sz w:val="24"/>
              </w:rPr>
              <w:t>1.60%</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国信证券股</w:t>
            </w:r>
            <w:r>
              <w:rPr>
                <w:color w:val="000000"/>
                <w:sz w:val="24"/>
              </w:rPr>
              <w:lastRenderedPageBreak/>
              <w:t>份有限公司</w:t>
            </w:r>
          </w:p>
        </w:tc>
        <w:tc>
          <w:tcPr>
            <w:tcW w:w="779" w:type="dxa"/>
            <w:vAlign w:val="center"/>
          </w:tcPr>
          <w:p w:rsidR="000975F0" w:rsidRDefault="00785A7D">
            <w:pPr>
              <w:jc w:val="center"/>
            </w:pPr>
            <w:r>
              <w:rPr>
                <w:color w:val="000000"/>
                <w:sz w:val="24"/>
              </w:rPr>
              <w:lastRenderedPageBreak/>
              <w:t>1</w:t>
            </w:r>
          </w:p>
        </w:tc>
        <w:tc>
          <w:tcPr>
            <w:tcW w:w="1800" w:type="dxa"/>
            <w:vAlign w:val="center"/>
          </w:tcPr>
          <w:p w:rsidR="000975F0" w:rsidRDefault="00785A7D">
            <w:pPr>
              <w:jc w:val="right"/>
            </w:pPr>
            <w:r>
              <w:rPr>
                <w:color w:val="000000"/>
                <w:sz w:val="24"/>
              </w:rPr>
              <w:t>34,142,696.22</w:t>
            </w:r>
          </w:p>
        </w:tc>
        <w:tc>
          <w:tcPr>
            <w:tcW w:w="1080" w:type="dxa"/>
            <w:vAlign w:val="center"/>
          </w:tcPr>
          <w:p w:rsidR="000975F0" w:rsidRDefault="00785A7D">
            <w:pPr>
              <w:jc w:val="right"/>
            </w:pPr>
            <w:r>
              <w:rPr>
                <w:color w:val="000000"/>
                <w:sz w:val="24"/>
              </w:rPr>
              <w:t>1.33%</w:t>
            </w:r>
          </w:p>
        </w:tc>
        <w:tc>
          <w:tcPr>
            <w:tcW w:w="1620" w:type="dxa"/>
            <w:vAlign w:val="center"/>
          </w:tcPr>
          <w:p w:rsidR="000975F0" w:rsidRDefault="00785A7D">
            <w:pPr>
              <w:jc w:val="right"/>
            </w:pPr>
            <w:r>
              <w:rPr>
                <w:color w:val="000000"/>
                <w:sz w:val="24"/>
              </w:rPr>
              <w:t>31,796.98</w:t>
            </w:r>
          </w:p>
        </w:tc>
        <w:tc>
          <w:tcPr>
            <w:tcW w:w="1080" w:type="dxa"/>
            <w:vAlign w:val="center"/>
          </w:tcPr>
          <w:p w:rsidR="000975F0" w:rsidRDefault="00785A7D">
            <w:pPr>
              <w:jc w:val="right"/>
            </w:pPr>
            <w:r>
              <w:rPr>
                <w:color w:val="000000"/>
                <w:sz w:val="24"/>
              </w:rPr>
              <w:t>1.33%</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西南证券股份有限公司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3,235,067.00</w:t>
            </w:r>
          </w:p>
        </w:tc>
        <w:tc>
          <w:tcPr>
            <w:tcW w:w="1080" w:type="dxa"/>
            <w:vAlign w:val="center"/>
          </w:tcPr>
          <w:p w:rsidR="000975F0" w:rsidRDefault="00785A7D">
            <w:pPr>
              <w:jc w:val="right"/>
            </w:pPr>
            <w:r>
              <w:rPr>
                <w:color w:val="000000"/>
                <w:sz w:val="24"/>
              </w:rPr>
              <w:t>0.13%</w:t>
            </w:r>
          </w:p>
        </w:tc>
        <w:tc>
          <w:tcPr>
            <w:tcW w:w="1620" w:type="dxa"/>
            <w:vAlign w:val="center"/>
          </w:tcPr>
          <w:p w:rsidR="000975F0" w:rsidRDefault="00785A7D">
            <w:pPr>
              <w:jc w:val="right"/>
            </w:pPr>
            <w:r>
              <w:rPr>
                <w:color w:val="000000"/>
                <w:sz w:val="24"/>
              </w:rPr>
              <w:t>3,012.84</w:t>
            </w:r>
          </w:p>
        </w:tc>
        <w:tc>
          <w:tcPr>
            <w:tcW w:w="1080" w:type="dxa"/>
            <w:vAlign w:val="center"/>
          </w:tcPr>
          <w:p w:rsidR="000975F0" w:rsidRDefault="00785A7D">
            <w:pPr>
              <w:jc w:val="right"/>
            </w:pPr>
            <w:r>
              <w:rPr>
                <w:color w:val="000000"/>
                <w:sz w:val="24"/>
              </w:rPr>
              <w:t>0.13%</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申万宏源证券有限公司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307,931,751.01</w:t>
            </w:r>
          </w:p>
        </w:tc>
        <w:tc>
          <w:tcPr>
            <w:tcW w:w="1080" w:type="dxa"/>
            <w:vAlign w:val="center"/>
          </w:tcPr>
          <w:p w:rsidR="000975F0" w:rsidRDefault="00785A7D">
            <w:pPr>
              <w:jc w:val="right"/>
            </w:pPr>
            <w:r>
              <w:rPr>
                <w:color w:val="000000"/>
                <w:sz w:val="24"/>
              </w:rPr>
              <w:t>12.01%</w:t>
            </w:r>
          </w:p>
        </w:tc>
        <w:tc>
          <w:tcPr>
            <w:tcW w:w="1620" w:type="dxa"/>
            <w:vAlign w:val="center"/>
          </w:tcPr>
          <w:p w:rsidR="000975F0" w:rsidRDefault="00785A7D">
            <w:pPr>
              <w:jc w:val="right"/>
            </w:pPr>
            <w:r>
              <w:rPr>
                <w:color w:val="000000"/>
                <w:sz w:val="24"/>
              </w:rPr>
              <w:t>286,776.71</w:t>
            </w:r>
          </w:p>
        </w:tc>
        <w:tc>
          <w:tcPr>
            <w:tcW w:w="1080" w:type="dxa"/>
            <w:vAlign w:val="center"/>
          </w:tcPr>
          <w:p w:rsidR="000975F0" w:rsidRDefault="00785A7D">
            <w:pPr>
              <w:jc w:val="right"/>
            </w:pPr>
            <w:r>
              <w:rPr>
                <w:color w:val="000000"/>
                <w:sz w:val="24"/>
              </w:rPr>
              <w:t>12.01%</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中国国际金融股份有限公司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2,907,486.02</w:t>
            </w:r>
          </w:p>
        </w:tc>
        <w:tc>
          <w:tcPr>
            <w:tcW w:w="1080" w:type="dxa"/>
            <w:vAlign w:val="center"/>
          </w:tcPr>
          <w:p w:rsidR="000975F0" w:rsidRDefault="00785A7D">
            <w:pPr>
              <w:jc w:val="right"/>
            </w:pPr>
            <w:r>
              <w:rPr>
                <w:color w:val="000000"/>
                <w:sz w:val="24"/>
              </w:rPr>
              <w:t>0.11%</w:t>
            </w:r>
          </w:p>
        </w:tc>
        <w:tc>
          <w:tcPr>
            <w:tcW w:w="1620" w:type="dxa"/>
            <w:vAlign w:val="center"/>
          </w:tcPr>
          <w:p w:rsidR="000975F0" w:rsidRDefault="00785A7D">
            <w:pPr>
              <w:jc w:val="right"/>
            </w:pPr>
            <w:r>
              <w:rPr>
                <w:color w:val="000000"/>
                <w:sz w:val="24"/>
              </w:rPr>
              <w:t>2,707.76</w:t>
            </w:r>
          </w:p>
        </w:tc>
        <w:tc>
          <w:tcPr>
            <w:tcW w:w="1080" w:type="dxa"/>
            <w:vAlign w:val="center"/>
          </w:tcPr>
          <w:p w:rsidR="000975F0" w:rsidRDefault="00785A7D">
            <w:pPr>
              <w:jc w:val="right"/>
            </w:pPr>
            <w:r>
              <w:rPr>
                <w:color w:val="000000"/>
                <w:sz w:val="24"/>
              </w:rPr>
              <w:t>0.11%</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东方证券股份有限公司</w:t>
            </w:r>
          </w:p>
        </w:tc>
        <w:tc>
          <w:tcPr>
            <w:tcW w:w="779" w:type="dxa"/>
            <w:vAlign w:val="center"/>
          </w:tcPr>
          <w:p w:rsidR="000975F0" w:rsidRDefault="00785A7D">
            <w:pPr>
              <w:jc w:val="center"/>
            </w:pPr>
            <w:r>
              <w:rPr>
                <w:color w:val="000000"/>
                <w:sz w:val="24"/>
              </w:rPr>
              <w:t>2</w:t>
            </w:r>
          </w:p>
        </w:tc>
        <w:tc>
          <w:tcPr>
            <w:tcW w:w="1800" w:type="dxa"/>
            <w:vAlign w:val="center"/>
          </w:tcPr>
          <w:p w:rsidR="000975F0" w:rsidRDefault="00785A7D">
            <w:pPr>
              <w:jc w:val="right"/>
            </w:pPr>
            <w:r>
              <w:rPr>
                <w:color w:val="000000"/>
                <w:sz w:val="24"/>
              </w:rPr>
              <w:t>273,276,548.78</w:t>
            </w:r>
          </w:p>
        </w:tc>
        <w:tc>
          <w:tcPr>
            <w:tcW w:w="1080" w:type="dxa"/>
            <w:vAlign w:val="center"/>
          </w:tcPr>
          <w:p w:rsidR="000975F0" w:rsidRDefault="00785A7D">
            <w:pPr>
              <w:jc w:val="right"/>
            </w:pPr>
            <w:r>
              <w:rPr>
                <w:color w:val="000000"/>
                <w:sz w:val="24"/>
              </w:rPr>
              <w:t>10.66%</w:t>
            </w:r>
          </w:p>
        </w:tc>
        <w:tc>
          <w:tcPr>
            <w:tcW w:w="1620" w:type="dxa"/>
            <w:vAlign w:val="center"/>
          </w:tcPr>
          <w:p w:rsidR="000975F0" w:rsidRDefault="00785A7D">
            <w:pPr>
              <w:jc w:val="right"/>
            </w:pPr>
            <w:r>
              <w:rPr>
                <w:color w:val="000000"/>
                <w:sz w:val="24"/>
              </w:rPr>
              <w:t>254,502.09</w:t>
            </w:r>
          </w:p>
        </w:tc>
        <w:tc>
          <w:tcPr>
            <w:tcW w:w="1080" w:type="dxa"/>
            <w:vAlign w:val="center"/>
          </w:tcPr>
          <w:p w:rsidR="000975F0" w:rsidRDefault="00785A7D">
            <w:pPr>
              <w:jc w:val="right"/>
            </w:pPr>
            <w:r>
              <w:rPr>
                <w:color w:val="000000"/>
                <w:sz w:val="24"/>
              </w:rPr>
              <w:t>10.66%</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招商证券股份有限公司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261,956,276.22</w:t>
            </w:r>
          </w:p>
        </w:tc>
        <w:tc>
          <w:tcPr>
            <w:tcW w:w="1080" w:type="dxa"/>
            <w:vAlign w:val="center"/>
          </w:tcPr>
          <w:p w:rsidR="000975F0" w:rsidRDefault="00785A7D">
            <w:pPr>
              <w:jc w:val="right"/>
            </w:pPr>
            <w:r>
              <w:rPr>
                <w:color w:val="000000"/>
                <w:sz w:val="24"/>
              </w:rPr>
              <w:t>10.21%</w:t>
            </w:r>
          </w:p>
        </w:tc>
        <w:tc>
          <w:tcPr>
            <w:tcW w:w="1620" w:type="dxa"/>
            <w:vAlign w:val="center"/>
          </w:tcPr>
          <w:p w:rsidR="000975F0" w:rsidRDefault="00785A7D">
            <w:pPr>
              <w:jc w:val="right"/>
            </w:pPr>
            <w:r>
              <w:rPr>
                <w:color w:val="000000"/>
                <w:sz w:val="24"/>
              </w:rPr>
              <w:t>243,960.01</w:t>
            </w:r>
          </w:p>
        </w:tc>
        <w:tc>
          <w:tcPr>
            <w:tcW w:w="1080" w:type="dxa"/>
            <w:vAlign w:val="center"/>
          </w:tcPr>
          <w:p w:rsidR="000975F0" w:rsidRDefault="00785A7D">
            <w:pPr>
              <w:jc w:val="right"/>
            </w:pPr>
            <w:r>
              <w:rPr>
                <w:color w:val="000000"/>
                <w:sz w:val="24"/>
              </w:rPr>
              <w:t>10.21%</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方正证券股份有限公司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154,880,924.69</w:t>
            </w:r>
          </w:p>
        </w:tc>
        <w:tc>
          <w:tcPr>
            <w:tcW w:w="1080" w:type="dxa"/>
            <w:vAlign w:val="center"/>
          </w:tcPr>
          <w:p w:rsidR="000975F0" w:rsidRDefault="00785A7D">
            <w:pPr>
              <w:jc w:val="right"/>
            </w:pPr>
            <w:r>
              <w:rPr>
                <w:color w:val="000000"/>
                <w:sz w:val="24"/>
              </w:rPr>
              <w:t>6.04%</w:t>
            </w:r>
          </w:p>
        </w:tc>
        <w:tc>
          <w:tcPr>
            <w:tcW w:w="1620" w:type="dxa"/>
            <w:vAlign w:val="center"/>
          </w:tcPr>
          <w:p w:rsidR="000975F0" w:rsidRDefault="00785A7D">
            <w:pPr>
              <w:jc w:val="right"/>
            </w:pPr>
            <w:r>
              <w:rPr>
                <w:color w:val="000000"/>
                <w:sz w:val="24"/>
              </w:rPr>
              <w:t>144,240.15</w:t>
            </w:r>
          </w:p>
        </w:tc>
        <w:tc>
          <w:tcPr>
            <w:tcW w:w="1080" w:type="dxa"/>
            <w:vAlign w:val="center"/>
          </w:tcPr>
          <w:p w:rsidR="000975F0" w:rsidRDefault="00785A7D">
            <w:pPr>
              <w:jc w:val="right"/>
            </w:pPr>
            <w:r>
              <w:rPr>
                <w:color w:val="000000"/>
                <w:sz w:val="24"/>
              </w:rPr>
              <w:t>6.04%</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西部证券股份有限公司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150,668,250.13</w:t>
            </w:r>
          </w:p>
        </w:tc>
        <w:tc>
          <w:tcPr>
            <w:tcW w:w="1080" w:type="dxa"/>
            <w:vAlign w:val="center"/>
          </w:tcPr>
          <w:p w:rsidR="000975F0" w:rsidRDefault="00785A7D">
            <w:pPr>
              <w:jc w:val="right"/>
            </w:pPr>
            <w:r>
              <w:rPr>
                <w:color w:val="000000"/>
                <w:sz w:val="24"/>
              </w:rPr>
              <w:t>5.88%</w:t>
            </w:r>
          </w:p>
        </w:tc>
        <w:tc>
          <w:tcPr>
            <w:tcW w:w="1620" w:type="dxa"/>
            <w:vAlign w:val="center"/>
          </w:tcPr>
          <w:p w:rsidR="000975F0" w:rsidRDefault="00785A7D">
            <w:pPr>
              <w:jc w:val="right"/>
            </w:pPr>
            <w:r>
              <w:rPr>
                <w:color w:val="000000"/>
                <w:sz w:val="24"/>
              </w:rPr>
              <w:t>140,317.67</w:t>
            </w:r>
          </w:p>
        </w:tc>
        <w:tc>
          <w:tcPr>
            <w:tcW w:w="1080" w:type="dxa"/>
            <w:vAlign w:val="center"/>
          </w:tcPr>
          <w:p w:rsidR="000975F0" w:rsidRDefault="00785A7D">
            <w:pPr>
              <w:jc w:val="right"/>
            </w:pPr>
            <w:r>
              <w:rPr>
                <w:color w:val="000000"/>
                <w:sz w:val="24"/>
              </w:rPr>
              <w:t>5.88%</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第一创业证券股份有限公司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上海华信证券有限责任公司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瑞银证券有限责任公司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中信证券股份有限公司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东吴证券股份有限公司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中泰证券股份有限公司</w:t>
            </w:r>
          </w:p>
        </w:tc>
        <w:tc>
          <w:tcPr>
            <w:tcW w:w="779" w:type="dxa"/>
            <w:vAlign w:val="center"/>
          </w:tcPr>
          <w:p w:rsidR="000975F0" w:rsidRDefault="00785A7D">
            <w:pPr>
              <w:jc w:val="center"/>
            </w:pPr>
            <w:r>
              <w:rPr>
                <w:color w:val="000000"/>
                <w:sz w:val="24"/>
              </w:rPr>
              <w:t>2</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北京高华证券有限责任公司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国联证券股份有限公司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华创证券有限责任公司</w:t>
            </w:r>
          </w:p>
        </w:tc>
        <w:tc>
          <w:tcPr>
            <w:tcW w:w="779" w:type="dxa"/>
            <w:vAlign w:val="center"/>
          </w:tcPr>
          <w:p w:rsidR="000975F0" w:rsidRDefault="00785A7D">
            <w:pPr>
              <w:jc w:val="center"/>
            </w:pPr>
            <w:r>
              <w:rPr>
                <w:color w:val="000000"/>
                <w:sz w:val="24"/>
              </w:rPr>
              <w:t>2</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国金证券股份有限公司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r w:rsidR="000975F0">
        <w:tc>
          <w:tcPr>
            <w:tcW w:w="1559" w:type="dxa"/>
            <w:vAlign w:val="center"/>
          </w:tcPr>
          <w:p w:rsidR="000975F0" w:rsidRDefault="00785A7D">
            <w:pPr>
              <w:jc w:val="center"/>
            </w:pPr>
            <w:r>
              <w:rPr>
                <w:color w:val="000000"/>
                <w:sz w:val="24"/>
              </w:rPr>
              <w:t>长城证券股份有限公司</w:t>
            </w:r>
          </w:p>
        </w:tc>
        <w:tc>
          <w:tcPr>
            <w:tcW w:w="779" w:type="dxa"/>
            <w:vAlign w:val="center"/>
          </w:tcPr>
          <w:p w:rsidR="000975F0" w:rsidRDefault="00785A7D">
            <w:pPr>
              <w:jc w:val="center"/>
            </w:pPr>
            <w:r>
              <w:rPr>
                <w:color w:val="000000"/>
                <w:sz w:val="24"/>
              </w:rPr>
              <w:t>1</w:t>
            </w:r>
          </w:p>
        </w:tc>
        <w:tc>
          <w:tcPr>
            <w:tcW w:w="180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620" w:type="dxa"/>
            <w:vAlign w:val="center"/>
          </w:tcPr>
          <w:p w:rsidR="000975F0" w:rsidRDefault="00785A7D">
            <w:pPr>
              <w:jc w:val="right"/>
            </w:pPr>
            <w:r>
              <w:rPr>
                <w:color w:val="000000"/>
                <w:sz w:val="24"/>
              </w:rPr>
              <w:t>-</w:t>
            </w:r>
          </w:p>
        </w:tc>
        <w:tc>
          <w:tcPr>
            <w:tcW w:w="1080" w:type="dxa"/>
            <w:vAlign w:val="center"/>
          </w:tcPr>
          <w:p w:rsidR="000975F0" w:rsidRDefault="00785A7D">
            <w:pPr>
              <w:jc w:val="right"/>
            </w:pPr>
            <w:r>
              <w:rPr>
                <w:color w:val="000000"/>
                <w:sz w:val="24"/>
              </w:rPr>
              <w:t>-</w:t>
            </w:r>
          </w:p>
        </w:tc>
        <w:tc>
          <w:tcPr>
            <w:tcW w:w="1080" w:type="dxa"/>
            <w:vAlign w:val="center"/>
          </w:tcPr>
          <w:p w:rsidR="000975F0" w:rsidRDefault="00785A7D">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85A7D" w:rsidRPr="005312D8" w:rsidTr="005E15A7">
        <w:tc>
          <w:tcPr>
            <w:tcW w:w="1560" w:type="dxa"/>
            <w:vMerge w:val="restart"/>
            <w:vAlign w:val="center"/>
          </w:tcPr>
          <w:p w:rsidR="00785A7D" w:rsidRPr="005312D8" w:rsidRDefault="00785A7D" w:rsidP="005E15A7">
            <w:pPr>
              <w:spacing w:line="276" w:lineRule="auto"/>
              <w:jc w:val="center"/>
              <w:rPr>
                <w:rFonts w:eastAsiaTheme="minorEastAsia"/>
                <w:kern w:val="0"/>
                <w:sz w:val="24"/>
              </w:rPr>
            </w:pPr>
            <w:bookmarkStart w:id="136" w:name="_Toc331410125"/>
            <w:r w:rsidRPr="005312D8">
              <w:rPr>
                <w:rFonts w:eastAsiaTheme="minorEastAsia"/>
                <w:sz w:val="24"/>
              </w:rPr>
              <w:lastRenderedPageBreak/>
              <w:t>券商名称</w:t>
            </w:r>
          </w:p>
        </w:tc>
        <w:tc>
          <w:tcPr>
            <w:tcW w:w="2400" w:type="dxa"/>
            <w:gridSpan w:val="2"/>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权证交易</w:t>
            </w:r>
          </w:p>
        </w:tc>
      </w:tr>
      <w:tr w:rsidR="00785A7D" w:rsidRPr="005312D8" w:rsidTr="005E15A7">
        <w:tc>
          <w:tcPr>
            <w:tcW w:w="1560" w:type="dxa"/>
            <w:vMerge/>
            <w:vAlign w:val="center"/>
          </w:tcPr>
          <w:p w:rsidR="00785A7D" w:rsidRPr="005312D8" w:rsidRDefault="00785A7D" w:rsidP="005E15A7">
            <w:pPr>
              <w:widowControl/>
              <w:spacing w:line="276" w:lineRule="auto"/>
              <w:jc w:val="left"/>
              <w:rPr>
                <w:rFonts w:eastAsiaTheme="minorEastAsia"/>
                <w:kern w:val="0"/>
                <w:sz w:val="24"/>
              </w:rPr>
            </w:pPr>
          </w:p>
        </w:tc>
        <w:tc>
          <w:tcPr>
            <w:tcW w:w="1320"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785A7D" w:rsidRPr="005312D8" w:rsidRDefault="00785A7D" w:rsidP="005E15A7">
            <w:pPr>
              <w:spacing w:line="276" w:lineRule="auto"/>
              <w:jc w:val="center"/>
              <w:rPr>
                <w:rFonts w:eastAsiaTheme="minorEastAsia"/>
                <w:sz w:val="24"/>
              </w:rPr>
            </w:pPr>
            <w:r w:rsidRPr="005312D8">
              <w:rPr>
                <w:rFonts w:eastAsiaTheme="minorEastAsia"/>
                <w:sz w:val="24"/>
              </w:rPr>
              <w:t>占当期权证成交总额的比例</w:t>
            </w:r>
          </w:p>
        </w:tc>
      </w:tr>
      <w:tr w:rsidR="00785A7D" w:rsidTr="005E15A7">
        <w:tc>
          <w:tcPr>
            <w:tcW w:w="1560" w:type="dxa"/>
            <w:vAlign w:val="center"/>
          </w:tcPr>
          <w:p w:rsidR="00785A7D" w:rsidRDefault="00785A7D" w:rsidP="005E15A7">
            <w:pPr>
              <w:jc w:val="left"/>
            </w:pPr>
            <w:r>
              <w:rPr>
                <w:rFonts w:eastAsiaTheme="minorEastAsia"/>
                <w:sz w:val="24"/>
              </w:rPr>
              <w:t>川财证券有限责任公司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中信建投证券股份有限公司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国泰君安证券股份有限公司</w:t>
            </w:r>
          </w:p>
        </w:tc>
        <w:tc>
          <w:tcPr>
            <w:tcW w:w="1320" w:type="dxa"/>
            <w:vAlign w:val="center"/>
          </w:tcPr>
          <w:p w:rsidR="00785A7D" w:rsidRDefault="00785A7D" w:rsidP="005E15A7">
            <w:pPr>
              <w:jc w:val="right"/>
            </w:pPr>
            <w:r>
              <w:rPr>
                <w:rFonts w:eastAsiaTheme="minorEastAsia"/>
                <w:sz w:val="24"/>
              </w:rPr>
              <w:t>7,007,100.00</w:t>
            </w:r>
          </w:p>
        </w:tc>
        <w:tc>
          <w:tcPr>
            <w:tcW w:w="1080" w:type="dxa"/>
            <w:vAlign w:val="center"/>
          </w:tcPr>
          <w:p w:rsidR="00785A7D" w:rsidRDefault="00785A7D" w:rsidP="005E15A7">
            <w:pPr>
              <w:jc w:val="right"/>
            </w:pPr>
            <w:r>
              <w:rPr>
                <w:rFonts w:eastAsiaTheme="minorEastAsia"/>
                <w:sz w:val="24"/>
              </w:rPr>
              <w:t>100.00%</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兴业证券股份有限公司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中国银河证券股份有限公司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国信证券股份有限公司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西南证券股份有限公司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申万宏源证券有限公司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中国国际金融股份有限公司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东方证券股份有限公司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招商证券股份有限公司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方正证券股份有限公司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西部证券股份有限公司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第一创业证券股份有限公司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上海华信证券有限责任公司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瑞银证券有限责任公司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中信证券股</w:t>
            </w:r>
            <w:r>
              <w:rPr>
                <w:rFonts w:eastAsiaTheme="minorEastAsia"/>
                <w:sz w:val="24"/>
              </w:rPr>
              <w:lastRenderedPageBreak/>
              <w:t>份有限公司</w:t>
            </w:r>
          </w:p>
        </w:tc>
        <w:tc>
          <w:tcPr>
            <w:tcW w:w="1320" w:type="dxa"/>
            <w:vAlign w:val="center"/>
          </w:tcPr>
          <w:p w:rsidR="00785A7D" w:rsidRDefault="00785A7D" w:rsidP="005E15A7">
            <w:pPr>
              <w:jc w:val="right"/>
            </w:pPr>
            <w:r>
              <w:rPr>
                <w:rFonts w:eastAsiaTheme="minorEastAsia"/>
                <w:sz w:val="24"/>
              </w:rPr>
              <w:lastRenderedPageBreak/>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东吴证券股份有限公司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中泰证券股份有限公司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北京高华证券有限责任公司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国联证券股份有限公司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华创证券有限责任公司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国金证券股份有限公司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r w:rsidR="00785A7D" w:rsidTr="005E15A7">
        <w:tc>
          <w:tcPr>
            <w:tcW w:w="1560" w:type="dxa"/>
            <w:vAlign w:val="center"/>
          </w:tcPr>
          <w:p w:rsidR="00785A7D" w:rsidRDefault="00785A7D" w:rsidP="005E15A7">
            <w:pPr>
              <w:jc w:val="left"/>
            </w:pPr>
            <w:r>
              <w:rPr>
                <w:rFonts w:eastAsiaTheme="minorEastAsia"/>
                <w:sz w:val="24"/>
              </w:rPr>
              <w:t>长城证券股份有限公司</w:t>
            </w:r>
          </w:p>
        </w:tc>
        <w:tc>
          <w:tcPr>
            <w:tcW w:w="1320" w:type="dxa"/>
            <w:vAlign w:val="center"/>
          </w:tcPr>
          <w:p w:rsidR="00785A7D" w:rsidRDefault="00785A7D" w:rsidP="005E15A7">
            <w:pPr>
              <w:jc w:val="right"/>
            </w:pPr>
            <w:r>
              <w:rPr>
                <w:rFonts w:eastAsiaTheme="minorEastAsia"/>
                <w:sz w:val="24"/>
              </w:rPr>
              <w:t>-</w:t>
            </w:r>
          </w:p>
        </w:tc>
        <w:tc>
          <w:tcPr>
            <w:tcW w:w="1080" w:type="dxa"/>
            <w:vAlign w:val="center"/>
          </w:tcPr>
          <w:p w:rsidR="00785A7D" w:rsidRDefault="00785A7D" w:rsidP="005E15A7">
            <w:pPr>
              <w:jc w:val="right"/>
            </w:pPr>
            <w:r>
              <w:rPr>
                <w:rFonts w:eastAsiaTheme="minorEastAsia"/>
                <w:sz w:val="24"/>
              </w:rPr>
              <w:t>-</w:t>
            </w:r>
          </w:p>
        </w:tc>
        <w:tc>
          <w:tcPr>
            <w:tcW w:w="1143" w:type="dxa"/>
            <w:vAlign w:val="center"/>
          </w:tcPr>
          <w:p w:rsidR="00785A7D" w:rsidRDefault="00785A7D" w:rsidP="005E15A7">
            <w:pPr>
              <w:jc w:val="right"/>
            </w:pPr>
            <w:r>
              <w:rPr>
                <w:rFonts w:eastAsiaTheme="minorEastAsia"/>
                <w:sz w:val="24"/>
              </w:rPr>
              <w:t>-</w:t>
            </w:r>
          </w:p>
        </w:tc>
        <w:tc>
          <w:tcPr>
            <w:tcW w:w="1197" w:type="dxa"/>
            <w:vAlign w:val="center"/>
          </w:tcPr>
          <w:p w:rsidR="00785A7D" w:rsidRDefault="00785A7D" w:rsidP="005E15A7">
            <w:pPr>
              <w:jc w:val="right"/>
            </w:pPr>
            <w:r>
              <w:rPr>
                <w:rFonts w:eastAsiaTheme="minorEastAsia"/>
                <w:sz w:val="24"/>
              </w:rPr>
              <w:t>-</w:t>
            </w:r>
          </w:p>
        </w:tc>
        <w:tc>
          <w:tcPr>
            <w:tcW w:w="1497" w:type="dxa"/>
            <w:vAlign w:val="center"/>
          </w:tcPr>
          <w:p w:rsidR="00785A7D" w:rsidRDefault="00785A7D" w:rsidP="005E15A7">
            <w:pPr>
              <w:jc w:val="right"/>
            </w:pPr>
            <w:r>
              <w:rPr>
                <w:rFonts w:eastAsiaTheme="minorEastAsia"/>
                <w:sz w:val="24"/>
              </w:rPr>
              <w:t>-</w:t>
            </w:r>
          </w:p>
        </w:tc>
        <w:tc>
          <w:tcPr>
            <w:tcW w:w="1203" w:type="dxa"/>
            <w:vAlign w:val="center"/>
          </w:tcPr>
          <w:p w:rsidR="00785A7D" w:rsidRDefault="00785A7D" w:rsidP="005E15A7">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0975F0" w:rsidRDefault="00785A7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0975F0" w:rsidRDefault="00785A7D">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975F0">
        <w:tc>
          <w:tcPr>
            <w:tcW w:w="993" w:type="dxa"/>
            <w:vMerge w:val="restart"/>
          </w:tcPr>
          <w:p w:rsidR="000975F0" w:rsidRDefault="000975F0"/>
          <w:p w:rsidR="000975F0" w:rsidRDefault="00785A7D">
            <w:r>
              <w:rPr>
                <w:rFonts w:ascii="宋体" w:hAnsi="宋体" w:hint="eastAsia"/>
                <w:bCs/>
                <w:color w:val="000000"/>
                <w:kern w:val="0"/>
                <w:szCs w:val="21"/>
              </w:rPr>
              <w:t>机构</w:t>
            </w:r>
          </w:p>
        </w:tc>
        <w:tc>
          <w:tcPr>
            <w:tcW w:w="992" w:type="dxa"/>
            <w:vAlign w:val="center"/>
          </w:tcPr>
          <w:p w:rsidR="000975F0" w:rsidRDefault="00785A7D">
            <w:pPr>
              <w:jc w:val="center"/>
            </w:pPr>
            <w:r>
              <w:rPr>
                <w:rFonts w:ascii="宋体" w:hAnsi="宋体"/>
                <w:color w:val="000000"/>
                <w:kern w:val="0"/>
                <w:szCs w:val="21"/>
              </w:rPr>
              <w:t>1</w:t>
            </w:r>
          </w:p>
        </w:tc>
        <w:tc>
          <w:tcPr>
            <w:tcW w:w="1843" w:type="dxa"/>
            <w:vAlign w:val="center"/>
          </w:tcPr>
          <w:p w:rsidR="000975F0" w:rsidRDefault="00785A7D">
            <w:pPr>
              <w:jc w:val="center"/>
            </w:pPr>
            <w:r>
              <w:rPr>
                <w:rFonts w:ascii="宋体" w:hAnsi="宋体"/>
                <w:color w:val="000000"/>
                <w:kern w:val="0"/>
                <w:szCs w:val="21"/>
              </w:rPr>
              <w:t>2018/1/1-2018/6/30</w:t>
            </w:r>
          </w:p>
        </w:tc>
        <w:tc>
          <w:tcPr>
            <w:tcW w:w="851" w:type="dxa"/>
            <w:vAlign w:val="center"/>
          </w:tcPr>
          <w:p w:rsidR="000975F0" w:rsidRDefault="00785A7D">
            <w:pPr>
              <w:jc w:val="center"/>
            </w:pPr>
            <w:r>
              <w:rPr>
                <w:rFonts w:ascii="宋体" w:hAnsi="宋体"/>
                <w:color w:val="000000"/>
                <w:kern w:val="0"/>
                <w:szCs w:val="21"/>
              </w:rPr>
              <w:t>170,000,000.00</w:t>
            </w:r>
          </w:p>
        </w:tc>
        <w:tc>
          <w:tcPr>
            <w:tcW w:w="850" w:type="dxa"/>
            <w:vAlign w:val="center"/>
          </w:tcPr>
          <w:p w:rsidR="000975F0" w:rsidRDefault="00785A7D">
            <w:pPr>
              <w:jc w:val="center"/>
            </w:pPr>
            <w:r>
              <w:rPr>
                <w:rFonts w:ascii="宋体" w:hAnsi="宋体"/>
                <w:color w:val="000000"/>
                <w:kern w:val="0"/>
                <w:szCs w:val="21"/>
              </w:rPr>
              <w:t>-</w:t>
            </w:r>
          </w:p>
        </w:tc>
        <w:tc>
          <w:tcPr>
            <w:tcW w:w="1134" w:type="dxa"/>
            <w:vAlign w:val="center"/>
          </w:tcPr>
          <w:p w:rsidR="000975F0" w:rsidRDefault="00785A7D">
            <w:pPr>
              <w:jc w:val="center"/>
            </w:pPr>
            <w:r>
              <w:rPr>
                <w:rFonts w:ascii="宋体" w:hAnsi="宋体"/>
                <w:color w:val="000000"/>
                <w:kern w:val="0"/>
                <w:szCs w:val="21"/>
              </w:rPr>
              <w:t>170,000,000.00</w:t>
            </w:r>
          </w:p>
        </w:tc>
        <w:tc>
          <w:tcPr>
            <w:tcW w:w="1419" w:type="dxa"/>
            <w:vAlign w:val="center"/>
          </w:tcPr>
          <w:p w:rsidR="000975F0" w:rsidRDefault="00785A7D">
            <w:pPr>
              <w:jc w:val="center"/>
            </w:pPr>
            <w:r>
              <w:rPr>
                <w:rFonts w:ascii="宋体" w:hAnsi="宋体"/>
                <w:color w:val="000000"/>
                <w:kern w:val="0"/>
                <w:szCs w:val="21"/>
              </w:rPr>
              <w:t>-</w:t>
            </w:r>
          </w:p>
        </w:tc>
        <w:tc>
          <w:tcPr>
            <w:tcW w:w="1130" w:type="dxa"/>
            <w:vAlign w:val="center"/>
          </w:tcPr>
          <w:p w:rsidR="000975F0" w:rsidRDefault="00785A7D">
            <w:pPr>
              <w:jc w:val="center"/>
            </w:pPr>
            <w:r>
              <w:rPr>
                <w:rFonts w:ascii="宋体" w:hAnsi="宋体"/>
                <w:color w:val="000000"/>
                <w:kern w:val="0"/>
                <w:szCs w:val="21"/>
              </w:rPr>
              <w:t>-</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0975F0" w:rsidRDefault="00785A7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w:t>
      </w:r>
      <w:r>
        <w:rPr>
          <w:rFonts w:ascii="宋体" w:hAnsi="宋体"/>
          <w:color w:val="000000"/>
          <w:szCs w:val="21"/>
        </w:rPr>
        <w:lastRenderedPageBreak/>
        <w:t>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063" w:rsidRDefault="00211063">
      <w:r>
        <w:separator/>
      </w:r>
    </w:p>
  </w:endnote>
  <w:endnote w:type="continuationSeparator" w:id="0">
    <w:p w:rsidR="00211063" w:rsidRDefault="0021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D9515B">
      <w:rPr>
        <w:noProof/>
        <w:kern w:val="0"/>
        <w:szCs w:val="21"/>
      </w:rPr>
      <w:t>28</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D9515B">
      <w:rPr>
        <w:noProof/>
        <w:kern w:val="0"/>
        <w:szCs w:val="21"/>
      </w:rPr>
      <w:t>32</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063" w:rsidRDefault="00211063">
      <w:r>
        <w:separator/>
      </w:r>
    </w:p>
  </w:footnote>
  <w:footnote w:type="continuationSeparator" w:id="0">
    <w:p w:rsidR="00211063" w:rsidRDefault="0021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交银施罗德经济新动力混合型证券投资基金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5F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1A"/>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06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5A7D"/>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15B"/>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EA508D"/>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816CC-156E-4B26-9969-4D5C59A6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2018-08-24T02:04:00Z</dcterms:modified>
</cp:coreProperties>
</file>