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交银施罗德丰润收益债券型证券投资基金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交银丰润收益债券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519743</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w:t>
            </w:r>
            <w:r w:rsidRPr="008A1551">
              <w:rPr>
                <w:sz w:val="24"/>
              </w:rPr>
              <w:t>,</w:t>
            </w:r>
            <w:r w:rsidRPr="008A1551">
              <w:rPr>
                <w:sz w:val="24"/>
              </w:rPr>
              <w:t>本基金在基金合同生效之日起两年（含两年）的期间内封闭式运作（按照基金合同的约定提前转换基金运作方式的除外</w:t>
            </w:r>
            <w:r w:rsidRPr="008A1551">
              <w:rPr>
                <w:sz w:val="24"/>
              </w:rPr>
              <w:t>)</w:t>
            </w:r>
            <w:r w:rsidRPr="008A1551">
              <w:rPr>
                <w:sz w:val="24"/>
              </w:rPr>
              <w:t>，封闭期结束后转为开放式运作</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2014</w:t>
            </w:r>
            <w:r w:rsidRPr="008A1551">
              <w:rPr>
                <w:sz w:val="24"/>
              </w:rPr>
              <w:t>年</w:t>
            </w:r>
            <w:r w:rsidRPr="008A1551">
              <w:rPr>
                <w:sz w:val="24"/>
              </w:rPr>
              <w:t>12</w:t>
            </w:r>
            <w:r w:rsidRPr="008A1551">
              <w:rPr>
                <w:sz w:val="24"/>
              </w:rPr>
              <w:t>月</w:t>
            </w:r>
            <w:r w:rsidRPr="008A1551">
              <w:rPr>
                <w:sz w:val="24"/>
              </w:rPr>
              <w:t>15</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4,909,257,445.77</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交银丰润收益债券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交银丰润收益债券</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519743</w:t>
            </w:r>
          </w:p>
        </w:tc>
        <w:tc>
          <w:tcPr>
            <w:tcW w:w="2596" w:type="dxa"/>
            <w:vAlign w:val="center"/>
          </w:tcPr>
          <w:p w:rsidR="0073136C" w:rsidRPr="008A1551" w:rsidRDefault="0073136C" w:rsidP="009E1EA4">
            <w:pPr>
              <w:spacing w:before="29" w:line="288" w:lineRule="auto"/>
              <w:jc w:val="center"/>
              <w:rPr>
                <w:sz w:val="24"/>
              </w:rPr>
            </w:pPr>
            <w:r w:rsidRPr="008A1551">
              <w:rPr>
                <w:sz w:val="24"/>
              </w:rPr>
              <w:t>519745</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4,908,494,615.39</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762,830.38</w:t>
            </w:r>
            <w:r w:rsidRPr="008A1551">
              <w:rPr>
                <w:sz w:val="24"/>
              </w:rPr>
              <w:t>份</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2016</w:t>
      </w:r>
      <w:r w:rsidRPr="008A1551">
        <w:rPr>
          <w:kern w:val="0"/>
          <w:sz w:val="24"/>
        </w:rPr>
        <w:t>年</w:t>
      </w:r>
      <w:r w:rsidRPr="008A1551">
        <w:rPr>
          <w:kern w:val="0"/>
          <w:sz w:val="24"/>
        </w:rPr>
        <w:t>12</w:t>
      </w:r>
      <w:r w:rsidRPr="008A1551">
        <w:rPr>
          <w:kern w:val="0"/>
          <w:sz w:val="24"/>
        </w:rPr>
        <w:t>月</w:t>
      </w:r>
      <w:r w:rsidRPr="008A1551">
        <w:rPr>
          <w:kern w:val="0"/>
          <w:sz w:val="24"/>
        </w:rPr>
        <w:t>16</w:t>
      </w:r>
      <w:r w:rsidRPr="008A1551">
        <w:rPr>
          <w:kern w:val="0"/>
          <w:sz w:val="24"/>
        </w:rPr>
        <w:t>日起转为开放式运作。</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在严格控制风险的基础上</w:t>
            </w:r>
            <w:r w:rsidRPr="008A1551">
              <w:rPr>
                <w:sz w:val="24"/>
              </w:rPr>
              <w:t>,</w:t>
            </w:r>
            <w:r w:rsidRPr="008A1551">
              <w:rPr>
                <w:sz w:val="24"/>
              </w:rPr>
              <w:t>力求获得高于业绩基准的投资收益。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472CCE" w:rsidRDefault="00FF36B8">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1548F9" w:rsidRPr="008A1551" w:rsidRDefault="001548F9" w:rsidP="009E1EA4">
            <w:pPr>
              <w:spacing w:before="29" w:line="288" w:lineRule="auto"/>
              <w:rPr>
                <w:sz w:val="24"/>
              </w:rPr>
            </w:pPr>
            <w:r w:rsidRPr="008A1551">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472CCE" w:rsidRDefault="00FF36B8">
            <w:pPr>
              <w:spacing w:before="29" w:line="288" w:lineRule="auto"/>
              <w:rPr>
                <w:sz w:val="24"/>
              </w:rPr>
            </w:pPr>
            <w:r>
              <w:rPr>
                <w:sz w:val="24"/>
              </w:rPr>
              <w:t>封闭期内业绩比较基准：两年期银行定期存款税后收益率</w:t>
            </w:r>
            <w:r>
              <w:rPr>
                <w:sz w:val="24"/>
              </w:rPr>
              <w:t>+1.25%</w:t>
            </w:r>
          </w:p>
          <w:p w:rsidR="001548F9" w:rsidRPr="008A1551" w:rsidRDefault="001548F9" w:rsidP="009E1EA4">
            <w:pPr>
              <w:spacing w:before="29" w:line="288" w:lineRule="auto"/>
              <w:rPr>
                <w:sz w:val="24"/>
              </w:rPr>
            </w:pPr>
            <w:r w:rsidRPr="008A1551">
              <w:rPr>
                <w:sz w:val="24"/>
              </w:rPr>
              <w:t>开放期内业绩比较基准：中债综合全价指数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李修滨</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交银丰润收益债券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交银丰润收益债券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114,153,153.07</w:t>
            </w:r>
          </w:p>
        </w:tc>
        <w:tc>
          <w:tcPr>
            <w:tcW w:w="2558" w:type="dxa"/>
            <w:vAlign w:val="center"/>
          </w:tcPr>
          <w:p w:rsidR="001548F9" w:rsidRPr="008A1551" w:rsidRDefault="001548F9" w:rsidP="009E1EA4">
            <w:pPr>
              <w:spacing w:before="29" w:line="288" w:lineRule="auto"/>
              <w:jc w:val="right"/>
              <w:rPr>
                <w:sz w:val="24"/>
              </w:rPr>
            </w:pPr>
            <w:r w:rsidRPr="008A1551">
              <w:rPr>
                <w:sz w:val="24"/>
              </w:rPr>
              <w:t>21,459.48</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166,283,847.32</w:t>
            </w:r>
          </w:p>
        </w:tc>
        <w:tc>
          <w:tcPr>
            <w:tcW w:w="2558" w:type="dxa"/>
            <w:vAlign w:val="center"/>
          </w:tcPr>
          <w:p w:rsidR="001548F9" w:rsidRPr="008A1551" w:rsidRDefault="001548F9" w:rsidP="009E1EA4">
            <w:pPr>
              <w:spacing w:before="29" w:line="288" w:lineRule="auto"/>
              <w:jc w:val="right"/>
              <w:rPr>
                <w:sz w:val="24"/>
              </w:rPr>
            </w:pPr>
            <w:r w:rsidRPr="008A1551">
              <w:rPr>
                <w:sz w:val="24"/>
              </w:rPr>
              <w:t>34,065.82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0.0339</w:t>
            </w:r>
          </w:p>
        </w:tc>
        <w:tc>
          <w:tcPr>
            <w:tcW w:w="2558" w:type="dxa"/>
            <w:vAlign w:val="center"/>
          </w:tcPr>
          <w:p w:rsidR="001548F9" w:rsidRPr="008A1551" w:rsidRDefault="001548F9" w:rsidP="009E1EA4">
            <w:pPr>
              <w:spacing w:before="29" w:line="288" w:lineRule="auto"/>
              <w:jc w:val="right"/>
              <w:rPr>
                <w:sz w:val="24"/>
              </w:rPr>
            </w:pPr>
            <w:r w:rsidRPr="008A1551">
              <w:rPr>
                <w:sz w:val="24"/>
              </w:rPr>
              <w:t>0.0310</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3.26%</w:t>
            </w:r>
          </w:p>
        </w:tc>
        <w:tc>
          <w:tcPr>
            <w:tcW w:w="2558" w:type="dxa"/>
            <w:vAlign w:val="center"/>
          </w:tcPr>
          <w:p w:rsidR="001548F9" w:rsidRPr="008A1551" w:rsidRDefault="001548F9" w:rsidP="009E1EA4">
            <w:pPr>
              <w:spacing w:before="29" w:line="288" w:lineRule="auto"/>
              <w:jc w:val="right"/>
              <w:rPr>
                <w:sz w:val="24"/>
              </w:rPr>
            </w:pPr>
            <w:r w:rsidRPr="008A1551">
              <w:rPr>
                <w:sz w:val="24"/>
              </w:rPr>
              <w:t>3.13%</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交银丰润收益债券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交银丰润收益债券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0.016</w:t>
            </w:r>
          </w:p>
        </w:tc>
        <w:tc>
          <w:tcPr>
            <w:tcW w:w="2558" w:type="dxa"/>
            <w:vAlign w:val="center"/>
          </w:tcPr>
          <w:p w:rsidR="001548F9" w:rsidRPr="008A1551" w:rsidRDefault="001548F9" w:rsidP="009E1EA4">
            <w:pPr>
              <w:spacing w:before="29" w:line="288" w:lineRule="auto"/>
              <w:jc w:val="right"/>
              <w:rPr>
                <w:sz w:val="24"/>
              </w:rPr>
            </w:pPr>
            <w:r w:rsidRPr="008A1551">
              <w:rPr>
                <w:sz w:val="24"/>
              </w:rPr>
              <w:t>0.016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5,018,909,131.83</w:t>
            </w:r>
          </w:p>
        </w:tc>
        <w:tc>
          <w:tcPr>
            <w:tcW w:w="2558" w:type="dxa"/>
            <w:vAlign w:val="center"/>
          </w:tcPr>
          <w:p w:rsidR="001548F9" w:rsidRPr="008A1551" w:rsidRDefault="001548F9" w:rsidP="009E1EA4">
            <w:pPr>
              <w:spacing w:before="29" w:line="288" w:lineRule="auto"/>
              <w:jc w:val="right"/>
              <w:rPr>
                <w:sz w:val="24"/>
              </w:rPr>
            </w:pPr>
            <w:r w:rsidRPr="008A1551">
              <w:rPr>
                <w:sz w:val="24"/>
              </w:rPr>
              <w:t>779,946.13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1.022</w:t>
            </w:r>
          </w:p>
        </w:tc>
        <w:tc>
          <w:tcPr>
            <w:tcW w:w="2558" w:type="dxa"/>
            <w:vAlign w:val="center"/>
          </w:tcPr>
          <w:p w:rsidR="001548F9" w:rsidRPr="008A1551" w:rsidRDefault="001548F9" w:rsidP="009E1EA4">
            <w:pPr>
              <w:spacing w:before="29" w:line="288" w:lineRule="auto"/>
              <w:jc w:val="right"/>
              <w:rPr>
                <w:sz w:val="24"/>
              </w:rPr>
            </w:pPr>
            <w:r w:rsidRPr="008A1551">
              <w:rPr>
                <w:sz w:val="24"/>
              </w:rPr>
              <w:t>1.022</w:t>
            </w:r>
          </w:p>
        </w:tc>
      </w:tr>
    </w:tbl>
    <w:p w:rsidR="00472CCE" w:rsidRDefault="00FF36B8">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交银丰润收益债券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472CCE">
        <w:tc>
          <w:tcPr>
            <w:tcW w:w="1497" w:type="dxa"/>
            <w:vAlign w:val="center"/>
          </w:tcPr>
          <w:p w:rsidR="00472CCE" w:rsidRDefault="00FF36B8">
            <w:pPr>
              <w:jc w:val="left"/>
            </w:pPr>
            <w:r>
              <w:rPr>
                <w:color w:val="000000"/>
                <w:sz w:val="24"/>
              </w:rPr>
              <w:t>过去一个月</w:t>
            </w:r>
          </w:p>
        </w:tc>
        <w:tc>
          <w:tcPr>
            <w:tcW w:w="1251" w:type="dxa"/>
            <w:vAlign w:val="center"/>
          </w:tcPr>
          <w:p w:rsidR="00472CCE" w:rsidRDefault="00FF36B8">
            <w:pPr>
              <w:jc w:val="center"/>
            </w:pPr>
            <w:r>
              <w:rPr>
                <w:color w:val="000000"/>
                <w:sz w:val="24"/>
              </w:rPr>
              <w:t>0.39%</w:t>
            </w:r>
          </w:p>
        </w:tc>
        <w:tc>
          <w:tcPr>
            <w:tcW w:w="1250" w:type="dxa"/>
            <w:vAlign w:val="center"/>
          </w:tcPr>
          <w:p w:rsidR="00472CCE" w:rsidRDefault="00FF36B8">
            <w:pPr>
              <w:jc w:val="center"/>
            </w:pPr>
            <w:r>
              <w:rPr>
                <w:color w:val="000000"/>
                <w:sz w:val="24"/>
              </w:rPr>
              <w:t>0.04%</w:t>
            </w:r>
          </w:p>
        </w:tc>
        <w:tc>
          <w:tcPr>
            <w:tcW w:w="1250" w:type="dxa"/>
            <w:vAlign w:val="center"/>
          </w:tcPr>
          <w:p w:rsidR="00472CCE" w:rsidRDefault="00FF36B8">
            <w:pPr>
              <w:jc w:val="center"/>
            </w:pPr>
            <w:r>
              <w:rPr>
                <w:color w:val="000000"/>
                <w:sz w:val="24"/>
              </w:rPr>
              <w:t>0.35%</w:t>
            </w:r>
          </w:p>
        </w:tc>
        <w:tc>
          <w:tcPr>
            <w:tcW w:w="1250" w:type="dxa"/>
            <w:vAlign w:val="center"/>
          </w:tcPr>
          <w:p w:rsidR="00472CCE" w:rsidRDefault="00FF36B8">
            <w:pPr>
              <w:jc w:val="center"/>
            </w:pPr>
            <w:r>
              <w:rPr>
                <w:color w:val="000000"/>
                <w:sz w:val="24"/>
              </w:rPr>
              <w:t>0.06%</w:t>
            </w:r>
          </w:p>
        </w:tc>
        <w:tc>
          <w:tcPr>
            <w:tcW w:w="1250" w:type="dxa"/>
            <w:vAlign w:val="center"/>
          </w:tcPr>
          <w:p w:rsidR="00472CCE" w:rsidRDefault="00FF36B8">
            <w:pPr>
              <w:jc w:val="center"/>
            </w:pPr>
            <w:r>
              <w:rPr>
                <w:color w:val="000000"/>
                <w:sz w:val="24"/>
              </w:rPr>
              <w:t>0.04%</w:t>
            </w:r>
          </w:p>
        </w:tc>
        <w:tc>
          <w:tcPr>
            <w:tcW w:w="1250" w:type="dxa"/>
            <w:vAlign w:val="center"/>
          </w:tcPr>
          <w:p w:rsidR="00472CCE" w:rsidRDefault="00FF36B8">
            <w:pPr>
              <w:jc w:val="center"/>
            </w:pPr>
            <w:r>
              <w:rPr>
                <w:color w:val="000000"/>
                <w:sz w:val="24"/>
              </w:rPr>
              <w:t>-0.02%</w:t>
            </w:r>
          </w:p>
        </w:tc>
      </w:tr>
      <w:tr w:rsidR="00472CCE">
        <w:tc>
          <w:tcPr>
            <w:tcW w:w="1497" w:type="dxa"/>
            <w:vAlign w:val="center"/>
          </w:tcPr>
          <w:p w:rsidR="00472CCE" w:rsidRDefault="00FF36B8">
            <w:pPr>
              <w:jc w:val="left"/>
            </w:pPr>
            <w:r>
              <w:rPr>
                <w:color w:val="000000"/>
                <w:sz w:val="24"/>
              </w:rPr>
              <w:t>过去三个月</w:t>
            </w:r>
          </w:p>
        </w:tc>
        <w:tc>
          <w:tcPr>
            <w:tcW w:w="1251" w:type="dxa"/>
            <w:vAlign w:val="center"/>
          </w:tcPr>
          <w:p w:rsidR="00472CCE" w:rsidRDefault="00FF36B8">
            <w:pPr>
              <w:jc w:val="center"/>
            </w:pPr>
            <w:r>
              <w:rPr>
                <w:color w:val="000000"/>
                <w:sz w:val="24"/>
              </w:rPr>
              <w:t>1.37%</w:t>
            </w:r>
          </w:p>
        </w:tc>
        <w:tc>
          <w:tcPr>
            <w:tcW w:w="1250" w:type="dxa"/>
            <w:vAlign w:val="center"/>
          </w:tcPr>
          <w:p w:rsidR="00472CCE" w:rsidRDefault="00FF36B8">
            <w:pPr>
              <w:jc w:val="center"/>
            </w:pPr>
            <w:r>
              <w:rPr>
                <w:color w:val="000000"/>
                <w:sz w:val="24"/>
              </w:rPr>
              <w:t>0.07%</w:t>
            </w:r>
          </w:p>
        </w:tc>
        <w:tc>
          <w:tcPr>
            <w:tcW w:w="1250" w:type="dxa"/>
            <w:vAlign w:val="center"/>
          </w:tcPr>
          <w:p w:rsidR="00472CCE" w:rsidRDefault="00FF36B8">
            <w:pPr>
              <w:jc w:val="center"/>
            </w:pPr>
            <w:r>
              <w:rPr>
                <w:color w:val="000000"/>
                <w:sz w:val="24"/>
              </w:rPr>
              <w:t>1.01%</w:t>
            </w:r>
          </w:p>
        </w:tc>
        <w:tc>
          <w:tcPr>
            <w:tcW w:w="1250" w:type="dxa"/>
            <w:vAlign w:val="center"/>
          </w:tcPr>
          <w:p w:rsidR="00472CCE" w:rsidRDefault="00FF36B8">
            <w:pPr>
              <w:jc w:val="center"/>
            </w:pPr>
            <w:r>
              <w:rPr>
                <w:color w:val="000000"/>
                <w:sz w:val="24"/>
              </w:rPr>
              <w:t>0.10%</w:t>
            </w:r>
          </w:p>
        </w:tc>
        <w:tc>
          <w:tcPr>
            <w:tcW w:w="1250" w:type="dxa"/>
            <w:vAlign w:val="center"/>
          </w:tcPr>
          <w:p w:rsidR="00472CCE" w:rsidRDefault="00FF36B8">
            <w:pPr>
              <w:jc w:val="center"/>
            </w:pPr>
            <w:r>
              <w:rPr>
                <w:color w:val="000000"/>
                <w:sz w:val="24"/>
              </w:rPr>
              <w:t>0.36%</w:t>
            </w:r>
          </w:p>
        </w:tc>
        <w:tc>
          <w:tcPr>
            <w:tcW w:w="1250" w:type="dxa"/>
            <w:vAlign w:val="center"/>
          </w:tcPr>
          <w:p w:rsidR="00472CCE" w:rsidRDefault="00FF36B8">
            <w:pPr>
              <w:jc w:val="center"/>
            </w:pPr>
            <w:r>
              <w:rPr>
                <w:color w:val="000000"/>
                <w:sz w:val="24"/>
              </w:rPr>
              <w:t>-0.03%</w:t>
            </w:r>
          </w:p>
        </w:tc>
      </w:tr>
      <w:tr w:rsidR="00472CCE">
        <w:tc>
          <w:tcPr>
            <w:tcW w:w="1497" w:type="dxa"/>
            <w:vAlign w:val="center"/>
          </w:tcPr>
          <w:p w:rsidR="00472CCE" w:rsidRDefault="00FF36B8">
            <w:pPr>
              <w:jc w:val="left"/>
            </w:pPr>
            <w:r>
              <w:rPr>
                <w:color w:val="000000"/>
                <w:sz w:val="24"/>
              </w:rPr>
              <w:t>过去六个月</w:t>
            </w:r>
          </w:p>
        </w:tc>
        <w:tc>
          <w:tcPr>
            <w:tcW w:w="1251" w:type="dxa"/>
            <w:vAlign w:val="center"/>
          </w:tcPr>
          <w:p w:rsidR="00472CCE" w:rsidRDefault="00FF36B8">
            <w:pPr>
              <w:jc w:val="center"/>
            </w:pPr>
            <w:r>
              <w:rPr>
                <w:color w:val="000000"/>
                <w:sz w:val="24"/>
              </w:rPr>
              <w:t>3.26%</w:t>
            </w:r>
          </w:p>
        </w:tc>
        <w:tc>
          <w:tcPr>
            <w:tcW w:w="1250" w:type="dxa"/>
            <w:vAlign w:val="center"/>
          </w:tcPr>
          <w:p w:rsidR="00472CCE" w:rsidRDefault="00FF36B8">
            <w:pPr>
              <w:jc w:val="center"/>
            </w:pPr>
            <w:r>
              <w:rPr>
                <w:color w:val="000000"/>
                <w:sz w:val="24"/>
              </w:rPr>
              <w:t>0.06%</w:t>
            </w:r>
          </w:p>
        </w:tc>
        <w:tc>
          <w:tcPr>
            <w:tcW w:w="1250" w:type="dxa"/>
            <w:vAlign w:val="center"/>
          </w:tcPr>
          <w:p w:rsidR="00472CCE" w:rsidRDefault="00FF36B8">
            <w:pPr>
              <w:jc w:val="center"/>
            </w:pPr>
            <w:r>
              <w:rPr>
                <w:color w:val="000000"/>
                <w:sz w:val="24"/>
              </w:rPr>
              <w:t>2.14%</w:t>
            </w:r>
          </w:p>
        </w:tc>
        <w:tc>
          <w:tcPr>
            <w:tcW w:w="1250" w:type="dxa"/>
            <w:vAlign w:val="center"/>
          </w:tcPr>
          <w:p w:rsidR="00472CCE" w:rsidRDefault="00FF36B8">
            <w:pPr>
              <w:jc w:val="center"/>
            </w:pPr>
            <w:r>
              <w:rPr>
                <w:color w:val="000000"/>
                <w:sz w:val="24"/>
              </w:rPr>
              <w:t>0.08%</w:t>
            </w:r>
          </w:p>
        </w:tc>
        <w:tc>
          <w:tcPr>
            <w:tcW w:w="1250" w:type="dxa"/>
            <w:vAlign w:val="center"/>
          </w:tcPr>
          <w:p w:rsidR="00472CCE" w:rsidRDefault="00FF36B8">
            <w:pPr>
              <w:jc w:val="center"/>
            </w:pPr>
            <w:r>
              <w:rPr>
                <w:color w:val="000000"/>
                <w:sz w:val="24"/>
              </w:rPr>
              <w:t>1.12%</w:t>
            </w:r>
          </w:p>
        </w:tc>
        <w:tc>
          <w:tcPr>
            <w:tcW w:w="1250" w:type="dxa"/>
            <w:vAlign w:val="center"/>
          </w:tcPr>
          <w:p w:rsidR="00472CCE" w:rsidRDefault="00FF36B8">
            <w:pPr>
              <w:jc w:val="center"/>
            </w:pPr>
            <w:r>
              <w:rPr>
                <w:color w:val="000000"/>
                <w:sz w:val="24"/>
              </w:rPr>
              <w:t>-0.02%</w:t>
            </w:r>
          </w:p>
        </w:tc>
      </w:tr>
      <w:tr w:rsidR="00472CCE">
        <w:tc>
          <w:tcPr>
            <w:tcW w:w="1497" w:type="dxa"/>
            <w:vAlign w:val="center"/>
          </w:tcPr>
          <w:p w:rsidR="00472CCE" w:rsidRDefault="00FF36B8">
            <w:pPr>
              <w:jc w:val="left"/>
            </w:pPr>
            <w:r>
              <w:rPr>
                <w:color w:val="000000"/>
                <w:sz w:val="24"/>
              </w:rPr>
              <w:t>过去一年</w:t>
            </w:r>
          </w:p>
        </w:tc>
        <w:tc>
          <w:tcPr>
            <w:tcW w:w="1251" w:type="dxa"/>
            <w:vAlign w:val="center"/>
          </w:tcPr>
          <w:p w:rsidR="00472CCE" w:rsidRDefault="00FF36B8">
            <w:pPr>
              <w:jc w:val="center"/>
            </w:pPr>
            <w:r>
              <w:rPr>
                <w:color w:val="000000"/>
                <w:sz w:val="24"/>
              </w:rPr>
              <w:t>4.27%</w:t>
            </w:r>
          </w:p>
        </w:tc>
        <w:tc>
          <w:tcPr>
            <w:tcW w:w="1250" w:type="dxa"/>
            <w:vAlign w:val="center"/>
          </w:tcPr>
          <w:p w:rsidR="00472CCE" w:rsidRDefault="00FF36B8">
            <w:pPr>
              <w:jc w:val="center"/>
            </w:pPr>
            <w:r>
              <w:rPr>
                <w:color w:val="000000"/>
                <w:sz w:val="24"/>
              </w:rPr>
              <w:t>0.05%</w:t>
            </w:r>
          </w:p>
        </w:tc>
        <w:tc>
          <w:tcPr>
            <w:tcW w:w="1250" w:type="dxa"/>
            <w:vAlign w:val="center"/>
          </w:tcPr>
          <w:p w:rsidR="00472CCE" w:rsidRDefault="00FF36B8">
            <w:pPr>
              <w:jc w:val="center"/>
            </w:pPr>
            <w:r>
              <w:rPr>
                <w:color w:val="000000"/>
                <w:sz w:val="24"/>
              </w:rPr>
              <w:t>0.83%</w:t>
            </w:r>
          </w:p>
        </w:tc>
        <w:tc>
          <w:tcPr>
            <w:tcW w:w="1250" w:type="dxa"/>
            <w:vAlign w:val="center"/>
          </w:tcPr>
          <w:p w:rsidR="00472CCE" w:rsidRDefault="00FF36B8">
            <w:pPr>
              <w:jc w:val="center"/>
            </w:pPr>
            <w:r>
              <w:rPr>
                <w:color w:val="000000"/>
                <w:sz w:val="24"/>
              </w:rPr>
              <w:t>0.07%</w:t>
            </w:r>
          </w:p>
        </w:tc>
        <w:tc>
          <w:tcPr>
            <w:tcW w:w="1250" w:type="dxa"/>
            <w:vAlign w:val="center"/>
          </w:tcPr>
          <w:p w:rsidR="00472CCE" w:rsidRDefault="00FF36B8">
            <w:pPr>
              <w:jc w:val="center"/>
            </w:pPr>
            <w:r>
              <w:rPr>
                <w:color w:val="000000"/>
                <w:sz w:val="24"/>
              </w:rPr>
              <w:t>3.44%</w:t>
            </w:r>
          </w:p>
        </w:tc>
        <w:tc>
          <w:tcPr>
            <w:tcW w:w="1250" w:type="dxa"/>
            <w:vAlign w:val="center"/>
          </w:tcPr>
          <w:p w:rsidR="00472CCE" w:rsidRDefault="00FF36B8">
            <w:pPr>
              <w:jc w:val="center"/>
            </w:pPr>
            <w:r>
              <w:rPr>
                <w:color w:val="000000"/>
                <w:sz w:val="24"/>
              </w:rPr>
              <w:t>-0.02%</w:t>
            </w:r>
          </w:p>
        </w:tc>
      </w:tr>
      <w:tr w:rsidR="00472CCE">
        <w:tc>
          <w:tcPr>
            <w:tcW w:w="1497" w:type="dxa"/>
            <w:vAlign w:val="center"/>
          </w:tcPr>
          <w:p w:rsidR="00472CCE" w:rsidRDefault="00FF36B8">
            <w:pPr>
              <w:jc w:val="left"/>
            </w:pPr>
            <w:r>
              <w:rPr>
                <w:color w:val="000000"/>
                <w:sz w:val="24"/>
              </w:rPr>
              <w:t>过去三年</w:t>
            </w:r>
          </w:p>
        </w:tc>
        <w:tc>
          <w:tcPr>
            <w:tcW w:w="1251" w:type="dxa"/>
            <w:vAlign w:val="center"/>
          </w:tcPr>
          <w:p w:rsidR="00472CCE" w:rsidRDefault="00FF36B8">
            <w:pPr>
              <w:jc w:val="center"/>
            </w:pPr>
            <w:r>
              <w:rPr>
                <w:color w:val="000000"/>
                <w:sz w:val="24"/>
              </w:rPr>
              <w:t>14.81%</w:t>
            </w:r>
          </w:p>
        </w:tc>
        <w:tc>
          <w:tcPr>
            <w:tcW w:w="1250" w:type="dxa"/>
            <w:vAlign w:val="center"/>
          </w:tcPr>
          <w:p w:rsidR="00472CCE" w:rsidRDefault="00FF36B8">
            <w:pPr>
              <w:jc w:val="center"/>
            </w:pPr>
            <w:r>
              <w:rPr>
                <w:color w:val="000000"/>
                <w:sz w:val="24"/>
              </w:rPr>
              <w:t>0.07%</w:t>
            </w:r>
          </w:p>
        </w:tc>
        <w:tc>
          <w:tcPr>
            <w:tcW w:w="1250" w:type="dxa"/>
            <w:vAlign w:val="center"/>
          </w:tcPr>
          <w:p w:rsidR="00472CCE" w:rsidRDefault="00FF36B8">
            <w:pPr>
              <w:jc w:val="center"/>
            </w:pPr>
            <w:r>
              <w:rPr>
                <w:color w:val="000000"/>
                <w:sz w:val="24"/>
              </w:rPr>
              <w:t>4.55%</w:t>
            </w:r>
          </w:p>
        </w:tc>
        <w:tc>
          <w:tcPr>
            <w:tcW w:w="1250" w:type="dxa"/>
            <w:vAlign w:val="center"/>
          </w:tcPr>
          <w:p w:rsidR="00472CCE" w:rsidRDefault="00FF36B8">
            <w:pPr>
              <w:jc w:val="center"/>
            </w:pPr>
            <w:r>
              <w:rPr>
                <w:color w:val="000000"/>
                <w:sz w:val="24"/>
              </w:rPr>
              <w:t>0.05%</w:t>
            </w:r>
          </w:p>
        </w:tc>
        <w:tc>
          <w:tcPr>
            <w:tcW w:w="1250" w:type="dxa"/>
            <w:vAlign w:val="center"/>
          </w:tcPr>
          <w:p w:rsidR="00472CCE" w:rsidRDefault="00FF36B8">
            <w:pPr>
              <w:jc w:val="center"/>
            </w:pPr>
            <w:r>
              <w:rPr>
                <w:color w:val="000000"/>
                <w:sz w:val="24"/>
              </w:rPr>
              <w:t>10.26%</w:t>
            </w:r>
          </w:p>
        </w:tc>
        <w:tc>
          <w:tcPr>
            <w:tcW w:w="1250" w:type="dxa"/>
            <w:vAlign w:val="center"/>
          </w:tcPr>
          <w:p w:rsidR="00472CCE" w:rsidRDefault="00FF36B8">
            <w:pPr>
              <w:jc w:val="center"/>
            </w:pPr>
            <w:r>
              <w:rPr>
                <w:color w:val="000000"/>
                <w:sz w:val="24"/>
              </w:rPr>
              <w:t>0.02%</w:t>
            </w:r>
          </w:p>
        </w:tc>
      </w:tr>
      <w:tr w:rsidR="00472CCE">
        <w:tc>
          <w:tcPr>
            <w:tcW w:w="1497" w:type="dxa"/>
            <w:vAlign w:val="center"/>
          </w:tcPr>
          <w:p w:rsidR="00472CCE" w:rsidRDefault="00FF36B8">
            <w:pPr>
              <w:jc w:val="left"/>
            </w:pPr>
            <w:r>
              <w:rPr>
                <w:color w:val="000000"/>
                <w:sz w:val="24"/>
              </w:rPr>
              <w:t>自基金合同生效起至今</w:t>
            </w:r>
          </w:p>
        </w:tc>
        <w:tc>
          <w:tcPr>
            <w:tcW w:w="1251" w:type="dxa"/>
            <w:vAlign w:val="center"/>
          </w:tcPr>
          <w:p w:rsidR="00472CCE" w:rsidRDefault="00FF36B8">
            <w:pPr>
              <w:jc w:val="center"/>
            </w:pPr>
            <w:r>
              <w:rPr>
                <w:color w:val="000000"/>
                <w:sz w:val="24"/>
              </w:rPr>
              <w:t>20.10%</w:t>
            </w:r>
          </w:p>
        </w:tc>
        <w:tc>
          <w:tcPr>
            <w:tcW w:w="1250" w:type="dxa"/>
            <w:vAlign w:val="center"/>
          </w:tcPr>
          <w:p w:rsidR="00472CCE" w:rsidRDefault="00FF36B8">
            <w:pPr>
              <w:jc w:val="center"/>
            </w:pPr>
            <w:r>
              <w:rPr>
                <w:color w:val="000000"/>
                <w:sz w:val="24"/>
              </w:rPr>
              <w:t>0.09%</w:t>
            </w:r>
          </w:p>
        </w:tc>
        <w:tc>
          <w:tcPr>
            <w:tcW w:w="1250" w:type="dxa"/>
            <w:vAlign w:val="center"/>
          </w:tcPr>
          <w:p w:rsidR="00472CCE" w:rsidRDefault="00FF36B8">
            <w:pPr>
              <w:jc w:val="center"/>
            </w:pPr>
            <w:r>
              <w:rPr>
                <w:color w:val="000000"/>
                <w:sz w:val="24"/>
              </w:rPr>
              <w:t>6.95%</w:t>
            </w:r>
          </w:p>
        </w:tc>
        <w:tc>
          <w:tcPr>
            <w:tcW w:w="1250" w:type="dxa"/>
            <w:vAlign w:val="center"/>
          </w:tcPr>
          <w:p w:rsidR="00472CCE" w:rsidRDefault="00FF36B8">
            <w:pPr>
              <w:jc w:val="center"/>
            </w:pPr>
            <w:r>
              <w:rPr>
                <w:color w:val="000000"/>
                <w:sz w:val="24"/>
              </w:rPr>
              <w:t>0.05%</w:t>
            </w:r>
          </w:p>
        </w:tc>
        <w:tc>
          <w:tcPr>
            <w:tcW w:w="1250" w:type="dxa"/>
            <w:vAlign w:val="center"/>
          </w:tcPr>
          <w:p w:rsidR="00472CCE" w:rsidRDefault="00FF36B8">
            <w:pPr>
              <w:jc w:val="center"/>
            </w:pPr>
            <w:r>
              <w:rPr>
                <w:color w:val="000000"/>
                <w:sz w:val="24"/>
              </w:rPr>
              <w:t>13.15%</w:t>
            </w:r>
          </w:p>
        </w:tc>
        <w:tc>
          <w:tcPr>
            <w:tcW w:w="1250" w:type="dxa"/>
            <w:vAlign w:val="center"/>
          </w:tcPr>
          <w:p w:rsidR="00472CCE" w:rsidRDefault="00FF36B8">
            <w:pPr>
              <w:jc w:val="center"/>
            </w:pPr>
            <w:r>
              <w:rPr>
                <w:color w:val="000000"/>
                <w:sz w:val="24"/>
              </w:rPr>
              <w:t>0.04%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注：本基金封闭期内的业绩比较基准为两年期银行定期存款税后收益率</w:t>
      </w:r>
      <w:r w:rsidRPr="008A1551">
        <w:rPr>
          <w:kern w:val="0"/>
          <w:sz w:val="24"/>
        </w:rPr>
        <w:t>+1.25%</w:t>
      </w:r>
      <w:r w:rsidRPr="008A1551">
        <w:rPr>
          <w:kern w:val="0"/>
          <w:sz w:val="24"/>
        </w:rPr>
        <w:t>，开放期内业绩比较基准：中债综合全价指数。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交银丰润收益债券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472CCE">
        <w:tc>
          <w:tcPr>
            <w:tcW w:w="1497" w:type="dxa"/>
            <w:vAlign w:val="center"/>
          </w:tcPr>
          <w:p w:rsidR="00472CCE" w:rsidRDefault="00FF36B8">
            <w:pPr>
              <w:jc w:val="left"/>
            </w:pPr>
            <w:r>
              <w:rPr>
                <w:color w:val="000000"/>
                <w:sz w:val="24"/>
              </w:rPr>
              <w:t>过去一个月</w:t>
            </w:r>
          </w:p>
        </w:tc>
        <w:tc>
          <w:tcPr>
            <w:tcW w:w="1251" w:type="dxa"/>
            <w:vAlign w:val="center"/>
          </w:tcPr>
          <w:p w:rsidR="00472CCE" w:rsidRDefault="00FF36B8">
            <w:pPr>
              <w:jc w:val="center"/>
            </w:pPr>
            <w:r>
              <w:rPr>
                <w:color w:val="000000"/>
                <w:sz w:val="24"/>
              </w:rPr>
              <w:t>0.39%</w:t>
            </w:r>
          </w:p>
        </w:tc>
        <w:tc>
          <w:tcPr>
            <w:tcW w:w="1250" w:type="dxa"/>
            <w:vAlign w:val="center"/>
          </w:tcPr>
          <w:p w:rsidR="00472CCE" w:rsidRDefault="00FF36B8">
            <w:pPr>
              <w:jc w:val="center"/>
            </w:pPr>
            <w:r>
              <w:rPr>
                <w:color w:val="000000"/>
                <w:sz w:val="24"/>
              </w:rPr>
              <w:t>0.04%</w:t>
            </w:r>
          </w:p>
        </w:tc>
        <w:tc>
          <w:tcPr>
            <w:tcW w:w="1250" w:type="dxa"/>
            <w:vAlign w:val="center"/>
          </w:tcPr>
          <w:p w:rsidR="00472CCE" w:rsidRDefault="00FF36B8">
            <w:pPr>
              <w:jc w:val="center"/>
            </w:pPr>
            <w:r>
              <w:rPr>
                <w:color w:val="000000"/>
                <w:sz w:val="24"/>
              </w:rPr>
              <w:t>0.35%</w:t>
            </w:r>
          </w:p>
        </w:tc>
        <w:tc>
          <w:tcPr>
            <w:tcW w:w="1250" w:type="dxa"/>
            <w:vAlign w:val="center"/>
          </w:tcPr>
          <w:p w:rsidR="00472CCE" w:rsidRDefault="00FF36B8">
            <w:pPr>
              <w:jc w:val="center"/>
            </w:pPr>
            <w:r>
              <w:rPr>
                <w:color w:val="000000"/>
                <w:sz w:val="24"/>
              </w:rPr>
              <w:t>0.06%</w:t>
            </w:r>
          </w:p>
        </w:tc>
        <w:tc>
          <w:tcPr>
            <w:tcW w:w="1250" w:type="dxa"/>
            <w:vAlign w:val="center"/>
          </w:tcPr>
          <w:p w:rsidR="00472CCE" w:rsidRDefault="00FF36B8">
            <w:pPr>
              <w:jc w:val="center"/>
            </w:pPr>
            <w:r>
              <w:rPr>
                <w:color w:val="000000"/>
                <w:sz w:val="24"/>
              </w:rPr>
              <w:t>0.04%</w:t>
            </w:r>
          </w:p>
        </w:tc>
        <w:tc>
          <w:tcPr>
            <w:tcW w:w="1250" w:type="dxa"/>
            <w:vAlign w:val="center"/>
          </w:tcPr>
          <w:p w:rsidR="00472CCE" w:rsidRDefault="00FF36B8">
            <w:pPr>
              <w:jc w:val="center"/>
            </w:pPr>
            <w:r>
              <w:rPr>
                <w:color w:val="000000"/>
                <w:sz w:val="24"/>
              </w:rPr>
              <w:t>-0.02%</w:t>
            </w:r>
          </w:p>
        </w:tc>
      </w:tr>
      <w:tr w:rsidR="00472CCE">
        <w:tc>
          <w:tcPr>
            <w:tcW w:w="1497" w:type="dxa"/>
            <w:vAlign w:val="center"/>
          </w:tcPr>
          <w:p w:rsidR="00472CCE" w:rsidRDefault="00FF36B8">
            <w:pPr>
              <w:jc w:val="left"/>
            </w:pPr>
            <w:r>
              <w:rPr>
                <w:color w:val="000000"/>
                <w:sz w:val="24"/>
              </w:rPr>
              <w:t>过去三个月</w:t>
            </w:r>
          </w:p>
        </w:tc>
        <w:tc>
          <w:tcPr>
            <w:tcW w:w="1251" w:type="dxa"/>
            <w:vAlign w:val="center"/>
          </w:tcPr>
          <w:p w:rsidR="00472CCE" w:rsidRDefault="00FF36B8">
            <w:pPr>
              <w:jc w:val="center"/>
            </w:pPr>
            <w:r>
              <w:rPr>
                <w:color w:val="000000"/>
                <w:sz w:val="24"/>
              </w:rPr>
              <w:t>1.29%</w:t>
            </w:r>
          </w:p>
        </w:tc>
        <w:tc>
          <w:tcPr>
            <w:tcW w:w="1250" w:type="dxa"/>
            <w:vAlign w:val="center"/>
          </w:tcPr>
          <w:p w:rsidR="00472CCE" w:rsidRDefault="00FF36B8">
            <w:pPr>
              <w:jc w:val="center"/>
            </w:pPr>
            <w:r>
              <w:rPr>
                <w:color w:val="000000"/>
                <w:sz w:val="24"/>
              </w:rPr>
              <w:t>0.06%</w:t>
            </w:r>
          </w:p>
        </w:tc>
        <w:tc>
          <w:tcPr>
            <w:tcW w:w="1250" w:type="dxa"/>
            <w:vAlign w:val="center"/>
          </w:tcPr>
          <w:p w:rsidR="00472CCE" w:rsidRDefault="00FF36B8">
            <w:pPr>
              <w:jc w:val="center"/>
            </w:pPr>
            <w:r>
              <w:rPr>
                <w:color w:val="000000"/>
                <w:sz w:val="24"/>
              </w:rPr>
              <w:t>1.01%</w:t>
            </w:r>
          </w:p>
        </w:tc>
        <w:tc>
          <w:tcPr>
            <w:tcW w:w="1250" w:type="dxa"/>
            <w:vAlign w:val="center"/>
          </w:tcPr>
          <w:p w:rsidR="00472CCE" w:rsidRDefault="00FF36B8">
            <w:pPr>
              <w:jc w:val="center"/>
            </w:pPr>
            <w:r>
              <w:rPr>
                <w:color w:val="000000"/>
                <w:sz w:val="24"/>
              </w:rPr>
              <w:t>0.10%</w:t>
            </w:r>
          </w:p>
        </w:tc>
        <w:tc>
          <w:tcPr>
            <w:tcW w:w="1250" w:type="dxa"/>
            <w:vAlign w:val="center"/>
          </w:tcPr>
          <w:p w:rsidR="00472CCE" w:rsidRDefault="00FF36B8">
            <w:pPr>
              <w:jc w:val="center"/>
            </w:pPr>
            <w:r>
              <w:rPr>
                <w:color w:val="000000"/>
                <w:sz w:val="24"/>
              </w:rPr>
              <w:t>0.28%</w:t>
            </w:r>
          </w:p>
        </w:tc>
        <w:tc>
          <w:tcPr>
            <w:tcW w:w="1250" w:type="dxa"/>
            <w:vAlign w:val="center"/>
          </w:tcPr>
          <w:p w:rsidR="00472CCE" w:rsidRDefault="00FF36B8">
            <w:pPr>
              <w:jc w:val="center"/>
            </w:pPr>
            <w:r>
              <w:rPr>
                <w:color w:val="000000"/>
                <w:sz w:val="24"/>
              </w:rPr>
              <w:t>-0.04%</w:t>
            </w:r>
          </w:p>
        </w:tc>
      </w:tr>
      <w:tr w:rsidR="00472CCE">
        <w:tc>
          <w:tcPr>
            <w:tcW w:w="1497" w:type="dxa"/>
            <w:vAlign w:val="center"/>
          </w:tcPr>
          <w:p w:rsidR="00472CCE" w:rsidRDefault="00FF36B8">
            <w:pPr>
              <w:jc w:val="left"/>
            </w:pPr>
            <w:r>
              <w:rPr>
                <w:color w:val="000000"/>
                <w:sz w:val="24"/>
              </w:rPr>
              <w:t>过去六个月</w:t>
            </w:r>
          </w:p>
        </w:tc>
        <w:tc>
          <w:tcPr>
            <w:tcW w:w="1251" w:type="dxa"/>
            <w:vAlign w:val="center"/>
          </w:tcPr>
          <w:p w:rsidR="00472CCE" w:rsidRDefault="00FF36B8">
            <w:pPr>
              <w:jc w:val="center"/>
            </w:pPr>
            <w:r>
              <w:rPr>
                <w:color w:val="000000"/>
                <w:sz w:val="24"/>
              </w:rPr>
              <w:t>3.13%</w:t>
            </w:r>
          </w:p>
        </w:tc>
        <w:tc>
          <w:tcPr>
            <w:tcW w:w="1250" w:type="dxa"/>
            <w:vAlign w:val="center"/>
          </w:tcPr>
          <w:p w:rsidR="00472CCE" w:rsidRDefault="00FF36B8">
            <w:pPr>
              <w:jc w:val="center"/>
            </w:pPr>
            <w:r>
              <w:rPr>
                <w:color w:val="000000"/>
                <w:sz w:val="24"/>
              </w:rPr>
              <w:t>0.06%</w:t>
            </w:r>
          </w:p>
        </w:tc>
        <w:tc>
          <w:tcPr>
            <w:tcW w:w="1250" w:type="dxa"/>
            <w:vAlign w:val="center"/>
          </w:tcPr>
          <w:p w:rsidR="00472CCE" w:rsidRDefault="00FF36B8">
            <w:pPr>
              <w:jc w:val="center"/>
            </w:pPr>
            <w:r>
              <w:rPr>
                <w:color w:val="000000"/>
                <w:sz w:val="24"/>
              </w:rPr>
              <w:t>2.14%</w:t>
            </w:r>
          </w:p>
        </w:tc>
        <w:tc>
          <w:tcPr>
            <w:tcW w:w="1250" w:type="dxa"/>
            <w:vAlign w:val="center"/>
          </w:tcPr>
          <w:p w:rsidR="00472CCE" w:rsidRDefault="00FF36B8">
            <w:pPr>
              <w:jc w:val="center"/>
            </w:pPr>
            <w:r>
              <w:rPr>
                <w:color w:val="000000"/>
                <w:sz w:val="24"/>
              </w:rPr>
              <w:t>0.08%</w:t>
            </w:r>
          </w:p>
        </w:tc>
        <w:tc>
          <w:tcPr>
            <w:tcW w:w="1250" w:type="dxa"/>
            <w:vAlign w:val="center"/>
          </w:tcPr>
          <w:p w:rsidR="00472CCE" w:rsidRDefault="00FF36B8">
            <w:pPr>
              <w:jc w:val="center"/>
            </w:pPr>
            <w:r>
              <w:rPr>
                <w:color w:val="000000"/>
                <w:sz w:val="24"/>
              </w:rPr>
              <w:t>0.99%</w:t>
            </w:r>
          </w:p>
        </w:tc>
        <w:tc>
          <w:tcPr>
            <w:tcW w:w="1250" w:type="dxa"/>
            <w:vAlign w:val="center"/>
          </w:tcPr>
          <w:p w:rsidR="00472CCE" w:rsidRDefault="00FF36B8">
            <w:pPr>
              <w:jc w:val="center"/>
            </w:pPr>
            <w:r>
              <w:rPr>
                <w:color w:val="000000"/>
                <w:sz w:val="24"/>
              </w:rPr>
              <w:t>-0.02%</w:t>
            </w:r>
          </w:p>
        </w:tc>
      </w:tr>
      <w:tr w:rsidR="00472CCE">
        <w:tc>
          <w:tcPr>
            <w:tcW w:w="1497" w:type="dxa"/>
            <w:vAlign w:val="center"/>
          </w:tcPr>
          <w:p w:rsidR="00472CCE" w:rsidRDefault="00FF36B8">
            <w:pPr>
              <w:jc w:val="left"/>
            </w:pPr>
            <w:r>
              <w:rPr>
                <w:color w:val="000000"/>
                <w:sz w:val="24"/>
              </w:rPr>
              <w:t>过去一年</w:t>
            </w:r>
          </w:p>
        </w:tc>
        <w:tc>
          <w:tcPr>
            <w:tcW w:w="1251" w:type="dxa"/>
            <w:vAlign w:val="center"/>
          </w:tcPr>
          <w:p w:rsidR="00472CCE" w:rsidRDefault="00FF36B8">
            <w:pPr>
              <w:jc w:val="center"/>
            </w:pPr>
            <w:r>
              <w:rPr>
                <w:color w:val="000000"/>
                <w:sz w:val="24"/>
              </w:rPr>
              <w:t>0.89%</w:t>
            </w:r>
          </w:p>
        </w:tc>
        <w:tc>
          <w:tcPr>
            <w:tcW w:w="1250" w:type="dxa"/>
            <w:vAlign w:val="center"/>
          </w:tcPr>
          <w:p w:rsidR="00472CCE" w:rsidRDefault="00FF36B8">
            <w:pPr>
              <w:jc w:val="center"/>
            </w:pPr>
            <w:r>
              <w:rPr>
                <w:color w:val="000000"/>
                <w:sz w:val="24"/>
              </w:rPr>
              <w:t>0.18%</w:t>
            </w:r>
          </w:p>
        </w:tc>
        <w:tc>
          <w:tcPr>
            <w:tcW w:w="1250" w:type="dxa"/>
            <w:vAlign w:val="center"/>
          </w:tcPr>
          <w:p w:rsidR="00472CCE" w:rsidRDefault="00FF36B8">
            <w:pPr>
              <w:jc w:val="center"/>
            </w:pPr>
            <w:r>
              <w:rPr>
                <w:color w:val="000000"/>
                <w:sz w:val="24"/>
              </w:rPr>
              <w:t>0.83%</w:t>
            </w:r>
          </w:p>
        </w:tc>
        <w:tc>
          <w:tcPr>
            <w:tcW w:w="1250" w:type="dxa"/>
            <w:vAlign w:val="center"/>
          </w:tcPr>
          <w:p w:rsidR="00472CCE" w:rsidRDefault="00FF36B8">
            <w:pPr>
              <w:jc w:val="center"/>
            </w:pPr>
            <w:r>
              <w:rPr>
                <w:color w:val="000000"/>
                <w:sz w:val="24"/>
              </w:rPr>
              <w:t>0.07%</w:t>
            </w:r>
          </w:p>
        </w:tc>
        <w:tc>
          <w:tcPr>
            <w:tcW w:w="1250" w:type="dxa"/>
            <w:vAlign w:val="center"/>
          </w:tcPr>
          <w:p w:rsidR="00472CCE" w:rsidRDefault="00FF36B8">
            <w:pPr>
              <w:jc w:val="center"/>
            </w:pPr>
            <w:r>
              <w:rPr>
                <w:color w:val="000000"/>
                <w:sz w:val="24"/>
              </w:rPr>
              <w:t>0.06%</w:t>
            </w:r>
          </w:p>
        </w:tc>
        <w:tc>
          <w:tcPr>
            <w:tcW w:w="1250" w:type="dxa"/>
            <w:vAlign w:val="center"/>
          </w:tcPr>
          <w:p w:rsidR="00472CCE" w:rsidRDefault="00FF36B8">
            <w:pPr>
              <w:jc w:val="center"/>
            </w:pPr>
            <w:r>
              <w:rPr>
                <w:color w:val="000000"/>
                <w:sz w:val="24"/>
              </w:rPr>
              <w:t>0.11%</w:t>
            </w:r>
          </w:p>
        </w:tc>
      </w:tr>
      <w:tr w:rsidR="00472CCE">
        <w:tc>
          <w:tcPr>
            <w:tcW w:w="1497" w:type="dxa"/>
            <w:vAlign w:val="center"/>
          </w:tcPr>
          <w:p w:rsidR="00472CCE" w:rsidRDefault="00FF36B8">
            <w:pPr>
              <w:jc w:val="left"/>
            </w:pPr>
            <w:r>
              <w:rPr>
                <w:color w:val="000000"/>
                <w:sz w:val="24"/>
              </w:rPr>
              <w:t>过去三年</w:t>
            </w:r>
          </w:p>
        </w:tc>
        <w:tc>
          <w:tcPr>
            <w:tcW w:w="1251" w:type="dxa"/>
            <w:vAlign w:val="center"/>
          </w:tcPr>
          <w:p w:rsidR="00472CCE" w:rsidRDefault="00FF36B8">
            <w:pPr>
              <w:jc w:val="center"/>
            </w:pPr>
            <w:r>
              <w:rPr>
                <w:color w:val="000000"/>
                <w:sz w:val="24"/>
              </w:rPr>
              <w:t>9.88%</w:t>
            </w:r>
          </w:p>
        </w:tc>
        <w:tc>
          <w:tcPr>
            <w:tcW w:w="1250" w:type="dxa"/>
            <w:vAlign w:val="center"/>
          </w:tcPr>
          <w:p w:rsidR="00472CCE" w:rsidRDefault="00FF36B8">
            <w:pPr>
              <w:jc w:val="center"/>
            </w:pPr>
            <w:r>
              <w:rPr>
                <w:color w:val="000000"/>
                <w:sz w:val="24"/>
              </w:rPr>
              <w:t>0.12%</w:t>
            </w:r>
          </w:p>
        </w:tc>
        <w:tc>
          <w:tcPr>
            <w:tcW w:w="1250" w:type="dxa"/>
            <w:vAlign w:val="center"/>
          </w:tcPr>
          <w:p w:rsidR="00472CCE" w:rsidRDefault="00FF36B8">
            <w:pPr>
              <w:jc w:val="center"/>
            </w:pPr>
            <w:r>
              <w:rPr>
                <w:color w:val="000000"/>
                <w:sz w:val="24"/>
              </w:rPr>
              <w:t>4.55%</w:t>
            </w:r>
          </w:p>
        </w:tc>
        <w:tc>
          <w:tcPr>
            <w:tcW w:w="1250" w:type="dxa"/>
            <w:vAlign w:val="center"/>
          </w:tcPr>
          <w:p w:rsidR="00472CCE" w:rsidRDefault="00FF36B8">
            <w:pPr>
              <w:jc w:val="center"/>
            </w:pPr>
            <w:r>
              <w:rPr>
                <w:color w:val="000000"/>
                <w:sz w:val="24"/>
              </w:rPr>
              <w:t>0.05%</w:t>
            </w:r>
          </w:p>
        </w:tc>
        <w:tc>
          <w:tcPr>
            <w:tcW w:w="1250" w:type="dxa"/>
            <w:vAlign w:val="center"/>
          </w:tcPr>
          <w:p w:rsidR="00472CCE" w:rsidRDefault="00FF36B8">
            <w:pPr>
              <w:jc w:val="center"/>
            </w:pPr>
            <w:r>
              <w:rPr>
                <w:color w:val="000000"/>
                <w:sz w:val="24"/>
              </w:rPr>
              <w:t>5.33%</w:t>
            </w:r>
          </w:p>
        </w:tc>
        <w:tc>
          <w:tcPr>
            <w:tcW w:w="1250" w:type="dxa"/>
            <w:vAlign w:val="center"/>
          </w:tcPr>
          <w:p w:rsidR="00472CCE" w:rsidRDefault="00FF36B8">
            <w:pPr>
              <w:jc w:val="center"/>
            </w:pPr>
            <w:r>
              <w:rPr>
                <w:color w:val="000000"/>
                <w:sz w:val="24"/>
              </w:rPr>
              <w:t>0.07%</w:t>
            </w:r>
          </w:p>
        </w:tc>
      </w:tr>
      <w:tr w:rsidR="00472CCE">
        <w:tc>
          <w:tcPr>
            <w:tcW w:w="1497" w:type="dxa"/>
            <w:vAlign w:val="center"/>
          </w:tcPr>
          <w:p w:rsidR="00472CCE" w:rsidRDefault="00FF36B8">
            <w:pPr>
              <w:jc w:val="left"/>
            </w:pPr>
            <w:r>
              <w:rPr>
                <w:color w:val="000000"/>
                <w:sz w:val="24"/>
              </w:rPr>
              <w:t>自基金合同生效起至今</w:t>
            </w:r>
          </w:p>
        </w:tc>
        <w:tc>
          <w:tcPr>
            <w:tcW w:w="1251" w:type="dxa"/>
            <w:vAlign w:val="center"/>
          </w:tcPr>
          <w:p w:rsidR="00472CCE" w:rsidRDefault="00FF36B8">
            <w:pPr>
              <w:jc w:val="center"/>
            </w:pPr>
            <w:r>
              <w:rPr>
                <w:color w:val="000000"/>
                <w:sz w:val="24"/>
              </w:rPr>
              <w:t>14.60%</w:t>
            </w:r>
          </w:p>
        </w:tc>
        <w:tc>
          <w:tcPr>
            <w:tcW w:w="1250" w:type="dxa"/>
            <w:vAlign w:val="center"/>
          </w:tcPr>
          <w:p w:rsidR="00472CCE" w:rsidRDefault="00FF36B8">
            <w:pPr>
              <w:jc w:val="center"/>
            </w:pPr>
            <w:r>
              <w:rPr>
                <w:color w:val="000000"/>
                <w:sz w:val="24"/>
              </w:rPr>
              <w:t>0.13%</w:t>
            </w:r>
          </w:p>
        </w:tc>
        <w:tc>
          <w:tcPr>
            <w:tcW w:w="1250" w:type="dxa"/>
            <w:vAlign w:val="center"/>
          </w:tcPr>
          <w:p w:rsidR="00472CCE" w:rsidRDefault="00FF36B8">
            <w:pPr>
              <w:jc w:val="center"/>
            </w:pPr>
            <w:r>
              <w:rPr>
                <w:color w:val="000000"/>
                <w:sz w:val="24"/>
              </w:rPr>
              <w:t>6.95%</w:t>
            </w:r>
          </w:p>
        </w:tc>
        <w:tc>
          <w:tcPr>
            <w:tcW w:w="1250" w:type="dxa"/>
            <w:vAlign w:val="center"/>
          </w:tcPr>
          <w:p w:rsidR="00472CCE" w:rsidRDefault="00FF36B8">
            <w:pPr>
              <w:jc w:val="center"/>
            </w:pPr>
            <w:r>
              <w:rPr>
                <w:color w:val="000000"/>
                <w:sz w:val="24"/>
              </w:rPr>
              <w:t>0.05%</w:t>
            </w:r>
          </w:p>
        </w:tc>
        <w:tc>
          <w:tcPr>
            <w:tcW w:w="1250" w:type="dxa"/>
            <w:vAlign w:val="center"/>
          </w:tcPr>
          <w:p w:rsidR="00472CCE" w:rsidRDefault="00FF36B8">
            <w:pPr>
              <w:jc w:val="center"/>
            </w:pPr>
            <w:r>
              <w:rPr>
                <w:color w:val="000000"/>
                <w:sz w:val="24"/>
              </w:rPr>
              <w:t>7.65%</w:t>
            </w:r>
          </w:p>
        </w:tc>
        <w:tc>
          <w:tcPr>
            <w:tcW w:w="1250" w:type="dxa"/>
            <w:vAlign w:val="center"/>
          </w:tcPr>
          <w:p w:rsidR="00472CCE" w:rsidRDefault="00FF36B8">
            <w:pPr>
              <w:jc w:val="center"/>
            </w:pPr>
            <w:r>
              <w:rPr>
                <w:color w:val="000000"/>
                <w:sz w:val="24"/>
              </w:rPr>
              <w:t>0.08%</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注：本基金封闭期内的业绩比较基准为两年期银行定期存款税后收益率</w:t>
      </w:r>
      <w:r w:rsidRPr="008A1551">
        <w:rPr>
          <w:kern w:val="0"/>
          <w:sz w:val="24"/>
        </w:rPr>
        <w:t>+1.25%</w:t>
      </w:r>
      <w:r w:rsidRPr="008A1551">
        <w:rPr>
          <w:kern w:val="0"/>
          <w:sz w:val="24"/>
        </w:rPr>
        <w:t>，开放期内业绩比较基准：中债综合全价指数。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交银施罗德丰润收益债券型证券投资基金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2014</w:t>
      </w:r>
      <w:r w:rsidR="001548F9" w:rsidRPr="008A1551">
        <w:rPr>
          <w:rFonts w:ascii="Times New Roman" w:hAnsi="Times New Roman"/>
          <w:sz w:val="24"/>
          <w:szCs w:val="24"/>
        </w:rPr>
        <w:t>年</w:t>
      </w:r>
      <w:r w:rsidR="001548F9" w:rsidRPr="008A1551">
        <w:rPr>
          <w:rFonts w:ascii="Times New Roman" w:hAnsi="Times New Roman"/>
          <w:sz w:val="24"/>
          <w:szCs w:val="24"/>
        </w:rPr>
        <w:t>12</w:t>
      </w:r>
      <w:r w:rsidR="001548F9" w:rsidRPr="008A1551">
        <w:rPr>
          <w:rFonts w:ascii="Times New Roman" w:hAnsi="Times New Roman"/>
          <w:sz w:val="24"/>
          <w:szCs w:val="24"/>
        </w:rPr>
        <w:t>月</w:t>
      </w:r>
      <w:r w:rsidR="001548F9" w:rsidRPr="008A1551">
        <w:rPr>
          <w:rFonts w:ascii="Times New Roman" w:hAnsi="Times New Roman"/>
          <w:sz w:val="24"/>
          <w:szCs w:val="24"/>
        </w:rPr>
        <w:t>15</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交银丰润收益债券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交银丰润收益债券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472CCE" w:rsidRDefault="00FF36B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472CCE">
        <w:tc>
          <w:tcPr>
            <w:tcW w:w="1033" w:type="dxa"/>
            <w:vAlign w:val="center"/>
          </w:tcPr>
          <w:p w:rsidR="00472CCE" w:rsidRDefault="00FF36B8">
            <w:pPr>
              <w:jc w:val="center"/>
            </w:pPr>
            <w:r>
              <w:rPr>
                <w:color w:val="000000"/>
                <w:sz w:val="24"/>
              </w:rPr>
              <w:t>连端清</w:t>
            </w:r>
          </w:p>
        </w:tc>
        <w:tc>
          <w:tcPr>
            <w:tcW w:w="1416" w:type="dxa"/>
            <w:vAlign w:val="center"/>
          </w:tcPr>
          <w:p w:rsidR="00472CCE" w:rsidRDefault="00FF36B8">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126" w:type="dxa"/>
            <w:vAlign w:val="center"/>
          </w:tcPr>
          <w:p w:rsidR="00472CCE" w:rsidRDefault="00FF36B8">
            <w:pPr>
              <w:jc w:val="center"/>
            </w:pPr>
            <w:r>
              <w:rPr>
                <w:color w:val="000000"/>
                <w:sz w:val="24"/>
              </w:rPr>
              <w:t>2015-08-04</w:t>
            </w:r>
          </w:p>
        </w:tc>
        <w:tc>
          <w:tcPr>
            <w:tcW w:w="1192" w:type="dxa"/>
            <w:vAlign w:val="center"/>
          </w:tcPr>
          <w:p w:rsidR="00472CCE" w:rsidRDefault="00FF36B8">
            <w:pPr>
              <w:jc w:val="center"/>
            </w:pPr>
            <w:r>
              <w:rPr>
                <w:color w:val="000000"/>
                <w:sz w:val="24"/>
              </w:rPr>
              <w:t>-</w:t>
            </w:r>
          </w:p>
        </w:tc>
        <w:tc>
          <w:tcPr>
            <w:tcW w:w="1169" w:type="dxa"/>
            <w:vAlign w:val="center"/>
          </w:tcPr>
          <w:p w:rsidR="00472CCE" w:rsidRDefault="00FF36B8">
            <w:pPr>
              <w:jc w:val="center"/>
            </w:pPr>
            <w:r>
              <w:rPr>
                <w:color w:val="000000"/>
                <w:sz w:val="24"/>
              </w:rPr>
              <w:t>5</w:t>
            </w:r>
            <w:r>
              <w:rPr>
                <w:color w:val="000000"/>
                <w:sz w:val="24"/>
              </w:rPr>
              <w:t>年</w:t>
            </w:r>
          </w:p>
        </w:tc>
        <w:tc>
          <w:tcPr>
            <w:tcW w:w="3062" w:type="dxa"/>
            <w:vAlign w:val="center"/>
          </w:tcPr>
          <w:p w:rsidR="00472CCE" w:rsidRDefault="00FF36B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472CCE" w:rsidRDefault="00FF36B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472CCE" w:rsidRDefault="00FF36B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472CCE" w:rsidRDefault="00FF36B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472CCE" w:rsidRDefault="00FF36B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72CCE" w:rsidRDefault="00FF36B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72CCE" w:rsidRDefault="00FF36B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472CCE" w:rsidRDefault="00FF36B8">
      <w:pPr>
        <w:spacing w:before="29" w:line="288" w:lineRule="auto"/>
        <w:ind w:firstLineChars="200" w:firstLine="480"/>
        <w:rPr>
          <w:color w:val="000000"/>
          <w:sz w:val="24"/>
        </w:rPr>
      </w:pPr>
      <w:r>
        <w:rPr>
          <w:color w:val="000000"/>
          <w:sz w:val="24"/>
        </w:rPr>
        <w:t>2018</w:t>
      </w:r>
      <w:r>
        <w:rPr>
          <w:color w:val="000000"/>
          <w:sz w:val="24"/>
        </w:rPr>
        <w:t>年上半年，国内经济整体上呈稳中放缓态势，二季度中美贸易战如乌云压顶，经济悲观预期加深。国内制造业景气度保持高位扩张，制造业</w:t>
      </w:r>
      <w:r>
        <w:rPr>
          <w:color w:val="000000"/>
          <w:sz w:val="24"/>
        </w:rPr>
        <w:t>FAI</w:t>
      </w:r>
      <w:r>
        <w:rPr>
          <w:color w:val="000000"/>
          <w:sz w:val="24"/>
        </w:rPr>
        <w:t>同比增速上半年处于上升通道，尽管房地产投资增速也保持较高增长，但是受基建投资大幅下行拖累，上半年固定资产投资不断下滑。同时，中美贸易摩擦加剧，国内进口上升较快，上半年净出口对</w:t>
      </w:r>
      <w:r>
        <w:rPr>
          <w:color w:val="000000"/>
          <w:sz w:val="24"/>
        </w:rPr>
        <w:t>GDP</w:t>
      </w:r>
      <w:r>
        <w:rPr>
          <w:color w:val="000000"/>
          <w:sz w:val="24"/>
        </w:rPr>
        <w:t>的贡献率大幅转负。受资管新规影响发力，上半年企业的融资条件趋紧，企业信贷利率走高，而且广义理财规模收缩与信托委贷下降造成表外融资规模收缩，依赖表外融资的企业信用风险大幅上升。货币政策上，上半年央行执行了中性偏松的货币政策操作，通过多次降准释放了充沛的流动性以应对表外融资渠道收缩及中美贸易战带来的不确定性。一季度，定向降准落地以及</w:t>
      </w:r>
      <w:r>
        <w:rPr>
          <w:color w:val="000000"/>
          <w:sz w:val="24"/>
        </w:rPr>
        <w:t>“</w:t>
      </w:r>
      <w:r>
        <w:rPr>
          <w:color w:val="000000"/>
          <w:sz w:val="24"/>
        </w:rPr>
        <w:t>临时准备金动用安排</w:t>
      </w:r>
      <w:r>
        <w:rPr>
          <w:color w:val="000000"/>
          <w:sz w:val="24"/>
        </w:rPr>
        <w:t>”</w:t>
      </w:r>
      <w:r>
        <w:rPr>
          <w:color w:val="000000"/>
          <w:sz w:val="24"/>
        </w:rPr>
        <w:t>释放了大量流动性，为二月份跨春节假期及三月份跨季提供了充裕的流动性。二季度，央行分别于</w:t>
      </w:r>
      <w:r>
        <w:rPr>
          <w:color w:val="000000"/>
          <w:sz w:val="24"/>
        </w:rPr>
        <w:t>4</w:t>
      </w:r>
      <w:r>
        <w:rPr>
          <w:color w:val="000000"/>
          <w:sz w:val="24"/>
        </w:rPr>
        <w:t>月</w:t>
      </w:r>
      <w:r>
        <w:rPr>
          <w:color w:val="000000"/>
          <w:sz w:val="24"/>
        </w:rPr>
        <w:t>17</w:t>
      </w:r>
      <w:r>
        <w:rPr>
          <w:color w:val="000000"/>
          <w:sz w:val="24"/>
        </w:rPr>
        <w:t>日及</w:t>
      </w:r>
      <w:r>
        <w:rPr>
          <w:color w:val="000000"/>
          <w:sz w:val="24"/>
        </w:rPr>
        <w:t>6</w:t>
      </w:r>
      <w:r>
        <w:rPr>
          <w:color w:val="000000"/>
          <w:sz w:val="24"/>
        </w:rPr>
        <w:t>月</w:t>
      </w:r>
      <w:r>
        <w:rPr>
          <w:color w:val="000000"/>
          <w:sz w:val="24"/>
        </w:rPr>
        <w:t>24</w:t>
      </w:r>
      <w:r>
        <w:rPr>
          <w:color w:val="000000"/>
          <w:sz w:val="24"/>
        </w:rPr>
        <w:t>日两次宣布降准，释放增量资金约</w:t>
      </w:r>
      <w:r>
        <w:rPr>
          <w:color w:val="000000"/>
          <w:sz w:val="24"/>
        </w:rPr>
        <w:t>1.1</w:t>
      </w:r>
      <w:r>
        <w:rPr>
          <w:color w:val="000000"/>
          <w:sz w:val="24"/>
        </w:rPr>
        <w:t>万亿元。</w:t>
      </w:r>
    </w:p>
    <w:p w:rsidR="00472CCE" w:rsidRDefault="00FF36B8">
      <w:pPr>
        <w:spacing w:before="29" w:line="288" w:lineRule="auto"/>
        <w:ind w:firstLineChars="200" w:firstLine="480"/>
        <w:rPr>
          <w:color w:val="000000"/>
          <w:sz w:val="24"/>
        </w:rPr>
      </w:pPr>
      <w:r>
        <w:rPr>
          <w:color w:val="000000"/>
          <w:sz w:val="24"/>
        </w:rPr>
        <w:t>资金面上，受央行持续降准影响，上半年市场资金面较为宽松。六月底</w:t>
      </w:r>
      <w:r>
        <w:rPr>
          <w:color w:val="000000"/>
          <w:sz w:val="24"/>
        </w:rPr>
        <w:t>R001</w:t>
      </w:r>
      <w:r>
        <w:rPr>
          <w:color w:val="000000"/>
          <w:sz w:val="24"/>
        </w:rPr>
        <w:t>较</w:t>
      </w:r>
      <w:r>
        <w:rPr>
          <w:color w:val="000000"/>
          <w:sz w:val="24"/>
        </w:rPr>
        <w:t>2017</w:t>
      </w:r>
      <w:r>
        <w:rPr>
          <w:color w:val="000000"/>
          <w:sz w:val="24"/>
        </w:rPr>
        <w:t>年年底下降</w:t>
      </w:r>
      <w:r>
        <w:rPr>
          <w:color w:val="000000"/>
          <w:sz w:val="24"/>
        </w:rPr>
        <w:t>43</w:t>
      </w:r>
      <w:r>
        <w:rPr>
          <w:color w:val="000000"/>
          <w:sz w:val="24"/>
        </w:rPr>
        <w:t>个</w:t>
      </w:r>
      <w:r>
        <w:rPr>
          <w:color w:val="000000"/>
          <w:sz w:val="24"/>
        </w:rPr>
        <w:t>BP</w:t>
      </w:r>
      <w:r>
        <w:rPr>
          <w:color w:val="000000"/>
          <w:sz w:val="24"/>
        </w:rPr>
        <w:t>以上。受资金持续宽松等因素影响，二季度同业存款及同业存单利率大幅下行。资金面宽松叠加中美贸易战加深经济悲观预期等影响，上半年利率债大幅上涨。六月底</w:t>
      </w:r>
      <w:r>
        <w:rPr>
          <w:color w:val="000000"/>
          <w:sz w:val="24"/>
        </w:rPr>
        <w:t>10</w:t>
      </w:r>
      <w:r>
        <w:rPr>
          <w:color w:val="000000"/>
          <w:sz w:val="24"/>
        </w:rPr>
        <w:t>年期国开债</w:t>
      </w:r>
      <w:r>
        <w:rPr>
          <w:color w:val="000000"/>
          <w:sz w:val="24"/>
        </w:rPr>
        <w:t>YTM</w:t>
      </w:r>
      <w:r>
        <w:rPr>
          <w:color w:val="000000"/>
          <w:sz w:val="24"/>
        </w:rPr>
        <w:t>较</w:t>
      </w:r>
      <w:r>
        <w:rPr>
          <w:color w:val="000000"/>
          <w:sz w:val="24"/>
        </w:rPr>
        <w:t>2017</w:t>
      </w:r>
      <w:r>
        <w:rPr>
          <w:color w:val="000000"/>
          <w:sz w:val="24"/>
        </w:rPr>
        <w:t>年年底回落</w:t>
      </w:r>
      <w:r>
        <w:rPr>
          <w:color w:val="000000"/>
          <w:sz w:val="24"/>
        </w:rPr>
        <w:t>56</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w:t>
      </w:r>
      <w:r>
        <w:rPr>
          <w:color w:val="000000"/>
          <w:sz w:val="24"/>
        </w:rPr>
        <w:t>2017</w:t>
      </w:r>
      <w:r>
        <w:rPr>
          <w:color w:val="000000"/>
          <w:sz w:val="24"/>
        </w:rPr>
        <w:t>年年底回落</w:t>
      </w:r>
      <w:r>
        <w:rPr>
          <w:color w:val="000000"/>
          <w:sz w:val="24"/>
        </w:rPr>
        <w:t>74</w:t>
      </w:r>
      <w:r>
        <w:rPr>
          <w:color w:val="000000"/>
          <w:sz w:val="24"/>
        </w:rPr>
        <w:t>个</w:t>
      </w:r>
      <w:r>
        <w:rPr>
          <w:color w:val="000000"/>
          <w:sz w:val="24"/>
        </w:rPr>
        <w:t>BP</w:t>
      </w:r>
      <w:r>
        <w:rPr>
          <w:color w:val="000000"/>
          <w:sz w:val="24"/>
        </w:rPr>
        <w:t>以上，但低评级信用债受信用事件冲击，上半年涨幅相对较小。</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基金操作方面，报告期内本基金根据市场情况，调整持仓债券，维持杠杆融资，加强风险管控，为持有人创造稳健的回报。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2018</w:t>
      </w:r>
      <w:r w:rsidRPr="008A1551">
        <w:rPr>
          <w:color w:val="000000"/>
          <w:sz w:val="24"/>
        </w:rPr>
        <w:t>年下半年，考虑中美贸易战风险、贷款利率高企及表外融资收缩等问题，我们预计经济在边际上仍存在下行压力，但稳中放缓的可能性较大。因此，短期内货币政策仍可能以中性偏宽松为主，但防控金融风险的任务未完成，仍需要高度关注相关政策出台的节奏与力度。我们将继续关注美国引发的贸易战对经济走势的影响，跟踪表外融资收缩带来的问题。组合管理方面，本基金将努力研判宏观经济走势，密切跟踪央行货币政策操作与金融监管政策动态，尽力控制信用风险，积极跟踪把握市场机会，努力为份额持有人创造稳健的回报。</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472CCE" w:rsidRDefault="00FF36B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72CCE" w:rsidRDefault="00FF36B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根据相关法律法规和基金合同要求，本基金本报告期内对本报告期可供分配利润进行了收益分配，具体情况参见半年度报告正文</w:t>
      </w:r>
      <w:r w:rsidRPr="008A1551">
        <w:rPr>
          <w:color w:val="000000"/>
          <w:sz w:val="24"/>
        </w:rPr>
        <w:t>6.4.11</w:t>
      </w:r>
      <w:r w:rsidRPr="008A1551">
        <w:rPr>
          <w:color w:val="000000"/>
          <w:sz w:val="24"/>
        </w:rPr>
        <w:t>利润分配情况。</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作为本基金的托管人，中信银行严格遵守了《证券投资基金法》及其他有关法律法规、基金合同和托管协议的规定，对交银施罗德丰润收益债券型证券投资基金</w:t>
      </w:r>
      <w:r w:rsidRPr="008A1551">
        <w:rPr>
          <w:color w:val="000000"/>
          <w:sz w:val="24"/>
        </w:rPr>
        <w:t>2018</w:t>
      </w:r>
      <w:r w:rsidRPr="008A1551">
        <w:rPr>
          <w:color w:val="000000"/>
          <w:sz w:val="24"/>
        </w:rPr>
        <w:t>年上半年的投资运作，进行了认真、独立的会计核算和必要的投资监督，履行了托管人的义务，不存在任何损害基金份额持有人利益的行为。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交银施罗德丰润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本托管人认为，交银施罗德基金管理有限公司的信息披露事务符合《证券投资基金信息披露管理办法》及其他相关法律法规的规定，基金管理人所编制和披露的交银施罗德丰润收益债券型证券投资基金</w:t>
      </w:r>
      <w:r w:rsidRPr="008A1551">
        <w:rPr>
          <w:color w:val="000000"/>
          <w:sz w:val="24"/>
        </w:rPr>
        <w:t>2018</w:t>
      </w:r>
      <w:r w:rsidRPr="008A1551">
        <w:rPr>
          <w:color w:val="000000"/>
          <w:sz w:val="24"/>
        </w:rPr>
        <w:t>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会计主体：交银施罗德丰润收益债券型证券投资基金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2,892,431.43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935,723.47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4,550,454.55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4,719.93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616.55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6,621,796,000.00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4,970,797,000.00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6,410,758,000.00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4,970,797,000.00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211,038,000.00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199,500,419.25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14,000,000.00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27,010.41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151,354,762.08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50,717,971.76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10,049.96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198.73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6,975,558,382.65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5,041,028,975.47</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1,951,765,232.33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10,196.28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79,648.54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1,233,790.45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1,283,011.82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411,263.49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427,670.59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251.23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690.74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99,797.06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34,917.06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463,281.82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1,711,928.58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173,563.45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100,000.00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1,955,869,304.69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1,925,938.75</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4,909,257,445.77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4,913,282,488.74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110,431,632.19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125,820,547.98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5,019,689,077.96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5,039,103,036.72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6,975,558,382.65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5,041,028,975.47</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1.022</w:t>
      </w:r>
      <w:r w:rsidRPr="008A1551">
        <w:rPr>
          <w:kern w:val="0"/>
          <w:sz w:val="24"/>
        </w:rPr>
        <w:t>元，</w:t>
      </w:r>
      <w:r w:rsidRPr="008A1551">
        <w:rPr>
          <w:kern w:val="0"/>
          <w:sz w:val="24"/>
        </w:rPr>
        <w:t>C</w:t>
      </w:r>
      <w:r w:rsidRPr="008A1551">
        <w:rPr>
          <w:kern w:val="0"/>
          <w:sz w:val="24"/>
        </w:rPr>
        <w:t>类基金份额净值</w:t>
      </w:r>
      <w:r w:rsidRPr="008A1551">
        <w:rPr>
          <w:kern w:val="0"/>
          <w:sz w:val="24"/>
        </w:rPr>
        <w:t>1.022</w:t>
      </w:r>
      <w:r w:rsidRPr="008A1551">
        <w:rPr>
          <w:kern w:val="0"/>
          <w:sz w:val="24"/>
        </w:rPr>
        <w:t>元，基金份额总额</w:t>
      </w:r>
      <w:r w:rsidRPr="008A1551">
        <w:rPr>
          <w:kern w:val="0"/>
          <w:sz w:val="24"/>
        </w:rPr>
        <w:t>4,909,257,445.77</w:t>
      </w:r>
      <w:r w:rsidRPr="008A1551">
        <w:rPr>
          <w:kern w:val="0"/>
          <w:sz w:val="24"/>
        </w:rPr>
        <w:t>份，其中</w:t>
      </w:r>
      <w:r w:rsidRPr="008A1551">
        <w:rPr>
          <w:kern w:val="0"/>
          <w:sz w:val="24"/>
        </w:rPr>
        <w:t>A</w:t>
      </w:r>
      <w:r w:rsidRPr="008A1551">
        <w:rPr>
          <w:kern w:val="0"/>
          <w:sz w:val="24"/>
        </w:rPr>
        <w:t>类基金份额</w:t>
      </w:r>
      <w:r w:rsidRPr="008A1551">
        <w:rPr>
          <w:kern w:val="0"/>
          <w:sz w:val="24"/>
        </w:rPr>
        <w:t>4,908,494,615.39</w:t>
      </w:r>
      <w:r w:rsidRPr="008A1551">
        <w:rPr>
          <w:kern w:val="0"/>
          <w:sz w:val="24"/>
        </w:rPr>
        <w:t>份，</w:t>
      </w:r>
      <w:r w:rsidRPr="008A1551">
        <w:rPr>
          <w:kern w:val="0"/>
          <w:sz w:val="24"/>
        </w:rPr>
        <w:t>C</w:t>
      </w:r>
      <w:r w:rsidRPr="008A1551">
        <w:rPr>
          <w:kern w:val="0"/>
          <w:sz w:val="24"/>
        </w:rPr>
        <w:t>类基金份额</w:t>
      </w:r>
      <w:r w:rsidRPr="008A1551">
        <w:rPr>
          <w:kern w:val="0"/>
          <w:sz w:val="24"/>
        </w:rPr>
        <w:t>762,830.38</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交银施罗德丰润收益债券型证券投资基金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203,734,759.80</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701,561.40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143,592,834.60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952,160.61</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21,049.78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33,921.54</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141,856,842.18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769,362.80</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1,608,122.97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106,819.67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148,876.27</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7,998,501.16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-57,420.00</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7,998,501.16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-57,420.00</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52,143,300.59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-193,225.00</w:t>
            </w:r>
          </w:p>
        </w:tc>
      </w:tr>
      <w:tr w:rsidR="00C04CCE" w:rsidRPr="008A1551" w:rsidTr="00207C2A">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123.45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45.79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37,416,846.66</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429,155.25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7,523,223.90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200,671.83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2,507,741.31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37,625.95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2,166.50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16,557.96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19,750.00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1,087.50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26,878,543.73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3,094.99</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26,878,543.73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3,094.99</w:t>
            </w:r>
          </w:p>
        </w:tc>
      </w:tr>
      <w:tr w:rsidR="00207C2A" w:rsidRPr="00207C2A" w:rsidTr="00207C2A">
        <w:tc>
          <w:tcPr>
            <w:tcW w:w="3420" w:type="dxa"/>
            <w:vAlign w:val="center"/>
          </w:tcPr>
          <w:p w:rsidR="00207C2A" w:rsidRPr="00207C2A" w:rsidRDefault="00207C2A" w:rsidP="00FF36B8">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FF36B8">
            <w:pPr>
              <w:pStyle w:val="af6"/>
              <w:jc w:val="center"/>
              <w:rPr>
                <w:rFonts w:ascii="Times New Roman" w:eastAsiaTheme="minorEastAsia" w:hAnsi="Times New Roman"/>
                <w:color w:val="000000"/>
              </w:rPr>
            </w:pPr>
          </w:p>
        </w:tc>
        <w:tc>
          <w:tcPr>
            <w:tcW w:w="2250" w:type="dxa"/>
            <w:vAlign w:val="bottom"/>
          </w:tcPr>
          <w:p w:rsidR="00207C2A" w:rsidRPr="00207C2A" w:rsidRDefault="00207C2A" w:rsidP="00FF36B8">
            <w:pPr>
              <w:jc w:val="right"/>
              <w:rPr>
                <w:rFonts w:eastAsiaTheme="minorEastAsia"/>
                <w:color w:val="000000"/>
                <w:sz w:val="24"/>
              </w:rPr>
            </w:pPr>
            <w:r w:rsidRPr="00207C2A">
              <w:rPr>
                <w:rFonts w:eastAsiaTheme="minorEastAsia"/>
                <w:color w:val="000000"/>
                <w:sz w:val="24"/>
              </w:rPr>
              <w:t>286,379.53</w:t>
            </w:r>
          </w:p>
        </w:tc>
        <w:tc>
          <w:tcPr>
            <w:tcW w:w="2251" w:type="dxa"/>
            <w:vAlign w:val="bottom"/>
          </w:tcPr>
          <w:p w:rsidR="00207C2A" w:rsidRPr="00207C2A" w:rsidRDefault="00207C2A" w:rsidP="00FF36B8">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FF36B8">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FF36B8">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FF36B8">
            <w:pPr>
              <w:jc w:val="right"/>
              <w:rPr>
                <w:rFonts w:eastAsiaTheme="minorEastAsia"/>
                <w:color w:val="000000"/>
                <w:sz w:val="24"/>
              </w:rPr>
            </w:pPr>
            <w:r w:rsidRPr="00207C2A">
              <w:rPr>
                <w:rFonts w:eastAsiaTheme="minorEastAsia"/>
                <w:color w:val="000000"/>
                <w:sz w:val="24"/>
              </w:rPr>
              <w:t>199,041.69</w:t>
            </w:r>
          </w:p>
        </w:tc>
        <w:tc>
          <w:tcPr>
            <w:tcW w:w="2251" w:type="dxa"/>
            <w:vAlign w:val="bottom"/>
          </w:tcPr>
          <w:p w:rsidR="00207C2A" w:rsidRPr="006D09B5" w:rsidRDefault="00207C2A" w:rsidP="00FF36B8">
            <w:pPr>
              <w:jc w:val="right"/>
              <w:rPr>
                <w:rFonts w:eastAsiaTheme="minorEastAsia"/>
                <w:color w:val="000000"/>
                <w:sz w:val="24"/>
              </w:rPr>
            </w:pPr>
            <w:r w:rsidRPr="00207C2A">
              <w:rPr>
                <w:rFonts w:eastAsiaTheme="minorEastAsia"/>
                <w:color w:val="000000"/>
                <w:sz w:val="24"/>
              </w:rPr>
              <w:t>170,117.02</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166,317,913.14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272,406.15</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166,317,913.14</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272,406.15</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交银施罗德丰润收益债券型证券投资基金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4,913,282,488.74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125,820,547.98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5,039,103,036.72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166,317,913.14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166,317,913.14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-4,025,042.97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-89,139.82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-4,114,182.79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922,371.96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16,528.53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938,900.49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-4,947,414.93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-105,668.35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-5,053,083.28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-181,617,689.11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-181,617,689.11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4,909,257,445.77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110,431,632.19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5,019,689,077.96</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79,051,628.96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820,121.97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79,871,750.93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272,406.15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272,406.15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-31,089,948.08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-382,329.08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-31,472,277.16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16,408,575.68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181,070.86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16,589,646.54</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-47,498,523.76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-563,399.94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-48,061,923.70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47,961,680.88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710,199.04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48,671,879.92</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472CCE" w:rsidRDefault="00FF36B8">
      <w:pPr>
        <w:spacing w:before="29" w:line="288" w:lineRule="auto"/>
        <w:ind w:firstLineChars="200" w:firstLine="480"/>
        <w:rPr>
          <w:color w:val="000000"/>
          <w:sz w:val="24"/>
        </w:rPr>
      </w:pPr>
      <w:r>
        <w:rPr>
          <w:color w:val="000000"/>
          <w:sz w:val="24"/>
        </w:rPr>
        <w:t>交银施罗德丰润收益债券型证券投资基金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[2014]1116</w:t>
      </w:r>
      <w:r>
        <w:rPr>
          <w:color w:val="00000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存续期限不定，本基金在基金合同生效之日起两年（含两年）的期间内封闭式运作（按照基金合同的约定提前转换基金运作方式的除外</w:t>
      </w:r>
      <w:r>
        <w:rPr>
          <w:color w:val="000000"/>
          <w:sz w:val="24"/>
        </w:rPr>
        <w:t>)</w:t>
      </w:r>
      <w:r>
        <w:rPr>
          <w:color w:val="000000"/>
          <w:sz w:val="24"/>
        </w:rPr>
        <w:t>，封闭期结束后转为开放式运作，本基金首次设立募集不包括认购资金利息共募集人民币</w:t>
      </w:r>
      <w:r>
        <w:rPr>
          <w:color w:val="000000"/>
          <w:sz w:val="24"/>
        </w:rPr>
        <w:t>425,272,011.28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789</w:t>
      </w:r>
      <w:r>
        <w:rPr>
          <w:color w:val="000000"/>
          <w:sz w:val="24"/>
        </w:rPr>
        <w:t>号验资报告予以验证。经向中国证监会备案，《交银施罗德丰润收益债券型证券投资基金基金合同》于</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日正式生效，基金合同生效日的基金份额总额为</w:t>
      </w:r>
      <w:r>
        <w:rPr>
          <w:color w:val="000000"/>
          <w:sz w:val="24"/>
        </w:rPr>
        <w:t>425,488,278.42</w:t>
      </w:r>
      <w:r>
        <w:rPr>
          <w:color w:val="000000"/>
          <w:sz w:val="24"/>
        </w:rPr>
        <w:t>份基金份额，其中认购资金利息折合</w:t>
      </w:r>
      <w:r>
        <w:rPr>
          <w:color w:val="000000"/>
          <w:sz w:val="24"/>
        </w:rPr>
        <w:t>216,267.14</w:t>
      </w:r>
      <w:r>
        <w:rPr>
          <w:color w:val="000000"/>
          <w:sz w:val="24"/>
        </w:rPr>
        <w:t>份基金份额。本基金的基金管理人为交银施罗德基金管理有限公司，基金托管人为中信银行股份有限公司。</w:t>
      </w:r>
    </w:p>
    <w:p w:rsidR="00472CCE" w:rsidRDefault="00FF36B8">
      <w:pPr>
        <w:spacing w:before="29" w:line="288" w:lineRule="auto"/>
        <w:ind w:firstLineChars="200" w:firstLine="480"/>
        <w:rPr>
          <w:color w:val="000000"/>
          <w:sz w:val="24"/>
        </w:rPr>
      </w:pPr>
      <w:r>
        <w:rPr>
          <w:color w:val="000000"/>
          <w:sz w:val="24"/>
        </w:rPr>
        <w:t>根据《交银施罗德丰润收益债券型证券投资基金基金合同》和《交银施罗德丰润收益债券型证券投资基金招募说明书》，认购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类基金份额；本基金募集期内开放</w:t>
      </w:r>
      <w:r>
        <w:rPr>
          <w:color w:val="000000"/>
          <w:sz w:val="24"/>
        </w:rPr>
        <w:t>A</w:t>
      </w:r>
      <w:r>
        <w:rPr>
          <w:color w:val="000000"/>
          <w:sz w:val="24"/>
        </w:rPr>
        <w:t>类基金份额和</w:t>
      </w:r>
      <w:r>
        <w:rPr>
          <w:color w:val="000000"/>
          <w:sz w:val="24"/>
        </w:rPr>
        <w:t>C</w:t>
      </w:r>
      <w:r>
        <w:rPr>
          <w:color w:val="000000"/>
          <w:sz w:val="24"/>
        </w:rPr>
        <w:t>类基金份额的认购，基金转为开放式运作后可视业务情况择时增开</w:t>
      </w:r>
      <w:r>
        <w:rPr>
          <w:color w:val="000000"/>
          <w:sz w:val="24"/>
        </w:rPr>
        <w:t>B</w:t>
      </w:r>
      <w:r>
        <w:rPr>
          <w:color w:val="000000"/>
          <w:sz w:val="24"/>
        </w:rPr>
        <w:t>类基金份额的申购；本基金在基金合同生效之日起两年（含两年）的期间内封闭式运作，封闭期结束后自</w:t>
      </w:r>
      <w:r>
        <w:rPr>
          <w:color w:val="000000"/>
          <w:sz w:val="24"/>
        </w:rPr>
        <w:t>2016</w:t>
      </w:r>
      <w:r>
        <w:rPr>
          <w:color w:val="000000"/>
          <w:sz w:val="24"/>
        </w:rPr>
        <w:t>年</w:t>
      </w:r>
      <w:r>
        <w:rPr>
          <w:color w:val="000000"/>
          <w:sz w:val="24"/>
        </w:rPr>
        <w:t>12</w:t>
      </w:r>
      <w:r>
        <w:rPr>
          <w:color w:val="000000"/>
          <w:sz w:val="24"/>
        </w:rPr>
        <w:t>月</w:t>
      </w:r>
      <w:r>
        <w:rPr>
          <w:color w:val="000000"/>
          <w:sz w:val="24"/>
        </w:rPr>
        <w:t>16</w:t>
      </w:r>
      <w:r>
        <w:rPr>
          <w:color w:val="000000"/>
          <w:sz w:val="24"/>
        </w:rPr>
        <w:t>日起转为开放式运作。</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8A1551">
        <w:rPr>
          <w:color w:val="000000"/>
          <w:sz w:val="24"/>
        </w:rPr>
        <w:t>AA</w:t>
      </w:r>
      <w:r w:rsidRPr="008A1551">
        <w:rPr>
          <w:color w:val="00000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8A1551">
        <w:rPr>
          <w:color w:val="000000"/>
          <w:sz w:val="24"/>
        </w:rPr>
        <w:t>80%</w:t>
      </w:r>
      <w:r w:rsidRPr="008A1551">
        <w:rPr>
          <w:color w:val="000000"/>
          <w:sz w:val="24"/>
        </w:rPr>
        <w:t>，但在封闭期结束前三个月和转开放后三个月内，基金投资不受上述债券资产投资比例限制。本基金在开放期内，现金或到期日在一年以内的政府债券的比例合计不低于基金资产净值的</w:t>
      </w:r>
      <w:r w:rsidRPr="008A1551">
        <w:rPr>
          <w:color w:val="000000"/>
          <w:sz w:val="24"/>
        </w:rPr>
        <w:t>5%</w:t>
      </w:r>
      <w:r w:rsidRPr="008A1551">
        <w:rPr>
          <w:color w:val="000000"/>
          <w:sz w:val="24"/>
        </w:rPr>
        <w:t>。本基金封闭期内投资的业绩比较基准为两年期银行定期存款税后收益率</w:t>
      </w:r>
      <w:r w:rsidRPr="008A1551">
        <w:rPr>
          <w:color w:val="000000"/>
          <w:sz w:val="24"/>
        </w:rPr>
        <w:t>+1.25%</w:t>
      </w:r>
      <w:r w:rsidRPr="008A1551">
        <w:rPr>
          <w:color w:val="000000"/>
          <w:sz w:val="24"/>
        </w:rPr>
        <w:t>，本基金开放期内投资的业绩比较基准为中债综合全价指数。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颁布的《证券投资基金会计核算业务指引》、《交银施罗德丰润收益债券型证券投资基金基金合同》和在财务报表附注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472CCE" w:rsidRDefault="00FF36B8">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72CCE" w:rsidRDefault="00472CCE">
      <w:pPr>
        <w:spacing w:before="29" w:line="288" w:lineRule="auto"/>
        <w:ind w:firstLineChars="200" w:firstLine="480"/>
        <w:rPr>
          <w:color w:val="000000"/>
          <w:sz w:val="24"/>
        </w:rPr>
      </w:pPr>
    </w:p>
    <w:p w:rsidR="00472CCE" w:rsidRDefault="00FF36B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72CCE" w:rsidRDefault="00472CCE">
      <w:pPr>
        <w:spacing w:before="29" w:line="288" w:lineRule="auto"/>
        <w:ind w:firstLineChars="200" w:firstLine="480"/>
        <w:rPr>
          <w:color w:val="000000"/>
          <w:sz w:val="24"/>
        </w:rPr>
      </w:pPr>
    </w:p>
    <w:p w:rsidR="00472CCE" w:rsidRDefault="00FF36B8">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472CCE" w:rsidRDefault="00472CCE">
      <w:pPr>
        <w:spacing w:before="29" w:line="288" w:lineRule="auto"/>
        <w:ind w:firstLineChars="200" w:firstLine="480"/>
        <w:rPr>
          <w:color w:val="000000"/>
          <w:sz w:val="24"/>
        </w:rPr>
      </w:pPr>
    </w:p>
    <w:p w:rsidR="00472CCE" w:rsidRDefault="00FF36B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472CCE" w:rsidRDefault="00472CCE">
      <w:pPr>
        <w:spacing w:before="29" w:line="288" w:lineRule="auto"/>
        <w:ind w:firstLineChars="200" w:firstLine="480"/>
        <w:rPr>
          <w:color w:val="000000"/>
          <w:sz w:val="24"/>
        </w:rPr>
      </w:pPr>
    </w:p>
    <w:p w:rsidR="00472CCE" w:rsidRDefault="00FF36B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472CCE" w:rsidRDefault="00472CCE">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472CCE">
        <w:tc>
          <w:tcPr>
            <w:tcW w:w="5219" w:type="dxa"/>
            <w:vAlign w:val="center"/>
          </w:tcPr>
          <w:p w:rsidR="00472CCE" w:rsidRDefault="00FF36B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72CCE" w:rsidRDefault="00FF36B8">
            <w:pPr>
              <w:jc w:val="left"/>
            </w:pPr>
            <w:r>
              <w:rPr>
                <w:color w:val="000000"/>
                <w:sz w:val="24"/>
              </w:rPr>
              <w:t>基金管理人、基金销售机构</w:t>
            </w:r>
          </w:p>
        </w:tc>
      </w:tr>
      <w:tr w:rsidR="00472CCE">
        <w:tc>
          <w:tcPr>
            <w:tcW w:w="5219" w:type="dxa"/>
            <w:vAlign w:val="center"/>
          </w:tcPr>
          <w:p w:rsidR="00472CCE" w:rsidRDefault="00FF36B8">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472CCE" w:rsidRDefault="00FF36B8">
            <w:pPr>
              <w:jc w:val="left"/>
            </w:pPr>
            <w:r>
              <w:rPr>
                <w:color w:val="000000"/>
                <w:sz w:val="24"/>
              </w:rPr>
              <w:t>基金托管人、基金销售机构</w:t>
            </w:r>
          </w:p>
        </w:tc>
      </w:tr>
      <w:tr w:rsidR="00472CCE">
        <w:tc>
          <w:tcPr>
            <w:tcW w:w="5219" w:type="dxa"/>
            <w:vAlign w:val="center"/>
          </w:tcPr>
          <w:p w:rsidR="00472CCE" w:rsidRDefault="00FF36B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72CCE" w:rsidRDefault="00FF36B8">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7,523,223.90</w:t>
            </w:r>
          </w:p>
        </w:tc>
        <w:tc>
          <w:tcPr>
            <w:tcW w:w="2657" w:type="dxa"/>
            <w:vAlign w:val="center"/>
          </w:tcPr>
          <w:p w:rsidR="001548F9" w:rsidRPr="008A1551" w:rsidRDefault="001548F9" w:rsidP="009E1EA4">
            <w:pPr>
              <w:spacing w:before="29" w:line="288" w:lineRule="auto"/>
              <w:jc w:val="right"/>
              <w:rPr>
                <w:sz w:val="24"/>
              </w:rPr>
            </w:pPr>
            <w:r w:rsidRPr="008A1551">
              <w:rPr>
                <w:sz w:val="24"/>
              </w:rPr>
              <w:t>200,671.83</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3,766,579.59</w:t>
            </w:r>
          </w:p>
        </w:tc>
        <w:tc>
          <w:tcPr>
            <w:tcW w:w="2657" w:type="dxa"/>
            <w:vAlign w:val="center"/>
          </w:tcPr>
          <w:p w:rsidR="001548F9" w:rsidRPr="008A1551" w:rsidRDefault="001548F9" w:rsidP="009E1EA4">
            <w:pPr>
              <w:spacing w:before="29" w:line="288" w:lineRule="auto"/>
              <w:jc w:val="right"/>
              <w:rPr>
                <w:sz w:val="24"/>
              </w:rPr>
            </w:pPr>
            <w:r w:rsidRPr="008A1551">
              <w:rPr>
                <w:sz w:val="24"/>
              </w:rPr>
              <w:t>80,864.88</w:t>
            </w:r>
          </w:p>
        </w:tc>
      </w:tr>
    </w:tbl>
    <w:p w:rsidR="00472CCE" w:rsidRDefault="00FF36B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 xml:space="preserve"> × 0.30%÷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2,507,741.31</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37,625.95</w:t>
            </w:r>
          </w:p>
        </w:tc>
      </w:tr>
    </w:tbl>
    <w:p w:rsidR="00472CCE" w:rsidRDefault="00FF36B8">
      <w:pPr>
        <w:tabs>
          <w:tab w:val="left" w:pos="426"/>
        </w:tabs>
        <w:spacing w:before="29" w:line="288" w:lineRule="auto"/>
        <w:jc w:val="left"/>
        <w:rPr>
          <w:kern w:val="0"/>
          <w:sz w:val="24"/>
        </w:rPr>
      </w:pPr>
      <w:r>
        <w:rPr>
          <w:kern w:val="0"/>
          <w:sz w:val="24"/>
        </w:rPr>
        <w:t>注：支付基金托管人</w:t>
      </w:r>
      <w:r>
        <w:rPr>
          <w:kern w:val="0"/>
          <w:sz w:val="24"/>
        </w:rPr>
        <w:t xml:space="preserve"> </w:t>
      </w:r>
      <w:r>
        <w:rPr>
          <w:kern w:val="0"/>
          <w:sz w:val="24"/>
        </w:rPr>
        <w:t>的托管费按前一日基金资产净值</w:t>
      </w:r>
      <w:r>
        <w:rPr>
          <w:kern w:val="0"/>
          <w:sz w:val="24"/>
        </w:rPr>
        <w:t>0.10%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xml:space="preserve"> × 0.10%÷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交银丰润收益债券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交银丰润收益债券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472CCE">
        <w:tc>
          <w:tcPr>
            <w:tcW w:w="2000" w:type="dxa"/>
            <w:vAlign w:val="center"/>
          </w:tcPr>
          <w:p w:rsidR="00472CCE" w:rsidRDefault="00FF36B8">
            <w:pPr>
              <w:jc w:val="left"/>
            </w:pPr>
            <w:r>
              <w:rPr>
                <w:sz w:val="24"/>
              </w:rPr>
              <w:t>中信银行</w:t>
            </w:r>
          </w:p>
        </w:tc>
        <w:tc>
          <w:tcPr>
            <w:tcW w:w="1766" w:type="dxa"/>
            <w:vAlign w:val="center"/>
          </w:tcPr>
          <w:p w:rsidR="00472CCE" w:rsidRDefault="00FF36B8">
            <w:pPr>
              <w:jc w:val="right"/>
            </w:pPr>
            <w:r>
              <w:rPr>
                <w:sz w:val="24"/>
              </w:rPr>
              <w:t>-</w:t>
            </w:r>
          </w:p>
        </w:tc>
        <w:tc>
          <w:tcPr>
            <w:tcW w:w="2162" w:type="dxa"/>
            <w:vAlign w:val="center"/>
          </w:tcPr>
          <w:p w:rsidR="00472CCE" w:rsidRDefault="00FF36B8">
            <w:pPr>
              <w:jc w:val="right"/>
            </w:pPr>
            <w:r>
              <w:rPr>
                <w:sz w:val="24"/>
              </w:rPr>
              <w:t>791.96</w:t>
            </w:r>
          </w:p>
        </w:tc>
        <w:tc>
          <w:tcPr>
            <w:tcW w:w="3070" w:type="dxa"/>
            <w:vAlign w:val="center"/>
          </w:tcPr>
          <w:p w:rsidR="00472CCE" w:rsidRDefault="00FF36B8">
            <w:pPr>
              <w:jc w:val="right"/>
            </w:pPr>
            <w:r>
              <w:rPr>
                <w:sz w:val="24"/>
              </w:rPr>
              <w:t>791.96</w:t>
            </w:r>
          </w:p>
        </w:tc>
      </w:tr>
      <w:tr w:rsidR="00472CCE">
        <w:tc>
          <w:tcPr>
            <w:tcW w:w="2000" w:type="dxa"/>
            <w:vAlign w:val="center"/>
          </w:tcPr>
          <w:p w:rsidR="00472CCE" w:rsidRDefault="00FF36B8">
            <w:pPr>
              <w:jc w:val="left"/>
            </w:pPr>
            <w:r>
              <w:rPr>
                <w:sz w:val="24"/>
              </w:rPr>
              <w:t>交通银行</w:t>
            </w:r>
          </w:p>
        </w:tc>
        <w:tc>
          <w:tcPr>
            <w:tcW w:w="1766" w:type="dxa"/>
            <w:vAlign w:val="center"/>
          </w:tcPr>
          <w:p w:rsidR="00472CCE" w:rsidRDefault="00FF36B8">
            <w:pPr>
              <w:jc w:val="right"/>
            </w:pPr>
            <w:r>
              <w:rPr>
                <w:sz w:val="24"/>
              </w:rPr>
              <w:t>-</w:t>
            </w:r>
          </w:p>
        </w:tc>
        <w:tc>
          <w:tcPr>
            <w:tcW w:w="2162" w:type="dxa"/>
            <w:vAlign w:val="center"/>
          </w:tcPr>
          <w:p w:rsidR="00472CCE" w:rsidRDefault="00FF36B8">
            <w:pPr>
              <w:jc w:val="right"/>
            </w:pPr>
            <w:r>
              <w:rPr>
                <w:sz w:val="24"/>
              </w:rPr>
              <w:t>1,121.11</w:t>
            </w:r>
          </w:p>
        </w:tc>
        <w:tc>
          <w:tcPr>
            <w:tcW w:w="3070" w:type="dxa"/>
            <w:vAlign w:val="center"/>
          </w:tcPr>
          <w:p w:rsidR="00472CCE" w:rsidRDefault="00FF36B8">
            <w:pPr>
              <w:jc w:val="right"/>
            </w:pPr>
            <w:r>
              <w:rPr>
                <w:sz w:val="24"/>
              </w:rPr>
              <w:t>1,121.11</w:t>
            </w:r>
          </w:p>
        </w:tc>
      </w:tr>
      <w:tr w:rsidR="00472CCE">
        <w:tc>
          <w:tcPr>
            <w:tcW w:w="2000" w:type="dxa"/>
            <w:vAlign w:val="center"/>
          </w:tcPr>
          <w:p w:rsidR="00472CCE" w:rsidRDefault="00FF36B8">
            <w:pPr>
              <w:jc w:val="left"/>
            </w:pPr>
            <w:r>
              <w:rPr>
                <w:sz w:val="24"/>
              </w:rPr>
              <w:t>交银施罗德基金公司</w:t>
            </w:r>
          </w:p>
        </w:tc>
        <w:tc>
          <w:tcPr>
            <w:tcW w:w="1766" w:type="dxa"/>
            <w:vAlign w:val="center"/>
          </w:tcPr>
          <w:p w:rsidR="00472CCE" w:rsidRDefault="00FF36B8">
            <w:pPr>
              <w:jc w:val="right"/>
            </w:pPr>
            <w:r>
              <w:rPr>
                <w:sz w:val="24"/>
              </w:rPr>
              <w:t>-</w:t>
            </w:r>
          </w:p>
        </w:tc>
        <w:tc>
          <w:tcPr>
            <w:tcW w:w="2162" w:type="dxa"/>
            <w:vAlign w:val="center"/>
          </w:tcPr>
          <w:p w:rsidR="00472CCE" w:rsidRDefault="00FF36B8">
            <w:pPr>
              <w:jc w:val="right"/>
            </w:pPr>
            <w:r>
              <w:rPr>
                <w:sz w:val="24"/>
              </w:rPr>
              <w:t>101.62</w:t>
            </w:r>
          </w:p>
        </w:tc>
        <w:tc>
          <w:tcPr>
            <w:tcW w:w="3070" w:type="dxa"/>
            <w:vAlign w:val="center"/>
          </w:tcPr>
          <w:p w:rsidR="00472CCE" w:rsidRDefault="00FF36B8">
            <w:pPr>
              <w:jc w:val="right"/>
            </w:pPr>
            <w:r>
              <w:rPr>
                <w:sz w:val="24"/>
              </w:rPr>
              <w:t>101.62</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2,014.69</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2,014.69</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交银丰润收益债券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交银丰润收益债券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472CCE">
        <w:tc>
          <w:tcPr>
            <w:tcW w:w="2000" w:type="dxa"/>
            <w:vAlign w:val="center"/>
          </w:tcPr>
          <w:p w:rsidR="00472CCE" w:rsidRDefault="00FF36B8">
            <w:pPr>
              <w:jc w:val="left"/>
            </w:pPr>
            <w:r>
              <w:rPr>
                <w:sz w:val="24"/>
              </w:rPr>
              <w:t>中信银行</w:t>
            </w:r>
          </w:p>
        </w:tc>
        <w:tc>
          <w:tcPr>
            <w:tcW w:w="1766" w:type="dxa"/>
            <w:vAlign w:val="center"/>
          </w:tcPr>
          <w:p w:rsidR="00472CCE" w:rsidRDefault="00FF36B8">
            <w:pPr>
              <w:jc w:val="right"/>
            </w:pPr>
            <w:r>
              <w:rPr>
                <w:sz w:val="24"/>
              </w:rPr>
              <w:t>-</w:t>
            </w:r>
          </w:p>
        </w:tc>
        <w:tc>
          <w:tcPr>
            <w:tcW w:w="2162" w:type="dxa"/>
            <w:vAlign w:val="center"/>
          </w:tcPr>
          <w:p w:rsidR="00472CCE" w:rsidRDefault="00FF36B8">
            <w:pPr>
              <w:jc w:val="right"/>
            </w:pPr>
            <w:r>
              <w:rPr>
                <w:sz w:val="24"/>
              </w:rPr>
              <w:t>4,568.42</w:t>
            </w:r>
          </w:p>
        </w:tc>
        <w:tc>
          <w:tcPr>
            <w:tcW w:w="3070" w:type="dxa"/>
            <w:vAlign w:val="center"/>
          </w:tcPr>
          <w:p w:rsidR="00472CCE" w:rsidRDefault="00FF36B8">
            <w:pPr>
              <w:jc w:val="right"/>
            </w:pPr>
            <w:r>
              <w:rPr>
                <w:sz w:val="24"/>
              </w:rPr>
              <w:t>4,568.42</w:t>
            </w:r>
          </w:p>
        </w:tc>
      </w:tr>
      <w:tr w:rsidR="00472CCE">
        <w:tc>
          <w:tcPr>
            <w:tcW w:w="2000" w:type="dxa"/>
            <w:vAlign w:val="center"/>
          </w:tcPr>
          <w:p w:rsidR="00472CCE" w:rsidRDefault="00FF36B8">
            <w:pPr>
              <w:jc w:val="left"/>
            </w:pPr>
            <w:r>
              <w:rPr>
                <w:sz w:val="24"/>
              </w:rPr>
              <w:t>交通银行</w:t>
            </w:r>
          </w:p>
        </w:tc>
        <w:tc>
          <w:tcPr>
            <w:tcW w:w="1766" w:type="dxa"/>
            <w:vAlign w:val="center"/>
          </w:tcPr>
          <w:p w:rsidR="00472CCE" w:rsidRDefault="00FF36B8">
            <w:pPr>
              <w:jc w:val="right"/>
            </w:pPr>
            <w:r>
              <w:rPr>
                <w:sz w:val="24"/>
              </w:rPr>
              <w:t>-</w:t>
            </w:r>
          </w:p>
        </w:tc>
        <w:tc>
          <w:tcPr>
            <w:tcW w:w="2162" w:type="dxa"/>
            <w:vAlign w:val="center"/>
          </w:tcPr>
          <w:p w:rsidR="00472CCE" w:rsidRDefault="00FF36B8">
            <w:pPr>
              <w:jc w:val="right"/>
            </w:pPr>
            <w:r>
              <w:rPr>
                <w:sz w:val="24"/>
              </w:rPr>
              <w:t>5,329.97</w:t>
            </w:r>
          </w:p>
        </w:tc>
        <w:tc>
          <w:tcPr>
            <w:tcW w:w="3070" w:type="dxa"/>
            <w:vAlign w:val="center"/>
          </w:tcPr>
          <w:p w:rsidR="00472CCE" w:rsidRDefault="00FF36B8">
            <w:pPr>
              <w:jc w:val="right"/>
            </w:pPr>
            <w:r>
              <w:rPr>
                <w:sz w:val="24"/>
              </w:rPr>
              <w:t>5,329.97</w:t>
            </w:r>
          </w:p>
        </w:tc>
      </w:tr>
      <w:tr w:rsidR="00472CCE">
        <w:tc>
          <w:tcPr>
            <w:tcW w:w="2000" w:type="dxa"/>
            <w:vAlign w:val="center"/>
          </w:tcPr>
          <w:p w:rsidR="00472CCE" w:rsidRDefault="00FF36B8">
            <w:pPr>
              <w:jc w:val="left"/>
            </w:pPr>
            <w:r>
              <w:rPr>
                <w:sz w:val="24"/>
              </w:rPr>
              <w:t>交银施罗德基金公司</w:t>
            </w:r>
          </w:p>
        </w:tc>
        <w:tc>
          <w:tcPr>
            <w:tcW w:w="1766" w:type="dxa"/>
            <w:vAlign w:val="center"/>
          </w:tcPr>
          <w:p w:rsidR="00472CCE" w:rsidRDefault="00FF36B8">
            <w:pPr>
              <w:jc w:val="right"/>
            </w:pPr>
            <w:r>
              <w:rPr>
                <w:sz w:val="24"/>
              </w:rPr>
              <w:t>-</w:t>
            </w:r>
          </w:p>
        </w:tc>
        <w:tc>
          <w:tcPr>
            <w:tcW w:w="2162" w:type="dxa"/>
            <w:vAlign w:val="center"/>
          </w:tcPr>
          <w:p w:rsidR="00472CCE" w:rsidRDefault="00FF36B8">
            <w:pPr>
              <w:jc w:val="right"/>
            </w:pPr>
            <w:r>
              <w:rPr>
                <w:sz w:val="24"/>
              </w:rPr>
              <w:t>6,518.94</w:t>
            </w:r>
          </w:p>
        </w:tc>
        <w:tc>
          <w:tcPr>
            <w:tcW w:w="3070" w:type="dxa"/>
            <w:vAlign w:val="center"/>
          </w:tcPr>
          <w:p w:rsidR="00472CCE" w:rsidRDefault="00FF36B8">
            <w:pPr>
              <w:jc w:val="right"/>
            </w:pPr>
            <w:r>
              <w:rPr>
                <w:sz w:val="24"/>
              </w:rPr>
              <w:t>6,518.94</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16,417.33</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16,417.33</w:t>
            </w:r>
          </w:p>
        </w:tc>
      </w:tr>
    </w:tbl>
    <w:p w:rsidR="00472CCE" w:rsidRDefault="00FF36B8">
      <w:pPr>
        <w:tabs>
          <w:tab w:val="left" w:pos="426"/>
        </w:tabs>
        <w:spacing w:before="29" w:line="288" w:lineRule="auto"/>
        <w:jc w:val="left"/>
        <w:rPr>
          <w:kern w:val="0"/>
          <w:sz w:val="24"/>
        </w:rPr>
      </w:pPr>
      <w:r>
        <w:rPr>
          <w:kern w:val="0"/>
          <w:sz w:val="24"/>
        </w:rPr>
        <w:t>注：自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12</w:t>
      </w:r>
      <w:r>
        <w:rPr>
          <w:kern w:val="0"/>
          <w:sz w:val="24"/>
        </w:rPr>
        <w:t>月</w:t>
      </w:r>
      <w:r>
        <w:rPr>
          <w:kern w:val="0"/>
          <w:sz w:val="24"/>
        </w:rPr>
        <w:t>15</w:t>
      </w:r>
      <w:r>
        <w:rPr>
          <w:kern w:val="0"/>
          <w:sz w:val="24"/>
        </w:rPr>
        <w:t>日，支付基金销售机构的基金销售服务费按前一日</w:t>
      </w:r>
      <w:r>
        <w:rPr>
          <w:kern w:val="0"/>
          <w:sz w:val="24"/>
        </w:rPr>
        <w:t>C</w:t>
      </w:r>
      <w:r>
        <w:rPr>
          <w:kern w:val="0"/>
          <w:sz w:val="24"/>
        </w:rPr>
        <w:t>类基金份额对应的基金资产净值</w:t>
      </w:r>
      <w:r>
        <w:rPr>
          <w:kern w:val="0"/>
          <w:sz w:val="24"/>
        </w:rPr>
        <w:t>0.60%</w:t>
      </w:r>
      <w:r>
        <w:rPr>
          <w:kern w:val="0"/>
          <w:sz w:val="24"/>
        </w:rPr>
        <w:t>的年费率计提，逐日累计至每月月底，按月支付给基金管理人，再由基金管理人计算并支付给各基金销售机构。其计算公式为：</w:t>
      </w:r>
    </w:p>
    <w:p w:rsidR="00472CCE" w:rsidRDefault="00FF36B8">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 xml:space="preserve">×0.60%÷ </w:t>
      </w:r>
      <w:r>
        <w:rPr>
          <w:kern w:val="0"/>
          <w:sz w:val="24"/>
        </w:rPr>
        <w:t>当年天数。</w:t>
      </w:r>
    </w:p>
    <w:p w:rsidR="00472CCE" w:rsidRDefault="00FF36B8">
      <w:pPr>
        <w:tabs>
          <w:tab w:val="left" w:pos="426"/>
        </w:tabs>
        <w:spacing w:before="29" w:line="288" w:lineRule="auto"/>
        <w:jc w:val="left"/>
        <w:rPr>
          <w:kern w:val="0"/>
          <w:sz w:val="24"/>
        </w:rPr>
      </w:pPr>
      <w:r>
        <w:rPr>
          <w:kern w:val="0"/>
          <w:sz w:val="24"/>
        </w:rPr>
        <w:t>自</w:t>
      </w:r>
      <w:r>
        <w:rPr>
          <w:kern w:val="0"/>
          <w:sz w:val="24"/>
        </w:rPr>
        <w:t>2016</w:t>
      </w:r>
      <w:r>
        <w:rPr>
          <w:kern w:val="0"/>
          <w:sz w:val="24"/>
        </w:rPr>
        <w:t>年</w:t>
      </w:r>
      <w:r>
        <w:rPr>
          <w:kern w:val="0"/>
          <w:sz w:val="24"/>
        </w:rPr>
        <w:t>12</w:t>
      </w:r>
      <w:r>
        <w:rPr>
          <w:kern w:val="0"/>
          <w:sz w:val="24"/>
        </w:rPr>
        <w:t>月</w:t>
      </w:r>
      <w:r>
        <w:rPr>
          <w:kern w:val="0"/>
          <w:sz w:val="24"/>
        </w:rPr>
        <w:t>16</w:t>
      </w:r>
      <w:r>
        <w:rPr>
          <w:kern w:val="0"/>
          <w:sz w:val="24"/>
        </w:rPr>
        <w:t>日转为开放式运作起，支付基金销售机构的基金销售服务费按前一日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 xml:space="preserve">×0.40%÷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472CCE">
        <w:tc>
          <w:tcPr>
            <w:tcW w:w="2692" w:type="dxa"/>
            <w:vAlign w:val="center"/>
          </w:tcPr>
          <w:p w:rsidR="00472CCE" w:rsidRDefault="00FF36B8">
            <w:pPr>
              <w:jc w:val="left"/>
            </w:pPr>
            <w:r>
              <w:rPr>
                <w:sz w:val="24"/>
              </w:rPr>
              <w:t>中信银行股份有限公司</w:t>
            </w:r>
          </w:p>
        </w:tc>
        <w:tc>
          <w:tcPr>
            <w:tcW w:w="1417" w:type="dxa"/>
            <w:vAlign w:val="center"/>
          </w:tcPr>
          <w:p w:rsidR="00472CCE" w:rsidRDefault="00FF36B8">
            <w:pPr>
              <w:jc w:val="right"/>
            </w:pPr>
            <w:r>
              <w:rPr>
                <w:sz w:val="24"/>
              </w:rPr>
              <w:t>2,892,431.43</w:t>
            </w:r>
          </w:p>
        </w:tc>
        <w:tc>
          <w:tcPr>
            <w:tcW w:w="1736" w:type="dxa"/>
            <w:vAlign w:val="center"/>
          </w:tcPr>
          <w:p w:rsidR="00472CCE" w:rsidRDefault="00FF36B8">
            <w:pPr>
              <w:jc w:val="right"/>
            </w:pPr>
            <w:r>
              <w:rPr>
                <w:sz w:val="24"/>
              </w:rPr>
              <w:t>19,873.90</w:t>
            </w:r>
          </w:p>
        </w:tc>
        <w:tc>
          <w:tcPr>
            <w:tcW w:w="1383" w:type="dxa"/>
            <w:vAlign w:val="center"/>
          </w:tcPr>
          <w:p w:rsidR="00472CCE" w:rsidRDefault="00FF36B8">
            <w:pPr>
              <w:jc w:val="right"/>
            </w:pPr>
            <w:r>
              <w:rPr>
                <w:sz w:val="24"/>
              </w:rPr>
              <w:t>294,470.18</w:t>
            </w:r>
          </w:p>
        </w:tc>
        <w:tc>
          <w:tcPr>
            <w:tcW w:w="1770" w:type="dxa"/>
            <w:vAlign w:val="center"/>
          </w:tcPr>
          <w:p w:rsidR="00472CCE" w:rsidRDefault="00FF36B8">
            <w:pPr>
              <w:jc w:val="right"/>
            </w:pPr>
            <w:r>
              <w:rPr>
                <w:sz w:val="24"/>
              </w:rPr>
              <w:t>9,280.77</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FF36B8">
            <w:pPr>
              <w:spacing w:line="276" w:lineRule="auto"/>
              <w:jc w:val="center"/>
              <w:rPr>
                <w:rFonts w:eastAsiaTheme="minorEastAsia"/>
                <w:color w:val="000000" w:themeColor="text1"/>
                <w:sz w:val="24"/>
              </w:rPr>
            </w:pPr>
          </w:p>
        </w:tc>
        <w:tc>
          <w:tcPr>
            <w:tcW w:w="3419" w:type="dxa"/>
            <w:vAlign w:val="center"/>
          </w:tcPr>
          <w:p w:rsidR="003D3FE1" w:rsidRPr="00690ED2" w:rsidRDefault="003D3FE1" w:rsidP="00FF36B8">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FF36B8">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FF36B8">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FF36B8">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FF36B8">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6,621,796,000.00</w:t>
            </w:r>
          </w:p>
        </w:tc>
        <w:tc>
          <w:tcPr>
            <w:tcW w:w="1980"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94.93</w:t>
            </w:r>
          </w:p>
        </w:tc>
      </w:tr>
      <w:tr w:rsidR="003D3FE1" w:rsidRPr="008A1551" w:rsidTr="008F6836">
        <w:tc>
          <w:tcPr>
            <w:tcW w:w="1080" w:type="dxa"/>
            <w:vAlign w:val="center"/>
          </w:tcPr>
          <w:p w:rsidR="003D3FE1" w:rsidRPr="00690ED2" w:rsidRDefault="003D3FE1" w:rsidP="00FF36B8">
            <w:pPr>
              <w:spacing w:line="276" w:lineRule="auto"/>
              <w:jc w:val="center"/>
              <w:rPr>
                <w:rFonts w:eastAsiaTheme="minorEastAsia"/>
                <w:color w:val="000000" w:themeColor="text1"/>
                <w:sz w:val="24"/>
              </w:rPr>
            </w:pPr>
          </w:p>
        </w:tc>
        <w:tc>
          <w:tcPr>
            <w:tcW w:w="3419" w:type="dxa"/>
            <w:vAlign w:val="center"/>
          </w:tcPr>
          <w:p w:rsidR="003D3FE1" w:rsidRPr="00690ED2" w:rsidRDefault="003D3FE1" w:rsidP="00FF36B8">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6,410,758,000.00</w:t>
            </w:r>
          </w:p>
        </w:tc>
        <w:tc>
          <w:tcPr>
            <w:tcW w:w="1980"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91.90</w:t>
            </w:r>
          </w:p>
        </w:tc>
      </w:tr>
      <w:tr w:rsidR="003D3FE1" w:rsidRPr="008A1551" w:rsidTr="008F6836">
        <w:tc>
          <w:tcPr>
            <w:tcW w:w="1080" w:type="dxa"/>
            <w:vAlign w:val="center"/>
          </w:tcPr>
          <w:p w:rsidR="003D3FE1" w:rsidRPr="00690ED2" w:rsidRDefault="003D3FE1" w:rsidP="00FF36B8">
            <w:pPr>
              <w:spacing w:line="276" w:lineRule="auto"/>
              <w:jc w:val="center"/>
              <w:rPr>
                <w:rFonts w:eastAsiaTheme="minorEastAsia"/>
                <w:color w:val="000000" w:themeColor="text1"/>
                <w:sz w:val="24"/>
              </w:rPr>
            </w:pPr>
          </w:p>
        </w:tc>
        <w:tc>
          <w:tcPr>
            <w:tcW w:w="3419" w:type="dxa"/>
            <w:vAlign w:val="center"/>
          </w:tcPr>
          <w:p w:rsidR="003D3FE1" w:rsidRPr="00690ED2" w:rsidRDefault="003D3FE1" w:rsidP="00FF36B8">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211,038,000.00</w:t>
            </w:r>
          </w:p>
        </w:tc>
        <w:tc>
          <w:tcPr>
            <w:tcW w:w="1980"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3.03</w:t>
            </w:r>
          </w:p>
        </w:tc>
      </w:tr>
      <w:tr w:rsidR="003D3FE1" w:rsidRPr="008A1551" w:rsidTr="000C4056">
        <w:tc>
          <w:tcPr>
            <w:tcW w:w="1080" w:type="dxa"/>
            <w:vAlign w:val="center"/>
          </w:tcPr>
          <w:p w:rsidR="003D3FE1" w:rsidRPr="00690ED2" w:rsidRDefault="003D3FE1" w:rsidP="00FF36B8">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FF36B8">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FF36B8">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FF36B8">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19"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FF36B8">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FF36B8">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199,500,419.25</w:t>
            </w:r>
          </w:p>
        </w:tc>
        <w:tc>
          <w:tcPr>
            <w:tcW w:w="1980"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2.86</w:t>
            </w:r>
          </w:p>
        </w:tc>
      </w:tr>
      <w:tr w:rsidR="003D3FE1" w:rsidRPr="008A1551" w:rsidTr="008F6836">
        <w:tc>
          <w:tcPr>
            <w:tcW w:w="1080" w:type="dxa"/>
            <w:vAlign w:val="center"/>
          </w:tcPr>
          <w:p w:rsidR="003D3FE1" w:rsidRPr="00690ED2" w:rsidRDefault="003D3FE1" w:rsidP="00FF36B8">
            <w:pPr>
              <w:spacing w:line="276" w:lineRule="auto"/>
              <w:jc w:val="center"/>
              <w:rPr>
                <w:rFonts w:eastAsiaTheme="minorEastAsia"/>
                <w:color w:val="000000" w:themeColor="text1"/>
                <w:sz w:val="24"/>
              </w:rPr>
            </w:pPr>
          </w:p>
        </w:tc>
        <w:tc>
          <w:tcPr>
            <w:tcW w:w="3419" w:type="dxa"/>
            <w:vAlign w:val="center"/>
          </w:tcPr>
          <w:p w:rsidR="003D3FE1" w:rsidRPr="00690ED2" w:rsidRDefault="003D3FE1" w:rsidP="00FF36B8">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FF36B8">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FF36B8">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2,892,431.43</w:t>
            </w:r>
          </w:p>
        </w:tc>
        <w:tc>
          <w:tcPr>
            <w:tcW w:w="1980" w:type="dxa"/>
            <w:vAlign w:val="center"/>
          </w:tcPr>
          <w:p w:rsidR="003D3FE1" w:rsidRPr="00690ED2" w:rsidRDefault="003D3FE1" w:rsidP="00FF36B8">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0.04</w:t>
            </w:r>
          </w:p>
        </w:tc>
      </w:tr>
      <w:tr w:rsidR="003D3FE1" w:rsidRPr="008A1551" w:rsidTr="008F6836">
        <w:tc>
          <w:tcPr>
            <w:tcW w:w="1080" w:type="dxa"/>
            <w:vAlign w:val="center"/>
          </w:tcPr>
          <w:p w:rsidR="003D3FE1" w:rsidRPr="00690ED2" w:rsidRDefault="003D3FE1" w:rsidP="00FF36B8">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FF36B8">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FF36B8">
            <w:pPr>
              <w:spacing w:line="276" w:lineRule="auto"/>
              <w:jc w:val="right"/>
              <w:rPr>
                <w:rFonts w:eastAsiaTheme="minorEastAsia"/>
                <w:color w:val="000000" w:themeColor="text1"/>
                <w:sz w:val="24"/>
              </w:rPr>
            </w:pPr>
            <w:r w:rsidRPr="00690ED2">
              <w:rPr>
                <w:rFonts w:eastAsiaTheme="minorEastAsia"/>
                <w:color w:val="000000" w:themeColor="text1"/>
                <w:sz w:val="24"/>
              </w:rPr>
              <w:t>151,369,531.97</w:t>
            </w:r>
          </w:p>
        </w:tc>
        <w:tc>
          <w:tcPr>
            <w:tcW w:w="1980" w:type="dxa"/>
            <w:vAlign w:val="center"/>
          </w:tcPr>
          <w:p w:rsidR="003D3FE1" w:rsidRPr="00690ED2" w:rsidRDefault="003D3FE1" w:rsidP="00FF36B8">
            <w:pPr>
              <w:spacing w:line="276" w:lineRule="auto"/>
              <w:jc w:val="right"/>
              <w:rPr>
                <w:rFonts w:eastAsiaTheme="minorEastAsia"/>
                <w:color w:val="000000" w:themeColor="text1"/>
                <w:sz w:val="24"/>
              </w:rPr>
            </w:pPr>
            <w:r w:rsidRPr="00690ED2">
              <w:rPr>
                <w:rFonts w:eastAsiaTheme="minorEastAsia"/>
                <w:color w:val="000000" w:themeColor="text1"/>
                <w:sz w:val="24"/>
              </w:rPr>
              <w:t>2.17</w:t>
            </w:r>
          </w:p>
        </w:tc>
      </w:tr>
      <w:tr w:rsidR="003D3FE1" w:rsidRPr="008A1551" w:rsidTr="008F6836">
        <w:tc>
          <w:tcPr>
            <w:tcW w:w="1080" w:type="dxa"/>
            <w:vAlign w:val="center"/>
          </w:tcPr>
          <w:p w:rsidR="003D3FE1" w:rsidRPr="00690ED2" w:rsidRDefault="003D3FE1" w:rsidP="00FF36B8">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FF36B8">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FF36B8">
            <w:pPr>
              <w:spacing w:line="276" w:lineRule="auto"/>
              <w:jc w:val="right"/>
              <w:rPr>
                <w:rFonts w:eastAsiaTheme="minorEastAsia"/>
                <w:color w:val="000000" w:themeColor="text1"/>
                <w:sz w:val="24"/>
              </w:rPr>
            </w:pPr>
            <w:r w:rsidRPr="00690ED2">
              <w:rPr>
                <w:rFonts w:eastAsiaTheme="minorEastAsia"/>
                <w:color w:val="000000" w:themeColor="text1"/>
                <w:sz w:val="24"/>
              </w:rPr>
              <w:t>6,975,558,382.65</w:t>
            </w:r>
          </w:p>
        </w:tc>
        <w:tc>
          <w:tcPr>
            <w:tcW w:w="1980" w:type="dxa"/>
            <w:vAlign w:val="center"/>
          </w:tcPr>
          <w:p w:rsidR="003D3FE1" w:rsidRPr="00690ED2" w:rsidRDefault="003D3FE1" w:rsidP="00FF36B8">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260,261,000.00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5.18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260,261,000.00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5.18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4,042,000.00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0.08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1,791,255,000.00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35.68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1,966,754,000.00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39.18</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2,388,446,000.00</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47.58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6,410,758,000.00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127.71</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472CCE">
        <w:tc>
          <w:tcPr>
            <w:tcW w:w="1320" w:type="dxa"/>
            <w:vAlign w:val="center"/>
          </w:tcPr>
          <w:p w:rsidR="00472CCE" w:rsidRDefault="00FF36B8">
            <w:pPr>
              <w:jc w:val="center"/>
            </w:pPr>
            <w:r>
              <w:rPr>
                <w:color w:val="000000"/>
                <w:sz w:val="24"/>
              </w:rPr>
              <w:t>1</w:t>
            </w:r>
          </w:p>
        </w:tc>
        <w:tc>
          <w:tcPr>
            <w:tcW w:w="1382" w:type="dxa"/>
            <w:vAlign w:val="center"/>
          </w:tcPr>
          <w:p w:rsidR="00472CCE" w:rsidRDefault="00FF36B8">
            <w:pPr>
              <w:jc w:val="center"/>
            </w:pPr>
            <w:r>
              <w:rPr>
                <w:color w:val="000000"/>
                <w:sz w:val="24"/>
              </w:rPr>
              <w:t>111714315</w:t>
            </w:r>
          </w:p>
        </w:tc>
        <w:tc>
          <w:tcPr>
            <w:tcW w:w="1353" w:type="dxa"/>
            <w:vAlign w:val="center"/>
          </w:tcPr>
          <w:p w:rsidR="00472CCE" w:rsidRDefault="00FF36B8">
            <w:pPr>
              <w:jc w:val="center"/>
            </w:pPr>
            <w:r>
              <w:rPr>
                <w:color w:val="000000"/>
                <w:sz w:val="24"/>
              </w:rPr>
              <w:t>17</w:t>
            </w:r>
            <w:r>
              <w:rPr>
                <w:color w:val="000000"/>
                <w:sz w:val="24"/>
              </w:rPr>
              <w:t>江苏银行</w:t>
            </w:r>
            <w:r>
              <w:rPr>
                <w:color w:val="000000"/>
                <w:sz w:val="24"/>
              </w:rPr>
              <w:t>CD315</w:t>
            </w:r>
          </w:p>
        </w:tc>
        <w:tc>
          <w:tcPr>
            <w:tcW w:w="1505" w:type="dxa"/>
            <w:vAlign w:val="center"/>
          </w:tcPr>
          <w:p w:rsidR="00472CCE" w:rsidRDefault="00FF36B8">
            <w:pPr>
              <w:jc w:val="right"/>
            </w:pPr>
            <w:r>
              <w:rPr>
                <w:color w:val="000000"/>
                <w:sz w:val="24"/>
              </w:rPr>
              <w:t>9,800,000</w:t>
            </w:r>
          </w:p>
        </w:tc>
        <w:tc>
          <w:tcPr>
            <w:tcW w:w="1737" w:type="dxa"/>
            <w:vAlign w:val="center"/>
          </w:tcPr>
          <w:p w:rsidR="00472CCE" w:rsidRDefault="00FF36B8">
            <w:pPr>
              <w:jc w:val="right"/>
            </w:pPr>
            <w:r>
              <w:rPr>
                <w:color w:val="000000"/>
                <w:sz w:val="24"/>
              </w:rPr>
              <w:t>936,586,000.00</w:t>
            </w:r>
          </w:p>
        </w:tc>
        <w:tc>
          <w:tcPr>
            <w:tcW w:w="1701" w:type="dxa"/>
            <w:vAlign w:val="center"/>
          </w:tcPr>
          <w:p w:rsidR="00472CCE" w:rsidRDefault="00FF36B8">
            <w:pPr>
              <w:jc w:val="right"/>
            </w:pPr>
            <w:r>
              <w:rPr>
                <w:color w:val="000000"/>
                <w:sz w:val="24"/>
              </w:rPr>
              <w:t>18.66</w:t>
            </w:r>
          </w:p>
        </w:tc>
      </w:tr>
      <w:tr w:rsidR="00472CCE">
        <w:tc>
          <w:tcPr>
            <w:tcW w:w="1320" w:type="dxa"/>
            <w:vAlign w:val="center"/>
          </w:tcPr>
          <w:p w:rsidR="00472CCE" w:rsidRDefault="00FF36B8">
            <w:pPr>
              <w:jc w:val="center"/>
            </w:pPr>
            <w:r>
              <w:rPr>
                <w:color w:val="000000"/>
                <w:sz w:val="24"/>
              </w:rPr>
              <w:t>2</w:t>
            </w:r>
          </w:p>
        </w:tc>
        <w:tc>
          <w:tcPr>
            <w:tcW w:w="1382" w:type="dxa"/>
            <w:vAlign w:val="center"/>
          </w:tcPr>
          <w:p w:rsidR="00472CCE" w:rsidRDefault="00FF36B8">
            <w:pPr>
              <w:jc w:val="center"/>
            </w:pPr>
            <w:r>
              <w:rPr>
                <w:color w:val="000000"/>
                <w:sz w:val="24"/>
              </w:rPr>
              <w:t>101751034</w:t>
            </w:r>
          </w:p>
        </w:tc>
        <w:tc>
          <w:tcPr>
            <w:tcW w:w="1353" w:type="dxa"/>
            <w:vAlign w:val="center"/>
          </w:tcPr>
          <w:p w:rsidR="00472CCE" w:rsidRDefault="00FF36B8">
            <w:pPr>
              <w:jc w:val="center"/>
            </w:pPr>
            <w:r>
              <w:rPr>
                <w:color w:val="000000"/>
                <w:sz w:val="24"/>
              </w:rPr>
              <w:t>17</w:t>
            </w:r>
            <w:r>
              <w:rPr>
                <w:color w:val="000000"/>
                <w:sz w:val="24"/>
              </w:rPr>
              <w:t>鲁高速</w:t>
            </w:r>
            <w:r>
              <w:rPr>
                <w:color w:val="000000"/>
                <w:sz w:val="24"/>
              </w:rPr>
              <w:t>MTN003</w:t>
            </w:r>
          </w:p>
        </w:tc>
        <w:tc>
          <w:tcPr>
            <w:tcW w:w="1505" w:type="dxa"/>
            <w:vAlign w:val="center"/>
          </w:tcPr>
          <w:p w:rsidR="00472CCE" w:rsidRDefault="00FF36B8">
            <w:pPr>
              <w:jc w:val="right"/>
            </w:pPr>
            <w:r>
              <w:rPr>
                <w:color w:val="000000"/>
                <w:sz w:val="24"/>
              </w:rPr>
              <w:t>2,500,000</w:t>
            </w:r>
          </w:p>
        </w:tc>
        <w:tc>
          <w:tcPr>
            <w:tcW w:w="1737" w:type="dxa"/>
            <w:vAlign w:val="center"/>
          </w:tcPr>
          <w:p w:rsidR="00472CCE" w:rsidRDefault="00FF36B8">
            <w:pPr>
              <w:jc w:val="right"/>
            </w:pPr>
            <w:r>
              <w:rPr>
                <w:color w:val="000000"/>
                <w:sz w:val="24"/>
              </w:rPr>
              <w:t>253,125,000.00</w:t>
            </w:r>
          </w:p>
        </w:tc>
        <w:tc>
          <w:tcPr>
            <w:tcW w:w="1701" w:type="dxa"/>
            <w:vAlign w:val="center"/>
          </w:tcPr>
          <w:p w:rsidR="00472CCE" w:rsidRDefault="00FF36B8">
            <w:pPr>
              <w:jc w:val="right"/>
            </w:pPr>
            <w:r>
              <w:rPr>
                <w:color w:val="000000"/>
                <w:sz w:val="24"/>
              </w:rPr>
              <w:t>5.04</w:t>
            </w:r>
          </w:p>
        </w:tc>
      </w:tr>
      <w:tr w:rsidR="00472CCE">
        <w:tc>
          <w:tcPr>
            <w:tcW w:w="1320" w:type="dxa"/>
            <w:vAlign w:val="center"/>
          </w:tcPr>
          <w:p w:rsidR="00472CCE" w:rsidRDefault="00FF36B8">
            <w:pPr>
              <w:jc w:val="center"/>
            </w:pPr>
            <w:r>
              <w:rPr>
                <w:color w:val="000000"/>
                <w:sz w:val="24"/>
              </w:rPr>
              <w:t>3</w:t>
            </w:r>
          </w:p>
        </w:tc>
        <w:tc>
          <w:tcPr>
            <w:tcW w:w="1382" w:type="dxa"/>
            <w:vAlign w:val="center"/>
          </w:tcPr>
          <w:p w:rsidR="00472CCE" w:rsidRDefault="00FF36B8">
            <w:pPr>
              <w:jc w:val="center"/>
            </w:pPr>
            <w:r>
              <w:rPr>
                <w:color w:val="000000"/>
                <w:sz w:val="24"/>
              </w:rPr>
              <w:t>011800054</w:t>
            </w:r>
          </w:p>
        </w:tc>
        <w:tc>
          <w:tcPr>
            <w:tcW w:w="1353" w:type="dxa"/>
            <w:vAlign w:val="center"/>
          </w:tcPr>
          <w:p w:rsidR="00472CCE" w:rsidRDefault="00FF36B8">
            <w:pPr>
              <w:jc w:val="center"/>
            </w:pPr>
            <w:r>
              <w:rPr>
                <w:color w:val="000000"/>
                <w:sz w:val="24"/>
              </w:rPr>
              <w:t>18</w:t>
            </w:r>
            <w:r>
              <w:rPr>
                <w:color w:val="000000"/>
                <w:sz w:val="24"/>
              </w:rPr>
              <w:t>陕交建</w:t>
            </w:r>
            <w:r>
              <w:rPr>
                <w:color w:val="000000"/>
                <w:sz w:val="24"/>
              </w:rPr>
              <w:t>SCP001</w:t>
            </w:r>
          </w:p>
        </w:tc>
        <w:tc>
          <w:tcPr>
            <w:tcW w:w="1505" w:type="dxa"/>
            <w:vAlign w:val="center"/>
          </w:tcPr>
          <w:p w:rsidR="00472CCE" w:rsidRDefault="00FF36B8">
            <w:pPr>
              <w:jc w:val="right"/>
            </w:pPr>
            <w:r>
              <w:rPr>
                <w:color w:val="000000"/>
                <w:sz w:val="24"/>
              </w:rPr>
              <w:t>2,000,000</w:t>
            </w:r>
          </w:p>
        </w:tc>
        <w:tc>
          <w:tcPr>
            <w:tcW w:w="1737" w:type="dxa"/>
            <w:vAlign w:val="center"/>
          </w:tcPr>
          <w:p w:rsidR="00472CCE" w:rsidRDefault="00FF36B8">
            <w:pPr>
              <w:jc w:val="right"/>
            </w:pPr>
            <w:r>
              <w:rPr>
                <w:color w:val="000000"/>
                <w:sz w:val="24"/>
              </w:rPr>
              <w:t>201,420,000.00</w:t>
            </w:r>
          </w:p>
        </w:tc>
        <w:tc>
          <w:tcPr>
            <w:tcW w:w="1701" w:type="dxa"/>
            <w:vAlign w:val="center"/>
          </w:tcPr>
          <w:p w:rsidR="00472CCE" w:rsidRDefault="00FF36B8">
            <w:pPr>
              <w:jc w:val="right"/>
            </w:pPr>
            <w:r>
              <w:rPr>
                <w:color w:val="000000"/>
                <w:sz w:val="24"/>
              </w:rPr>
              <w:t>4.01</w:t>
            </w:r>
          </w:p>
        </w:tc>
      </w:tr>
      <w:tr w:rsidR="00472CCE">
        <w:tc>
          <w:tcPr>
            <w:tcW w:w="1320" w:type="dxa"/>
            <w:vAlign w:val="center"/>
          </w:tcPr>
          <w:p w:rsidR="00472CCE" w:rsidRDefault="00FF36B8">
            <w:pPr>
              <w:jc w:val="center"/>
            </w:pPr>
            <w:r>
              <w:rPr>
                <w:color w:val="000000"/>
                <w:sz w:val="24"/>
              </w:rPr>
              <w:t>4</w:t>
            </w:r>
          </w:p>
        </w:tc>
        <w:tc>
          <w:tcPr>
            <w:tcW w:w="1382" w:type="dxa"/>
            <w:vAlign w:val="center"/>
          </w:tcPr>
          <w:p w:rsidR="00472CCE" w:rsidRDefault="00FF36B8">
            <w:pPr>
              <w:jc w:val="center"/>
            </w:pPr>
            <w:r>
              <w:rPr>
                <w:color w:val="000000"/>
                <w:sz w:val="24"/>
              </w:rPr>
              <w:t>111890970</w:t>
            </w:r>
          </w:p>
        </w:tc>
        <w:tc>
          <w:tcPr>
            <w:tcW w:w="1353" w:type="dxa"/>
            <w:vAlign w:val="center"/>
          </w:tcPr>
          <w:p w:rsidR="00472CCE" w:rsidRDefault="00FF36B8">
            <w:pPr>
              <w:jc w:val="center"/>
            </w:pPr>
            <w:r>
              <w:rPr>
                <w:color w:val="000000"/>
                <w:sz w:val="24"/>
              </w:rPr>
              <w:t>18</w:t>
            </w:r>
            <w:r>
              <w:rPr>
                <w:color w:val="000000"/>
                <w:sz w:val="24"/>
              </w:rPr>
              <w:t>长沙银行</w:t>
            </w:r>
            <w:r>
              <w:rPr>
                <w:color w:val="000000"/>
                <w:sz w:val="24"/>
              </w:rPr>
              <w:t>CD021</w:t>
            </w:r>
          </w:p>
        </w:tc>
        <w:tc>
          <w:tcPr>
            <w:tcW w:w="1505" w:type="dxa"/>
            <w:vAlign w:val="center"/>
          </w:tcPr>
          <w:p w:rsidR="00472CCE" w:rsidRDefault="00FF36B8">
            <w:pPr>
              <w:jc w:val="right"/>
            </w:pPr>
            <w:r>
              <w:rPr>
                <w:color w:val="000000"/>
                <w:sz w:val="24"/>
              </w:rPr>
              <w:t>2,000,000</w:t>
            </w:r>
          </w:p>
        </w:tc>
        <w:tc>
          <w:tcPr>
            <w:tcW w:w="1737" w:type="dxa"/>
            <w:vAlign w:val="center"/>
          </w:tcPr>
          <w:p w:rsidR="00472CCE" w:rsidRDefault="00FF36B8">
            <w:pPr>
              <w:jc w:val="right"/>
            </w:pPr>
            <w:r>
              <w:rPr>
                <w:color w:val="000000"/>
                <w:sz w:val="24"/>
              </w:rPr>
              <w:t>195,260,000.00</w:t>
            </w:r>
          </w:p>
        </w:tc>
        <w:tc>
          <w:tcPr>
            <w:tcW w:w="1701" w:type="dxa"/>
            <w:vAlign w:val="center"/>
          </w:tcPr>
          <w:p w:rsidR="00472CCE" w:rsidRDefault="00FF36B8">
            <w:pPr>
              <w:jc w:val="right"/>
            </w:pPr>
            <w:r>
              <w:rPr>
                <w:color w:val="000000"/>
                <w:sz w:val="24"/>
              </w:rPr>
              <w:t>3.89</w:t>
            </w:r>
          </w:p>
        </w:tc>
      </w:tr>
      <w:tr w:rsidR="00472CCE">
        <w:tc>
          <w:tcPr>
            <w:tcW w:w="1320" w:type="dxa"/>
            <w:vAlign w:val="center"/>
          </w:tcPr>
          <w:p w:rsidR="00472CCE" w:rsidRDefault="00FF36B8">
            <w:pPr>
              <w:jc w:val="center"/>
            </w:pPr>
            <w:r>
              <w:rPr>
                <w:color w:val="000000"/>
                <w:sz w:val="24"/>
              </w:rPr>
              <w:t>5</w:t>
            </w:r>
          </w:p>
        </w:tc>
        <w:tc>
          <w:tcPr>
            <w:tcW w:w="1382" w:type="dxa"/>
            <w:vAlign w:val="center"/>
          </w:tcPr>
          <w:p w:rsidR="00472CCE" w:rsidRDefault="00FF36B8">
            <w:pPr>
              <w:jc w:val="center"/>
            </w:pPr>
            <w:r>
              <w:rPr>
                <w:color w:val="000000"/>
                <w:sz w:val="24"/>
              </w:rPr>
              <w:t>111890634</w:t>
            </w:r>
          </w:p>
        </w:tc>
        <w:tc>
          <w:tcPr>
            <w:tcW w:w="1353" w:type="dxa"/>
            <w:vAlign w:val="center"/>
          </w:tcPr>
          <w:p w:rsidR="00472CCE" w:rsidRDefault="00FF36B8">
            <w:pPr>
              <w:jc w:val="center"/>
            </w:pPr>
            <w:r>
              <w:rPr>
                <w:color w:val="000000"/>
                <w:sz w:val="24"/>
              </w:rPr>
              <w:t>18</w:t>
            </w:r>
            <w:r>
              <w:rPr>
                <w:color w:val="000000"/>
                <w:sz w:val="24"/>
              </w:rPr>
              <w:t>汉口银行</w:t>
            </w:r>
            <w:r>
              <w:rPr>
                <w:color w:val="000000"/>
                <w:sz w:val="24"/>
              </w:rPr>
              <w:t>CD016</w:t>
            </w:r>
          </w:p>
        </w:tc>
        <w:tc>
          <w:tcPr>
            <w:tcW w:w="1505" w:type="dxa"/>
            <w:vAlign w:val="center"/>
          </w:tcPr>
          <w:p w:rsidR="00472CCE" w:rsidRDefault="00FF36B8">
            <w:pPr>
              <w:jc w:val="right"/>
            </w:pPr>
            <w:r>
              <w:rPr>
                <w:color w:val="000000"/>
                <w:sz w:val="24"/>
              </w:rPr>
              <w:t>2,000,000</w:t>
            </w:r>
          </w:p>
        </w:tc>
        <w:tc>
          <w:tcPr>
            <w:tcW w:w="1737" w:type="dxa"/>
            <w:vAlign w:val="center"/>
          </w:tcPr>
          <w:p w:rsidR="00472CCE" w:rsidRDefault="00FF36B8">
            <w:pPr>
              <w:jc w:val="right"/>
            </w:pPr>
            <w:r>
              <w:rPr>
                <w:color w:val="000000"/>
                <w:sz w:val="24"/>
              </w:rPr>
              <w:t>195,140,000.00</w:t>
            </w:r>
          </w:p>
        </w:tc>
        <w:tc>
          <w:tcPr>
            <w:tcW w:w="1701" w:type="dxa"/>
            <w:vAlign w:val="center"/>
          </w:tcPr>
          <w:p w:rsidR="00472CCE" w:rsidRDefault="00FF36B8">
            <w:pPr>
              <w:jc w:val="right"/>
            </w:pPr>
            <w:r>
              <w:rPr>
                <w:color w:val="000000"/>
                <w:sz w:val="24"/>
              </w:rPr>
              <w:t>3.89</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548F9" w:rsidRPr="008A1551" w:rsidTr="00365B9A">
        <w:tc>
          <w:tcPr>
            <w:tcW w:w="131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5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证券代码</w:t>
            </w:r>
          </w:p>
        </w:tc>
        <w:tc>
          <w:tcPr>
            <w:tcW w:w="134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证券名称</w:t>
            </w:r>
          </w:p>
        </w:tc>
        <w:tc>
          <w:tcPr>
            <w:tcW w:w="159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Pr="008A1551">
              <w:rPr>
                <w:color w:val="000000"/>
                <w:sz w:val="24"/>
              </w:rPr>
              <w:t>(</w:t>
            </w:r>
            <w:r w:rsidRPr="008A1551">
              <w:rPr>
                <w:color w:val="000000"/>
                <w:sz w:val="24"/>
              </w:rPr>
              <w:t>份</w:t>
            </w:r>
            <w:r w:rsidRPr="008A1551">
              <w:rPr>
                <w:color w:val="000000"/>
                <w:sz w:val="24"/>
              </w:rPr>
              <w:t>)</w:t>
            </w:r>
          </w:p>
        </w:tc>
        <w:tc>
          <w:tcPr>
            <w:tcW w:w="1684"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70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Pr="008A1551">
              <w:rPr>
                <w:color w:val="000000"/>
                <w:sz w:val="24"/>
              </w:rPr>
              <w:t>(</w:t>
            </w:r>
            <w:r w:rsidRPr="008A1551">
              <w:rPr>
                <w:color w:val="000000"/>
                <w:sz w:val="24"/>
              </w:rPr>
              <w:t>％</w:t>
            </w:r>
            <w:r w:rsidRPr="008A1551">
              <w:rPr>
                <w:color w:val="000000"/>
                <w:sz w:val="24"/>
              </w:rPr>
              <w:t>)</w:t>
            </w:r>
          </w:p>
        </w:tc>
      </w:tr>
      <w:tr w:rsidR="00472CCE">
        <w:tc>
          <w:tcPr>
            <w:tcW w:w="1315" w:type="dxa"/>
            <w:vAlign w:val="center"/>
          </w:tcPr>
          <w:p w:rsidR="00472CCE" w:rsidRDefault="00FF36B8">
            <w:pPr>
              <w:jc w:val="center"/>
            </w:pPr>
            <w:r>
              <w:rPr>
                <w:color w:val="000000"/>
                <w:sz w:val="24"/>
              </w:rPr>
              <w:t>1</w:t>
            </w:r>
          </w:p>
        </w:tc>
        <w:tc>
          <w:tcPr>
            <w:tcW w:w="1359" w:type="dxa"/>
            <w:vAlign w:val="center"/>
          </w:tcPr>
          <w:p w:rsidR="00472CCE" w:rsidRDefault="00FF36B8">
            <w:pPr>
              <w:jc w:val="center"/>
            </w:pPr>
            <w:r>
              <w:rPr>
                <w:color w:val="000000"/>
                <w:sz w:val="24"/>
              </w:rPr>
              <w:t>1889075</w:t>
            </w:r>
          </w:p>
        </w:tc>
        <w:tc>
          <w:tcPr>
            <w:tcW w:w="1341" w:type="dxa"/>
            <w:vAlign w:val="center"/>
          </w:tcPr>
          <w:p w:rsidR="00472CCE" w:rsidRDefault="00FF36B8">
            <w:pPr>
              <w:jc w:val="center"/>
            </w:pPr>
            <w:r>
              <w:rPr>
                <w:color w:val="000000"/>
                <w:sz w:val="24"/>
              </w:rPr>
              <w:t>18</w:t>
            </w:r>
            <w:r>
              <w:rPr>
                <w:color w:val="000000"/>
                <w:sz w:val="24"/>
              </w:rPr>
              <w:t>建元</w:t>
            </w:r>
            <w:r>
              <w:rPr>
                <w:color w:val="000000"/>
                <w:sz w:val="24"/>
              </w:rPr>
              <w:t>7A2_bc</w:t>
            </w:r>
          </w:p>
        </w:tc>
        <w:tc>
          <w:tcPr>
            <w:tcW w:w="1590" w:type="dxa"/>
            <w:vAlign w:val="center"/>
          </w:tcPr>
          <w:p w:rsidR="00472CCE" w:rsidRDefault="00FF36B8">
            <w:pPr>
              <w:jc w:val="right"/>
            </w:pPr>
            <w:r>
              <w:rPr>
                <w:color w:val="000000"/>
                <w:sz w:val="24"/>
              </w:rPr>
              <w:t>1,500,000</w:t>
            </w:r>
          </w:p>
        </w:tc>
        <w:tc>
          <w:tcPr>
            <w:tcW w:w="1684" w:type="dxa"/>
            <w:vAlign w:val="center"/>
          </w:tcPr>
          <w:p w:rsidR="00472CCE" w:rsidRDefault="00FF36B8">
            <w:pPr>
              <w:jc w:val="right"/>
            </w:pPr>
            <w:r>
              <w:rPr>
                <w:color w:val="000000"/>
                <w:sz w:val="24"/>
              </w:rPr>
              <w:t>150,570,000.00</w:t>
            </w:r>
          </w:p>
        </w:tc>
        <w:tc>
          <w:tcPr>
            <w:tcW w:w="1709" w:type="dxa"/>
            <w:vAlign w:val="center"/>
          </w:tcPr>
          <w:p w:rsidR="00472CCE" w:rsidRDefault="00FF36B8">
            <w:pPr>
              <w:jc w:val="right"/>
            </w:pPr>
            <w:r>
              <w:rPr>
                <w:color w:val="000000"/>
                <w:sz w:val="24"/>
              </w:rPr>
              <w:t>3.00</w:t>
            </w:r>
          </w:p>
        </w:tc>
      </w:tr>
      <w:tr w:rsidR="00472CCE">
        <w:tc>
          <w:tcPr>
            <w:tcW w:w="1315" w:type="dxa"/>
            <w:vAlign w:val="center"/>
          </w:tcPr>
          <w:p w:rsidR="00472CCE" w:rsidRDefault="00FF36B8">
            <w:pPr>
              <w:jc w:val="center"/>
            </w:pPr>
            <w:r>
              <w:rPr>
                <w:color w:val="000000"/>
                <w:sz w:val="24"/>
              </w:rPr>
              <w:t>2</w:t>
            </w:r>
          </w:p>
        </w:tc>
        <w:tc>
          <w:tcPr>
            <w:tcW w:w="1359" w:type="dxa"/>
            <w:vAlign w:val="center"/>
          </w:tcPr>
          <w:p w:rsidR="00472CCE" w:rsidRDefault="00FF36B8">
            <w:pPr>
              <w:jc w:val="center"/>
            </w:pPr>
            <w:r>
              <w:rPr>
                <w:color w:val="000000"/>
                <w:sz w:val="24"/>
              </w:rPr>
              <w:t>1889081</w:t>
            </w:r>
          </w:p>
        </w:tc>
        <w:tc>
          <w:tcPr>
            <w:tcW w:w="1341" w:type="dxa"/>
            <w:vAlign w:val="center"/>
          </w:tcPr>
          <w:p w:rsidR="00472CCE" w:rsidRDefault="00FF36B8">
            <w:pPr>
              <w:jc w:val="center"/>
            </w:pPr>
            <w:r>
              <w:rPr>
                <w:color w:val="000000"/>
                <w:sz w:val="24"/>
              </w:rPr>
              <w:t>18</w:t>
            </w:r>
            <w:r>
              <w:rPr>
                <w:color w:val="000000"/>
                <w:sz w:val="24"/>
              </w:rPr>
              <w:t>兴元</w:t>
            </w:r>
            <w:r>
              <w:rPr>
                <w:color w:val="000000"/>
                <w:sz w:val="24"/>
              </w:rPr>
              <w:t>2A2</w:t>
            </w:r>
          </w:p>
        </w:tc>
        <w:tc>
          <w:tcPr>
            <w:tcW w:w="1590" w:type="dxa"/>
            <w:vAlign w:val="center"/>
          </w:tcPr>
          <w:p w:rsidR="00472CCE" w:rsidRDefault="00FF36B8">
            <w:pPr>
              <w:jc w:val="right"/>
            </w:pPr>
            <w:r>
              <w:rPr>
                <w:color w:val="000000"/>
                <w:sz w:val="24"/>
              </w:rPr>
              <w:t>600,000</w:t>
            </w:r>
          </w:p>
        </w:tc>
        <w:tc>
          <w:tcPr>
            <w:tcW w:w="1684" w:type="dxa"/>
            <w:vAlign w:val="center"/>
          </w:tcPr>
          <w:p w:rsidR="00472CCE" w:rsidRDefault="00FF36B8">
            <w:pPr>
              <w:jc w:val="right"/>
            </w:pPr>
            <w:r>
              <w:rPr>
                <w:color w:val="000000"/>
                <w:sz w:val="24"/>
              </w:rPr>
              <w:t>60,468,000.00</w:t>
            </w:r>
          </w:p>
        </w:tc>
        <w:tc>
          <w:tcPr>
            <w:tcW w:w="1709" w:type="dxa"/>
            <w:vAlign w:val="center"/>
          </w:tcPr>
          <w:p w:rsidR="00472CCE" w:rsidRDefault="00FF36B8">
            <w:pPr>
              <w:jc w:val="right"/>
            </w:pPr>
            <w:r>
              <w:rPr>
                <w:color w:val="000000"/>
                <w:sz w:val="24"/>
              </w:rPr>
              <w:t>1.20</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4,719.93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151,354,762.08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10,049.96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151,369,531.97</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8A1551">
        <w:rPr>
          <w:b/>
          <w:bCs/>
          <w:szCs w:val="24"/>
          <w:lang w:val="en-US"/>
        </w:rPr>
        <w:t xml:space="preserve">8  </w:t>
      </w:r>
      <w:r w:rsidRPr="008A1551">
        <w:rPr>
          <w:b/>
          <w:bCs/>
          <w:szCs w:val="24"/>
          <w:lang w:val="en-US"/>
        </w:rPr>
        <w:t>基金份额持有人信息</w:t>
      </w:r>
      <w:bookmarkEnd w:id="72"/>
      <w:bookmarkEnd w:id="73"/>
    </w:p>
    <w:p w:rsidR="001548F9" w:rsidRPr="008A1551" w:rsidRDefault="001548F9" w:rsidP="009E1EA4">
      <w:pPr>
        <w:pStyle w:val="20"/>
        <w:spacing w:before="29" w:after="0" w:line="288" w:lineRule="auto"/>
        <w:rPr>
          <w:rFonts w:ascii="Times New Roman" w:hAnsi="Times New Roman"/>
          <w:kern w:val="0"/>
          <w:szCs w:val="24"/>
        </w:rPr>
      </w:pPr>
      <w:bookmarkStart w:id="74" w:name="_Toc331410112"/>
      <w:bookmarkStart w:id="75"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4"/>
      <w:bookmarkEnd w:id="75"/>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交银丰润收益债券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19,555,755.44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4,892,366,927.59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99.67%</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16,127,687.80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0.33%</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交银丰润收益债券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12,505.42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762,830.38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312</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15,734,799.51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4,892,366,927.59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99.66%</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16,890,518.18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0.34%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6"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6"/>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交银丰润收益债券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交银丰润收益债券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9.92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9.92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交银丰润收益债券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交银丰润收益债券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交银丰润收益债券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交银丰润收益债券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7" w:name="_Toc331410115"/>
      <w:bookmarkStart w:id="78" w:name="_Toc225500053"/>
      <w:r w:rsidRPr="008A1551">
        <w:rPr>
          <w:b/>
          <w:bCs/>
          <w:szCs w:val="24"/>
          <w:lang w:val="en-US"/>
        </w:rPr>
        <w:t>9</w:t>
      </w:r>
      <w:r w:rsidRPr="008A1551">
        <w:rPr>
          <w:b/>
          <w:bCs/>
          <w:szCs w:val="24"/>
          <w:lang w:val="en-US"/>
        </w:rPr>
        <w:t>开放式基金份额变动</w:t>
      </w:r>
      <w:bookmarkEnd w:id="77"/>
      <w:bookmarkEnd w:id="78"/>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交银丰润收益债券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交银丰润收益债券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2014</w:t>
            </w:r>
            <w:r w:rsidRPr="008A1551">
              <w:rPr>
                <w:sz w:val="24"/>
              </w:rPr>
              <w:t>年</w:t>
            </w:r>
            <w:r w:rsidRPr="008A1551">
              <w:rPr>
                <w:sz w:val="24"/>
              </w:rPr>
              <w:t>12</w:t>
            </w:r>
            <w:r w:rsidRPr="008A1551">
              <w:rPr>
                <w:sz w:val="24"/>
              </w:rPr>
              <w:t>月</w:t>
            </w:r>
            <w:r w:rsidRPr="008A1551">
              <w:rPr>
                <w:sz w:val="24"/>
              </w:rPr>
              <w:t>15</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402,154,039.59</w:t>
            </w:r>
          </w:p>
        </w:tc>
        <w:tc>
          <w:tcPr>
            <w:tcW w:w="1615" w:type="pct"/>
            <w:vAlign w:val="center"/>
          </w:tcPr>
          <w:p w:rsidR="001548F9" w:rsidRPr="008A1551" w:rsidRDefault="001548F9" w:rsidP="009E1EA4">
            <w:pPr>
              <w:spacing w:before="29" w:line="288" w:lineRule="auto"/>
              <w:jc w:val="right"/>
              <w:rPr>
                <w:sz w:val="24"/>
              </w:rPr>
            </w:pPr>
            <w:r w:rsidRPr="008A1551">
              <w:rPr>
                <w:sz w:val="24"/>
              </w:rPr>
              <w:t>23,334,238.83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4,911,298,076.71</w:t>
            </w:r>
          </w:p>
        </w:tc>
        <w:tc>
          <w:tcPr>
            <w:tcW w:w="1615" w:type="pct"/>
            <w:vAlign w:val="center"/>
          </w:tcPr>
          <w:p w:rsidR="001548F9" w:rsidRPr="008A1551" w:rsidRDefault="001548F9" w:rsidP="009E1EA4">
            <w:pPr>
              <w:spacing w:before="29" w:line="288" w:lineRule="auto"/>
              <w:jc w:val="right"/>
              <w:rPr>
                <w:sz w:val="24"/>
              </w:rPr>
            </w:pPr>
            <w:r w:rsidRPr="008A1551">
              <w:rPr>
                <w:sz w:val="24"/>
              </w:rPr>
              <w:t>1,984,412.03</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571,846.93</w:t>
            </w:r>
          </w:p>
        </w:tc>
        <w:tc>
          <w:tcPr>
            <w:tcW w:w="1615" w:type="pct"/>
            <w:vAlign w:val="center"/>
          </w:tcPr>
          <w:p w:rsidR="001548F9" w:rsidRPr="008A1551" w:rsidRDefault="001548F9" w:rsidP="009E1EA4">
            <w:pPr>
              <w:spacing w:before="29" w:line="288" w:lineRule="auto"/>
              <w:jc w:val="right"/>
              <w:rPr>
                <w:sz w:val="24"/>
              </w:rPr>
            </w:pPr>
            <w:r w:rsidRPr="008A1551">
              <w:rPr>
                <w:sz w:val="24"/>
              </w:rPr>
              <w:t>350,525.03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3,375,308.25</w:t>
            </w:r>
          </w:p>
        </w:tc>
        <w:tc>
          <w:tcPr>
            <w:tcW w:w="1615" w:type="pct"/>
            <w:vAlign w:val="center"/>
          </w:tcPr>
          <w:p w:rsidR="001548F9" w:rsidRPr="008A1551" w:rsidRDefault="001548F9" w:rsidP="009E1EA4">
            <w:pPr>
              <w:spacing w:before="29" w:line="288" w:lineRule="auto"/>
              <w:jc w:val="right"/>
              <w:rPr>
                <w:sz w:val="24"/>
              </w:rPr>
            </w:pPr>
            <w:r w:rsidRPr="008A1551">
              <w:rPr>
                <w:sz w:val="24"/>
              </w:rPr>
              <w:t>1,572,106.68</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4,908,494,615.39</w:t>
            </w:r>
          </w:p>
        </w:tc>
        <w:tc>
          <w:tcPr>
            <w:tcW w:w="1615" w:type="pct"/>
            <w:vAlign w:val="center"/>
          </w:tcPr>
          <w:p w:rsidR="001548F9" w:rsidRPr="008A1551" w:rsidRDefault="001548F9" w:rsidP="009E1EA4">
            <w:pPr>
              <w:spacing w:before="29" w:line="288" w:lineRule="auto"/>
              <w:jc w:val="right"/>
              <w:rPr>
                <w:sz w:val="24"/>
              </w:rPr>
            </w:pPr>
            <w:r w:rsidRPr="008A1551">
              <w:rPr>
                <w:sz w:val="24"/>
              </w:rPr>
              <w:t>762,830.38</w:t>
            </w:r>
          </w:p>
        </w:tc>
      </w:tr>
    </w:tbl>
    <w:p w:rsidR="00472CCE" w:rsidRDefault="00FF36B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8A1551">
        <w:rPr>
          <w:b/>
          <w:bCs/>
          <w:szCs w:val="24"/>
          <w:lang w:val="en-US"/>
        </w:rPr>
        <w:t xml:space="preserve">10  </w:t>
      </w:r>
      <w:r w:rsidRPr="008A1551">
        <w:rPr>
          <w:b/>
          <w:bCs/>
          <w:szCs w:val="24"/>
          <w:lang w:val="en-US"/>
        </w:rPr>
        <w:t>重大事件揭示</w:t>
      </w:r>
      <w:bookmarkEnd w:id="79"/>
      <w:bookmarkEnd w:id="80"/>
    </w:p>
    <w:p w:rsidR="00990177" w:rsidRPr="00690ED2" w:rsidRDefault="00990177" w:rsidP="00990177">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472CCE" w:rsidRDefault="00FF36B8">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90177" w:rsidRDefault="00990177" w:rsidP="00990177">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472CCE" w:rsidRDefault="00FF36B8">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472CCE" w:rsidRDefault="00FF36B8">
      <w:pPr>
        <w:tabs>
          <w:tab w:val="left" w:pos="426"/>
        </w:tabs>
        <w:spacing w:before="29" w:line="288" w:lineRule="auto"/>
        <w:jc w:val="left"/>
        <w:rPr>
          <w:kern w:val="0"/>
          <w:sz w:val="24"/>
        </w:rPr>
      </w:pPr>
      <w:r>
        <w:rPr>
          <w:kern w:val="0"/>
          <w:sz w:val="24"/>
        </w:rPr>
        <w:t>基金管理人及其高级管理人员本报告期内未受监管部门稽查或处罚。</w:t>
      </w:r>
    </w:p>
    <w:p w:rsidR="00472CCE" w:rsidRDefault="00FF36B8">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90177" w:rsidRPr="00690ED2" w:rsidRDefault="00990177" w:rsidP="00990177">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FF36B8">
        <w:tc>
          <w:tcPr>
            <w:tcW w:w="1559" w:type="dxa"/>
            <w:vMerge w:val="restart"/>
            <w:vAlign w:val="center"/>
          </w:tcPr>
          <w:p w:rsidR="001548F9" w:rsidRPr="008A1551" w:rsidRDefault="001548F9" w:rsidP="009E1EA4">
            <w:pPr>
              <w:spacing w:before="29" w:line="288" w:lineRule="auto"/>
              <w:jc w:val="center"/>
              <w:rPr>
                <w:color w:val="000000"/>
                <w:sz w:val="24"/>
              </w:rPr>
            </w:pPr>
            <w:bookmarkStart w:id="120" w:name="_Toc249760071"/>
            <w:r w:rsidRPr="008A1551">
              <w:rPr>
                <w:color w:val="000000"/>
                <w:sz w:val="24"/>
              </w:rPr>
              <w:t>券商名称</w:t>
            </w:r>
          </w:p>
        </w:tc>
        <w:tc>
          <w:tcPr>
            <w:tcW w:w="779"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FF36B8">
        <w:tc>
          <w:tcPr>
            <w:tcW w:w="1559" w:type="dxa"/>
            <w:vMerge/>
            <w:vAlign w:val="center"/>
          </w:tcPr>
          <w:p w:rsidR="001548F9" w:rsidRPr="008A1551" w:rsidRDefault="001548F9" w:rsidP="009E1EA4">
            <w:pPr>
              <w:widowControl/>
              <w:spacing w:before="29" w:line="288" w:lineRule="auto"/>
              <w:jc w:val="left"/>
              <w:rPr>
                <w:color w:val="000000"/>
                <w:sz w:val="24"/>
              </w:rPr>
            </w:pPr>
          </w:p>
        </w:tc>
        <w:tc>
          <w:tcPr>
            <w:tcW w:w="779"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472CCE">
        <w:tc>
          <w:tcPr>
            <w:tcW w:w="1559" w:type="dxa"/>
            <w:vAlign w:val="center"/>
          </w:tcPr>
          <w:p w:rsidR="00472CCE" w:rsidRDefault="00FF36B8">
            <w:pPr>
              <w:jc w:val="center"/>
            </w:pPr>
            <w:r>
              <w:rPr>
                <w:color w:val="000000"/>
                <w:sz w:val="24"/>
              </w:rPr>
              <w:t>国金证券股份有限公司</w:t>
            </w:r>
          </w:p>
        </w:tc>
        <w:tc>
          <w:tcPr>
            <w:tcW w:w="779" w:type="dxa"/>
            <w:vAlign w:val="center"/>
          </w:tcPr>
          <w:p w:rsidR="00472CCE" w:rsidRDefault="00FF36B8">
            <w:pPr>
              <w:jc w:val="center"/>
            </w:pPr>
            <w:r>
              <w:rPr>
                <w:color w:val="000000"/>
                <w:sz w:val="24"/>
              </w:rPr>
              <w:t>2</w:t>
            </w:r>
          </w:p>
        </w:tc>
        <w:tc>
          <w:tcPr>
            <w:tcW w:w="1800" w:type="dxa"/>
            <w:vAlign w:val="center"/>
          </w:tcPr>
          <w:p w:rsidR="00472CCE" w:rsidRDefault="00FF36B8">
            <w:pPr>
              <w:jc w:val="right"/>
            </w:pPr>
            <w:r>
              <w:rPr>
                <w:color w:val="000000"/>
                <w:sz w:val="24"/>
              </w:rPr>
              <w:t>-</w:t>
            </w:r>
          </w:p>
        </w:tc>
        <w:tc>
          <w:tcPr>
            <w:tcW w:w="1080" w:type="dxa"/>
            <w:vAlign w:val="center"/>
          </w:tcPr>
          <w:p w:rsidR="00472CCE" w:rsidRDefault="00FF36B8">
            <w:pPr>
              <w:jc w:val="right"/>
            </w:pPr>
            <w:r>
              <w:rPr>
                <w:color w:val="000000"/>
                <w:sz w:val="24"/>
              </w:rPr>
              <w:t>-</w:t>
            </w:r>
          </w:p>
        </w:tc>
        <w:tc>
          <w:tcPr>
            <w:tcW w:w="1620" w:type="dxa"/>
            <w:vAlign w:val="center"/>
          </w:tcPr>
          <w:p w:rsidR="00472CCE" w:rsidRDefault="00FF36B8">
            <w:pPr>
              <w:jc w:val="right"/>
            </w:pPr>
            <w:r>
              <w:rPr>
                <w:color w:val="000000"/>
                <w:sz w:val="24"/>
              </w:rPr>
              <w:t>-</w:t>
            </w:r>
          </w:p>
        </w:tc>
        <w:tc>
          <w:tcPr>
            <w:tcW w:w="1080" w:type="dxa"/>
            <w:vAlign w:val="center"/>
          </w:tcPr>
          <w:p w:rsidR="00472CCE" w:rsidRDefault="00FF36B8">
            <w:pPr>
              <w:jc w:val="right"/>
            </w:pPr>
            <w:r>
              <w:rPr>
                <w:color w:val="000000"/>
                <w:sz w:val="24"/>
              </w:rPr>
              <w:t>-</w:t>
            </w:r>
          </w:p>
        </w:tc>
        <w:tc>
          <w:tcPr>
            <w:tcW w:w="1080" w:type="dxa"/>
            <w:vAlign w:val="center"/>
          </w:tcPr>
          <w:p w:rsidR="00472CCE" w:rsidRDefault="00FF36B8">
            <w:pPr>
              <w:jc w:val="left"/>
            </w:pPr>
            <w:r>
              <w:rPr>
                <w:color w:val="000000"/>
                <w:sz w:val="24"/>
              </w:rPr>
              <w:t>-</w:t>
            </w:r>
          </w:p>
        </w:tc>
      </w:tr>
      <w:tr w:rsidR="00472CCE">
        <w:tc>
          <w:tcPr>
            <w:tcW w:w="1559" w:type="dxa"/>
            <w:vAlign w:val="center"/>
          </w:tcPr>
          <w:p w:rsidR="00472CCE" w:rsidRDefault="00FF36B8">
            <w:pPr>
              <w:jc w:val="center"/>
            </w:pPr>
            <w:r>
              <w:rPr>
                <w:color w:val="000000"/>
                <w:sz w:val="24"/>
              </w:rPr>
              <w:t>中泰证券股份有限公司</w:t>
            </w:r>
          </w:p>
        </w:tc>
        <w:tc>
          <w:tcPr>
            <w:tcW w:w="779" w:type="dxa"/>
            <w:vAlign w:val="center"/>
          </w:tcPr>
          <w:p w:rsidR="00472CCE" w:rsidRDefault="00FF36B8">
            <w:pPr>
              <w:jc w:val="center"/>
            </w:pPr>
            <w:r>
              <w:rPr>
                <w:color w:val="000000"/>
                <w:sz w:val="24"/>
              </w:rPr>
              <w:t>2</w:t>
            </w:r>
          </w:p>
        </w:tc>
        <w:tc>
          <w:tcPr>
            <w:tcW w:w="1800" w:type="dxa"/>
            <w:vAlign w:val="center"/>
          </w:tcPr>
          <w:p w:rsidR="00472CCE" w:rsidRDefault="00FF36B8">
            <w:pPr>
              <w:jc w:val="right"/>
            </w:pPr>
            <w:r>
              <w:rPr>
                <w:color w:val="000000"/>
                <w:sz w:val="24"/>
              </w:rPr>
              <w:t>-</w:t>
            </w:r>
          </w:p>
        </w:tc>
        <w:tc>
          <w:tcPr>
            <w:tcW w:w="1080" w:type="dxa"/>
            <w:vAlign w:val="center"/>
          </w:tcPr>
          <w:p w:rsidR="00472CCE" w:rsidRDefault="00FF36B8">
            <w:pPr>
              <w:jc w:val="right"/>
            </w:pPr>
            <w:r>
              <w:rPr>
                <w:color w:val="000000"/>
                <w:sz w:val="24"/>
              </w:rPr>
              <w:t>-</w:t>
            </w:r>
          </w:p>
        </w:tc>
        <w:tc>
          <w:tcPr>
            <w:tcW w:w="1620" w:type="dxa"/>
            <w:vAlign w:val="center"/>
          </w:tcPr>
          <w:p w:rsidR="00472CCE" w:rsidRDefault="00FF36B8">
            <w:pPr>
              <w:jc w:val="right"/>
            </w:pPr>
            <w:r>
              <w:rPr>
                <w:color w:val="000000"/>
                <w:sz w:val="24"/>
              </w:rPr>
              <w:t>-</w:t>
            </w:r>
          </w:p>
        </w:tc>
        <w:tc>
          <w:tcPr>
            <w:tcW w:w="1080" w:type="dxa"/>
            <w:vAlign w:val="center"/>
          </w:tcPr>
          <w:p w:rsidR="00472CCE" w:rsidRDefault="00FF36B8">
            <w:pPr>
              <w:jc w:val="right"/>
            </w:pPr>
            <w:r>
              <w:rPr>
                <w:color w:val="000000"/>
                <w:sz w:val="24"/>
              </w:rPr>
              <w:t>-</w:t>
            </w:r>
          </w:p>
        </w:tc>
        <w:tc>
          <w:tcPr>
            <w:tcW w:w="1080" w:type="dxa"/>
            <w:vAlign w:val="center"/>
          </w:tcPr>
          <w:p w:rsidR="00472CCE" w:rsidRDefault="00FF36B8">
            <w:pPr>
              <w:jc w:val="left"/>
            </w:pPr>
            <w:r>
              <w:rPr>
                <w:color w:val="000000"/>
                <w:sz w:val="24"/>
              </w:rPr>
              <w:t>-</w:t>
            </w:r>
          </w:p>
        </w:tc>
      </w:tr>
      <w:tr w:rsidR="00472CCE">
        <w:tc>
          <w:tcPr>
            <w:tcW w:w="1559" w:type="dxa"/>
            <w:vAlign w:val="center"/>
          </w:tcPr>
          <w:p w:rsidR="00472CCE" w:rsidRDefault="00FF36B8">
            <w:pPr>
              <w:jc w:val="center"/>
            </w:pPr>
            <w:r>
              <w:rPr>
                <w:color w:val="000000"/>
                <w:sz w:val="24"/>
              </w:rPr>
              <w:t>安信证券股份有限公司</w:t>
            </w:r>
          </w:p>
        </w:tc>
        <w:tc>
          <w:tcPr>
            <w:tcW w:w="779" w:type="dxa"/>
            <w:vAlign w:val="center"/>
          </w:tcPr>
          <w:p w:rsidR="00472CCE" w:rsidRDefault="00FF36B8">
            <w:pPr>
              <w:jc w:val="center"/>
            </w:pPr>
            <w:r>
              <w:rPr>
                <w:color w:val="000000"/>
                <w:sz w:val="24"/>
              </w:rPr>
              <w:t>2</w:t>
            </w:r>
          </w:p>
        </w:tc>
        <w:tc>
          <w:tcPr>
            <w:tcW w:w="1800" w:type="dxa"/>
            <w:vAlign w:val="center"/>
          </w:tcPr>
          <w:p w:rsidR="00472CCE" w:rsidRDefault="00FF36B8">
            <w:pPr>
              <w:jc w:val="right"/>
            </w:pPr>
            <w:r>
              <w:rPr>
                <w:color w:val="000000"/>
                <w:sz w:val="24"/>
              </w:rPr>
              <w:t>-</w:t>
            </w:r>
          </w:p>
        </w:tc>
        <w:tc>
          <w:tcPr>
            <w:tcW w:w="1080" w:type="dxa"/>
            <w:vAlign w:val="center"/>
          </w:tcPr>
          <w:p w:rsidR="00472CCE" w:rsidRDefault="00FF36B8">
            <w:pPr>
              <w:jc w:val="right"/>
            </w:pPr>
            <w:r>
              <w:rPr>
                <w:color w:val="000000"/>
                <w:sz w:val="24"/>
              </w:rPr>
              <w:t>-</w:t>
            </w:r>
          </w:p>
        </w:tc>
        <w:tc>
          <w:tcPr>
            <w:tcW w:w="1620" w:type="dxa"/>
            <w:vAlign w:val="center"/>
          </w:tcPr>
          <w:p w:rsidR="00472CCE" w:rsidRDefault="00FF36B8">
            <w:pPr>
              <w:jc w:val="right"/>
            </w:pPr>
            <w:r>
              <w:rPr>
                <w:color w:val="000000"/>
                <w:sz w:val="24"/>
              </w:rPr>
              <w:t>-</w:t>
            </w:r>
          </w:p>
        </w:tc>
        <w:tc>
          <w:tcPr>
            <w:tcW w:w="1080" w:type="dxa"/>
            <w:vAlign w:val="center"/>
          </w:tcPr>
          <w:p w:rsidR="00472CCE" w:rsidRDefault="00FF36B8">
            <w:pPr>
              <w:jc w:val="right"/>
            </w:pPr>
            <w:r>
              <w:rPr>
                <w:color w:val="000000"/>
                <w:sz w:val="24"/>
              </w:rPr>
              <w:t>-</w:t>
            </w:r>
          </w:p>
        </w:tc>
        <w:tc>
          <w:tcPr>
            <w:tcW w:w="1080" w:type="dxa"/>
            <w:vAlign w:val="center"/>
          </w:tcPr>
          <w:p w:rsidR="00472CCE" w:rsidRDefault="00FF36B8">
            <w:pPr>
              <w:jc w:val="left"/>
            </w:pPr>
            <w:r>
              <w:rPr>
                <w:color w:val="000000"/>
                <w:sz w:val="24"/>
              </w:rPr>
              <w:t>-</w:t>
            </w:r>
          </w:p>
        </w:tc>
      </w:tr>
    </w:tbl>
    <w:p w:rsidR="001548F9" w:rsidRPr="00FF36B8"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8"/>
        <w:gridCol w:w="1037"/>
        <w:gridCol w:w="1039"/>
        <w:gridCol w:w="1476"/>
        <w:gridCol w:w="1107"/>
        <w:gridCol w:w="1039"/>
        <w:gridCol w:w="1042"/>
      </w:tblGrid>
      <w:tr w:rsidR="001548F9" w:rsidRPr="008A1551" w:rsidTr="0007770F">
        <w:tc>
          <w:tcPr>
            <w:tcW w:w="2258"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076"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583"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081"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07770F">
        <w:tc>
          <w:tcPr>
            <w:tcW w:w="2258" w:type="dxa"/>
            <w:vMerge/>
            <w:vAlign w:val="center"/>
          </w:tcPr>
          <w:p w:rsidR="001548F9" w:rsidRPr="008A1551" w:rsidRDefault="001548F9" w:rsidP="009E1EA4">
            <w:pPr>
              <w:widowControl/>
              <w:spacing w:before="29" w:line="288" w:lineRule="auto"/>
              <w:jc w:val="left"/>
              <w:rPr>
                <w:color w:val="000000"/>
                <w:kern w:val="0"/>
                <w:sz w:val="24"/>
              </w:rPr>
            </w:pPr>
          </w:p>
        </w:tc>
        <w:tc>
          <w:tcPr>
            <w:tcW w:w="1037"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39"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476"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07"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039"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42"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472CCE" w:rsidTr="0007770F">
        <w:tc>
          <w:tcPr>
            <w:tcW w:w="2258" w:type="dxa"/>
            <w:vAlign w:val="center"/>
          </w:tcPr>
          <w:p w:rsidR="00472CCE" w:rsidRDefault="00FF36B8">
            <w:r>
              <w:rPr>
                <w:sz w:val="24"/>
              </w:rPr>
              <w:t>国金证券股份有限公司</w:t>
            </w:r>
          </w:p>
        </w:tc>
        <w:tc>
          <w:tcPr>
            <w:tcW w:w="1037" w:type="dxa"/>
            <w:vAlign w:val="center"/>
          </w:tcPr>
          <w:p w:rsidR="00472CCE" w:rsidRDefault="00FF36B8">
            <w:pPr>
              <w:jc w:val="right"/>
            </w:pPr>
            <w:r>
              <w:rPr>
                <w:sz w:val="24"/>
              </w:rPr>
              <w:t>-</w:t>
            </w:r>
          </w:p>
        </w:tc>
        <w:tc>
          <w:tcPr>
            <w:tcW w:w="1039" w:type="dxa"/>
            <w:vAlign w:val="center"/>
          </w:tcPr>
          <w:p w:rsidR="00472CCE" w:rsidRDefault="00FF36B8">
            <w:pPr>
              <w:jc w:val="right"/>
            </w:pPr>
            <w:r>
              <w:rPr>
                <w:sz w:val="24"/>
              </w:rPr>
              <w:t>-</w:t>
            </w:r>
          </w:p>
        </w:tc>
        <w:tc>
          <w:tcPr>
            <w:tcW w:w="1476" w:type="dxa"/>
            <w:vAlign w:val="center"/>
          </w:tcPr>
          <w:p w:rsidR="00472CCE" w:rsidRDefault="00FF36B8">
            <w:pPr>
              <w:jc w:val="right"/>
            </w:pPr>
            <w:r>
              <w:rPr>
                <w:sz w:val="24"/>
              </w:rPr>
              <w:t>9,000,000.00</w:t>
            </w:r>
          </w:p>
        </w:tc>
        <w:tc>
          <w:tcPr>
            <w:tcW w:w="1107" w:type="dxa"/>
            <w:vAlign w:val="center"/>
          </w:tcPr>
          <w:p w:rsidR="00472CCE" w:rsidRDefault="00FF36B8">
            <w:pPr>
              <w:jc w:val="right"/>
            </w:pPr>
            <w:r>
              <w:rPr>
                <w:sz w:val="24"/>
              </w:rPr>
              <w:t>100.00%</w:t>
            </w:r>
          </w:p>
        </w:tc>
        <w:tc>
          <w:tcPr>
            <w:tcW w:w="1039" w:type="dxa"/>
            <w:vAlign w:val="center"/>
          </w:tcPr>
          <w:p w:rsidR="00472CCE" w:rsidRDefault="00FF36B8">
            <w:pPr>
              <w:jc w:val="right"/>
            </w:pPr>
            <w:r>
              <w:rPr>
                <w:sz w:val="24"/>
              </w:rPr>
              <w:t>-</w:t>
            </w:r>
          </w:p>
        </w:tc>
        <w:tc>
          <w:tcPr>
            <w:tcW w:w="1042" w:type="dxa"/>
            <w:vAlign w:val="center"/>
          </w:tcPr>
          <w:p w:rsidR="00472CCE" w:rsidRDefault="00FF36B8">
            <w:pPr>
              <w:jc w:val="right"/>
            </w:pPr>
            <w:r>
              <w:rPr>
                <w:sz w:val="24"/>
              </w:rPr>
              <w:t>-</w:t>
            </w:r>
          </w:p>
        </w:tc>
      </w:tr>
      <w:tr w:rsidR="0007770F" w:rsidTr="0007770F">
        <w:tc>
          <w:tcPr>
            <w:tcW w:w="2258" w:type="dxa"/>
            <w:vAlign w:val="center"/>
          </w:tcPr>
          <w:p w:rsidR="0007770F" w:rsidRDefault="0007770F" w:rsidP="0007770F">
            <w:pPr>
              <w:jc w:val="left"/>
            </w:pPr>
            <w:r>
              <w:rPr>
                <w:rFonts w:eastAsiaTheme="minorEastAsia"/>
                <w:sz w:val="24"/>
              </w:rPr>
              <w:t>中泰证券股份有限公司</w:t>
            </w:r>
          </w:p>
        </w:tc>
        <w:tc>
          <w:tcPr>
            <w:tcW w:w="1037" w:type="dxa"/>
            <w:vAlign w:val="center"/>
          </w:tcPr>
          <w:p w:rsidR="0007770F" w:rsidRDefault="0007770F" w:rsidP="0007770F">
            <w:pPr>
              <w:jc w:val="right"/>
            </w:pPr>
            <w:r>
              <w:rPr>
                <w:rFonts w:eastAsiaTheme="minorEastAsia"/>
                <w:sz w:val="24"/>
              </w:rPr>
              <w:t>-</w:t>
            </w:r>
          </w:p>
        </w:tc>
        <w:tc>
          <w:tcPr>
            <w:tcW w:w="1039" w:type="dxa"/>
            <w:vAlign w:val="center"/>
          </w:tcPr>
          <w:p w:rsidR="0007770F" w:rsidRDefault="0007770F" w:rsidP="0007770F">
            <w:pPr>
              <w:jc w:val="right"/>
            </w:pPr>
            <w:r>
              <w:rPr>
                <w:rFonts w:eastAsiaTheme="minorEastAsia"/>
                <w:sz w:val="24"/>
              </w:rPr>
              <w:t>-</w:t>
            </w:r>
          </w:p>
        </w:tc>
        <w:tc>
          <w:tcPr>
            <w:tcW w:w="1476" w:type="dxa"/>
            <w:vAlign w:val="center"/>
          </w:tcPr>
          <w:p w:rsidR="0007770F" w:rsidRDefault="0007770F" w:rsidP="0007770F">
            <w:pPr>
              <w:jc w:val="right"/>
            </w:pPr>
            <w:r>
              <w:rPr>
                <w:rFonts w:eastAsiaTheme="minorEastAsia"/>
                <w:sz w:val="24"/>
              </w:rPr>
              <w:t>-</w:t>
            </w:r>
          </w:p>
        </w:tc>
        <w:tc>
          <w:tcPr>
            <w:tcW w:w="1107" w:type="dxa"/>
            <w:vAlign w:val="center"/>
          </w:tcPr>
          <w:p w:rsidR="0007770F" w:rsidRDefault="0007770F" w:rsidP="0007770F">
            <w:pPr>
              <w:jc w:val="right"/>
            </w:pPr>
            <w:r>
              <w:rPr>
                <w:rFonts w:eastAsiaTheme="minorEastAsia"/>
                <w:sz w:val="24"/>
              </w:rPr>
              <w:t>-</w:t>
            </w:r>
          </w:p>
        </w:tc>
        <w:tc>
          <w:tcPr>
            <w:tcW w:w="1039" w:type="dxa"/>
            <w:vAlign w:val="center"/>
          </w:tcPr>
          <w:p w:rsidR="0007770F" w:rsidRDefault="0007770F" w:rsidP="0007770F">
            <w:pPr>
              <w:jc w:val="right"/>
            </w:pPr>
            <w:r>
              <w:rPr>
                <w:rFonts w:eastAsiaTheme="minorEastAsia"/>
                <w:sz w:val="24"/>
              </w:rPr>
              <w:t>-</w:t>
            </w:r>
          </w:p>
        </w:tc>
        <w:tc>
          <w:tcPr>
            <w:tcW w:w="1042" w:type="dxa"/>
            <w:vAlign w:val="center"/>
          </w:tcPr>
          <w:p w:rsidR="0007770F" w:rsidRDefault="0007770F" w:rsidP="0007770F">
            <w:pPr>
              <w:jc w:val="right"/>
            </w:pPr>
            <w:r>
              <w:rPr>
                <w:rFonts w:eastAsiaTheme="minorEastAsia"/>
                <w:sz w:val="24"/>
              </w:rPr>
              <w:t>-</w:t>
            </w:r>
          </w:p>
        </w:tc>
      </w:tr>
      <w:tr w:rsidR="0007770F" w:rsidTr="0007770F">
        <w:tc>
          <w:tcPr>
            <w:tcW w:w="2258" w:type="dxa"/>
            <w:vAlign w:val="center"/>
          </w:tcPr>
          <w:p w:rsidR="0007770F" w:rsidRDefault="0007770F" w:rsidP="0007770F">
            <w:pPr>
              <w:jc w:val="left"/>
            </w:pPr>
            <w:r>
              <w:rPr>
                <w:rFonts w:eastAsiaTheme="minorEastAsia"/>
                <w:sz w:val="24"/>
              </w:rPr>
              <w:t>安信证券股份有限公司</w:t>
            </w:r>
          </w:p>
        </w:tc>
        <w:tc>
          <w:tcPr>
            <w:tcW w:w="1037" w:type="dxa"/>
            <w:vAlign w:val="center"/>
          </w:tcPr>
          <w:p w:rsidR="0007770F" w:rsidRDefault="0007770F" w:rsidP="0007770F">
            <w:pPr>
              <w:jc w:val="right"/>
            </w:pPr>
            <w:r>
              <w:rPr>
                <w:rFonts w:eastAsiaTheme="minorEastAsia"/>
                <w:sz w:val="24"/>
              </w:rPr>
              <w:t>-</w:t>
            </w:r>
          </w:p>
        </w:tc>
        <w:tc>
          <w:tcPr>
            <w:tcW w:w="1039" w:type="dxa"/>
            <w:vAlign w:val="center"/>
          </w:tcPr>
          <w:p w:rsidR="0007770F" w:rsidRDefault="0007770F" w:rsidP="0007770F">
            <w:pPr>
              <w:jc w:val="right"/>
            </w:pPr>
            <w:r>
              <w:rPr>
                <w:rFonts w:eastAsiaTheme="minorEastAsia"/>
                <w:sz w:val="24"/>
              </w:rPr>
              <w:t>-</w:t>
            </w:r>
          </w:p>
        </w:tc>
        <w:tc>
          <w:tcPr>
            <w:tcW w:w="1476" w:type="dxa"/>
            <w:vAlign w:val="center"/>
          </w:tcPr>
          <w:p w:rsidR="0007770F" w:rsidRDefault="0007770F" w:rsidP="0007770F">
            <w:pPr>
              <w:jc w:val="right"/>
            </w:pPr>
            <w:r>
              <w:rPr>
                <w:rFonts w:eastAsiaTheme="minorEastAsia"/>
                <w:sz w:val="24"/>
              </w:rPr>
              <w:t>-</w:t>
            </w:r>
          </w:p>
        </w:tc>
        <w:tc>
          <w:tcPr>
            <w:tcW w:w="1107" w:type="dxa"/>
            <w:vAlign w:val="center"/>
          </w:tcPr>
          <w:p w:rsidR="0007770F" w:rsidRDefault="0007770F" w:rsidP="0007770F">
            <w:pPr>
              <w:jc w:val="right"/>
            </w:pPr>
            <w:r>
              <w:rPr>
                <w:rFonts w:eastAsiaTheme="minorEastAsia"/>
                <w:sz w:val="24"/>
              </w:rPr>
              <w:t>-</w:t>
            </w:r>
          </w:p>
        </w:tc>
        <w:tc>
          <w:tcPr>
            <w:tcW w:w="1039" w:type="dxa"/>
            <w:vAlign w:val="center"/>
          </w:tcPr>
          <w:p w:rsidR="0007770F" w:rsidRDefault="0007770F" w:rsidP="0007770F">
            <w:pPr>
              <w:jc w:val="right"/>
            </w:pPr>
            <w:r>
              <w:rPr>
                <w:rFonts w:eastAsiaTheme="minorEastAsia"/>
                <w:sz w:val="24"/>
              </w:rPr>
              <w:t>-</w:t>
            </w:r>
          </w:p>
        </w:tc>
        <w:tc>
          <w:tcPr>
            <w:tcW w:w="1042" w:type="dxa"/>
            <w:vAlign w:val="center"/>
          </w:tcPr>
          <w:p w:rsidR="0007770F" w:rsidRDefault="0007770F" w:rsidP="0007770F">
            <w:pPr>
              <w:jc w:val="right"/>
            </w:pPr>
            <w:r>
              <w:rPr>
                <w:rFonts w:eastAsiaTheme="minorEastAsia"/>
                <w:sz w:val="24"/>
              </w:rPr>
              <w:t>-</w:t>
            </w:r>
          </w:p>
        </w:tc>
      </w:tr>
    </w:tbl>
    <w:p w:rsidR="001166B0" w:rsidRDefault="001166B0" w:rsidP="001166B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1166B0" w:rsidRDefault="001166B0" w:rsidP="001166B0">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166B0" w:rsidRPr="008A1551" w:rsidRDefault="001166B0" w:rsidP="001166B0">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1166B0" w:rsidRDefault="005A0301" w:rsidP="009E1EA4">
      <w:pPr>
        <w:tabs>
          <w:tab w:val="left" w:pos="426"/>
        </w:tabs>
        <w:spacing w:before="29" w:line="288" w:lineRule="auto"/>
        <w:jc w:val="left"/>
        <w:rPr>
          <w:kern w:val="0"/>
          <w:sz w:val="24"/>
        </w:rPr>
      </w:pPr>
      <w:bookmarkStart w:id="135" w:name="_GoBack"/>
      <w:bookmarkEnd w:id="135"/>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FF36B8">
        <w:tc>
          <w:tcPr>
            <w:tcW w:w="993" w:type="dxa"/>
            <w:vMerge w:val="restart"/>
            <w:vAlign w:val="center"/>
          </w:tcPr>
          <w:p w:rsidR="00DA3AB8" w:rsidRPr="004F0662" w:rsidRDefault="00DA3AB8" w:rsidP="00FF36B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FF36B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FF36B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FF36B8">
        <w:tc>
          <w:tcPr>
            <w:tcW w:w="993" w:type="dxa"/>
            <w:vMerge/>
            <w:vAlign w:val="center"/>
          </w:tcPr>
          <w:p w:rsidR="00DA3AB8" w:rsidRPr="004F0662" w:rsidRDefault="00DA3AB8" w:rsidP="00FF36B8">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FF36B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FF36B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FF36B8">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FF36B8">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FF36B8">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FF36B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FF36B8">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72CCE">
        <w:tc>
          <w:tcPr>
            <w:tcW w:w="993" w:type="dxa"/>
            <w:vMerge w:val="restart"/>
          </w:tcPr>
          <w:p w:rsidR="00472CCE" w:rsidRDefault="00472CCE"/>
          <w:p w:rsidR="00472CCE" w:rsidRDefault="00FF36B8">
            <w:r>
              <w:rPr>
                <w:rFonts w:ascii="宋体" w:hAnsi="宋体" w:hint="eastAsia"/>
                <w:bCs/>
                <w:color w:val="000000"/>
                <w:kern w:val="0"/>
                <w:szCs w:val="21"/>
              </w:rPr>
              <w:t>机构</w:t>
            </w:r>
          </w:p>
        </w:tc>
        <w:tc>
          <w:tcPr>
            <w:tcW w:w="992" w:type="dxa"/>
            <w:vAlign w:val="center"/>
          </w:tcPr>
          <w:p w:rsidR="00472CCE" w:rsidRDefault="00FF36B8">
            <w:pPr>
              <w:jc w:val="center"/>
            </w:pPr>
            <w:r>
              <w:rPr>
                <w:rFonts w:ascii="宋体" w:hAnsi="宋体"/>
                <w:color w:val="000000"/>
                <w:kern w:val="0"/>
                <w:szCs w:val="21"/>
              </w:rPr>
              <w:t>1</w:t>
            </w:r>
          </w:p>
        </w:tc>
        <w:tc>
          <w:tcPr>
            <w:tcW w:w="1843" w:type="dxa"/>
            <w:vAlign w:val="center"/>
          </w:tcPr>
          <w:p w:rsidR="00472CCE" w:rsidRDefault="00FF36B8">
            <w:pPr>
              <w:jc w:val="center"/>
            </w:pPr>
            <w:r>
              <w:rPr>
                <w:rFonts w:ascii="宋体" w:hAnsi="宋体"/>
                <w:color w:val="000000"/>
                <w:kern w:val="0"/>
                <w:szCs w:val="21"/>
              </w:rPr>
              <w:t>2018/1/1-2018/6/30</w:t>
            </w:r>
          </w:p>
        </w:tc>
        <w:tc>
          <w:tcPr>
            <w:tcW w:w="851" w:type="dxa"/>
            <w:vAlign w:val="center"/>
          </w:tcPr>
          <w:p w:rsidR="00472CCE" w:rsidRDefault="00FF36B8">
            <w:pPr>
              <w:jc w:val="center"/>
            </w:pPr>
            <w:r>
              <w:rPr>
                <w:rFonts w:ascii="宋体" w:hAnsi="宋体"/>
                <w:color w:val="000000"/>
                <w:kern w:val="0"/>
                <w:szCs w:val="21"/>
              </w:rPr>
              <w:t>4,892,366,927.59</w:t>
            </w:r>
          </w:p>
        </w:tc>
        <w:tc>
          <w:tcPr>
            <w:tcW w:w="850" w:type="dxa"/>
            <w:vAlign w:val="center"/>
          </w:tcPr>
          <w:p w:rsidR="00472CCE" w:rsidRDefault="00FF36B8">
            <w:pPr>
              <w:jc w:val="center"/>
            </w:pPr>
            <w:r>
              <w:rPr>
                <w:rFonts w:ascii="宋体" w:hAnsi="宋体"/>
                <w:color w:val="000000"/>
                <w:kern w:val="0"/>
                <w:szCs w:val="21"/>
              </w:rPr>
              <w:t>-</w:t>
            </w:r>
          </w:p>
        </w:tc>
        <w:tc>
          <w:tcPr>
            <w:tcW w:w="1134" w:type="dxa"/>
            <w:vAlign w:val="center"/>
          </w:tcPr>
          <w:p w:rsidR="00472CCE" w:rsidRDefault="00FF36B8">
            <w:pPr>
              <w:jc w:val="center"/>
            </w:pPr>
            <w:r>
              <w:rPr>
                <w:rFonts w:ascii="宋体" w:hAnsi="宋体"/>
                <w:color w:val="000000"/>
                <w:kern w:val="0"/>
                <w:szCs w:val="21"/>
              </w:rPr>
              <w:t>-</w:t>
            </w:r>
          </w:p>
        </w:tc>
        <w:tc>
          <w:tcPr>
            <w:tcW w:w="1419" w:type="dxa"/>
            <w:vAlign w:val="center"/>
          </w:tcPr>
          <w:p w:rsidR="00472CCE" w:rsidRDefault="00FF36B8">
            <w:pPr>
              <w:jc w:val="center"/>
            </w:pPr>
            <w:r>
              <w:rPr>
                <w:rFonts w:ascii="宋体" w:hAnsi="宋体"/>
                <w:color w:val="000000"/>
                <w:kern w:val="0"/>
                <w:szCs w:val="21"/>
              </w:rPr>
              <w:t>4,892,366,927.59</w:t>
            </w:r>
          </w:p>
        </w:tc>
        <w:tc>
          <w:tcPr>
            <w:tcW w:w="1130" w:type="dxa"/>
            <w:vAlign w:val="center"/>
          </w:tcPr>
          <w:p w:rsidR="00472CCE" w:rsidRDefault="00FF36B8">
            <w:pPr>
              <w:jc w:val="center"/>
            </w:pPr>
            <w:r>
              <w:rPr>
                <w:rFonts w:ascii="宋体" w:hAnsi="宋体"/>
                <w:color w:val="000000"/>
                <w:kern w:val="0"/>
                <w:szCs w:val="21"/>
              </w:rPr>
              <w:t>99.66%</w:t>
            </w:r>
          </w:p>
        </w:tc>
      </w:tr>
      <w:tr w:rsidR="00DA3AB8" w:rsidRPr="004F0662" w:rsidTr="00FF36B8">
        <w:tc>
          <w:tcPr>
            <w:tcW w:w="9212" w:type="dxa"/>
            <w:gridSpan w:val="8"/>
            <w:vAlign w:val="center"/>
          </w:tcPr>
          <w:p w:rsidR="00DA3AB8" w:rsidRPr="004F0662" w:rsidRDefault="00DA3AB8" w:rsidP="00FF36B8">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FF36B8">
        <w:tc>
          <w:tcPr>
            <w:tcW w:w="9212" w:type="dxa"/>
            <w:gridSpan w:val="8"/>
            <w:vAlign w:val="center"/>
          </w:tcPr>
          <w:p w:rsidR="00DA3AB8" w:rsidRPr="004F0662" w:rsidRDefault="00DA3AB8" w:rsidP="00FF36B8">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472CCE" w:rsidRDefault="00FF36B8">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143" w:rsidRDefault="00731143">
      <w:r>
        <w:separator/>
      </w:r>
    </w:p>
  </w:endnote>
  <w:endnote w:type="continuationSeparator" w:id="0">
    <w:p w:rsidR="00731143" w:rsidRDefault="00731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B8" w:rsidRDefault="00FF36B8"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F36B8" w:rsidRDefault="00FF36B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B8" w:rsidRDefault="00FF36B8"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25FCE">
      <w:rPr>
        <w:noProof/>
        <w:kern w:val="0"/>
        <w:szCs w:val="21"/>
      </w:rPr>
      <w:t>12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25FCE">
      <w:rPr>
        <w:noProof/>
        <w:kern w:val="0"/>
        <w:szCs w:val="21"/>
      </w:rPr>
      <w:t>28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143" w:rsidRDefault="00731143">
      <w:r>
        <w:separator/>
      </w:r>
    </w:p>
  </w:footnote>
  <w:footnote w:type="continuationSeparator" w:id="0">
    <w:p w:rsidR="00731143" w:rsidRDefault="00731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6B8" w:rsidRPr="003B6CAA" w:rsidRDefault="00FF36B8" w:rsidP="002243A3">
    <w:pPr>
      <w:pStyle w:val="a9"/>
      <w:pBdr>
        <w:bottom w:val="single" w:sz="6" w:space="0" w:color="auto"/>
      </w:pBdr>
      <w:jc w:val="right"/>
    </w:pPr>
    <w:r w:rsidRPr="003B6CAA">
      <w:t>交银施罗德丰润收益债券型证券投资基金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7770F"/>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6B0"/>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5FCE"/>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2CCE"/>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143"/>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6B8"/>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360</TotalTime>
  <Pages>1</Pages>
  <Words>3120</Words>
  <Characters>17786</Characters>
  <Application>Microsoft Office Word</Application>
  <DocSecurity>0</DocSecurity>
  <Lines>148</Lines>
  <Paragraphs>41</Paragraphs>
  <ScaleCrop>false</ScaleCrop>
  <Company/>
  <LinksUpToDate>false</LinksUpToDate>
  <CharactersWithSpaces>20865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662</cp:revision>
  <cp:lastPrinted>2007-07-19T00:46:00Z</cp:lastPrinted>
  <dcterms:created xsi:type="dcterms:W3CDTF">2013-08-19T07:43:00Z</dcterms:created>
  <dcterms:modified xsi:type="dcterms:W3CDTF">2018-08-23T08:50:00Z</dcterms:modified>
</cp:coreProperties>
</file>