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交银施罗德丰盈收益债券型证券投资基金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交银丰盈收益债券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519740</w:t>
            </w:r>
          </w:p>
        </w:tc>
      </w:tr>
      <w:tr w:rsidR="00A12979" w:rsidRPr="008A1551" w:rsidTr="0042137F">
        <w:tc>
          <w:tcPr>
            <w:tcW w:w="3693" w:type="dxa"/>
            <w:vAlign w:val="center"/>
          </w:tcPr>
          <w:p w:rsidR="00A12979" w:rsidRPr="008A1551" w:rsidRDefault="00A12979" w:rsidP="009E1EA4">
            <w:pPr>
              <w:spacing w:before="29" w:line="288" w:lineRule="auto"/>
              <w:rPr>
                <w:sz w:val="24"/>
              </w:rPr>
            </w:pPr>
            <w:r w:rsidRPr="008A1551">
              <w:rPr>
                <w:color w:val="000000"/>
                <w:kern w:val="0"/>
                <w:sz w:val="24"/>
              </w:rPr>
              <w:t>交易代码</w:t>
            </w:r>
          </w:p>
        </w:tc>
        <w:tc>
          <w:tcPr>
            <w:tcW w:w="5305" w:type="dxa"/>
            <w:gridSpan w:val="2"/>
            <w:vAlign w:val="center"/>
          </w:tcPr>
          <w:p w:rsidR="00A12979" w:rsidRPr="008A1551" w:rsidRDefault="00A12979" w:rsidP="00A12979">
            <w:pPr>
              <w:spacing w:before="29" w:line="288" w:lineRule="auto"/>
              <w:jc w:val="center"/>
              <w:rPr>
                <w:sz w:val="24"/>
              </w:rPr>
            </w:pPr>
            <w:r w:rsidRPr="008A1551">
              <w:rPr>
                <w:sz w:val="24"/>
              </w:rPr>
              <w:t>519740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契约型，本基金在基金合同生效之日起三年（含三年）的期间内封闭式运作（按照基金合同的约定提前转换基金运作方式的除外），封闭期结束后转为开放式运作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8</w:t>
            </w:r>
            <w:r w:rsidRPr="008A1551">
              <w:rPr>
                <w:sz w:val="24"/>
              </w:rPr>
              <w:t>月</w:t>
            </w:r>
            <w:r w:rsidRPr="008A1551">
              <w:rPr>
                <w:sz w:val="24"/>
              </w:rPr>
              <w:t>11</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34,798,758.05</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交银丰盈收益债券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交银丰盈收益债券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519740</w:t>
            </w:r>
          </w:p>
        </w:tc>
        <w:tc>
          <w:tcPr>
            <w:tcW w:w="2596" w:type="dxa"/>
            <w:vAlign w:val="center"/>
          </w:tcPr>
          <w:p w:rsidR="0073136C" w:rsidRPr="008A1551" w:rsidRDefault="0073136C" w:rsidP="009E1EA4">
            <w:pPr>
              <w:spacing w:before="29" w:line="288" w:lineRule="auto"/>
              <w:jc w:val="center"/>
              <w:rPr>
                <w:sz w:val="24"/>
              </w:rPr>
            </w:pPr>
            <w:r w:rsidRPr="008A1551">
              <w:rPr>
                <w:sz w:val="24"/>
              </w:rPr>
              <w:t>005025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33,322,315.55</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1,476,442.50</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日起转为开放式运作。</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追求在有效控制风险的前提下，力争为基金资产获得稳健的投资收益和超额回报。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052EC" w:rsidRDefault="00A12979">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1052EC" w:rsidRDefault="001052EC">
            <w:pPr>
              <w:spacing w:before="29" w:line="288" w:lineRule="auto"/>
              <w:rPr>
                <w:sz w:val="24"/>
              </w:rPr>
            </w:pPr>
          </w:p>
          <w:p w:rsidR="001548F9" w:rsidRPr="008A1551" w:rsidRDefault="001548F9" w:rsidP="009E1EA4">
            <w:pPr>
              <w:spacing w:before="29" w:line="288" w:lineRule="auto"/>
              <w:rPr>
                <w:sz w:val="24"/>
              </w:rPr>
            </w:pPr>
            <w:r w:rsidRPr="008A1551">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w:t>
            </w:r>
            <w:r w:rsidRPr="008A1551">
              <w:rPr>
                <w:sz w:val="24"/>
              </w:rPr>
              <w:lastRenderedPageBreak/>
              <w:t>在严谨深入的信用分析基础上，综合考量信用债券的信用评级，以及各类债券的流动性、供求关系和收益率水平等，自下而上精选个券。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lastRenderedPageBreak/>
              <w:t>业绩比较基准</w:t>
            </w:r>
          </w:p>
        </w:tc>
        <w:tc>
          <w:tcPr>
            <w:tcW w:w="6873" w:type="dxa"/>
            <w:vAlign w:val="center"/>
          </w:tcPr>
          <w:p w:rsidR="001052EC" w:rsidRDefault="00A12979">
            <w:pPr>
              <w:spacing w:before="29" w:line="288" w:lineRule="auto"/>
              <w:rPr>
                <w:sz w:val="24"/>
              </w:rPr>
            </w:pPr>
            <w:r>
              <w:rPr>
                <w:sz w:val="24"/>
              </w:rPr>
              <w:t>封闭期内业绩比较基准：三年期银行定期存款税后收益率</w:t>
            </w:r>
          </w:p>
          <w:p w:rsidR="001548F9" w:rsidRPr="008A1551" w:rsidRDefault="001548F9" w:rsidP="009E1EA4">
            <w:pPr>
              <w:spacing w:before="29" w:line="288" w:lineRule="auto"/>
              <w:rPr>
                <w:sz w:val="24"/>
              </w:rPr>
            </w:pPr>
            <w:r w:rsidRPr="008A1551">
              <w:rPr>
                <w:sz w:val="24"/>
              </w:rPr>
              <w:t>开放期内业绩比较基准：中债综合全价指数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交银丰盈收益债券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交银丰盈收益债券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375,452.39</w:t>
            </w:r>
          </w:p>
        </w:tc>
        <w:tc>
          <w:tcPr>
            <w:tcW w:w="2558" w:type="dxa"/>
            <w:vAlign w:val="center"/>
          </w:tcPr>
          <w:p w:rsidR="001548F9" w:rsidRPr="008A1551" w:rsidRDefault="001548F9" w:rsidP="009E1EA4">
            <w:pPr>
              <w:spacing w:before="29" w:line="288" w:lineRule="auto"/>
              <w:jc w:val="right"/>
              <w:rPr>
                <w:sz w:val="24"/>
              </w:rPr>
            </w:pPr>
            <w:r w:rsidRPr="008A1551">
              <w:rPr>
                <w:sz w:val="24"/>
              </w:rPr>
              <w:t>8,140.68</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lastRenderedPageBreak/>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892,519.82</w:t>
            </w:r>
          </w:p>
        </w:tc>
        <w:tc>
          <w:tcPr>
            <w:tcW w:w="2558" w:type="dxa"/>
            <w:vAlign w:val="center"/>
          </w:tcPr>
          <w:p w:rsidR="001548F9" w:rsidRPr="008A1551" w:rsidRDefault="001548F9" w:rsidP="009E1EA4">
            <w:pPr>
              <w:spacing w:before="29" w:line="288" w:lineRule="auto"/>
              <w:jc w:val="right"/>
              <w:rPr>
                <w:sz w:val="24"/>
              </w:rPr>
            </w:pPr>
            <w:r w:rsidRPr="008A1551">
              <w:rPr>
                <w:sz w:val="24"/>
              </w:rPr>
              <w:t>8,166.32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0.0203</w:t>
            </w:r>
          </w:p>
        </w:tc>
        <w:tc>
          <w:tcPr>
            <w:tcW w:w="2558" w:type="dxa"/>
            <w:vAlign w:val="center"/>
          </w:tcPr>
          <w:p w:rsidR="001548F9" w:rsidRPr="008A1551" w:rsidRDefault="001548F9" w:rsidP="009E1EA4">
            <w:pPr>
              <w:spacing w:before="29" w:line="288" w:lineRule="auto"/>
              <w:jc w:val="right"/>
              <w:rPr>
                <w:sz w:val="24"/>
              </w:rPr>
            </w:pPr>
            <w:r w:rsidRPr="008A1551">
              <w:rPr>
                <w:sz w:val="24"/>
              </w:rPr>
              <w:t>0.0100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1.84%</w:t>
            </w:r>
          </w:p>
        </w:tc>
        <w:tc>
          <w:tcPr>
            <w:tcW w:w="2558" w:type="dxa"/>
            <w:vAlign w:val="center"/>
          </w:tcPr>
          <w:p w:rsidR="001548F9" w:rsidRPr="008A1551" w:rsidRDefault="001548F9" w:rsidP="009E1EA4">
            <w:pPr>
              <w:spacing w:before="29" w:line="288" w:lineRule="auto"/>
              <w:jc w:val="right"/>
              <w:rPr>
                <w:sz w:val="24"/>
              </w:rPr>
            </w:pPr>
            <w:r w:rsidRPr="008A1551">
              <w:rPr>
                <w:sz w:val="24"/>
              </w:rPr>
              <w:t>6.40%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交银丰盈收益债券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交银丰盈收益债券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0.044</w:t>
            </w:r>
          </w:p>
        </w:tc>
        <w:tc>
          <w:tcPr>
            <w:tcW w:w="2558" w:type="dxa"/>
            <w:vAlign w:val="center"/>
          </w:tcPr>
          <w:p w:rsidR="001548F9" w:rsidRPr="008A1551" w:rsidRDefault="001548F9" w:rsidP="009E1EA4">
            <w:pPr>
              <w:spacing w:before="29" w:line="288" w:lineRule="auto"/>
              <w:jc w:val="right"/>
              <w:rPr>
                <w:sz w:val="24"/>
              </w:rPr>
            </w:pPr>
            <w:r w:rsidRPr="008A1551">
              <w:rPr>
                <w:sz w:val="24"/>
              </w:rPr>
              <w:t>0.090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35,019,988.88</w:t>
            </w:r>
          </w:p>
        </w:tc>
        <w:tc>
          <w:tcPr>
            <w:tcW w:w="2558" w:type="dxa"/>
            <w:vAlign w:val="center"/>
          </w:tcPr>
          <w:p w:rsidR="001548F9" w:rsidRPr="008A1551" w:rsidRDefault="001548F9" w:rsidP="009E1EA4">
            <w:pPr>
              <w:spacing w:before="29" w:line="288" w:lineRule="auto"/>
              <w:jc w:val="right"/>
              <w:rPr>
                <w:sz w:val="24"/>
              </w:rPr>
            </w:pPr>
            <w:r w:rsidRPr="008A1551">
              <w:rPr>
                <w:sz w:val="24"/>
              </w:rPr>
              <w:t>1,620,212.62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1.051</w:t>
            </w:r>
          </w:p>
        </w:tc>
        <w:tc>
          <w:tcPr>
            <w:tcW w:w="2558" w:type="dxa"/>
            <w:vAlign w:val="center"/>
          </w:tcPr>
          <w:p w:rsidR="001548F9" w:rsidRPr="008A1551" w:rsidRDefault="001548F9" w:rsidP="009E1EA4">
            <w:pPr>
              <w:spacing w:before="29" w:line="288" w:lineRule="auto"/>
              <w:jc w:val="right"/>
              <w:rPr>
                <w:sz w:val="24"/>
              </w:rPr>
            </w:pPr>
            <w:r w:rsidRPr="008A1551">
              <w:rPr>
                <w:sz w:val="24"/>
              </w:rPr>
              <w:t>1.097</w:t>
            </w:r>
          </w:p>
        </w:tc>
      </w:tr>
    </w:tbl>
    <w:p w:rsidR="001052EC" w:rsidRDefault="00A1297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交银丰盈收益债券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052EC">
        <w:tc>
          <w:tcPr>
            <w:tcW w:w="1497" w:type="dxa"/>
            <w:vAlign w:val="center"/>
          </w:tcPr>
          <w:p w:rsidR="001052EC" w:rsidRDefault="00A12979">
            <w:pPr>
              <w:jc w:val="left"/>
            </w:pPr>
            <w:r>
              <w:rPr>
                <w:color w:val="000000"/>
                <w:sz w:val="24"/>
              </w:rPr>
              <w:t>过去一个月</w:t>
            </w:r>
          </w:p>
        </w:tc>
        <w:tc>
          <w:tcPr>
            <w:tcW w:w="1251" w:type="dxa"/>
            <w:vAlign w:val="center"/>
          </w:tcPr>
          <w:p w:rsidR="001052EC" w:rsidRDefault="00A12979">
            <w:pPr>
              <w:jc w:val="center"/>
            </w:pPr>
            <w:r>
              <w:rPr>
                <w:color w:val="000000"/>
                <w:sz w:val="24"/>
              </w:rPr>
              <w:t>0.29%</w:t>
            </w:r>
          </w:p>
        </w:tc>
        <w:tc>
          <w:tcPr>
            <w:tcW w:w="1250" w:type="dxa"/>
            <w:vAlign w:val="center"/>
          </w:tcPr>
          <w:p w:rsidR="001052EC" w:rsidRDefault="00A12979">
            <w:pPr>
              <w:jc w:val="center"/>
            </w:pPr>
            <w:r>
              <w:rPr>
                <w:color w:val="000000"/>
                <w:sz w:val="24"/>
              </w:rPr>
              <w:t>0.03%</w:t>
            </w:r>
          </w:p>
        </w:tc>
        <w:tc>
          <w:tcPr>
            <w:tcW w:w="1250" w:type="dxa"/>
            <w:vAlign w:val="center"/>
          </w:tcPr>
          <w:p w:rsidR="001052EC" w:rsidRDefault="00A12979">
            <w:pPr>
              <w:jc w:val="center"/>
            </w:pPr>
            <w:r>
              <w:rPr>
                <w:color w:val="000000"/>
                <w:sz w:val="24"/>
              </w:rPr>
              <w:t>0.35%</w:t>
            </w:r>
          </w:p>
        </w:tc>
        <w:tc>
          <w:tcPr>
            <w:tcW w:w="1250" w:type="dxa"/>
            <w:vAlign w:val="center"/>
          </w:tcPr>
          <w:p w:rsidR="001052EC" w:rsidRDefault="00A12979">
            <w:pPr>
              <w:jc w:val="center"/>
            </w:pPr>
            <w:r>
              <w:rPr>
                <w:color w:val="000000"/>
                <w:sz w:val="24"/>
              </w:rPr>
              <w:t>0.06%</w:t>
            </w:r>
          </w:p>
        </w:tc>
        <w:tc>
          <w:tcPr>
            <w:tcW w:w="1250" w:type="dxa"/>
            <w:vAlign w:val="center"/>
          </w:tcPr>
          <w:p w:rsidR="001052EC" w:rsidRDefault="00A12979">
            <w:pPr>
              <w:jc w:val="center"/>
            </w:pPr>
            <w:r>
              <w:rPr>
                <w:color w:val="000000"/>
                <w:sz w:val="24"/>
              </w:rPr>
              <w:t>-0.06%</w:t>
            </w:r>
          </w:p>
        </w:tc>
        <w:tc>
          <w:tcPr>
            <w:tcW w:w="1250" w:type="dxa"/>
            <w:vAlign w:val="center"/>
          </w:tcPr>
          <w:p w:rsidR="001052EC" w:rsidRDefault="00A12979">
            <w:pPr>
              <w:jc w:val="center"/>
            </w:pPr>
            <w:r>
              <w:rPr>
                <w:color w:val="000000"/>
                <w:sz w:val="24"/>
              </w:rPr>
              <w:t>-0.03%</w:t>
            </w:r>
          </w:p>
        </w:tc>
      </w:tr>
      <w:tr w:rsidR="001052EC">
        <w:tc>
          <w:tcPr>
            <w:tcW w:w="1497" w:type="dxa"/>
            <w:vAlign w:val="center"/>
          </w:tcPr>
          <w:p w:rsidR="001052EC" w:rsidRDefault="00A12979">
            <w:pPr>
              <w:jc w:val="left"/>
            </w:pPr>
            <w:r>
              <w:rPr>
                <w:color w:val="000000"/>
                <w:sz w:val="24"/>
              </w:rPr>
              <w:t>过去三个月</w:t>
            </w:r>
          </w:p>
        </w:tc>
        <w:tc>
          <w:tcPr>
            <w:tcW w:w="1251" w:type="dxa"/>
            <w:vAlign w:val="center"/>
          </w:tcPr>
          <w:p w:rsidR="001052EC" w:rsidRDefault="00A12979">
            <w:pPr>
              <w:jc w:val="center"/>
            </w:pPr>
            <w:r>
              <w:rPr>
                <w:color w:val="000000"/>
                <w:sz w:val="24"/>
              </w:rPr>
              <w:t>0.77%</w:t>
            </w:r>
          </w:p>
        </w:tc>
        <w:tc>
          <w:tcPr>
            <w:tcW w:w="1250" w:type="dxa"/>
            <w:vAlign w:val="center"/>
          </w:tcPr>
          <w:p w:rsidR="001052EC" w:rsidRDefault="00A12979">
            <w:pPr>
              <w:jc w:val="center"/>
            </w:pPr>
            <w:r>
              <w:rPr>
                <w:color w:val="000000"/>
                <w:sz w:val="24"/>
              </w:rPr>
              <w:t>0.05%</w:t>
            </w:r>
          </w:p>
        </w:tc>
        <w:tc>
          <w:tcPr>
            <w:tcW w:w="1250" w:type="dxa"/>
            <w:vAlign w:val="center"/>
          </w:tcPr>
          <w:p w:rsidR="001052EC" w:rsidRDefault="00A12979">
            <w:pPr>
              <w:jc w:val="center"/>
            </w:pPr>
            <w:r>
              <w:rPr>
                <w:color w:val="000000"/>
                <w:sz w:val="24"/>
              </w:rPr>
              <w:t>1.01%</w:t>
            </w:r>
          </w:p>
        </w:tc>
        <w:tc>
          <w:tcPr>
            <w:tcW w:w="1250" w:type="dxa"/>
            <w:vAlign w:val="center"/>
          </w:tcPr>
          <w:p w:rsidR="001052EC" w:rsidRDefault="00A12979">
            <w:pPr>
              <w:jc w:val="center"/>
            </w:pPr>
            <w:r>
              <w:rPr>
                <w:color w:val="000000"/>
                <w:sz w:val="24"/>
              </w:rPr>
              <w:t>0.10%</w:t>
            </w:r>
          </w:p>
        </w:tc>
        <w:tc>
          <w:tcPr>
            <w:tcW w:w="1250" w:type="dxa"/>
            <w:vAlign w:val="center"/>
          </w:tcPr>
          <w:p w:rsidR="001052EC" w:rsidRDefault="00A12979">
            <w:pPr>
              <w:jc w:val="center"/>
            </w:pPr>
            <w:r>
              <w:rPr>
                <w:color w:val="000000"/>
                <w:sz w:val="24"/>
              </w:rPr>
              <w:t>-0.24%</w:t>
            </w:r>
          </w:p>
        </w:tc>
        <w:tc>
          <w:tcPr>
            <w:tcW w:w="1250" w:type="dxa"/>
            <w:vAlign w:val="center"/>
          </w:tcPr>
          <w:p w:rsidR="001052EC" w:rsidRDefault="00A12979">
            <w:pPr>
              <w:jc w:val="center"/>
            </w:pPr>
            <w:r>
              <w:rPr>
                <w:color w:val="000000"/>
                <w:sz w:val="24"/>
              </w:rPr>
              <w:t>-0.05%</w:t>
            </w:r>
          </w:p>
        </w:tc>
      </w:tr>
      <w:tr w:rsidR="001052EC">
        <w:tc>
          <w:tcPr>
            <w:tcW w:w="1497" w:type="dxa"/>
            <w:vAlign w:val="center"/>
          </w:tcPr>
          <w:p w:rsidR="001052EC" w:rsidRDefault="00A12979">
            <w:pPr>
              <w:jc w:val="left"/>
            </w:pPr>
            <w:r>
              <w:rPr>
                <w:color w:val="000000"/>
                <w:sz w:val="24"/>
              </w:rPr>
              <w:t>过去六个月</w:t>
            </w:r>
          </w:p>
        </w:tc>
        <w:tc>
          <w:tcPr>
            <w:tcW w:w="1251" w:type="dxa"/>
            <w:vAlign w:val="center"/>
          </w:tcPr>
          <w:p w:rsidR="001052EC" w:rsidRDefault="00A12979">
            <w:pPr>
              <w:jc w:val="center"/>
            </w:pPr>
            <w:r>
              <w:rPr>
                <w:color w:val="000000"/>
                <w:sz w:val="24"/>
              </w:rPr>
              <w:t>1.84%</w:t>
            </w:r>
          </w:p>
        </w:tc>
        <w:tc>
          <w:tcPr>
            <w:tcW w:w="1250" w:type="dxa"/>
            <w:vAlign w:val="center"/>
          </w:tcPr>
          <w:p w:rsidR="001052EC" w:rsidRDefault="00A12979">
            <w:pPr>
              <w:jc w:val="center"/>
            </w:pPr>
            <w:r>
              <w:rPr>
                <w:color w:val="000000"/>
                <w:sz w:val="24"/>
              </w:rPr>
              <w:t>0.05%</w:t>
            </w:r>
          </w:p>
        </w:tc>
        <w:tc>
          <w:tcPr>
            <w:tcW w:w="1250" w:type="dxa"/>
            <w:vAlign w:val="center"/>
          </w:tcPr>
          <w:p w:rsidR="001052EC" w:rsidRDefault="00A12979">
            <w:pPr>
              <w:jc w:val="center"/>
            </w:pPr>
            <w:r>
              <w:rPr>
                <w:color w:val="000000"/>
                <w:sz w:val="24"/>
              </w:rPr>
              <w:t>2.14%</w:t>
            </w:r>
          </w:p>
        </w:tc>
        <w:tc>
          <w:tcPr>
            <w:tcW w:w="1250" w:type="dxa"/>
            <w:vAlign w:val="center"/>
          </w:tcPr>
          <w:p w:rsidR="001052EC" w:rsidRDefault="00A12979">
            <w:pPr>
              <w:jc w:val="center"/>
            </w:pPr>
            <w:r>
              <w:rPr>
                <w:color w:val="000000"/>
                <w:sz w:val="24"/>
              </w:rPr>
              <w:t>0.08%</w:t>
            </w:r>
          </w:p>
        </w:tc>
        <w:tc>
          <w:tcPr>
            <w:tcW w:w="1250" w:type="dxa"/>
            <w:vAlign w:val="center"/>
          </w:tcPr>
          <w:p w:rsidR="001052EC" w:rsidRDefault="00A12979">
            <w:pPr>
              <w:jc w:val="center"/>
            </w:pPr>
            <w:r>
              <w:rPr>
                <w:color w:val="000000"/>
                <w:sz w:val="24"/>
              </w:rPr>
              <w:t>-0.30%</w:t>
            </w:r>
          </w:p>
        </w:tc>
        <w:tc>
          <w:tcPr>
            <w:tcW w:w="1250" w:type="dxa"/>
            <w:vAlign w:val="center"/>
          </w:tcPr>
          <w:p w:rsidR="001052EC" w:rsidRDefault="00A12979">
            <w:pPr>
              <w:jc w:val="center"/>
            </w:pPr>
            <w:r>
              <w:rPr>
                <w:color w:val="000000"/>
                <w:sz w:val="24"/>
              </w:rPr>
              <w:t>-0.03%</w:t>
            </w:r>
          </w:p>
        </w:tc>
      </w:tr>
      <w:tr w:rsidR="001052EC">
        <w:tc>
          <w:tcPr>
            <w:tcW w:w="1497" w:type="dxa"/>
            <w:vAlign w:val="center"/>
          </w:tcPr>
          <w:p w:rsidR="001052EC" w:rsidRDefault="00A12979">
            <w:pPr>
              <w:jc w:val="left"/>
            </w:pPr>
            <w:r>
              <w:rPr>
                <w:color w:val="000000"/>
                <w:sz w:val="24"/>
              </w:rPr>
              <w:t>过去一年</w:t>
            </w:r>
          </w:p>
        </w:tc>
        <w:tc>
          <w:tcPr>
            <w:tcW w:w="1251" w:type="dxa"/>
            <w:vAlign w:val="center"/>
          </w:tcPr>
          <w:p w:rsidR="001052EC" w:rsidRDefault="00A12979">
            <w:pPr>
              <w:jc w:val="center"/>
            </w:pPr>
            <w:r>
              <w:rPr>
                <w:color w:val="000000"/>
                <w:sz w:val="24"/>
              </w:rPr>
              <w:t>2.74%</w:t>
            </w:r>
          </w:p>
        </w:tc>
        <w:tc>
          <w:tcPr>
            <w:tcW w:w="1250" w:type="dxa"/>
            <w:vAlign w:val="center"/>
          </w:tcPr>
          <w:p w:rsidR="001052EC" w:rsidRDefault="00A12979">
            <w:pPr>
              <w:jc w:val="center"/>
            </w:pPr>
            <w:r>
              <w:rPr>
                <w:color w:val="000000"/>
                <w:sz w:val="24"/>
              </w:rPr>
              <w:t>0.04%</w:t>
            </w:r>
          </w:p>
        </w:tc>
        <w:tc>
          <w:tcPr>
            <w:tcW w:w="1250" w:type="dxa"/>
            <w:vAlign w:val="center"/>
          </w:tcPr>
          <w:p w:rsidR="001052EC" w:rsidRDefault="00A12979">
            <w:pPr>
              <w:jc w:val="center"/>
            </w:pPr>
            <w:r>
              <w:rPr>
                <w:color w:val="000000"/>
                <w:sz w:val="24"/>
              </w:rPr>
              <w:t>1.15%</w:t>
            </w:r>
          </w:p>
        </w:tc>
        <w:tc>
          <w:tcPr>
            <w:tcW w:w="1250" w:type="dxa"/>
            <w:vAlign w:val="center"/>
          </w:tcPr>
          <w:p w:rsidR="001052EC" w:rsidRDefault="00A12979">
            <w:pPr>
              <w:jc w:val="center"/>
            </w:pPr>
            <w:r>
              <w:rPr>
                <w:color w:val="000000"/>
                <w:sz w:val="24"/>
              </w:rPr>
              <w:t>0.06%</w:t>
            </w:r>
          </w:p>
        </w:tc>
        <w:tc>
          <w:tcPr>
            <w:tcW w:w="1250" w:type="dxa"/>
            <w:vAlign w:val="center"/>
          </w:tcPr>
          <w:p w:rsidR="001052EC" w:rsidRDefault="00A12979">
            <w:pPr>
              <w:jc w:val="center"/>
            </w:pPr>
            <w:r>
              <w:rPr>
                <w:color w:val="000000"/>
                <w:sz w:val="24"/>
              </w:rPr>
              <w:t>1.59%</w:t>
            </w:r>
          </w:p>
        </w:tc>
        <w:tc>
          <w:tcPr>
            <w:tcW w:w="1250" w:type="dxa"/>
            <w:vAlign w:val="center"/>
          </w:tcPr>
          <w:p w:rsidR="001052EC" w:rsidRDefault="00A12979">
            <w:pPr>
              <w:jc w:val="center"/>
            </w:pPr>
            <w:r>
              <w:rPr>
                <w:color w:val="000000"/>
                <w:sz w:val="24"/>
              </w:rPr>
              <w:t>-0.02%</w:t>
            </w:r>
          </w:p>
        </w:tc>
      </w:tr>
      <w:tr w:rsidR="001052EC">
        <w:tc>
          <w:tcPr>
            <w:tcW w:w="1497" w:type="dxa"/>
            <w:vAlign w:val="center"/>
          </w:tcPr>
          <w:p w:rsidR="001052EC" w:rsidRDefault="00A12979">
            <w:pPr>
              <w:jc w:val="left"/>
            </w:pPr>
            <w:r>
              <w:rPr>
                <w:color w:val="000000"/>
                <w:sz w:val="24"/>
              </w:rPr>
              <w:t>过去三年</w:t>
            </w:r>
          </w:p>
        </w:tc>
        <w:tc>
          <w:tcPr>
            <w:tcW w:w="1251" w:type="dxa"/>
            <w:vAlign w:val="center"/>
          </w:tcPr>
          <w:p w:rsidR="001052EC" w:rsidRDefault="00A12979">
            <w:pPr>
              <w:jc w:val="center"/>
            </w:pPr>
            <w:r>
              <w:rPr>
                <w:color w:val="000000"/>
                <w:sz w:val="24"/>
              </w:rPr>
              <w:t>14.48%</w:t>
            </w:r>
          </w:p>
        </w:tc>
        <w:tc>
          <w:tcPr>
            <w:tcW w:w="1250" w:type="dxa"/>
            <w:vAlign w:val="center"/>
          </w:tcPr>
          <w:p w:rsidR="001052EC" w:rsidRDefault="00A12979">
            <w:pPr>
              <w:jc w:val="center"/>
            </w:pPr>
            <w:r>
              <w:rPr>
                <w:color w:val="000000"/>
                <w:sz w:val="24"/>
              </w:rPr>
              <w:t>0.07%</w:t>
            </w:r>
          </w:p>
        </w:tc>
        <w:tc>
          <w:tcPr>
            <w:tcW w:w="1250" w:type="dxa"/>
            <w:vAlign w:val="center"/>
          </w:tcPr>
          <w:p w:rsidR="001052EC" w:rsidRDefault="00A12979">
            <w:pPr>
              <w:jc w:val="center"/>
            </w:pPr>
            <w:r>
              <w:rPr>
                <w:color w:val="000000"/>
                <w:sz w:val="24"/>
              </w:rPr>
              <w:t>6.85%</w:t>
            </w:r>
          </w:p>
        </w:tc>
        <w:tc>
          <w:tcPr>
            <w:tcW w:w="1250" w:type="dxa"/>
            <w:vAlign w:val="center"/>
          </w:tcPr>
          <w:p w:rsidR="001052EC" w:rsidRDefault="00A12979">
            <w:pPr>
              <w:jc w:val="center"/>
            </w:pPr>
            <w:r>
              <w:rPr>
                <w:color w:val="000000"/>
                <w:sz w:val="24"/>
              </w:rPr>
              <w:t>0.04%</w:t>
            </w:r>
          </w:p>
        </w:tc>
        <w:tc>
          <w:tcPr>
            <w:tcW w:w="1250" w:type="dxa"/>
            <w:vAlign w:val="center"/>
          </w:tcPr>
          <w:p w:rsidR="001052EC" w:rsidRDefault="00A12979">
            <w:pPr>
              <w:jc w:val="center"/>
            </w:pPr>
            <w:r>
              <w:rPr>
                <w:color w:val="000000"/>
                <w:sz w:val="24"/>
              </w:rPr>
              <w:t>7.63%</w:t>
            </w:r>
          </w:p>
        </w:tc>
        <w:tc>
          <w:tcPr>
            <w:tcW w:w="1250" w:type="dxa"/>
            <w:vAlign w:val="center"/>
          </w:tcPr>
          <w:p w:rsidR="001052EC" w:rsidRDefault="00A12979">
            <w:pPr>
              <w:jc w:val="center"/>
            </w:pPr>
            <w:r>
              <w:rPr>
                <w:color w:val="000000"/>
                <w:sz w:val="24"/>
              </w:rPr>
              <w:t>0.03%</w:t>
            </w:r>
          </w:p>
        </w:tc>
      </w:tr>
      <w:tr w:rsidR="001052EC">
        <w:tc>
          <w:tcPr>
            <w:tcW w:w="1497" w:type="dxa"/>
            <w:vAlign w:val="center"/>
          </w:tcPr>
          <w:p w:rsidR="001052EC" w:rsidRDefault="00A12979">
            <w:pPr>
              <w:jc w:val="left"/>
            </w:pPr>
            <w:r>
              <w:rPr>
                <w:color w:val="000000"/>
                <w:sz w:val="24"/>
              </w:rPr>
              <w:t>自基金合同生效起至今</w:t>
            </w:r>
          </w:p>
        </w:tc>
        <w:tc>
          <w:tcPr>
            <w:tcW w:w="1251" w:type="dxa"/>
            <w:vAlign w:val="center"/>
          </w:tcPr>
          <w:p w:rsidR="001052EC" w:rsidRDefault="00A12979">
            <w:pPr>
              <w:jc w:val="center"/>
            </w:pPr>
            <w:r>
              <w:rPr>
                <w:color w:val="000000"/>
                <w:sz w:val="24"/>
              </w:rPr>
              <w:t>24.56%</w:t>
            </w:r>
          </w:p>
        </w:tc>
        <w:tc>
          <w:tcPr>
            <w:tcW w:w="1250" w:type="dxa"/>
            <w:vAlign w:val="center"/>
          </w:tcPr>
          <w:p w:rsidR="001052EC" w:rsidRDefault="00A12979">
            <w:pPr>
              <w:jc w:val="center"/>
            </w:pPr>
            <w:r>
              <w:rPr>
                <w:color w:val="000000"/>
                <w:sz w:val="24"/>
              </w:rPr>
              <w:t>0.11%</w:t>
            </w:r>
          </w:p>
        </w:tc>
        <w:tc>
          <w:tcPr>
            <w:tcW w:w="1250" w:type="dxa"/>
            <w:vAlign w:val="center"/>
          </w:tcPr>
          <w:p w:rsidR="001052EC" w:rsidRDefault="00A12979">
            <w:pPr>
              <w:jc w:val="center"/>
            </w:pPr>
            <w:r>
              <w:rPr>
                <w:color w:val="000000"/>
                <w:sz w:val="24"/>
              </w:rPr>
              <w:t>10.40%</w:t>
            </w:r>
          </w:p>
        </w:tc>
        <w:tc>
          <w:tcPr>
            <w:tcW w:w="1250" w:type="dxa"/>
            <w:vAlign w:val="center"/>
          </w:tcPr>
          <w:p w:rsidR="001052EC" w:rsidRDefault="00A12979">
            <w:pPr>
              <w:jc w:val="center"/>
            </w:pPr>
            <w:r>
              <w:rPr>
                <w:color w:val="000000"/>
                <w:sz w:val="24"/>
              </w:rPr>
              <w:t>0.03%</w:t>
            </w:r>
          </w:p>
        </w:tc>
        <w:tc>
          <w:tcPr>
            <w:tcW w:w="1250" w:type="dxa"/>
            <w:vAlign w:val="center"/>
          </w:tcPr>
          <w:p w:rsidR="001052EC" w:rsidRDefault="00A12979">
            <w:pPr>
              <w:jc w:val="center"/>
            </w:pPr>
            <w:r>
              <w:rPr>
                <w:color w:val="000000"/>
                <w:sz w:val="24"/>
              </w:rPr>
              <w:t>14.16%</w:t>
            </w:r>
          </w:p>
        </w:tc>
        <w:tc>
          <w:tcPr>
            <w:tcW w:w="1250" w:type="dxa"/>
            <w:vAlign w:val="center"/>
          </w:tcPr>
          <w:p w:rsidR="001052EC" w:rsidRDefault="00A12979">
            <w:pPr>
              <w:jc w:val="center"/>
            </w:pPr>
            <w:r>
              <w:rPr>
                <w:color w:val="000000"/>
                <w:sz w:val="24"/>
              </w:rPr>
              <w:t>0.08%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日起转为开放式运作，本基金的业绩比较基准由</w:t>
      </w:r>
      <w:r w:rsidRPr="008A1551">
        <w:rPr>
          <w:kern w:val="0"/>
          <w:sz w:val="24"/>
        </w:rPr>
        <w:t>“</w:t>
      </w:r>
      <w:r w:rsidRPr="008A1551">
        <w:rPr>
          <w:kern w:val="0"/>
          <w:sz w:val="24"/>
        </w:rPr>
        <w:t>三年期银行定期存款税后收益率</w:t>
      </w:r>
      <w:r w:rsidRPr="008A1551">
        <w:rPr>
          <w:kern w:val="0"/>
          <w:sz w:val="24"/>
        </w:rPr>
        <w:t>”</w:t>
      </w:r>
      <w:r w:rsidRPr="008A1551">
        <w:rPr>
          <w:kern w:val="0"/>
          <w:sz w:val="24"/>
        </w:rPr>
        <w:t>变更为</w:t>
      </w:r>
      <w:r w:rsidRPr="008A1551">
        <w:rPr>
          <w:kern w:val="0"/>
          <w:sz w:val="24"/>
        </w:rPr>
        <w:t>“</w:t>
      </w:r>
      <w:r w:rsidRPr="008A1551">
        <w:rPr>
          <w:kern w:val="0"/>
          <w:sz w:val="24"/>
        </w:rPr>
        <w:t>中债综合全价指数</w:t>
      </w:r>
      <w:r w:rsidRPr="008A1551">
        <w:rPr>
          <w:kern w:val="0"/>
          <w:sz w:val="24"/>
        </w:rPr>
        <w:t>”</w:t>
      </w:r>
      <w:r w:rsidRPr="008A1551">
        <w:rPr>
          <w:kern w:val="0"/>
          <w:sz w:val="24"/>
        </w:rPr>
        <w:t>，</w:t>
      </w:r>
      <w:r w:rsidRPr="008A1551">
        <w:rPr>
          <w:kern w:val="0"/>
          <w:sz w:val="24"/>
        </w:rPr>
        <w:t>3.2.2</w:t>
      </w:r>
      <w:r w:rsidRPr="008A1551">
        <w:rPr>
          <w:kern w:val="0"/>
          <w:sz w:val="24"/>
        </w:rPr>
        <w:t>同。</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交银丰盈收益债券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052EC">
        <w:tc>
          <w:tcPr>
            <w:tcW w:w="1497" w:type="dxa"/>
            <w:vAlign w:val="center"/>
          </w:tcPr>
          <w:p w:rsidR="001052EC" w:rsidRDefault="00A12979">
            <w:pPr>
              <w:jc w:val="left"/>
            </w:pPr>
            <w:r>
              <w:rPr>
                <w:color w:val="000000"/>
                <w:sz w:val="24"/>
              </w:rPr>
              <w:t>过去一个月</w:t>
            </w:r>
          </w:p>
        </w:tc>
        <w:tc>
          <w:tcPr>
            <w:tcW w:w="1251" w:type="dxa"/>
            <w:vAlign w:val="center"/>
          </w:tcPr>
          <w:p w:rsidR="001052EC" w:rsidRDefault="00A12979">
            <w:pPr>
              <w:jc w:val="center"/>
            </w:pPr>
            <w:r>
              <w:rPr>
                <w:color w:val="000000"/>
                <w:sz w:val="24"/>
              </w:rPr>
              <w:t>4.98%</w:t>
            </w:r>
          </w:p>
        </w:tc>
        <w:tc>
          <w:tcPr>
            <w:tcW w:w="1250" w:type="dxa"/>
            <w:vAlign w:val="center"/>
          </w:tcPr>
          <w:p w:rsidR="001052EC" w:rsidRDefault="00A12979">
            <w:pPr>
              <w:jc w:val="center"/>
            </w:pPr>
            <w:r>
              <w:rPr>
                <w:color w:val="000000"/>
                <w:sz w:val="24"/>
              </w:rPr>
              <w:t>1.02%</w:t>
            </w:r>
          </w:p>
        </w:tc>
        <w:tc>
          <w:tcPr>
            <w:tcW w:w="1250" w:type="dxa"/>
            <w:vAlign w:val="center"/>
          </w:tcPr>
          <w:p w:rsidR="001052EC" w:rsidRDefault="00A12979">
            <w:pPr>
              <w:jc w:val="center"/>
            </w:pPr>
            <w:r>
              <w:rPr>
                <w:color w:val="000000"/>
                <w:sz w:val="24"/>
              </w:rPr>
              <w:t>0.35%</w:t>
            </w:r>
          </w:p>
        </w:tc>
        <w:tc>
          <w:tcPr>
            <w:tcW w:w="1250" w:type="dxa"/>
            <w:vAlign w:val="center"/>
          </w:tcPr>
          <w:p w:rsidR="001052EC" w:rsidRDefault="00A12979">
            <w:pPr>
              <w:jc w:val="center"/>
            </w:pPr>
            <w:r>
              <w:rPr>
                <w:color w:val="000000"/>
                <w:sz w:val="24"/>
              </w:rPr>
              <w:t>0.06%</w:t>
            </w:r>
          </w:p>
        </w:tc>
        <w:tc>
          <w:tcPr>
            <w:tcW w:w="1250" w:type="dxa"/>
            <w:vAlign w:val="center"/>
          </w:tcPr>
          <w:p w:rsidR="001052EC" w:rsidRDefault="00A12979">
            <w:pPr>
              <w:jc w:val="center"/>
            </w:pPr>
            <w:r>
              <w:rPr>
                <w:color w:val="000000"/>
                <w:sz w:val="24"/>
              </w:rPr>
              <w:t>4.63%</w:t>
            </w:r>
          </w:p>
        </w:tc>
        <w:tc>
          <w:tcPr>
            <w:tcW w:w="1250" w:type="dxa"/>
            <w:vAlign w:val="center"/>
          </w:tcPr>
          <w:p w:rsidR="001052EC" w:rsidRDefault="00A12979">
            <w:pPr>
              <w:jc w:val="center"/>
            </w:pPr>
            <w:r>
              <w:rPr>
                <w:color w:val="000000"/>
                <w:sz w:val="24"/>
              </w:rPr>
              <w:t>0.96%</w:t>
            </w:r>
          </w:p>
        </w:tc>
      </w:tr>
      <w:tr w:rsidR="001052EC">
        <w:tc>
          <w:tcPr>
            <w:tcW w:w="1497" w:type="dxa"/>
            <w:vAlign w:val="center"/>
          </w:tcPr>
          <w:p w:rsidR="001052EC" w:rsidRDefault="00A12979">
            <w:pPr>
              <w:jc w:val="left"/>
            </w:pPr>
            <w:r>
              <w:rPr>
                <w:color w:val="000000"/>
                <w:sz w:val="24"/>
              </w:rPr>
              <w:t>过去三个月</w:t>
            </w:r>
          </w:p>
        </w:tc>
        <w:tc>
          <w:tcPr>
            <w:tcW w:w="1251" w:type="dxa"/>
            <w:vAlign w:val="center"/>
          </w:tcPr>
          <w:p w:rsidR="001052EC" w:rsidRDefault="00A12979">
            <w:pPr>
              <w:jc w:val="center"/>
            </w:pPr>
            <w:r>
              <w:rPr>
                <w:color w:val="000000"/>
                <w:sz w:val="24"/>
              </w:rPr>
              <w:t>5.38%</w:t>
            </w:r>
          </w:p>
        </w:tc>
        <w:tc>
          <w:tcPr>
            <w:tcW w:w="1250" w:type="dxa"/>
            <w:vAlign w:val="center"/>
          </w:tcPr>
          <w:p w:rsidR="001052EC" w:rsidRDefault="00A12979">
            <w:pPr>
              <w:jc w:val="center"/>
            </w:pPr>
            <w:r>
              <w:rPr>
                <w:color w:val="000000"/>
                <w:sz w:val="24"/>
              </w:rPr>
              <w:t>0.60%</w:t>
            </w:r>
          </w:p>
        </w:tc>
        <w:tc>
          <w:tcPr>
            <w:tcW w:w="1250" w:type="dxa"/>
            <w:vAlign w:val="center"/>
          </w:tcPr>
          <w:p w:rsidR="001052EC" w:rsidRDefault="00A12979">
            <w:pPr>
              <w:jc w:val="center"/>
            </w:pPr>
            <w:r>
              <w:rPr>
                <w:color w:val="000000"/>
                <w:sz w:val="24"/>
              </w:rPr>
              <w:t>1.01%</w:t>
            </w:r>
          </w:p>
        </w:tc>
        <w:tc>
          <w:tcPr>
            <w:tcW w:w="1250" w:type="dxa"/>
            <w:vAlign w:val="center"/>
          </w:tcPr>
          <w:p w:rsidR="001052EC" w:rsidRDefault="00A12979">
            <w:pPr>
              <w:jc w:val="center"/>
            </w:pPr>
            <w:r>
              <w:rPr>
                <w:color w:val="000000"/>
                <w:sz w:val="24"/>
              </w:rPr>
              <w:t>0.10%</w:t>
            </w:r>
          </w:p>
        </w:tc>
        <w:tc>
          <w:tcPr>
            <w:tcW w:w="1250" w:type="dxa"/>
            <w:vAlign w:val="center"/>
          </w:tcPr>
          <w:p w:rsidR="001052EC" w:rsidRDefault="00A12979">
            <w:pPr>
              <w:jc w:val="center"/>
            </w:pPr>
            <w:r>
              <w:rPr>
                <w:color w:val="000000"/>
                <w:sz w:val="24"/>
              </w:rPr>
              <w:t>4.37%</w:t>
            </w:r>
          </w:p>
        </w:tc>
        <w:tc>
          <w:tcPr>
            <w:tcW w:w="1250" w:type="dxa"/>
            <w:vAlign w:val="center"/>
          </w:tcPr>
          <w:p w:rsidR="001052EC" w:rsidRDefault="00A12979">
            <w:pPr>
              <w:jc w:val="center"/>
            </w:pPr>
            <w:r>
              <w:rPr>
                <w:color w:val="000000"/>
                <w:sz w:val="24"/>
              </w:rPr>
              <w:t>0.50%</w:t>
            </w:r>
          </w:p>
        </w:tc>
      </w:tr>
      <w:tr w:rsidR="001052EC">
        <w:tc>
          <w:tcPr>
            <w:tcW w:w="1497" w:type="dxa"/>
            <w:vAlign w:val="center"/>
          </w:tcPr>
          <w:p w:rsidR="001052EC" w:rsidRDefault="00A12979">
            <w:pPr>
              <w:jc w:val="left"/>
            </w:pPr>
            <w:r>
              <w:rPr>
                <w:color w:val="000000"/>
                <w:sz w:val="24"/>
              </w:rPr>
              <w:t>过去六个月</w:t>
            </w:r>
          </w:p>
        </w:tc>
        <w:tc>
          <w:tcPr>
            <w:tcW w:w="1251" w:type="dxa"/>
            <w:vAlign w:val="center"/>
          </w:tcPr>
          <w:p w:rsidR="001052EC" w:rsidRDefault="00A12979">
            <w:pPr>
              <w:jc w:val="center"/>
            </w:pPr>
            <w:r>
              <w:rPr>
                <w:color w:val="000000"/>
                <w:sz w:val="24"/>
              </w:rPr>
              <w:t>6.40%</w:t>
            </w:r>
          </w:p>
        </w:tc>
        <w:tc>
          <w:tcPr>
            <w:tcW w:w="1250" w:type="dxa"/>
            <w:vAlign w:val="center"/>
          </w:tcPr>
          <w:p w:rsidR="001052EC" w:rsidRDefault="00A12979">
            <w:pPr>
              <w:jc w:val="center"/>
            </w:pPr>
            <w:r>
              <w:rPr>
                <w:color w:val="000000"/>
                <w:sz w:val="24"/>
              </w:rPr>
              <w:t>0.43%</w:t>
            </w:r>
          </w:p>
        </w:tc>
        <w:tc>
          <w:tcPr>
            <w:tcW w:w="1250" w:type="dxa"/>
            <w:vAlign w:val="center"/>
          </w:tcPr>
          <w:p w:rsidR="001052EC" w:rsidRDefault="00A12979">
            <w:pPr>
              <w:jc w:val="center"/>
            </w:pPr>
            <w:r>
              <w:rPr>
                <w:color w:val="000000"/>
                <w:sz w:val="24"/>
              </w:rPr>
              <w:t>2.14%</w:t>
            </w:r>
          </w:p>
        </w:tc>
        <w:tc>
          <w:tcPr>
            <w:tcW w:w="1250" w:type="dxa"/>
            <w:vAlign w:val="center"/>
          </w:tcPr>
          <w:p w:rsidR="001052EC" w:rsidRDefault="00A12979">
            <w:pPr>
              <w:jc w:val="center"/>
            </w:pPr>
            <w:r>
              <w:rPr>
                <w:color w:val="000000"/>
                <w:sz w:val="24"/>
              </w:rPr>
              <w:t>0.08%</w:t>
            </w:r>
          </w:p>
        </w:tc>
        <w:tc>
          <w:tcPr>
            <w:tcW w:w="1250" w:type="dxa"/>
            <w:vAlign w:val="center"/>
          </w:tcPr>
          <w:p w:rsidR="001052EC" w:rsidRDefault="00A12979">
            <w:pPr>
              <w:jc w:val="center"/>
            </w:pPr>
            <w:r>
              <w:rPr>
                <w:color w:val="000000"/>
                <w:sz w:val="24"/>
              </w:rPr>
              <w:t>4.26%</w:t>
            </w:r>
          </w:p>
        </w:tc>
        <w:tc>
          <w:tcPr>
            <w:tcW w:w="1250" w:type="dxa"/>
            <w:vAlign w:val="center"/>
          </w:tcPr>
          <w:p w:rsidR="001052EC" w:rsidRDefault="00A12979">
            <w:pPr>
              <w:jc w:val="center"/>
            </w:pPr>
            <w:r>
              <w:rPr>
                <w:color w:val="000000"/>
                <w:sz w:val="24"/>
              </w:rPr>
              <w:t>0.35%</w:t>
            </w:r>
          </w:p>
        </w:tc>
      </w:tr>
      <w:tr w:rsidR="001052EC">
        <w:tc>
          <w:tcPr>
            <w:tcW w:w="1497" w:type="dxa"/>
            <w:vAlign w:val="center"/>
          </w:tcPr>
          <w:p w:rsidR="001052EC" w:rsidRDefault="00A12979">
            <w:pPr>
              <w:jc w:val="left"/>
            </w:pPr>
            <w:r>
              <w:rPr>
                <w:color w:val="000000"/>
                <w:sz w:val="24"/>
              </w:rPr>
              <w:t>自基金合同生效起至今</w:t>
            </w:r>
          </w:p>
        </w:tc>
        <w:tc>
          <w:tcPr>
            <w:tcW w:w="1251" w:type="dxa"/>
            <w:vAlign w:val="center"/>
          </w:tcPr>
          <w:p w:rsidR="001052EC" w:rsidRDefault="00A12979">
            <w:pPr>
              <w:jc w:val="center"/>
            </w:pPr>
            <w:r>
              <w:rPr>
                <w:color w:val="000000"/>
                <w:sz w:val="24"/>
              </w:rPr>
              <w:t>9.70%</w:t>
            </w:r>
          </w:p>
        </w:tc>
        <w:tc>
          <w:tcPr>
            <w:tcW w:w="1250" w:type="dxa"/>
            <w:vAlign w:val="center"/>
          </w:tcPr>
          <w:p w:rsidR="001052EC" w:rsidRDefault="00A12979">
            <w:pPr>
              <w:jc w:val="center"/>
            </w:pPr>
            <w:r>
              <w:rPr>
                <w:color w:val="000000"/>
                <w:sz w:val="24"/>
              </w:rPr>
              <w:t>0.36%</w:t>
            </w:r>
          </w:p>
        </w:tc>
        <w:tc>
          <w:tcPr>
            <w:tcW w:w="1250" w:type="dxa"/>
            <w:vAlign w:val="center"/>
          </w:tcPr>
          <w:p w:rsidR="001052EC" w:rsidRDefault="00A12979">
            <w:pPr>
              <w:jc w:val="center"/>
            </w:pPr>
            <w:r>
              <w:rPr>
                <w:color w:val="000000"/>
                <w:sz w:val="24"/>
              </w:rPr>
              <w:t>0.80%</w:t>
            </w:r>
          </w:p>
        </w:tc>
        <w:tc>
          <w:tcPr>
            <w:tcW w:w="1250" w:type="dxa"/>
            <w:vAlign w:val="center"/>
          </w:tcPr>
          <w:p w:rsidR="001052EC" w:rsidRDefault="00A12979">
            <w:pPr>
              <w:jc w:val="center"/>
            </w:pPr>
            <w:r>
              <w:rPr>
                <w:color w:val="000000"/>
                <w:sz w:val="24"/>
              </w:rPr>
              <w:t>0.07%</w:t>
            </w:r>
          </w:p>
        </w:tc>
        <w:tc>
          <w:tcPr>
            <w:tcW w:w="1250" w:type="dxa"/>
            <w:vAlign w:val="center"/>
          </w:tcPr>
          <w:p w:rsidR="001052EC" w:rsidRDefault="00A12979">
            <w:pPr>
              <w:jc w:val="center"/>
            </w:pPr>
            <w:r>
              <w:rPr>
                <w:color w:val="000000"/>
                <w:sz w:val="24"/>
              </w:rPr>
              <w:t>8.90%</w:t>
            </w:r>
          </w:p>
        </w:tc>
        <w:tc>
          <w:tcPr>
            <w:tcW w:w="1250" w:type="dxa"/>
            <w:vAlign w:val="center"/>
          </w:tcPr>
          <w:p w:rsidR="001052EC" w:rsidRDefault="00A12979">
            <w:pPr>
              <w:jc w:val="center"/>
            </w:pPr>
            <w:r>
              <w:rPr>
                <w:color w:val="000000"/>
                <w:sz w:val="24"/>
              </w:rPr>
              <w:t>0.29%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日起转为开放式运作，本基金的业绩比较基准由</w:t>
      </w:r>
      <w:r w:rsidRPr="008A1551">
        <w:rPr>
          <w:kern w:val="0"/>
          <w:sz w:val="24"/>
        </w:rPr>
        <w:t>“</w:t>
      </w:r>
      <w:r w:rsidRPr="008A1551">
        <w:rPr>
          <w:kern w:val="0"/>
          <w:sz w:val="24"/>
        </w:rPr>
        <w:t>三年期银行定期存款税后收益率</w:t>
      </w:r>
      <w:r w:rsidRPr="008A1551">
        <w:rPr>
          <w:kern w:val="0"/>
          <w:sz w:val="24"/>
        </w:rPr>
        <w:t>”</w:t>
      </w:r>
      <w:r w:rsidRPr="008A1551">
        <w:rPr>
          <w:kern w:val="0"/>
          <w:sz w:val="24"/>
        </w:rPr>
        <w:t>变更为</w:t>
      </w:r>
      <w:r w:rsidRPr="008A1551">
        <w:rPr>
          <w:kern w:val="0"/>
          <w:sz w:val="24"/>
        </w:rPr>
        <w:t>“</w:t>
      </w:r>
      <w:r w:rsidRPr="008A1551">
        <w:rPr>
          <w:kern w:val="0"/>
          <w:sz w:val="24"/>
        </w:rPr>
        <w:t>中债综合全价指数</w:t>
      </w:r>
      <w:r w:rsidRPr="008A1551">
        <w:rPr>
          <w:kern w:val="0"/>
          <w:sz w:val="24"/>
        </w:rPr>
        <w:t>”</w:t>
      </w:r>
      <w:r w:rsidRPr="008A1551">
        <w:rPr>
          <w:kern w:val="0"/>
          <w:sz w:val="24"/>
        </w:rPr>
        <w:t>，</w:t>
      </w:r>
      <w:r w:rsidRPr="008A1551">
        <w:rPr>
          <w:kern w:val="0"/>
          <w:sz w:val="24"/>
        </w:rPr>
        <w:t>3.2.2</w:t>
      </w:r>
      <w:r w:rsidRPr="008A1551">
        <w:rPr>
          <w:kern w:val="0"/>
          <w:sz w:val="24"/>
        </w:rPr>
        <w:t>同。</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交银施罗德丰盈收益债券型证券投资基金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8</w:t>
      </w:r>
      <w:r w:rsidR="001548F9" w:rsidRPr="008A1551">
        <w:rPr>
          <w:rFonts w:ascii="Times New Roman" w:hAnsi="Times New Roman"/>
          <w:sz w:val="24"/>
          <w:szCs w:val="24"/>
        </w:rPr>
        <w:t>月</w:t>
      </w:r>
      <w:r w:rsidR="001548F9" w:rsidRPr="008A1551">
        <w:rPr>
          <w:rFonts w:ascii="Times New Roman" w:hAnsi="Times New Roman"/>
          <w:sz w:val="24"/>
          <w:szCs w:val="24"/>
        </w:rPr>
        <w:t>11</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交银丰盈收益债券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lastRenderedPageBreak/>
        <w:t>交银丰盈收益债券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日起增加</w:t>
      </w:r>
      <w:r w:rsidRPr="008A1551">
        <w:rPr>
          <w:kern w:val="0"/>
          <w:sz w:val="24"/>
        </w:rPr>
        <w:t>C</w:t>
      </w:r>
      <w:r w:rsidRPr="008A1551">
        <w:rPr>
          <w:kern w:val="0"/>
          <w:sz w:val="24"/>
        </w:rPr>
        <w:t>类份额，投资者提交的申购申请于</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15</w:t>
      </w:r>
      <w:r w:rsidRPr="008A1551">
        <w:rPr>
          <w:kern w:val="0"/>
          <w:sz w:val="24"/>
        </w:rPr>
        <w:t>日被确认并将有效份额登记在册。图示日期为</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1052EC" w:rsidRDefault="00A1297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1052EC">
        <w:tc>
          <w:tcPr>
            <w:tcW w:w="1033" w:type="dxa"/>
            <w:vAlign w:val="center"/>
          </w:tcPr>
          <w:p w:rsidR="001052EC" w:rsidRDefault="00A12979">
            <w:pPr>
              <w:jc w:val="center"/>
            </w:pPr>
            <w:r>
              <w:rPr>
                <w:color w:val="000000"/>
                <w:sz w:val="24"/>
              </w:rPr>
              <w:t>连端清</w:t>
            </w:r>
          </w:p>
        </w:tc>
        <w:tc>
          <w:tcPr>
            <w:tcW w:w="1416" w:type="dxa"/>
            <w:vAlign w:val="center"/>
          </w:tcPr>
          <w:p w:rsidR="001052EC" w:rsidRDefault="00A1297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126" w:type="dxa"/>
            <w:vAlign w:val="center"/>
          </w:tcPr>
          <w:p w:rsidR="001052EC" w:rsidRDefault="00A12979">
            <w:pPr>
              <w:jc w:val="center"/>
            </w:pPr>
            <w:r>
              <w:rPr>
                <w:color w:val="000000"/>
                <w:sz w:val="24"/>
              </w:rPr>
              <w:t>2015-08-04</w:t>
            </w:r>
          </w:p>
        </w:tc>
        <w:tc>
          <w:tcPr>
            <w:tcW w:w="1192" w:type="dxa"/>
            <w:vAlign w:val="center"/>
          </w:tcPr>
          <w:p w:rsidR="001052EC" w:rsidRDefault="00A12979">
            <w:pPr>
              <w:jc w:val="center"/>
            </w:pPr>
            <w:r>
              <w:rPr>
                <w:color w:val="000000"/>
                <w:sz w:val="24"/>
              </w:rPr>
              <w:t>-</w:t>
            </w:r>
          </w:p>
        </w:tc>
        <w:tc>
          <w:tcPr>
            <w:tcW w:w="1169" w:type="dxa"/>
            <w:vAlign w:val="center"/>
          </w:tcPr>
          <w:p w:rsidR="001052EC" w:rsidRDefault="00A12979">
            <w:pPr>
              <w:jc w:val="center"/>
            </w:pPr>
            <w:r>
              <w:rPr>
                <w:color w:val="000000"/>
                <w:sz w:val="24"/>
              </w:rPr>
              <w:t>5</w:t>
            </w:r>
            <w:r>
              <w:rPr>
                <w:color w:val="000000"/>
                <w:sz w:val="24"/>
              </w:rPr>
              <w:t>年</w:t>
            </w:r>
          </w:p>
        </w:tc>
        <w:tc>
          <w:tcPr>
            <w:tcW w:w="3062" w:type="dxa"/>
            <w:vAlign w:val="center"/>
          </w:tcPr>
          <w:p w:rsidR="001052EC" w:rsidRDefault="00A1297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1052EC">
        <w:tc>
          <w:tcPr>
            <w:tcW w:w="1033" w:type="dxa"/>
            <w:vAlign w:val="center"/>
          </w:tcPr>
          <w:p w:rsidR="001052EC" w:rsidRDefault="00A12979">
            <w:pPr>
              <w:jc w:val="center"/>
            </w:pPr>
            <w:r>
              <w:rPr>
                <w:color w:val="000000"/>
                <w:sz w:val="24"/>
              </w:rPr>
              <w:t>于海颖</w:t>
            </w:r>
          </w:p>
        </w:tc>
        <w:tc>
          <w:tcPr>
            <w:tcW w:w="1416" w:type="dxa"/>
            <w:vAlign w:val="center"/>
          </w:tcPr>
          <w:p w:rsidR="001052EC" w:rsidRDefault="00A12979">
            <w:pPr>
              <w:jc w:val="center"/>
            </w:pPr>
            <w:r>
              <w:rPr>
                <w:color w:val="000000"/>
                <w:sz w:val="24"/>
              </w:rPr>
              <w:t>交银增利债券、交银纯债债券发起、交银荣祥保本混合、交银定期支付月月丰债券、交银增强收益债券、交银强化回报债券、交银丰盈收益债</w:t>
            </w:r>
            <w:r>
              <w:rPr>
                <w:color w:val="000000"/>
                <w:sz w:val="24"/>
              </w:rPr>
              <w:lastRenderedPageBreak/>
              <w:t>券、交银丰硕收益债券、交银荣鑫保本混合、交银增利增强债券、交银丰晟收益债券、交银裕如纯债债券的基金经理，公司固定收益（公募）投资总监</w:t>
            </w:r>
          </w:p>
        </w:tc>
        <w:tc>
          <w:tcPr>
            <w:tcW w:w="1126" w:type="dxa"/>
            <w:vAlign w:val="center"/>
          </w:tcPr>
          <w:p w:rsidR="001052EC" w:rsidRDefault="00A12979">
            <w:pPr>
              <w:jc w:val="center"/>
            </w:pPr>
            <w:r>
              <w:rPr>
                <w:color w:val="000000"/>
                <w:sz w:val="24"/>
              </w:rPr>
              <w:lastRenderedPageBreak/>
              <w:t>2016-12-29</w:t>
            </w:r>
          </w:p>
        </w:tc>
        <w:tc>
          <w:tcPr>
            <w:tcW w:w="1192" w:type="dxa"/>
            <w:vAlign w:val="center"/>
          </w:tcPr>
          <w:p w:rsidR="001052EC" w:rsidRDefault="00A12979">
            <w:pPr>
              <w:jc w:val="center"/>
            </w:pPr>
            <w:r>
              <w:rPr>
                <w:color w:val="000000"/>
                <w:sz w:val="24"/>
              </w:rPr>
              <w:t>-</w:t>
            </w:r>
          </w:p>
        </w:tc>
        <w:tc>
          <w:tcPr>
            <w:tcW w:w="1169" w:type="dxa"/>
            <w:vAlign w:val="center"/>
          </w:tcPr>
          <w:p w:rsidR="001052EC" w:rsidRDefault="00A12979">
            <w:pPr>
              <w:jc w:val="center"/>
            </w:pPr>
            <w:r>
              <w:rPr>
                <w:color w:val="000000"/>
                <w:sz w:val="24"/>
              </w:rPr>
              <w:t>12</w:t>
            </w:r>
            <w:r>
              <w:rPr>
                <w:color w:val="000000"/>
                <w:sz w:val="24"/>
              </w:rPr>
              <w:t>年</w:t>
            </w:r>
          </w:p>
        </w:tc>
        <w:tc>
          <w:tcPr>
            <w:tcW w:w="3062" w:type="dxa"/>
            <w:vAlign w:val="center"/>
          </w:tcPr>
          <w:p w:rsidR="001052EC" w:rsidRDefault="00A1297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lastRenderedPageBreak/>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1052EC" w:rsidRDefault="00A1297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052EC" w:rsidRDefault="00A1297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052EC" w:rsidRDefault="00A1297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1052EC" w:rsidRDefault="00A1297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052EC" w:rsidRDefault="00A1297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052EC" w:rsidRDefault="00A1297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1052EC" w:rsidRDefault="00A12979">
      <w:pPr>
        <w:spacing w:before="29" w:line="288" w:lineRule="auto"/>
        <w:ind w:firstLineChars="200" w:firstLine="480"/>
        <w:rPr>
          <w:color w:val="000000"/>
          <w:sz w:val="24"/>
        </w:rPr>
      </w:pPr>
      <w:r>
        <w:rPr>
          <w:color w:val="000000"/>
          <w:sz w:val="24"/>
        </w:rPr>
        <w:t>2018</w:t>
      </w:r>
      <w:r>
        <w:rPr>
          <w:color w:val="000000"/>
          <w:sz w:val="24"/>
        </w:rPr>
        <w:t>年上半年，国内经济整体上呈稳中放缓态势，二季度中美贸易战如乌云压顶，经济悲观预期加深。国内制造业景气度保持高位扩张，制造业</w:t>
      </w:r>
      <w:r>
        <w:rPr>
          <w:color w:val="000000"/>
          <w:sz w:val="24"/>
        </w:rPr>
        <w:t>FAI</w:t>
      </w:r>
      <w:r>
        <w:rPr>
          <w:color w:val="000000"/>
          <w:sz w:val="24"/>
        </w:rPr>
        <w:t>同比增速上半年处于上升通道，尽管房地产投资增速也保持较高增长，但是受基建投资大幅下行拖累，上半年固定资产投资不断下滑。同时，中美贸易摩擦加剧，国内进口上升较快，上半年净出口对</w:t>
      </w:r>
      <w:r>
        <w:rPr>
          <w:color w:val="000000"/>
          <w:sz w:val="24"/>
        </w:rPr>
        <w:t>GDP</w:t>
      </w:r>
      <w:r>
        <w:rPr>
          <w:color w:val="000000"/>
          <w:sz w:val="24"/>
        </w:rPr>
        <w:t>的贡献率大幅转负。受资管新规影响发力，上半年企业的融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color w:val="000000"/>
          <w:sz w:val="24"/>
        </w:rPr>
        <w:t>“</w:t>
      </w:r>
      <w:r>
        <w:rPr>
          <w:color w:val="000000"/>
          <w:sz w:val="24"/>
        </w:rPr>
        <w:t>临时准备金动用安排</w:t>
      </w:r>
      <w:r>
        <w:rPr>
          <w:color w:val="000000"/>
          <w:sz w:val="24"/>
        </w:rPr>
        <w:t>”</w:t>
      </w:r>
      <w:r>
        <w:rPr>
          <w:color w:val="000000"/>
          <w:sz w:val="24"/>
        </w:rPr>
        <w:t>释放了大量流动性，为</w:t>
      </w:r>
      <w:r>
        <w:rPr>
          <w:color w:val="000000"/>
          <w:sz w:val="24"/>
        </w:rPr>
        <w:lastRenderedPageBreak/>
        <w:t>二月份跨春节假期及三月份跨季提供了充裕的流动性。二季度，央行分别于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1052EC" w:rsidRDefault="00A12979">
      <w:pPr>
        <w:spacing w:before="29" w:line="288" w:lineRule="auto"/>
        <w:ind w:firstLineChars="200" w:firstLine="480"/>
        <w:rPr>
          <w:color w:val="000000"/>
          <w:sz w:val="24"/>
        </w:rPr>
      </w:pPr>
      <w:r>
        <w:rPr>
          <w:color w:val="000000"/>
          <w:sz w:val="24"/>
        </w:rPr>
        <w:t>资金面上，受央行持续降准影响，上半年市场资金面较为宽松。六月底</w:t>
      </w:r>
      <w:r>
        <w:rPr>
          <w:color w:val="000000"/>
          <w:sz w:val="24"/>
        </w:rPr>
        <w:t>R001</w:t>
      </w:r>
      <w:r>
        <w:rPr>
          <w:color w:val="000000"/>
          <w:sz w:val="24"/>
        </w:rPr>
        <w:t>较</w:t>
      </w:r>
      <w:r>
        <w:rPr>
          <w:color w:val="000000"/>
          <w:sz w:val="24"/>
        </w:rPr>
        <w:t>2017</w:t>
      </w:r>
      <w:r>
        <w:rPr>
          <w:color w:val="000000"/>
          <w:sz w:val="24"/>
        </w:rPr>
        <w:t>年年底下降</w:t>
      </w:r>
      <w:r>
        <w:rPr>
          <w:color w:val="000000"/>
          <w:sz w:val="24"/>
        </w:rPr>
        <w:t>43</w:t>
      </w:r>
      <w:r>
        <w:rPr>
          <w:color w:val="000000"/>
          <w:sz w:val="24"/>
        </w:rPr>
        <w:t>个</w:t>
      </w:r>
      <w:r>
        <w:rPr>
          <w:color w:val="000000"/>
          <w:sz w:val="24"/>
        </w:rPr>
        <w:t>BP</w:t>
      </w:r>
      <w:r>
        <w:rPr>
          <w:color w:val="000000"/>
          <w:sz w:val="24"/>
        </w:rPr>
        <w:t>以上。受资金持续宽松等因素影响，二季度同业存款及同业存单利率大幅下行。资金面宽松叠加中美贸易战加深经济悲观预期等影响，上半年利率债大幅上涨。六月底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56</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w:t>
      </w:r>
      <w:r>
        <w:rPr>
          <w:color w:val="000000"/>
          <w:sz w:val="24"/>
        </w:rPr>
        <w:t>2017</w:t>
      </w:r>
      <w:r>
        <w:rPr>
          <w:color w:val="000000"/>
          <w:sz w:val="24"/>
        </w:rPr>
        <w:t>年年底回落</w:t>
      </w:r>
      <w:r>
        <w:rPr>
          <w:color w:val="000000"/>
          <w:sz w:val="24"/>
        </w:rPr>
        <w:t>74</w:t>
      </w:r>
      <w:r>
        <w:rPr>
          <w:color w:val="000000"/>
          <w:sz w:val="24"/>
        </w:rPr>
        <w:t>个</w:t>
      </w:r>
      <w:r>
        <w:rPr>
          <w:color w:val="000000"/>
          <w:sz w:val="24"/>
        </w:rPr>
        <w:t>BP</w:t>
      </w:r>
      <w:r>
        <w:rPr>
          <w:color w:val="000000"/>
          <w:sz w:val="24"/>
        </w:rPr>
        <w:t>以上，但低评级信用债受信用事件冲击，上半年涨幅相对较小。</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基金操作方面，报告期内本基金保持流动性，满足客户赎回需求，择机提升组合杠杆，调整债券持仓，为持有人创造稳健的回报。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考虑中美贸易战风险、贷款利率高企及表外融资收缩等问题，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努力研判宏观经济走势，密切跟踪央行货币政策操作与金融监管政策动态，尽力管控风险，积极跟踪把握市场机会，努力为份额持有人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1052EC" w:rsidRDefault="00A1297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1052EC" w:rsidRDefault="00A1297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w:t>
      </w:r>
      <w:r w:rsidRPr="008A1551">
        <w:rPr>
          <w:color w:val="000000"/>
          <w:sz w:val="24"/>
        </w:rPr>
        <w:lastRenderedPageBreak/>
        <w:t>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本基金本报告期内曾连续六十个工作日以上出现基金资产净值低于</w:t>
      </w:r>
      <w:r w:rsidRPr="008A1551">
        <w:rPr>
          <w:kern w:val="0"/>
          <w:sz w:val="24"/>
        </w:rPr>
        <w:t>5000</w:t>
      </w:r>
      <w:r w:rsidRPr="008A1551">
        <w:rPr>
          <w:kern w:val="0"/>
          <w:sz w:val="24"/>
        </w:rPr>
        <w:t>万元的情形，截至本报告期末，本基金基金资产净值仍低于</w:t>
      </w:r>
      <w:r w:rsidRPr="008A1551">
        <w:rPr>
          <w:kern w:val="0"/>
          <w:sz w:val="24"/>
        </w:rPr>
        <w:t>5000</w:t>
      </w:r>
      <w:r w:rsidRPr="008A1551">
        <w:rPr>
          <w:kern w:val="0"/>
          <w:sz w:val="24"/>
        </w:rPr>
        <w:t>万元。</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作为本基金的托管人，中信银行严格遵守了《证券投资基金法》及其他有关法律法规、基金合同和托管协议的规定，对交银施罗德丰盈收益债券型证券投资基金</w:t>
      </w:r>
      <w:r w:rsidRPr="008A1551">
        <w:rPr>
          <w:color w:val="000000"/>
          <w:sz w:val="24"/>
        </w:rPr>
        <w:t>2018</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本托管人认为，交银施罗德基金管理有限公司的信息披露事务符合《证券投资基金信息披露管理办法》及其他相关法律法规的规定，基金管理人所编制和披露的交银施罗德丰盈收益债券型证券投资基金</w:t>
      </w:r>
      <w:r w:rsidRPr="008A1551">
        <w:rPr>
          <w:color w:val="000000"/>
          <w:sz w:val="24"/>
        </w:rPr>
        <w:t>2018</w:t>
      </w:r>
      <w:r w:rsidRPr="008A1551">
        <w:rPr>
          <w:color w:val="000000"/>
          <w:sz w:val="24"/>
        </w:rPr>
        <w:t>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lastRenderedPageBreak/>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会计主体：交银施罗德丰盈收益债券型证券投资基金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382,213.36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336,809.72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125,126.62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1,440,011.66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2,731.54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16,042.54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41,063,500.00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61,008,151.50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41,063,500.00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61,008,151.50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964,962.99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886,105.23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649,015.88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43,187,550.39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63,687,150.63</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302,687.66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421,660.09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203,782.78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27,189.42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47,955.60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5,098.03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8,991.65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1,701.40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296.50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775.40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151.52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-895.88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89,460.15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300,200.00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6,547,348.89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561,714.12</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34,798,758.05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61,181,140.97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1,841,443.45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1,944,295.54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36,640,201.50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63,125,436.51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43,187,550.39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63,687,150.63</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1.051</w:t>
      </w:r>
      <w:r w:rsidRPr="008A1551">
        <w:rPr>
          <w:kern w:val="0"/>
          <w:sz w:val="24"/>
        </w:rPr>
        <w:t>元，</w:t>
      </w:r>
      <w:r w:rsidRPr="008A1551">
        <w:rPr>
          <w:kern w:val="0"/>
          <w:sz w:val="24"/>
        </w:rPr>
        <w:t>C</w:t>
      </w:r>
      <w:r w:rsidRPr="008A1551">
        <w:rPr>
          <w:kern w:val="0"/>
          <w:sz w:val="24"/>
        </w:rPr>
        <w:t>类基金份额净值</w:t>
      </w:r>
      <w:r w:rsidRPr="008A1551">
        <w:rPr>
          <w:kern w:val="0"/>
          <w:sz w:val="24"/>
        </w:rPr>
        <w:t>1.097</w:t>
      </w:r>
      <w:r w:rsidRPr="008A1551">
        <w:rPr>
          <w:kern w:val="0"/>
          <w:sz w:val="24"/>
        </w:rPr>
        <w:t>元，基金份额总额</w:t>
      </w:r>
      <w:r w:rsidRPr="008A1551">
        <w:rPr>
          <w:kern w:val="0"/>
          <w:sz w:val="24"/>
        </w:rPr>
        <w:t>34,798,758.05</w:t>
      </w:r>
      <w:r w:rsidRPr="008A1551">
        <w:rPr>
          <w:kern w:val="0"/>
          <w:sz w:val="24"/>
        </w:rPr>
        <w:t>份，其中</w:t>
      </w:r>
      <w:r w:rsidRPr="008A1551">
        <w:rPr>
          <w:kern w:val="0"/>
          <w:sz w:val="24"/>
        </w:rPr>
        <w:t>A</w:t>
      </w:r>
      <w:r w:rsidRPr="008A1551">
        <w:rPr>
          <w:kern w:val="0"/>
          <w:sz w:val="24"/>
        </w:rPr>
        <w:t>类基金份额</w:t>
      </w:r>
      <w:r w:rsidRPr="008A1551">
        <w:rPr>
          <w:kern w:val="0"/>
          <w:sz w:val="24"/>
        </w:rPr>
        <w:t>33,322,315.55</w:t>
      </w:r>
      <w:r w:rsidRPr="008A1551">
        <w:rPr>
          <w:kern w:val="0"/>
          <w:sz w:val="24"/>
        </w:rPr>
        <w:t>份，</w:t>
      </w:r>
      <w:r w:rsidRPr="008A1551">
        <w:rPr>
          <w:kern w:val="0"/>
          <w:sz w:val="24"/>
        </w:rPr>
        <w:t>C</w:t>
      </w:r>
      <w:r w:rsidRPr="008A1551">
        <w:rPr>
          <w:kern w:val="0"/>
          <w:sz w:val="24"/>
        </w:rPr>
        <w:t>类基金份额</w:t>
      </w:r>
      <w:r w:rsidRPr="008A1551">
        <w:rPr>
          <w:kern w:val="0"/>
          <w:sz w:val="24"/>
        </w:rPr>
        <w:t>1,476,442.5</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交银施罗德丰盈收益债券型证券投资基金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lastRenderedPageBreak/>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lastRenderedPageBreak/>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lastRenderedPageBreak/>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1,259,531.77</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11,176,286.55</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867,357.34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17,340,105.94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5,934.31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137,272.75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844,405.72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17,159,900.58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17,017.31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42,932.61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-125,122.47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-10,404,336.26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-125,122.47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-10,404,336.26</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517,093.07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4,240,516.87</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203.83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358,845.63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4,595,839.53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185,267.97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2,055,658.94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34,737.78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385,436.07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1,753.46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372.17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6,997.05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26,163.50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1,969,173.08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26,163.50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1,969,173.08</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61.28</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110,489.47</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178,574.39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900,686.14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6,580,447.02</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900,686.14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6,580,447.02</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lastRenderedPageBreak/>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交银施罗德丰盈收益债券型证券投资基金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61,181,140.97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1,944,295.54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63,125,436.51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900,686.14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900,686.14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-26,382,382.92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-1,003,538.23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-27,385,921.15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19,562,383.91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954,052.68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20,516,436.59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-45,944,766.83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-1,957,590.91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-47,902,357.74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34,798,758.05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1,841,443.45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36,640,201.50</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510,658,140.93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4,926,158.35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515,584,299.28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6,580,447.02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6,580,447.02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510,658,140.93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11,506,605.37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522,164,746.30</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1052EC" w:rsidRDefault="00A12979">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Pr>
          <w:color w:val="000000"/>
          <w:sz w:val="24"/>
        </w:rPr>
        <w:t>)</w:t>
      </w:r>
      <w:r>
        <w:rPr>
          <w:color w:val="000000"/>
          <w:sz w:val="24"/>
        </w:rPr>
        <w:t>，封闭期结束后转为开放式运作。本基金首次设立募集不包括认购资金利息共募集人民币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1052EC" w:rsidRDefault="00A12979">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类基金份额，在投资人申购、赎回时不收取申购费用、赎回费用，而是从本类别基金资产中计提销售服务费的，称为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类基金份额的申购。根据《关于交银施罗德丰盈收益债券型证券投资基金封闭期结束转为开放式</w:t>
      </w:r>
      <w:r>
        <w:rPr>
          <w:color w:val="000000"/>
          <w:sz w:val="24"/>
        </w:rPr>
        <w:lastRenderedPageBreak/>
        <w:t>运作并同时增加开通</w:t>
      </w:r>
      <w:r>
        <w:rPr>
          <w:color w:val="000000"/>
          <w:sz w:val="24"/>
        </w:rPr>
        <w:t>C</w:t>
      </w:r>
      <w:r>
        <w:rPr>
          <w:color w:val="000000"/>
          <w:sz w:val="24"/>
        </w:rPr>
        <w:t>类基金份额暨开放基金日常申购、赎回、定期定额投资业务并参与部分销售机构申购费率优惠活动的公告》的相关规定，本基金封闭期自</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8</w:t>
      </w:r>
      <w:r>
        <w:rPr>
          <w:color w:val="000000"/>
          <w:sz w:val="24"/>
        </w:rPr>
        <w:t>月</w:t>
      </w:r>
      <w:r>
        <w:rPr>
          <w:color w:val="000000"/>
          <w:sz w:val="24"/>
        </w:rPr>
        <w:t>11</w:t>
      </w:r>
      <w:r>
        <w:rPr>
          <w:color w:val="000000"/>
          <w:sz w:val="24"/>
        </w:rPr>
        <w:t>日止，自</w:t>
      </w:r>
      <w:r>
        <w:rPr>
          <w:color w:val="000000"/>
          <w:sz w:val="24"/>
        </w:rPr>
        <w:t>2017</w:t>
      </w:r>
      <w:r>
        <w:rPr>
          <w:color w:val="000000"/>
          <w:sz w:val="24"/>
        </w:rPr>
        <w:t>年</w:t>
      </w:r>
      <w:r>
        <w:rPr>
          <w:color w:val="000000"/>
          <w:sz w:val="24"/>
        </w:rPr>
        <w:t>8</w:t>
      </w:r>
      <w:r>
        <w:rPr>
          <w:color w:val="000000"/>
          <w:sz w:val="24"/>
        </w:rPr>
        <w:t>月</w:t>
      </w:r>
      <w:r>
        <w:rPr>
          <w:color w:val="000000"/>
          <w:sz w:val="24"/>
        </w:rPr>
        <w:t>14</w:t>
      </w:r>
      <w:r>
        <w:rPr>
          <w:color w:val="000000"/>
          <w:sz w:val="24"/>
        </w:rPr>
        <w:t>日起转为开放式运作，自该日起开始办理日常申购、赎回业务，并同时增加开通</w:t>
      </w:r>
      <w:r>
        <w:rPr>
          <w:color w:val="000000"/>
          <w:sz w:val="24"/>
        </w:rPr>
        <w:t>C</w:t>
      </w:r>
      <w:r>
        <w:rPr>
          <w:color w:val="000000"/>
          <w:sz w:val="24"/>
        </w:rPr>
        <w:t>类基金份额。</w:t>
      </w:r>
    </w:p>
    <w:p w:rsidR="001052EC" w:rsidRDefault="001052EC">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8A1551">
        <w:rPr>
          <w:color w:val="000000"/>
          <w:sz w:val="24"/>
        </w:rPr>
        <w:t>AA</w:t>
      </w:r>
      <w:r w:rsidRPr="008A1551">
        <w:rPr>
          <w:color w:val="000000"/>
          <w:sz w:val="24"/>
        </w:rPr>
        <w:t>级</w:t>
      </w:r>
      <w:r w:rsidRPr="008A1551">
        <w:rPr>
          <w:color w:val="000000"/>
          <w:sz w:val="24"/>
        </w:rPr>
        <w:t>(</w:t>
      </w:r>
      <w:r w:rsidRPr="008A1551">
        <w:rPr>
          <w:color w:val="000000"/>
          <w:sz w:val="24"/>
        </w:rPr>
        <w:t>含</w:t>
      </w:r>
      <w:r w:rsidRPr="008A1551">
        <w:rPr>
          <w:color w:val="000000"/>
          <w:sz w:val="24"/>
        </w:rPr>
        <w:t>)</w:t>
      </w:r>
      <w:r w:rsidRPr="008A1551">
        <w:rPr>
          <w:color w:val="000000"/>
          <w:sz w:val="24"/>
        </w:rPr>
        <w:t>以上。本基金不直接在二级市场买入股票、权证等权益类资产，也不参与一级市场新股申购和新股增发。同时本基金不参与可转换债券投资</w:t>
      </w:r>
      <w:r w:rsidRPr="008A1551">
        <w:rPr>
          <w:color w:val="000000"/>
          <w:sz w:val="24"/>
        </w:rPr>
        <w:t>(</w:t>
      </w:r>
      <w:r w:rsidRPr="008A1551">
        <w:rPr>
          <w:color w:val="000000"/>
          <w:sz w:val="24"/>
        </w:rPr>
        <w:t>分离交易可转债的纯债部分除外</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sidRPr="008A1551">
        <w:rPr>
          <w:color w:val="000000"/>
          <w:sz w:val="24"/>
        </w:rPr>
        <w:t>80%</w:t>
      </w:r>
      <w:r w:rsidRPr="008A1551">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8A1551">
        <w:rPr>
          <w:color w:val="000000"/>
          <w:sz w:val="24"/>
        </w:rPr>
        <w:t>5%</w:t>
      </w:r>
      <w:r w:rsidRPr="008A1551">
        <w:rPr>
          <w:color w:val="000000"/>
          <w:sz w:val="24"/>
        </w:rPr>
        <w:t>。本基金封闭期内业绩比较基准为三年期银行定期存款税后收益率，转为开放式运作后业绩比较基准为中债综合全价指数。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颁布的《证券投资基金会计核算业务指引》、《交银施罗德丰盈收益债券型证券投资基金基金合同》和在财务报表附注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1052EC" w:rsidRDefault="00A1297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052EC" w:rsidRDefault="001052EC">
      <w:pPr>
        <w:spacing w:before="29" w:line="288" w:lineRule="auto"/>
        <w:ind w:firstLineChars="200" w:firstLine="480"/>
        <w:rPr>
          <w:color w:val="000000"/>
          <w:sz w:val="24"/>
        </w:rPr>
      </w:pPr>
    </w:p>
    <w:p w:rsidR="001052EC" w:rsidRDefault="00A1297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052EC" w:rsidRDefault="001052EC">
      <w:pPr>
        <w:spacing w:before="29" w:line="288" w:lineRule="auto"/>
        <w:ind w:firstLineChars="200" w:firstLine="480"/>
        <w:rPr>
          <w:color w:val="000000"/>
          <w:sz w:val="24"/>
        </w:rPr>
      </w:pPr>
    </w:p>
    <w:p w:rsidR="001052EC" w:rsidRDefault="00A12979">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1052EC" w:rsidRDefault="001052EC">
      <w:pPr>
        <w:spacing w:before="29" w:line="288" w:lineRule="auto"/>
        <w:ind w:firstLineChars="200" w:firstLine="480"/>
        <w:rPr>
          <w:color w:val="000000"/>
          <w:sz w:val="24"/>
        </w:rPr>
      </w:pPr>
    </w:p>
    <w:p w:rsidR="001052EC" w:rsidRDefault="00A1297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052EC" w:rsidRDefault="001052EC">
      <w:pPr>
        <w:spacing w:before="29" w:line="288" w:lineRule="auto"/>
        <w:ind w:firstLineChars="200" w:firstLine="480"/>
        <w:rPr>
          <w:color w:val="000000"/>
          <w:sz w:val="24"/>
        </w:rPr>
      </w:pPr>
    </w:p>
    <w:p w:rsidR="001052EC" w:rsidRDefault="00A1297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052EC" w:rsidRDefault="001052EC">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w:t>
      </w:r>
      <w:r w:rsidRPr="008A1551">
        <w:rPr>
          <w:color w:val="000000"/>
          <w:sz w:val="24"/>
        </w:rPr>
        <w:lastRenderedPageBreak/>
        <w:t>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1052EC">
        <w:tc>
          <w:tcPr>
            <w:tcW w:w="5219" w:type="dxa"/>
            <w:vAlign w:val="center"/>
          </w:tcPr>
          <w:p w:rsidR="001052EC" w:rsidRDefault="00A1297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052EC" w:rsidRDefault="00A12979">
            <w:pPr>
              <w:jc w:val="left"/>
            </w:pPr>
            <w:r>
              <w:rPr>
                <w:color w:val="000000"/>
                <w:sz w:val="24"/>
              </w:rPr>
              <w:t>基金管理人、基金销售机构</w:t>
            </w:r>
          </w:p>
        </w:tc>
      </w:tr>
      <w:tr w:rsidR="001052EC">
        <w:tc>
          <w:tcPr>
            <w:tcW w:w="5219" w:type="dxa"/>
            <w:vAlign w:val="center"/>
          </w:tcPr>
          <w:p w:rsidR="001052EC" w:rsidRDefault="00A1297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1052EC" w:rsidRDefault="00A12979">
            <w:pPr>
              <w:jc w:val="left"/>
            </w:pPr>
            <w:r>
              <w:rPr>
                <w:color w:val="000000"/>
                <w:sz w:val="24"/>
              </w:rPr>
              <w:t>基金托管人、基金销售机构</w:t>
            </w:r>
          </w:p>
        </w:tc>
      </w:tr>
      <w:tr w:rsidR="001052EC">
        <w:tc>
          <w:tcPr>
            <w:tcW w:w="5219" w:type="dxa"/>
            <w:vAlign w:val="center"/>
          </w:tcPr>
          <w:p w:rsidR="001052EC" w:rsidRDefault="00A1297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052EC" w:rsidRDefault="00A12979">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185,267.97</w:t>
            </w:r>
          </w:p>
        </w:tc>
        <w:tc>
          <w:tcPr>
            <w:tcW w:w="2657" w:type="dxa"/>
            <w:vAlign w:val="center"/>
          </w:tcPr>
          <w:p w:rsidR="001548F9" w:rsidRPr="008A1551" w:rsidRDefault="001548F9" w:rsidP="009E1EA4">
            <w:pPr>
              <w:spacing w:before="29" w:line="288" w:lineRule="auto"/>
              <w:jc w:val="right"/>
              <w:rPr>
                <w:sz w:val="24"/>
              </w:rPr>
            </w:pPr>
            <w:r w:rsidRPr="008A1551">
              <w:rPr>
                <w:sz w:val="24"/>
              </w:rPr>
              <w:t>2,055,658.94</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87,291.24</w:t>
            </w:r>
          </w:p>
        </w:tc>
        <w:tc>
          <w:tcPr>
            <w:tcW w:w="2657" w:type="dxa"/>
            <w:vAlign w:val="center"/>
          </w:tcPr>
          <w:p w:rsidR="001548F9" w:rsidRPr="008A1551" w:rsidRDefault="001548F9" w:rsidP="009E1EA4">
            <w:pPr>
              <w:spacing w:before="29" w:line="288" w:lineRule="auto"/>
              <w:jc w:val="right"/>
              <w:rPr>
                <w:sz w:val="24"/>
              </w:rPr>
            </w:pPr>
            <w:r w:rsidRPr="008A1551">
              <w:rPr>
                <w:sz w:val="24"/>
              </w:rPr>
              <w:t>932,155.37</w:t>
            </w:r>
          </w:p>
        </w:tc>
      </w:tr>
    </w:tbl>
    <w:p w:rsidR="001052EC" w:rsidRDefault="00A1297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×0.80%÷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34,737.78</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385,436.07</w:t>
            </w:r>
          </w:p>
        </w:tc>
      </w:tr>
    </w:tbl>
    <w:p w:rsidR="001052EC" w:rsidRDefault="00A1297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×0.15%÷</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交银丰盈收益债券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交银丰盈收益债券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052EC">
        <w:tc>
          <w:tcPr>
            <w:tcW w:w="2000" w:type="dxa"/>
            <w:vAlign w:val="center"/>
          </w:tcPr>
          <w:p w:rsidR="001052EC" w:rsidRDefault="00A12979">
            <w:pPr>
              <w:jc w:val="left"/>
            </w:pPr>
            <w:r>
              <w:rPr>
                <w:sz w:val="24"/>
              </w:rPr>
              <w:t>交通银行</w:t>
            </w:r>
          </w:p>
        </w:tc>
        <w:tc>
          <w:tcPr>
            <w:tcW w:w="1766" w:type="dxa"/>
            <w:vAlign w:val="center"/>
          </w:tcPr>
          <w:p w:rsidR="001052EC" w:rsidRDefault="00A12979">
            <w:pPr>
              <w:jc w:val="right"/>
            </w:pPr>
            <w:r>
              <w:rPr>
                <w:sz w:val="24"/>
              </w:rPr>
              <w:t>-</w:t>
            </w:r>
          </w:p>
        </w:tc>
        <w:tc>
          <w:tcPr>
            <w:tcW w:w="2162" w:type="dxa"/>
            <w:vAlign w:val="center"/>
          </w:tcPr>
          <w:p w:rsidR="001052EC" w:rsidRDefault="00A12979">
            <w:pPr>
              <w:jc w:val="right"/>
            </w:pPr>
            <w:r>
              <w:rPr>
                <w:sz w:val="24"/>
              </w:rPr>
              <w:t>1,648.57</w:t>
            </w:r>
          </w:p>
        </w:tc>
        <w:tc>
          <w:tcPr>
            <w:tcW w:w="3070" w:type="dxa"/>
            <w:vAlign w:val="center"/>
          </w:tcPr>
          <w:p w:rsidR="001052EC" w:rsidRDefault="00A12979">
            <w:pPr>
              <w:jc w:val="right"/>
            </w:pPr>
            <w:r>
              <w:rPr>
                <w:sz w:val="24"/>
              </w:rPr>
              <w:t>1,648.57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1,648.57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1,648.57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交银丰盈收益债券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交银丰盈收益债券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bl>
    <w:p w:rsidR="001052EC" w:rsidRDefault="00A1297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lastRenderedPageBreak/>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1052EC">
        <w:tc>
          <w:tcPr>
            <w:tcW w:w="2692" w:type="dxa"/>
            <w:vAlign w:val="center"/>
          </w:tcPr>
          <w:p w:rsidR="001052EC" w:rsidRDefault="00A12979">
            <w:pPr>
              <w:jc w:val="left"/>
            </w:pPr>
            <w:r>
              <w:rPr>
                <w:sz w:val="24"/>
              </w:rPr>
              <w:t>中信银行股份有限公司</w:t>
            </w:r>
          </w:p>
        </w:tc>
        <w:tc>
          <w:tcPr>
            <w:tcW w:w="1417" w:type="dxa"/>
            <w:vAlign w:val="center"/>
          </w:tcPr>
          <w:p w:rsidR="001052EC" w:rsidRDefault="00A12979">
            <w:pPr>
              <w:jc w:val="right"/>
            </w:pPr>
            <w:r>
              <w:rPr>
                <w:sz w:val="24"/>
              </w:rPr>
              <w:t>382,213.36</w:t>
            </w:r>
          </w:p>
        </w:tc>
        <w:tc>
          <w:tcPr>
            <w:tcW w:w="1736" w:type="dxa"/>
            <w:vAlign w:val="center"/>
          </w:tcPr>
          <w:p w:rsidR="001052EC" w:rsidRDefault="00A12979">
            <w:pPr>
              <w:jc w:val="right"/>
            </w:pPr>
            <w:r>
              <w:rPr>
                <w:sz w:val="24"/>
              </w:rPr>
              <w:t>4,487.14</w:t>
            </w:r>
          </w:p>
        </w:tc>
        <w:tc>
          <w:tcPr>
            <w:tcW w:w="1383" w:type="dxa"/>
            <w:vAlign w:val="center"/>
          </w:tcPr>
          <w:p w:rsidR="001052EC" w:rsidRDefault="00A12979">
            <w:pPr>
              <w:jc w:val="right"/>
            </w:pPr>
            <w:r>
              <w:rPr>
                <w:sz w:val="24"/>
              </w:rPr>
              <w:t>1,397,219.74</w:t>
            </w:r>
          </w:p>
        </w:tc>
        <w:tc>
          <w:tcPr>
            <w:tcW w:w="1770" w:type="dxa"/>
            <w:vAlign w:val="center"/>
          </w:tcPr>
          <w:p w:rsidR="001052EC" w:rsidRDefault="00A12979">
            <w:pPr>
              <w:jc w:val="right"/>
            </w:pPr>
            <w:r>
              <w:rPr>
                <w:sz w:val="24"/>
              </w:rPr>
              <w:t>35,958.99</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lastRenderedPageBreak/>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41,063,500.00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95.08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41,063,500.00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95.08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507,339.98</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1,616,710.41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3.74</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43,187,550.39</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41,063,500.00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112.07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41,063,500.00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112.07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lastRenderedPageBreak/>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41,063,500.00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112.07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1052EC">
        <w:tc>
          <w:tcPr>
            <w:tcW w:w="1320" w:type="dxa"/>
            <w:vAlign w:val="center"/>
          </w:tcPr>
          <w:p w:rsidR="001052EC" w:rsidRDefault="00A12979">
            <w:pPr>
              <w:jc w:val="center"/>
            </w:pPr>
            <w:r>
              <w:rPr>
                <w:color w:val="000000"/>
                <w:sz w:val="24"/>
              </w:rPr>
              <w:t>1</w:t>
            </w:r>
          </w:p>
        </w:tc>
        <w:tc>
          <w:tcPr>
            <w:tcW w:w="1382" w:type="dxa"/>
            <w:vAlign w:val="center"/>
          </w:tcPr>
          <w:p w:rsidR="001052EC" w:rsidRDefault="00A12979">
            <w:pPr>
              <w:jc w:val="center"/>
            </w:pPr>
            <w:r>
              <w:rPr>
                <w:color w:val="000000"/>
                <w:sz w:val="24"/>
              </w:rPr>
              <w:t>170211</w:t>
            </w:r>
          </w:p>
        </w:tc>
        <w:tc>
          <w:tcPr>
            <w:tcW w:w="1353" w:type="dxa"/>
            <w:vAlign w:val="center"/>
          </w:tcPr>
          <w:p w:rsidR="001052EC" w:rsidRDefault="00A12979">
            <w:pPr>
              <w:jc w:val="center"/>
            </w:pPr>
            <w:r>
              <w:rPr>
                <w:color w:val="000000"/>
                <w:sz w:val="24"/>
              </w:rPr>
              <w:t>17</w:t>
            </w:r>
            <w:r>
              <w:rPr>
                <w:color w:val="000000"/>
                <w:sz w:val="24"/>
              </w:rPr>
              <w:t>国开</w:t>
            </w:r>
            <w:r>
              <w:rPr>
                <w:color w:val="000000"/>
                <w:sz w:val="24"/>
              </w:rPr>
              <w:t>11</w:t>
            </w:r>
          </w:p>
        </w:tc>
        <w:tc>
          <w:tcPr>
            <w:tcW w:w="1505" w:type="dxa"/>
            <w:vAlign w:val="center"/>
          </w:tcPr>
          <w:p w:rsidR="001052EC" w:rsidRDefault="00A12979">
            <w:pPr>
              <w:jc w:val="right"/>
            </w:pPr>
            <w:r>
              <w:rPr>
                <w:color w:val="000000"/>
                <w:sz w:val="24"/>
              </w:rPr>
              <w:t>200,000</w:t>
            </w:r>
          </w:p>
        </w:tc>
        <w:tc>
          <w:tcPr>
            <w:tcW w:w="1737" w:type="dxa"/>
            <w:vAlign w:val="center"/>
          </w:tcPr>
          <w:p w:rsidR="001052EC" w:rsidRDefault="00A12979">
            <w:pPr>
              <w:jc w:val="right"/>
            </w:pPr>
            <w:r>
              <w:rPr>
                <w:color w:val="000000"/>
                <w:sz w:val="24"/>
              </w:rPr>
              <w:t>20,026,000.00</w:t>
            </w:r>
          </w:p>
        </w:tc>
        <w:tc>
          <w:tcPr>
            <w:tcW w:w="1701" w:type="dxa"/>
            <w:vAlign w:val="center"/>
          </w:tcPr>
          <w:p w:rsidR="001052EC" w:rsidRDefault="00A12979">
            <w:pPr>
              <w:jc w:val="right"/>
            </w:pPr>
            <w:r>
              <w:rPr>
                <w:color w:val="000000"/>
                <w:sz w:val="24"/>
              </w:rPr>
              <w:t>54.66</w:t>
            </w:r>
          </w:p>
        </w:tc>
      </w:tr>
      <w:tr w:rsidR="001052EC">
        <w:tc>
          <w:tcPr>
            <w:tcW w:w="1320" w:type="dxa"/>
            <w:vAlign w:val="center"/>
          </w:tcPr>
          <w:p w:rsidR="001052EC" w:rsidRDefault="00A12979">
            <w:pPr>
              <w:jc w:val="center"/>
            </w:pPr>
            <w:r>
              <w:rPr>
                <w:color w:val="000000"/>
                <w:sz w:val="24"/>
              </w:rPr>
              <w:t>2</w:t>
            </w:r>
          </w:p>
        </w:tc>
        <w:tc>
          <w:tcPr>
            <w:tcW w:w="1382" w:type="dxa"/>
            <w:vAlign w:val="center"/>
          </w:tcPr>
          <w:p w:rsidR="001052EC" w:rsidRDefault="00A12979">
            <w:pPr>
              <w:jc w:val="center"/>
            </w:pPr>
            <w:r>
              <w:rPr>
                <w:color w:val="000000"/>
                <w:sz w:val="24"/>
              </w:rPr>
              <w:t>018005</w:t>
            </w:r>
          </w:p>
        </w:tc>
        <w:tc>
          <w:tcPr>
            <w:tcW w:w="1353" w:type="dxa"/>
            <w:vAlign w:val="center"/>
          </w:tcPr>
          <w:p w:rsidR="001052EC" w:rsidRDefault="00A12979">
            <w:pPr>
              <w:jc w:val="center"/>
            </w:pPr>
            <w:r>
              <w:rPr>
                <w:color w:val="000000"/>
                <w:sz w:val="24"/>
              </w:rPr>
              <w:t>国开</w:t>
            </w:r>
            <w:r>
              <w:rPr>
                <w:color w:val="000000"/>
                <w:sz w:val="24"/>
              </w:rPr>
              <w:t>1701</w:t>
            </w:r>
          </w:p>
        </w:tc>
        <w:tc>
          <w:tcPr>
            <w:tcW w:w="1505" w:type="dxa"/>
            <w:vAlign w:val="center"/>
          </w:tcPr>
          <w:p w:rsidR="001052EC" w:rsidRDefault="00A12979">
            <w:pPr>
              <w:jc w:val="right"/>
            </w:pPr>
            <w:r>
              <w:rPr>
                <w:color w:val="000000"/>
                <w:sz w:val="24"/>
              </w:rPr>
              <w:t>100,000</w:t>
            </w:r>
          </w:p>
        </w:tc>
        <w:tc>
          <w:tcPr>
            <w:tcW w:w="1737" w:type="dxa"/>
            <w:vAlign w:val="center"/>
          </w:tcPr>
          <w:p w:rsidR="001052EC" w:rsidRDefault="00A12979">
            <w:pPr>
              <w:jc w:val="right"/>
            </w:pPr>
            <w:r>
              <w:rPr>
                <w:color w:val="000000"/>
                <w:sz w:val="24"/>
              </w:rPr>
              <w:t>10,038,000.00</w:t>
            </w:r>
          </w:p>
        </w:tc>
        <w:tc>
          <w:tcPr>
            <w:tcW w:w="1701" w:type="dxa"/>
            <w:vAlign w:val="center"/>
          </w:tcPr>
          <w:p w:rsidR="001052EC" w:rsidRDefault="00A12979">
            <w:pPr>
              <w:jc w:val="right"/>
            </w:pPr>
            <w:r>
              <w:rPr>
                <w:color w:val="000000"/>
                <w:sz w:val="24"/>
              </w:rPr>
              <w:t>27.40</w:t>
            </w:r>
          </w:p>
        </w:tc>
      </w:tr>
      <w:tr w:rsidR="001052EC">
        <w:tc>
          <w:tcPr>
            <w:tcW w:w="1320" w:type="dxa"/>
            <w:vAlign w:val="center"/>
          </w:tcPr>
          <w:p w:rsidR="001052EC" w:rsidRDefault="00A12979">
            <w:pPr>
              <w:jc w:val="center"/>
            </w:pPr>
            <w:r>
              <w:rPr>
                <w:color w:val="000000"/>
                <w:sz w:val="24"/>
              </w:rPr>
              <w:t>3</w:t>
            </w:r>
          </w:p>
        </w:tc>
        <w:tc>
          <w:tcPr>
            <w:tcW w:w="1382" w:type="dxa"/>
            <w:vAlign w:val="center"/>
          </w:tcPr>
          <w:p w:rsidR="001052EC" w:rsidRDefault="00A12979">
            <w:pPr>
              <w:jc w:val="center"/>
            </w:pPr>
            <w:r>
              <w:rPr>
                <w:color w:val="000000"/>
                <w:sz w:val="24"/>
              </w:rPr>
              <w:t>170410</w:t>
            </w:r>
          </w:p>
        </w:tc>
        <w:tc>
          <w:tcPr>
            <w:tcW w:w="1353" w:type="dxa"/>
            <w:vAlign w:val="center"/>
          </w:tcPr>
          <w:p w:rsidR="001052EC" w:rsidRDefault="00A12979">
            <w:pPr>
              <w:jc w:val="center"/>
            </w:pPr>
            <w:r>
              <w:rPr>
                <w:color w:val="000000"/>
                <w:sz w:val="24"/>
              </w:rPr>
              <w:t>17</w:t>
            </w:r>
            <w:r>
              <w:rPr>
                <w:color w:val="000000"/>
                <w:sz w:val="24"/>
              </w:rPr>
              <w:t>农发</w:t>
            </w:r>
            <w:r>
              <w:rPr>
                <w:color w:val="000000"/>
                <w:sz w:val="24"/>
              </w:rPr>
              <w:t>10</w:t>
            </w:r>
          </w:p>
        </w:tc>
        <w:tc>
          <w:tcPr>
            <w:tcW w:w="1505" w:type="dxa"/>
            <w:vAlign w:val="center"/>
          </w:tcPr>
          <w:p w:rsidR="001052EC" w:rsidRDefault="00A12979">
            <w:pPr>
              <w:jc w:val="right"/>
            </w:pPr>
            <w:r>
              <w:rPr>
                <w:color w:val="000000"/>
                <w:sz w:val="24"/>
              </w:rPr>
              <w:t>100,000</w:t>
            </w:r>
          </w:p>
        </w:tc>
        <w:tc>
          <w:tcPr>
            <w:tcW w:w="1737" w:type="dxa"/>
            <w:vAlign w:val="center"/>
          </w:tcPr>
          <w:p w:rsidR="001052EC" w:rsidRDefault="00A12979">
            <w:pPr>
              <w:jc w:val="right"/>
            </w:pPr>
            <w:r>
              <w:rPr>
                <w:color w:val="000000"/>
                <w:sz w:val="24"/>
              </w:rPr>
              <w:t>10,003,000.00</w:t>
            </w:r>
          </w:p>
        </w:tc>
        <w:tc>
          <w:tcPr>
            <w:tcW w:w="1701" w:type="dxa"/>
            <w:vAlign w:val="center"/>
          </w:tcPr>
          <w:p w:rsidR="001052EC" w:rsidRDefault="00A12979">
            <w:pPr>
              <w:jc w:val="right"/>
            </w:pPr>
            <w:r>
              <w:rPr>
                <w:color w:val="000000"/>
                <w:sz w:val="24"/>
              </w:rPr>
              <w:t>27.30</w:t>
            </w:r>
          </w:p>
        </w:tc>
      </w:tr>
      <w:tr w:rsidR="001052EC">
        <w:tc>
          <w:tcPr>
            <w:tcW w:w="1320" w:type="dxa"/>
            <w:vAlign w:val="center"/>
          </w:tcPr>
          <w:p w:rsidR="001052EC" w:rsidRDefault="00A12979">
            <w:pPr>
              <w:jc w:val="center"/>
            </w:pPr>
            <w:r>
              <w:rPr>
                <w:color w:val="000000"/>
                <w:sz w:val="24"/>
              </w:rPr>
              <w:t>4</w:t>
            </w:r>
          </w:p>
        </w:tc>
        <w:tc>
          <w:tcPr>
            <w:tcW w:w="1382" w:type="dxa"/>
            <w:vAlign w:val="center"/>
          </w:tcPr>
          <w:p w:rsidR="001052EC" w:rsidRDefault="00A12979">
            <w:pPr>
              <w:jc w:val="center"/>
            </w:pPr>
            <w:r>
              <w:rPr>
                <w:color w:val="000000"/>
                <w:sz w:val="24"/>
              </w:rPr>
              <w:t>018006</w:t>
            </w:r>
          </w:p>
        </w:tc>
        <w:tc>
          <w:tcPr>
            <w:tcW w:w="1353" w:type="dxa"/>
            <w:vAlign w:val="center"/>
          </w:tcPr>
          <w:p w:rsidR="001052EC" w:rsidRDefault="00A12979">
            <w:pPr>
              <w:jc w:val="center"/>
            </w:pPr>
            <w:r>
              <w:rPr>
                <w:color w:val="000000"/>
                <w:sz w:val="24"/>
              </w:rPr>
              <w:t>国开</w:t>
            </w:r>
            <w:r>
              <w:rPr>
                <w:color w:val="000000"/>
                <w:sz w:val="24"/>
              </w:rPr>
              <w:t>1702</w:t>
            </w:r>
          </w:p>
        </w:tc>
        <w:tc>
          <w:tcPr>
            <w:tcW w:w="1505" w:type="dxa"/>
            <w:vAlign w:val="center"/>
          </w:tcPr>
          <w:p w:rsidR="001052EC" w:rsidRDefault="00A12979">
            <w:pPr>
              <w:jc w:val="right"/>
            </w:pPr>
            <w:r>
              <w:rPr>
                <w:color w:val="000000"/>
                <w:sz w:val="24"/>
              </w:rPr>
              <w:t>10,000</w:t>
            </w:r>
          </w:p>
        </w:tc>
        <w:tc>
          <w:tcPr>
            <w:tcW w:w="1737" w:type="dxa"/>
            <w:vAlign w:val="center"/>
          </w:tcPr>
          <w:p w:rsidR="001052EC" w:rsidRDefault="00A12979">
            <w:pPr>
              <w:jc w:val="right"/>
            </w:pPr>
            <w:r>
              <w:rPr>
                <w:color w:val="000000"/>
                <w:sz w:val="24"/>
              </w:rPr>
              <w:t>996,500.00</w:t>
            </w:r>
          </w:p>
        </w:tc>
        <w:tc>
          <w:tcPr>
            <w:tcW w:w="1701" w:type="dxa"/>
            <w:vAlign w:val="center"/>
          </w:tcPr>
          <w:p w:rsidR="001052EC" w:rsidRDefault="00A12979">
            <w:pPr>
              <w:jc w:val="right"/>
            </w:pPr>
            <w:r>
              <w:rPr>
                <w:color w:val="000000"/>
                <w:sz w:val="24"/>
              </w:rPr>
              <w:t>2.72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2,731.54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964,962.99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649,015.88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1,616,710.41</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交银丰盈收益债券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137,128.87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33,322,315.55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交银丰盈收益债券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11,811.54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1,476,442.50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368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94,561.84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34,798,758.05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交银丰盈收益债券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交银丰盈收益债券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195.12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195.12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交银丰盈收益债券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交银丰盈收益债券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交银丰盈收益债券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交银丰盈收益债券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交银丰盈收益债券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交银丰盈收益债券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8</w:t>
            </w:r>
            <w:r w:rsidRPr="008A1551">
              <w:rPr>
                <w:sz w:val="24"/>
              </w:rPr>
              <w:t>月</w:t>
            </w:r>
            <w:r w:rsidRPr="008A1551">
              <w:rPr>
                <w:sz w:val="24"/>
              </w:rPr>
              <w:t>11</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510,658,140.93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61,158,325.15</w:t>
            </w:r>
          </w:p>
        </w:tc>
        <w:tc>
          <w:tcPr>
            <w:tcW w:w="1615" w:type="pct"/>
            <w:vAlign w:val="center"/>
          </w:tcPr>
          <w:p w:rsidR="001548F9" w:rsidRPr="008A1551" w:rsidRDefault="001548F9" w:rsidP="009E1EA4">
            <w:pPr>
              <w:spacing w:before="29" w:line="288" w:lineRule="auto"/>
              <w:jc w:val="right"/>
              <w:rPr>
                <w:sz w:val="24"/>
              </w:rPr>
            </w:pPr>
            <w:r w:rsidRPr="008A1551">
              <w:rPr>
                <w:sz w:val="24"/>
              </w:rPr>
              <w:t>22,815.82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51,169.85</w:t>
            </w:r>
          </w:p>
        </w:tc>
        <w:tc>
          <w:tcPr>
            <w:tcW w:w="1615" w:type="pct"/>
            <w:vAlign w:val="center"/>
          </w:tcPr>
          <w:p w:rsidR="001548F9" w:rsidRPr="008A1551" w:rsidRDefault="001548F9" w:rsidP="009E1EA4">
            <w:pPr>
              <w:spacing w:before="29" w:line="288" w:lineRule="auto"/>
              <w:jc w:val="right"/>
              <w:rPr>
                <w:sz w:val="24"/>
              </w:rPr>
            </w:pPr>
            <w:r w:rsidRPr="008A1551">
              <w:rPr>
                <w:sz w:val="24"/>
              </w:rPr>
              <w:t>19,511,214.06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27,887,179.45</w:t>
            </w:r>
          </w:p>
        </w:tc>
        <w:tc>
          <w:tcPr>
            <w:tcW w:w="1615" w:type="pct"/>
            <w:vAlign w:val="center"/>
          </w:tcPr>
          <w:p w:rsidR="001548F9" w:rsidRPr="008A1551" w:rsidRDefault="001548F9" w:rsidP="009E1EA4">
            <w:pPr>
              <w:spacing w:before="29" w:line="288" w:lineRule="auto"/>
              <w:jc w:val="right"/>
              <w:rPr>
                <w:sz w:val="24"/>
              </w:rPr>
            </w:pPr>
            <w:r w:rsidRPr="008A1551">
              <w:rPr>
                <w:sz w:val="24"/>
              </w:rPr>
              <w:t>18,057,587.38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33,322,315.55</w:t>
            </w:r>
          </w:p>
        </w:tc>
        <w:tc>
          <w:tcPr>
            <w:tcW w:w="1615" w:type="pct"/>
            <w:vAlign w:val="center"/>
          </w:tcPr>
          <w:p w:rsidR="001548F9" w:rsidRPr="008A1551" w:rsidRDefault="001548F9" w:rsidP="009E1EA4">
            <w:pPr>
              <w:spacing w:before="29" w:line="288" w:lineRule="auto"/>
              <w:jc w:val="right"/>
              <w:rPr>
                <w:sz w:val="24"/>
              </w:rPr>
            </w:pPr>
            <w:r w:rsidRPr="008A1551">
              <w:rPr>
                <w:sz w:val="24"/>
              </w:rPr>
              <w:t>1,476,442.50</w:t>
            </w:r>
          </w:p>
        </w:tc>
      </w:tr>
    </w:tbl>
    <w:p w:rsidR="001052EC" w:rsidRDefault="00A1297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99017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1052EC" w:rsidRDefault="00A1297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90177" w:rsidRDefault="00990177" w:rsidP="00990177">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1052EC" w:rsidRDefault="00A1297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052EC" w:rsidRDefault="00A12979">
      <w:pPr>
        <w:tabs>
          <w:tab w:val="left" w:pos="426"/>
        </w:tabs>
        <w:spacing w:before="29" w:line="288" w:lineRule="auto"/>
        <w:jc w:val="left"/>
        <w:rPr>
          <w:kern w:val="0"/>
          <w:sz w:val="24"/>
        </w:rPr>
      </w:pPr>
      <w:r>
        <w:rPr>
          <w:kern w:val="0"/>
          <w:sz w:val="24"/>
        </w:rPr>
        <w:t>基金管理人及其高级管理人员本报告期内未受监管部门稽查或处罚。</w:t>
      </w:r>
    </w:p>
    <w:p w:rsidR="001052EC" w:rsidRDefault="00A1297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bookmarkStart w:id="116" w:name="_GoBack"/>
      <w:bookmarkEnd w:id="116"/>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lastRenderedPageBreak/>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A12979">
        <w:tc>
          <w:tcPr>
            <w:tcW w:w="1559"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79"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A12979">
        <w:tc>
          <w:tcPr>
            <w:tcW w:w="1559" w:type="dxa"/>
            <w:vMerge/>
            <w:vAlign w:val="center"/>
          </w:tcPr>
          <w:p w:rsidR="001548F9" w:rsidRPr="008A1551" w:rsidRDefault="001548F9" w:rsidP="009E1EA4">
            <w:pPr>
              <w:widowControl/>
              <w:spacing w:before="29" w:line="288" w:lineRule="auto"/>
              <w:jc w:val="left"/>
              <w:rPr>
                <w:color w:val="000000"/>
                <w:sz w:val="24"/>
              </w:rPr>
            </w:pPr>
          </w:p>
        </w:tc>
        <w:tc>
          <w:tcPr>
            <w:tcW w:w="779"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1052EC">
        <w:tc>
          <w:tcPr>
            <w:tcW w:w="1559" w:type="dxa"/>
            <w:vAlign w:val="center"/>
          </w:tcPr>
          <w:p w:rsidR="001052EC" w:rsidRDefault="00A12979">
            <w:pPr>
              <w:jc w:val="center"/>
            </w:pPr>
            <w:r>
              <w:rPr>
                <w:color w:val="000000"/>
                <w:sz w:val="24"/>
              </w:rPr>
              <w:t>安信证券股份有限公司</w:t>
            </w:r>
          </w:p>
        </w:tc>
        <w:tc>
          <w:tcPr>
            <w:tcW w:w="779" w:type="dxa"/>
            <w:vAlign w:val="center"/>
          </w:tcPr>
          <w:p w:rsidR="001052EC" w:rsidRDefault="00A12979">
            <w:pPr>
              <w:jc w:val="center"/>
            </w:pPr>
            <w:r>
              <w:rPr>
                <w:color w:val="000000"/>
                <w:sz w:val="24"/>
              </w:rPr>
              <w:t>2</w:t>
            </w:r>
          </w:p>
        </w:tc>
        <w:tc>
          <w:tcPr>
            <w:tcW w:w="1800" w:type="dxa"/>
            <w:vAlign w:val="center"/>
          </w:tcPr>
          <w:p w:rsidR="001052EC" w:rsidRDefault="00A12979">
            <w:pPr>
              <w:jc w:val="right"/>
            </w:pPr>
            <w:r>
              <w:rPr>
                <w:color w:val="000000"/>
                <w:sz w:val="24"/>
              </w:rPr>
              <w:t>-</w:t>
            </w:r>
          </w:p>
        </w:tc>
        <w:tc>
          <w:tcPr>
            <w:tcW w:w="1080" w:type="dxa"/>
            <w:vAlign w:val="center"/>
          </w:tcPr>
          <w:p w:rsidR="001052EC" w:rsidRDefault="00A12979">
            <w:pPr>
              <w:jc w:val="right"/>
            </w:pPr>
            <w:r>
              <w:rPr>
                <w:color w:val="000000"/>
                <w:sz w:val="24"/>
              </w:rPr>
              <w:t>-</w:t>
            </w:r>
          </w:p>
        </w:tc>
        <w:tc>
          <w:tcPr>
            <w:tcW w:w="1620" w:type="dxa"/>
            <w:vAlign w:val="center"/>
          </w:tcPr>
          <w:p w:rsidR="001052EC" w:rsidRDefault="00A12979">
            <w:pPr>
              <w:jc w:val="right"/>
            </w:pPr>
            <w:r>
              <w:rPr>
                <w:color w:val="000000"/>
                <w:sz w:val="24"/>
              </w:rPr>
              <w:t>-</w:t>
            </w:r>
          </w:p>
        </w:tc>
        <w:tc>
          <w:tcPr>
            <w:tcW w:w="1080" w:type="dxa"/>
            <w:vAlign w:val="center"/>
          </w:tcPr>
          <w:p w:rsidR="001052EC" w:rsidRDefault="00A12979">
            <w:pPr>
              <w:jc w:val="right"/>
            </w:pPr>
            <w:r>
              <w:rPr>
                <w:color w:val="000000"/>
                <w:sz w:val="24"/>
              </w:rPr>
              <w:t>-</w:t>
            </w:r>
          </w:p>
        </w:tc>
        <w:tc>
          <w:tcPr>
            <w:tcW w:w="1080" w:type="dxa"/>
            <w:vAlign w:val="center"/>
          </w:tcPr>
          <w:p w:rsidR="001052EC" w:rsidRDefault="00A12979">
            <w:pPr>
              <w:jc w:val="left"/>
            </w:pPr>
            <w:r>
              <w:rPr>
                <w:color w:val="000000"/>
                <w:sz w:val="24"/>
              </w:rPr>
              <w:t>-</w:t>
            </w:r>
          </w:p>
        </w:tc>
      </w:tr>
      <w:tr w:rsidR="001052EC">
        <w:tc>
          <w:tcPr>
            <w:tcW w:w="1559" w:type="dxa"/>
            <w:vAlign w:val="center"/>
          </w:tcPr>
          <w:p w:rsidR="001052EC" w:rsidRDefault="00A12979">
            <w:pPr>
              <w:jc w:val="center"/>
            </w:pPr>
            <w:r>
              <w:rPr>
                <w:color w:val="000000"/>
                <w:sz w:val="24"/>
              </w:rPr>
              <w:t>国金证券股份有限公司</w:t>
            </w:r>
          </w:p>
        </w:tc>
        <w:tc>
          <w:tcPr>
            <w:tcW w:w="779" w:type="dxa"/>
            <w:vAlign w:val="center"/>
          </w:tcPr>
          <w:p w:rsidR="001052EC" w:rsidRDefault="00A12979">
            <w:pPr>
              <w:jc w:val="center"/>
            </w:pPr>
            <w:r>
              <w:rPr>
                <w:color w:val="000000"/>
                <w:sz w:val="24"/>
              </w:rPr>
              <w:t>2</w:t>
            </w:r>
          </w:p>
        </w:tc>
        <w:tc>
          <w:tcPr>
            <w:tcW w:w="1800" w:type="dxa"/>
            <w:vAlign w:val="center"/>
          </w:tcPr>
          <w:p w:rsidR="001052EC" w:rsidRDefault="00A12979">
            <w:pPr>
              <w:jc w:val="right"/>
            </w:pPr>
            <w:r>
              <w:rPr>
                <w:color w:val="000000"/>
                <w:sz w:val="24"/>
              </w:rPr>
              <w:t>-</w:t>
            </w:r>
          </w:p>
        </w:tc>
        <w:tc>
          <w:tcPr>
            <w:tcW w:w="1080" w:type="dxa"/>
            <w:vAlign w:val="center"/>
          </w:tcPr>
          <w:p w:rsidR="001052EC" w:rsidRDefault="00A12979">
            <w:pPr>
              <w:jc w:val="right"/>
            </w:pPr>
            <w:r>
              <w:rPr>
                <w:color w:val="000000"/>
                <w:sz w:val="24"/>
              </w:rPr>
              <w:t>-</w:t>
            </w:r>
          </w:p>
        </w:tc>
        <w:tc>
          <w:tcPr>
            <w:tcW w:w="1620" w:type="dxa"/>
            <w:vAlign w:val="center"/>
          </w:tcPr>
          <w:p w:rsidR="001052EC" w:rsidRDefault="00A12979">
            <w:pPr>
              <w:jc w:val="right"/>
            </w:pPr>
            <w:r>
              <w:rPr>
                <w:color w:val="000000"/>
                <w:sz w:val="24"/>
              </w:rPr>
              <w:t>-</w:t>
            </w:r>
          </w:p>
        </w:tc>
        <w:tc>
          <w:tcPr>
            <w:tcW w:w="1080" w:type="dxa"/>
            <w:vAlign w:val="center"/>
          </w:tcPr>
          <w:p w:rsidR="001052EC" w:rsidRDefault="00A12979">
            <w:pPr>
              <w:jc w:val="right"/>
            </w:pPr>
            <w:r>
              <w:rPr>
                <w:color w:val="000000"/>
                <w:sz w:val="24"/>
              </w:rPr>
              <w:t>-</w:t>
            </w:r>
          </w:p>
        </w:tc>
        <w:tc>
          <w:tcPr>
            <w:tcW w:w="1080" w:type="dxa"/>
            <w:vAlign w:val="center"/>
          </w:tcPr>
          <w:p w:rsidR="001052EC" w:rsidRDefault="00A12979">
            <w:pPr>
              <w:jc w:val="left"/>
            </w:pPr>
            <w:r>
              <w:rPr>
                <w:color w:val="000000"/>
                <w:sz w:val="24"/>
              </w:rPr>
              <w:t>-</w:t>
            </w:r>
          </w:p>
        </w:tc>
      </w:tr>
      <w:tr w:rsidR="001052EC">
        <w:tc>
          <w:tcPr>
            <w:tcW w:w="1559" w:type="dxa"/>
            <w:vAlign w:val="center"/>
          </w:tcPr>
          <w:p w:rsidR="001052EC" w:rsidRDefault="00A12979">
            <w:pPr>
              <w:jc w:val="center"/>
            </w:pPr>
            <w:r>
              <w:rPr>
                <w:color w:val="000000"/>
                <w:sz w:val="24"/>
              </w:rPr>
              <w:t>中泰证券股份有限公司</w:t>
            </w:r>
          </w:p>
        </w:tc>
        <w:tc>
          <w:tcPr>
            <w:tcW w:w="779" w:type="dxa"/>
            <w:vAlign w:val="center"/>
          </w:tcPr>
          <w:p w:rsidR="001052EC" w:rsidRDefault="00A12979">
            <w:pPr>
              <w:jc w:val="center"/>
            </w:pPr>
            <w:r>
              <w:rPr>
                <w:color w:val="000000"/>
                <w:sz w:val="24"/>
              </w:rPr>
              <w:t>2</w:t>
            </w:r>
          </w:p>
        </w:tc>
        <w:tc>
          <w:tcPr>
            <w:tcW w:w="1800" w:type="dxa"/>
            <w:vAlign w:val="center"/>
          </w:tcPr>
          <w:p w:rsidR="001052EC" w:rsidRDefault="00A12979">
            <w:pPr>
              <w:jc w:val="right"/>
            </w:pPr>
            <w:r>
              <w:rPr>
                <w:color w:val="000000"/>
                <w:sz w:val="24"/>
              </w:rPr>
              <w:t>-</w:t>
            </w:r>
          </w:p>
        </w:tc>
        <w:tc>
          <w:tcPr>
            <w:tcW w:w="1080" w:type="dxa"/>
            <w:vAlign w:val="center"/>
          </w:tcPr>
          <w:p w:rsidR="001052EC" w:rsidRDefault="00A12979">
            <w:pPr>
              <w:jc w:val="right"/>
            </w:pPr>
            <w:r>
              <w:rPr>
                <w:color w:val="000000"/>
                <w:sz w:val="24"/>
              </w:rPr>
              <w:t>-</w:t>
            </w:r>
          </w:p>
        </w:tc>
        <w:tc>
          <w:tcPr>
            <w:tcW w:w="1620" w:type="dxa"/>
            <w:vAlign w:val="center"/>
          </w:tcPr>
          <w:p w:rsidR="001052EC" w:rsidRDefault="00A12979">
            <w:pPr>
              <w:jc w:val="right"/>
            </w:pPr>
            <w:r>
              <w:rPr>
                <w:color w:val="000000"/>
                <w:sz w:val="24"/>
              </w:rPr>
              <w:t>-</w:t>
            </w:r>
          </w:p>
        </w:tc>
        <w:tc>
          <w:tcPr>
            <w:tcW w:w="1080" w:type="dxa"/>
            <w:vAlign w:val="center"/>
          </w:tcPr>
          <w:p w:rsidR="001052EC" w:rsidRDefault="00A12979">
            <w:pPr>
              <w:jc w:val="right"/>
            </w:pPr>
            <w:r>
              <w:rPr>
                <w:color w:val="000000"/>
                <w:sz w:val="24"/>
              </w:rPr>
              <w:t>-</w:t>
            </w:r>
          </w:p>
        </w:tc>
        <w:tc>
          <w:tcPr>
            <w:tcW w:w="1080" w:type="dxa"/>
            <w:vAlign w:val="center"/>
          </w:tcPr>
          <w:p w:rsidR="001052EC" w:rsidRDefault="00A12979">
            <w:pPr>
              <w:jc w:val="left"/>
            </w:pPr>
            <w:r>
              <w:rPr>
                <w:color w:val="000000"/>
                <w:sz w:val="24"/>
              </w:rPr>
              <w:t>-</w:t>
            </w:r>
          </w:p>
        </w:tc>
      </w:tr>
    </w:tbl>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042CB9" w:rsidRPr="001B7979" w:rsidTr="006D7DD7">
        <w:tc>
          <w:tcPr>
            <w:tcW w:w="1560" w:type="dxa"/>
            <w:vMerge w:val="restart"/>
            <w:vAlign w:val="center"/>
          </w:tcPr>
          <w:p w:rsidR="00042CB9" w:rsidRPr="001B7979" w:rsidRDefault="00042CB9" w:rsidP="006D7DD7">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042CB9" w:rsidRPr="001B7979" w:rsidRDefault="00042CB9" w:rsidP="006D7DD7">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042CB9" w:rsidRPr="001B7979" w:rsidRDefault="00042CB9" w:rsidP="006D7DD7">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042CB9" w:rsidRPr="001B7979" w:rsidRDefault="00042CB9" w:rsidP="006D7DD7">
            <w:pPr>
              <w:spacing w:line="276" w:lineRule="auto"/>
              <w:jc w:val="center"/>
              <w:rPr>
                <w:rFonts w:eastAsiaTheme="minorEastAsia"/>
                <w:sz w:val="24"/>
              </w:rPr>
            </w:pPr>
            <w:r w:rsidRPr="001B7979">
              <w:rPr>
                <w:rFonts w:eastAsiaTheme="minorEastAsia"/>
                <w:sz w:val="24"/>
              </w:rPr>
              <w:t>权证交易</w:t>
            </w:r>
          </w:p>
        </w:tc>
      </w:tr>
      <w:tr w:rsidR="00042CB9" w:rsidRPr="001B7979" w:rsidTr="006D7DD7">
        <w:tc>
          <w:tcPr>
            <w:tcW w:w="1560" w:type="dxa"/>
            <w:vMerge/>
            <w:vAlign w:val="center"/>
          </w:tcPr>
          <w:p w:rsidR="00042CB9" w:rsidRPr="001B7979" w:rsidRDefault="00042CB9" w:rsidP="006D7DD7">
            <w:pPr>
              <w:widowControl/>
              <w:spacing w:line="276" w:lineRule="auto"/>
              <w:jc w:val="left"/>
              <w:rPr>
                <w:rFonts w:eastAsiaTheme="minorEastAsia"/>
                <w:kern w:val="0"/>
                <w:sz w:val="24"/>
              </w:rPr>
            </w:pPr>
          </w:p>
        </w:tc>
        <w:tc>
          <w:tcPr>
            <w:tcW w:w="1320" w:type="dxa"/>
            <w:vAlign w:val="center"/>
          </w:tcPr>
          <w:p w:rsidR="00042CB9" w:rsidRPr="001B7979" w:rsidRDefault="00042CB9" w:rsidP="006D7DD7">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042CB9" w:rsidRPr="001B7979" w:rsidRDefault="00042CB9" w:rsidP="006D7DD7">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042CB9" w:rsidRPr="001B7979" w:rsidRDefault="00042CB9" w:rsidP="006D7DD7">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042CB9" w:rsidRPr="001B7979" w:rsidRDefault="00042CB9" w:rsidP="006D7DD7">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042CB9" w:rsidRPr="001B7979" w:rsidRDefault="00042CB9" w:rsidP="006D7DD7">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042CB9" w:rsidRPr="001B7979" w:rsidRDefault="00042CB9" w:rsidP="006D7DD7">
            <w:pPr>
              <w:spacing w:line="276" w:lineRule="auto"/>
              <w:jc w:val="center"/>
              <w:rPr>
                <w:rFonts w:eastAsiaTheme="minorEastAsia"/>
                <w:sz w:val="24"/>
              </w:rPr>
            </w:pPr>
            <w:r w:rsidRPr="001B7979">
              <w:rPr>
                <w:rFonts w:eastAsiaTheme="minorEastAsia"/>
                <w:sz w:val="24"/>
              </w:rPr>
              <w:t>占当期权证成交总额的比例</w:t>
            </w:r>
          </w:p>
        </w:tc>
      </w:tr>
      <w:tr w:rsidR="00042CB9" w:rsidTr="006D7DD7">
        <w:tc>
          <w:tcPr>
            <w:tcW w:w="1560" w:type="dxa"/>
            <w:vAlign w:val="center"/>
          </w:tcPr>
          <w:p w:rsidR="00042CB9" w:rsidRDefault="00042CB9" w:rsidP="006D7DD7">
            <w:pPr>
              <w:jc w:val="left"/>
            </w:pPr>
            <w:r>
              <w:rPr>
                <w:rFonts w:eastAsiaTheme="minorEastAsia"/>
                <w:sz w:val="24"/>
              </w:rPr>
              <w:t>安信证券股份有限公司</w:t>
            </w:r>
          </w:p>
        </w:tc>
        <w:tc>
          <w:tcPr>
            <w:tcW w:w="1320" w:type="dxa"/>
            <w:vAlign w:val="center"/>
          </w:tcPr>
          <w:p w:rsidR="00042CB9" w:rsidRDefault="00042CB9" w:rsidP="006D7DD7">
            <w:pPr>
              <w:jc w:val="right"/>
            </w:pPr>
            <w:r>
              <w:rPr>
                <w:rFonts w:eastAsiaTheme="minorEastAsia"/>
                <w:sz w:val="24"/>
              </w:rPr>
              <w:t>22,055,947.50</w:t>
            </w:r>
          </w:p>
        </w:tc>
        <w:tc>
          <w:tcPr>
            <w:tcW w:w="1080" w:type="dxa"/>
            <w:vAlign w:val="center"/>
          </w:tcPr>
          <w:p w:rsidR="00042CB9" w:rsidRDefault="00042CB9" w:rsidP="006D7DD7">
            <w:pPr>
              <w:jc w:val="right"/>
            </w:pPr>
            <w:r>
              <w:rPr>
                <w:rFonts w:eastAsiaTheme="minorEastAsia"/>
                <w:sz w:val="24"/>
              </w:rPr>
              <w:t>100.00%</w:t>
            </w:r>
          </w:p>
        </w:tc>
        <w:tc>
          <w:tcPr>
            <w:tcW w:w="1143" w:type="dxa"/>
            <w:vAlign w:val="center"/>
          </w:tcPr>
          <w:p w:rsidR="00042CB9" w:rsidRDefault="00042CB9" w:rsidP="006D7DD7">
            <w:pPr>
              <w:jc w:val="right"/>
            </w:pPr>
            <w:r>
              <w:rPr>
                <w:rFonts w:eastAsiaTheme="minorEastAsia"/>
                <w:sz w:val="24"/>
              </w:rPr>
              <w:t>257,700,000.00</w:t>
            </w:r>
          </w:p>
        </w:tc>
        <w:tc>
          <w:tcPr>
            <w:tcW w:w="1197" w:type="dxa"/>
            <w:vAlign w:val="center"/>
          </w:tcPr>
          <w:p w:rsidR="00042CB9" w:rsidRDefault="00042CB9" w:rsidP="006D7DD7">
            <w:pPr>
              <w:jc w:val="right"/>
            </w:pPr>
            <w:r>
              <w:rPr>
                <w:rFonts w:eastAsiaTheme="minorEastAsia"/>
                <w:sz w:val="24"/>
              </w:rPr>
              <w:t>100.00%</w:t>
            </w:r>
          </w:p>
        </w:tc>
        <w:tc>
          <w:tcPr>
            <w:tcW w:w="1497" w:type="dxa"/>
            <w:vAlign w:val="center"/>
          </w:tcPr>
          <w:p w:rsidR="00042CB9" w:rsidRDefault="00042CB9" w:rsidP="006D7DD7">
            <w:pPr>
              <w:jc w:val="right"/>
            </w:pPr>
            <w:r>
              <w:rPr>
                <w:rFonts w:eastAsiaTheme="minorEastAsia"/>
                <w:sz w:val="24"/>
              </w:rPr>
              <w:t>-</w:t>
            </w:r>
          </w:p>
        </w:tc>
        <w:tc>
          <w:tcPr>
            <w:tcW w:w="1203" w:type="dxa"/>
            <w:vAlign w:val="center"/>
          </w:tcPr>
          <w:p w:rsidR="00042CB9" w:rsidRDefault="00042CB9" w:rsidP="006D7DD7">
            <w:pPr>
              <w:jc w:val="right"/>
            </w:pPr>
            <w:r>
              <w:rPr>
                <w:rFonts w:eastAsiaTheme="minorEastAsia"/>
                <w:sz w:val="24"/>
              </w:rPr>
              <w:t>-</w:t>
            </w:r>
          </w:p>
        </w:tc>
      </w:tr>
      <w:tr w:rsidR="00042CB9" w:rsidTr="006D7DD7">
        <w:tc>
          <w:tcPr>
            <w:tcW w:w="1560" w:type="dxa"/>
            <w:vAlign w:val="center"/>
          </w:tcPr>
          <w:p w:rsidR="00042CB9" w:rsidRDefault="00042CB9" w:rsidP="006D7DD7">
            <w:pPr>
              <w:jc w:val="left"/>
            </w:pPr>
            <w:r>
              <w:rPr>
                <w:rFonts w:eastAsiaTheme="minorEastAsia"/>
                <w:sz w:val="24"/>
              </w:rPr>
              <w:t>国金证券股份有限公司</w:t>
            </w:r>
          </w:p>
        </w:tc>
        <w:tc>
          <w:tcPr>
            <w:tcW w:w="1320" w:type="dxa"/>
            <w:vAlign w:val="center"/>
          </w:tcPr>
          <w:p w:rsidR="00042CB9" w:rsidRDefault="00042CB9" w:rsidP="006D7DD7">
            <w:pPr>
              <w:jc w:val="right"/>
            </w:pPr>
            <w:r>
              <w:rPr>
                <w:rFonts w:eastAsiaTheme="minorEastAsia"/>
                <w:sz w:val="24"/>
              </w:rPr>
              <w:t>-</w:t>
            </w:r>
          </w:p>
        </w:tc>
        <w:tc>
          <w:tcPr>
            <w:tcW w:w="1080" w:type="dxa"/>
            <w:vAlign w:val="center"/>
          </w:tcPr>
          <w:p w:rsidR="00042CB9" w:rsidRDefault="00042CB9" w:rsidP="006D7DD7">
            <w:pPr>
              <w:jc w:val="right"/>
            </w:pPr>
            <w:r>
              <w:rPr>
                <w:rFonts w:eastAsiaTheme="minorEastAsia"/>
                <w:sz w:val="24"/>
              </w:rPr>
              <w:t>-</w:t>
            </w:r>
          </w:p>
        </w:tc>
        <w:tc>
          <w:tcPr>
            <w:tcW w:w="1143" w:type="dxa"/>
            <w:vAlign w:val="center"/>
          </w:tcPr>
          <w:p w:rsidR="00042CB9" w:rsidRDefault="00042CB9" w:rsidP="006D7DD7">
            <w:pPr>
              <w:jc w:val="right"/>
            </w:pPr>
            <w:r>
              <w:rPr>
                <w:rFonts w:eastAsiaTheme="minorEastAsia"/>
                <w:sz w:val="24"/>
              </w:rPr>
              <w:t>-</w:t>
            </w:r>
          </w:p>
        </w:tc>
        <w:tc>
          <w:tcPr>
            <w:tcW w:w="1197" w:type="dxa"/>
            <w:vAlign w:val="center"/>
          </w:tcPr>
          <w:p w:rsidR="00042CB9" w:rsidRDefault="00042CB9" w:rsidP="006D7DD7">
            <w:pPr>
              <w:jc w:val="right"/>
            </w:pPr>
            <w:r>
              <w:rPr>
                <w:rFonts w:eastAsiaTheme="minorEastAsia"/>
                <w:sz w:val="24"/>
              </w:rPr>
              <w:t>-</w:t>
            </w:r>
          </w:p>
        </w:tc>
        <w:tc>
          <w:tcPr>
            <w:tcW w:w="1497" w:type="dxa"/>
            <w:vAlign w:val="center"/>
          </w:tcPr>
          <w:p w:rsidR="00042CB9" w:rsidRDefault="00042CB9" w:rsidP="006D7DD7">
            <w:pPr>
              <w:jc w:val="right"/>
            </w:pPr>
            <w:r>
              <w:rPr>
                <w:rFonts w:eastAsiaTheme="minorEastAsia"/>
                <w:sz w:val="24"/>
              </w:rPr>
              <w:t>-</w:t>
            </w:r>
          </w:p>
        </w:tc>
        <w:tc>
          <w:tcPr>
            <w:tcW w:w="1203" w:type="dxa"/>
            <w:vAlign w:val="center"/>
          </w:tcPr>
          <w:p w:rsidR="00042CB9" w:rsidRDefault="00042CB9" w:rsidP="006D7DD7">
            <w:pPr>
              <w:jc w:val="right"/>
            </w:pPr>
            <w:r>
              <w:rPr>
                <w:rFonts w:eastAsiaTheme="minorEastAsia"/>
                <w:sz w:val="24"/>
              </w:rPr>
              <w:t>-</w:t>
            </w:r>
          </w:p>
        </w:tc>
      </w:tr>
      <w:tr w:rsidR="00042CB9" w:rsidTr="006D7DD7">
        <w:tc>
          <w:tcPr>
            <w:tcW w:w="1560" w:type="dxa"/>
            <w:vAlign w:val="center"/>
          </w:tcPr>
          <w:p w:rsidR="00042CB9" w:rsidRDefault="00042CB9" w:rsidP="006D7DD7">
            <w:pPr>
              <w:jc w:val="left"/>
            </w:pPr>
            <w:r>
              <w:rPr>
                <w:rFonts w:eastAsiaTheme="minorEastAsia"/>
                <w:sz w:val="24"/>
              </w:rPr>
              <w:t>中泰证券股份有限公司</w:t>
            </w:r>
          </w:p>
        </w:tc>
        <w:tc>
          <w:tcPr>
            <w:tcW w:w="1320" w:type="dxa"/>
            <w:vAlign w:val="center"/>
          </w:tcPr>
          <w:p w:rsidR="00042CB9" w:rsidRDefault="00042CB9" w:rsidP="006D7DD7">
            <w:pPr>
              <w:jc w:val="right"/>
            </w:pPr>
            <w:r>
              <w:rPr>
                <w:rFonts w:eastAsiaTheme="minorEastAsia"/>
                <w:sz w:val="24"/>
              </w:rPr>
              <w:t>-</w:t>
            </w:r>
          </w:p>
        </w:tc>
        <w:tc>
          <w:tcPr>
            <w:tcW w:w="1080" w:type="dxa"/>
            <w:vAlign w:val="center"/>
          </w:tcPr>
          <w:p w:rsidR="00042CB9" w:rsidRDefault="00042CB9" w:rsidP="006D7DD7">
            <w:pPr>
              <w:jc w:val="right"/>
            </w:pPr>
            <w:r>
              <w:rPr>
                <w:rFonts w:eastAsiaTheme="minorEastAsia"/>
                <w:sz w:val="24"/>
              </w:rPr>
              <w:t>-</w:t>
            </w:r>
          </w:p>
        </w:tc>
        <w:tc>
          <w:tcPr>
            <w:tcW w:w="1143" w:type="dxa"/>
            <w:vAlign w:val="center"/>
          </w:tcPr>
          <w:p w:rsidR="00042CB9" w:rsidRDefault="00042CB9" w:rsidP="006D7DD7">
            <w:pPr>
              <w:jc w:val="right"/>
            </w:pPr>
            <w:r>
              <w:rPr>
                <w:rFonts w:eastAsiaTheme="minorEastAsia"/>
                <w:sz w:val="24"/>
              </w:rPr>
              <w:t>-</w:t>
            </w:r>
          </w:p>
        </w:tc>
        <w:tc>
          <w:tcPr>
            <w:tcW w:w="1197" w:type="dxa"/>
            <w:vAlign w:val="center"/>
          </w:tcPr>
          <w:p w:rsidR="00042CB9" w:rsidRDefault="00042CB9" w:rsidP="006D7DD7">
            <w:pPr>
              <w:jc w:val="right"/>
            </w:pPr>
            <w:r>
              <w:rPr>
                <w:rFonts w:eastAsiaTheme="minorEastAsia"/>
                <w:sz w:val="24"/>
              </w:rPr>
              <w:t>-</w:t>
            </w:r>
          </w:p>
        </w:tc>
        <w:tc>
          <w:tcPr>
            <w:tcW w:w="1497" w:type="dxa"/>
            <w:vAlign w:val="center"/>
          </w:tcPr>
          <w:p w:rsidR="00042CB9" w:rsidRDefault="00042CB9" w:rsidP="006D7DD7">
            <w:pPr>
              <w:jc w:val="right"/>
            </w:pPr>
            <w:r>
              <w:rPr>
                <w:rFonts w:eastAsiaTheme="minorEastAsia"/>
                <w:sz w:val="24"/>
              </w:rPr>
              <w:t>-</w:t>
            </w:r>
          </w:p>
        </w:tc>
        <w:tc>
          <w:tcPr>
            <w:tcW w:w="1203" w:type="dxa"/>
            <w:vAlign w:val="center"/>
          </w:tcPr>
          <w:p w:rsidR="00042CB9" w:rsidRDefault="00042CB9" w:rsidP="006D7DD7">
            <w:pPr>
              <w:jc w:val="right"/>
            </w:pPr>
            <w:r>
              <w:rPr>
                <w:rFonts w:eastAsiaTheme="minorEastAsia"/>
                <w:sz w:val="24"/>
              </w:rPr>
              <w:t>-</w:t>
            </w:r>
          </w:p>
        </w:tc>
      </w:tr>
    </w:tbl>
    <w:p w:rsidR="00042CB9" w:rsidRDefault="00042CB9" w:rsidP="00042CB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42CB9" w:rsidRDefault="00042CB9" w:rsidP="00042CB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A0301" w:rsidRDefault="00042CB9" w:rsidP="00042CB9">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042CB9" w:rsidRPr="008A1551" w:rsidRDefault="00042CB9"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1052EC" w:rsidRDefault="00A12979">
      <w:pPr>
        <w:spacing w:line="360" w:lineRule="auto"/>
        <w:ind w:firstLineChars="200" w:firstLine="420"/>
        <w:rPr>
          <w:rFonts w:ascii="宋体" w:hAnsi="宋体"/>
          <w:color w:val="000000"/>
          <w:szCs w:val="21"/>
        </w:rPr>
      </w:pPr>
      <w:r>
        <w:rPr>
          <w:rFonts w:ascii="宋体" w:hAnsi="宋体"/>
          <w:color w:val="000000"/>
          <w:szCs w:val="21"/>
        </w:rPr>
        <w:lastRenderedPageBreak/>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1A" w:rsidRDefault="00D4591A">
      <w:r>
        <w:separator/>
      </w:r>
    </w:p>
  </w:endnote>
  <w:endnote w:type="continuationSeparator" w:id="0">
    <w:p w:rsidR="00D4591A" w:rsidRDefault="00D4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F00285">
      <w:rPr>
        <w:noProof/>
        <w:kern w:val="0"/>
        <w:szCs w:val="21"/>
      </w:rPr>
      <w:t>28</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F00285">
      <w:rPr>
        <w:noProof/>
        <w:kern w:val="0"/>
        <w:szCs w:val="21"/>
      </w:rPr>
      <w:t>29</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1A" w:rsidRDefault="00D4591A">
      <w:r>
        <w:separator/>
      </w:r>
    </w:p>
  </w:footnote>
  <w:footnote w:type="continuationSeparator" w:id="0">
    <w:p w:rsidR="00D4591A" w:rsidRDefault="00D4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交银施罗德丰盈收益债券型证券投资基金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2CB9"/>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2EC"/>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1E88"/>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297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591A"/>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285"/>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3039</Words>
  <Characters>17325</Characters>
  <Application>Microsoft Office Word</Application>
  <DocSecurity>0</DocSecurity>
  <Lines>144</Lines>
  <Paragraphs>40</Paragraphs>
  <ScaleCrop>false</ScaleCrop>
  <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663</cp:revision>
  <cp:lastPrinted>2007-07-19T00:46:00Z</cp:lastPrinted>
  <dcterms:created xsi:type="dcterms:W3CDTF">2013-08-19T07:43:00Z</dcterms:created>
  <dcterms:modified xsi:type="dcterms:W3CDTF">2018-08-24T01:23:00Z</dcterms:modified>
</cp:coreProperties>
</file>