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交银施罗德荣祥保本混合型证券投资基金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交银荣祥保本混合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519726</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2013</w:t>
            </w:r>
            <w:r w:rsidRPr="005C672D">
              <w:rPr>
                <w:sz w:val="24"/>
              </w:rPr>
              <w:t>年</w:t>
            </w:r>
            <w:r w:rsidRPr="005C672D">
              <w:rPr>
                <w:sz w:val="24"/>
              </w:rPr>
              <w:t>4</w:t>
            </w:r>
            <w:r w:rsidRPr="005C672D">
              <w:rPr>
                <w:sz w:val="24"/>
              </w:rPr>
              <w:t>月</w:t>
            </w:r>
            <w:r w:rsidRPr="005C672D">
              <w:rPr>
                <w:sz w:val="24"/>
              </w:rPr>
              <w:t>24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532,930,967.97</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本基金在严格控制风险和追求本金安全的前提下，力争实现基金资产在保本周期内的稳定增值。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本基金运用恒定比例组合保险（</w:t>
            </w:r>
            <w:r w:rsidRPr="005C672D">
              <w:rPr>
                <w:sz w:val="24"/>
              </w:rPr>
              <w:t>CPPI</w:t>
            </w:r>
            <w:r w:rsidRPr="005C672D">
              <w:rPr>
                <w:sz w:val="24"/>
              </w:rPr>
              <w:t>，</w:t>
            </w:r>
            <w:r w:rsidRPr="005C672D">
              <w:rPr>
                <w:sz w:val="24"/>
              </w:rPr>
              <w:t>Constant Proportion Portfolio Insurance</w:t>
            </w:r>
            <w:r w:rsidRPr="005C672D">
              <w:rPr>
                <w:sz w:val="24"/>
              </w:rPr>
              <w:t>）原理，动态调整稳健资产与风险资产在基金组合中的投资比例，以确保本基金在保本周期到期时的本金安全，并实现基金资产在保本基础上的保值增值目的。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三年期银行定期存款税后收益率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本基金是一只保本混合型基金，在证券投资基金中属于低风险品种。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8,889,098.73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17,451,093.97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0.0291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2.87%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554,689,143.42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1.041</w:t>
            </w:r>
          </w:p>
        </w:tc>
      </w:tr>
    </w:tbl>
    <w:bookmarkEnd w:id="13"/>
    <w:bookmarkEnd w:id="14"/>
    <w:p w:rsidR="00966E4F" w:rsidRDefault="00A274E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966E4F">
        <w:tc>
          <w:tcPr>
            <w:tcW w:w="1497" w:type="dxa"/>
            <w:vAlign w:val="center"/>
          </w:tcPr>
          <w:p w:rsidR="00966E4F" w:rsidRDefault="00A274E2">
            <w:pPr>
              <w:jc w:val="left"/>
            </w:pPr>
            <w:r>
              <w:rPr>
                <w:color w:val="000000"/>
                <w:sz w:val="24"/>
              </w:rPr>
              <w:t>过去一个月</w:t>
            </w:r>
          </w:p>
        </w:tc>
        <w:tc>
          <w:tcPr>
            <w:tcW w:w="1251" w:type="dxa"/>
            <w:vAlign w:val="center"/>
          </w:tcPr>
          <w:p w:rsidR="00966E4F" w:rsidRDefault="00A274E2">
            <w:pPr>
              <w:jc w:val="center"/>
            </w:pPr>
            <w:r>
              <w:rPr>
                <w:color w:val="000000"/>
                <w:sz w:val="24"/>
              </w:rPr>
              <w:t>0.48%</w:t>
            </w:r>
          </w:p>
        </w:tc>
        <w:tc>
          <w:tcPr>
            <w:tcW w:w="1250" w:type="dxa"/>
            <w:vAlign w:val="center"/>
          </w:tcPr>
          <w:p w:rsidR="00966E4F" w:rsidRDefault="00A274E2">
            <w:pPr>
              <w:jc w:val="center"/>
            </w:pPr>
            <w:r>
              <w:rPr>
                <w:color w:val="000000"/>
                <w:sz w:val="24"/>
              </w:rPr>
              <w:t>0.07%</w:t>
            </w:r>
          </w:p>
        </w:tc>
        <w:tc>
          <w:tcPr>
            <w:tcW w:w="1250" w:type="dxa"/>
            <w:vAlign w:val="center"/>
          </w:tcPr>
          <w:p w:rsidR="00966E4F" w:rsidRDefault="00A274E2">
            <w:pPr>
              <w:jc w:val="center"/>
            </w:pPr>
            <w:r>
              <w:rPr>
                <w:color w:val="000000"/>
                <w:sz w:val="24"/>
              </w:rPr>
              <w:t>0.23%</w:t>
            </w:r>
          </w:p>
        </w:tc>
        <w:tc>
          <w:tcPr>
            <w:tcW w:w="1250" w:type="dxa"/>
            <w:vAlign w:val="center"/>
          </w:tcPr>
          <w:p w:rsidR="00966E4F" w:rsidRDefault="00A274E2">
            <w:pPr>
              <w:jc w:val="center"/>
            </w:pPr>
            <w:r>
              <w:rPr>
                <w:color w:val="000000"/>
                <w:sz w:val="24"/>
              </w:rPr>
              <w:t>0.01%</w:t>
            </w:r>
          </w:p>
        </w:tc>
        <w:tc>
          <w:tcPr>
            <w:tcW w:w="1250" w:type="dxa"/>
            <w:vAlign w:val="center"/>
          </w:tcPr>
          <w:p w:rsidR="00966E4F" w:rsidRDefault="00A274E2">
            <w:pPr>
              <w:jc w:val="center"/>
            </w:pPr>
            <w:r>
              <w:rPr>
                <w:color w:val="000000"/>
                <w:sz w:val="24"/>
              </w:rPr>
              <w:t>0.25%</w:t>
            </w:r>
          </w:p>
        </w:tc>
        <w:tc>
          <w:tcPr>
            <w:tcW w:w="1250" w:type="dxa"/>
            <w:vAlign w:val="center"/>
          </w:tcPr>
          <w:p w:rsidR="00966E4F" w:rsidRDefault="00A274E2">
            <w:pPr>
              <w:jc w:val="center"/>
            </w:pPr>
            <w:r>
              <w:rPr>
                <w:color w:val="000000"/>
                <w:sz w:val="24"/>
              </w:rPr>
              <w:t>0.06%</w:t>
            </w:r>
          </w:p>
        </w:tc>
      </w:tr>
      <w:tr w:rsidR="00966E4F">
        <w:tc>
          <w:tcPr>
            <w:tcW w:w="1497" w:type="dxa"/>
            <w:vAlign w:val="center"/>
          </w:tcPr>
          <w:p w:rsidR="00966E4F" w:rsidRDefault="00A274E2">
            <w:pPr>
              <w:jc w:val="left"/>
            </w:pPr>
            <w:r>
              <w:rPr>
                <w:color w:val="000000"/>
                <w:sz w:val="24"/>
              </w:rPr>
              <w:t>过去三个月</w:t>
            </w:r>
          </w:p>
        </w:tc>
        <w:tc>
          <w:tcPr>
            <w:tcW w:w="1251" w:type="dxa"/>
            <w:vAlign w:val="center"/>
          </w:tcPr>
          <w:p w:rsidR="00966E4F" w:rsidRDefault="00A274E2">
            <w:pPr>
              <w:jc w:val="center"/>
            </w:pPr>
            <w:r>
              <w:rPr>
                <w:color w:val="000000"/>
                <w:sz w:val="24"/>
              </w:rPr>
              <w:t>1.17%</w:t>
            </w:r>
          </w:p>
        </w:tc>
        <w:tc>
          <w:tcPr>
            <w:tcW w:w="1250" w:type="dxa"/>
            <w:vAlign w:val="center"/>
          </w:tcPr>
          <w:p w:rsidR="00966E4F" w:rsidRDefault="00A274E2">
            <w:pPr>
              <w:jc w:val="center"/>
            </w:pPr>
            <w:r>
              <w:rPr>
                <w:color w:val="000000"/>
                <w:sz w:val="24"/>
              </w:rPr>
              <w:t>0.08%</w:t>
            </w:r>
          </w:p>
        </w:tc>
        <w:tc>
          <w:tcPr>
            <w:tcW w:w="1250" w:type="dxa"/>
            <w:vAlign w:val="center"/>
          </w:tcPr>
          <w:p w:rsidR="00966E4F" w:rsidRDefault="00A274E2">
            <w:pPr>
              <w:jc w:val="center"/>
            </w:pPr>
            <w:r>
              <w:rPr>
                <w:color w:val="000000"/>
                <w:sz w:val="24"/>
              </w:rPr>
              <w:t>0.70%</w:t>
            </w:r>
          </w:p>
        </w:tc>
        <w:tc>
          <w:tcPr>
            <w:tcW w:w="1250" w:type="dxa"/>
            <w:vAlign w:val="center"/>
          </w:tcPr>
          <w:p w:rsidR="00966E4F" w:rsidRDefault="00A274E2">
            <w:pPr>
              <w:jc w:val="center"/>
            </w:pPr>
            <w:r>
              <w:rPr>
                <w:color w:val="000000"/>
                <w:sz w:val="24"/>
              </w:rPr>
              <w:t>0.01%</w:t>
            </w:r>
          </w:p>
        </w:tc>
        <w:tc>
          <w:tcPr>
            <w:tcW w:w="1250" w:type="dxa"/>
            <w:vAlign w:val="center"/>
          </w:tcPr>
          <w:p w:rsidR="00966E4F" w:rsidRDefault="00A274E2">
            <w:pPr>
              <w:jc w:val="center"/>
            </w:pPr>
            <w:r>
              <w:rPr>
                <w:color w:val="000000"/>
                <w:sz w:val="24"/>
              </w:rPr>
              <w:t>0.47%</w:t>
            </w:r>
          </w:p>
        </w:tc>
        <w:tc>
          <w:tcPr>
            <w:tcW w:w="1250" w:type="dxa"/>
            <w:vAlign w:val="center"/>
          </w:tcPr>
          <w:p w:rsidR="00966E4F" w:rsidRDefault="00A274E2">
            <w:pPr>
              <w:jc w:val="center"/>
            </w:pPr>
            <w:r>
              <w:rPr>
                <w:color w:val="000000"/>
                <w:sz w:val="24"/>
              </w:rPr>
              <w:t>0.07%</w:t>
            </w:r>
          </w:p>
        </w:tc>
      </w:tr>
      <w:tr w:rsidR="00966E4F">
        <w:tc>
          <w:tcPr>
            <w:tcW w:w="1497" w:type="dxa"/>
            <w:vAlign w:val="center"/>
          </w:tcPr>
          <w:p w:rsidR="00966E4F" w:rsidRDefault="00A274E2">
            <w:pPr>
              <w:jc w:val="left"/>
            </w:pPr>
            <w:r>
              <w:rPr>
                <w:color w:val="000000"/>
                <w:sz w:val="24"/>
              </w:rPr>
              <w:t>过去六个月</w:t>
            </w:r>
          </w:p>
        </w:tc>
        <w:tc>
          <w:tcPr>
            <w:tcW w:w="1251" w:type="dxa"/>
            <w:vAlign w:val="center"/>
          </w:tcPr>
          <w:p w:rsidR="00966E4F" w:rsidRDefault="00A274E2">
            <w:pPr>
              <w:jc w:val="center"/>
            </w:pPr>
            <w:r>
              <w:rPr>
                <w:color w:val="000000"/>
                <w:sz w:val="24"/>
              </w:rPr>
              <w:t>2.87%</w:t>
            </w:r>
          </w:p>
        </w:tc>
        <w:tc>
          <w:tcPr>
            <w:tcW w:w="1250" w:type="dxa"/>
            <w:vAlign w:val="center"/>
          </w:tcPr>
          <w:p w:rsidR="00966E4F" w:rsidRDefault="00A274E2">
            <w:pPr>
              <w:jc w:val="center"/>
            </w:pPr>
            <w:r>
              <w:rPr>
                <w:color w:val="000000"/>
                <w:sz w:val="24"/>
              </w:rPr>
              <w:t>0.07%</w:t>
            </w:r>
          </w:p>
        </w:tc>
        <w:tc>
          <w:tcPr>
            <w:tcW w:w="1250" w:type="dxa"/>
            <w:vAlign w:val="center"/>
          </w:tcPr>
          <w:p w:rsidR="00966E4F" w:rsidRDefault="00A274E2">
            <w:pPr>
              <w:jc w:val="center"/>
            </w:pPr>
            <w:r>
              <w:rPr>
                <w:color w:val="000000"/>
                <w:sz w:val="24"/>
              </w:rPr>
              <w:t>1.38%</w:t>
            </w:r>
          </w:p>
        </w:tc>
        <w:tc>
          <w:tcPr>
            <w:tcW w:w="1250" w:type="dxa"/>
            <w:vAlign w:val="center"/>
          </w:tcPr>
          <w:p w:rsidR="00966E4F" w:rsidRDefault="00A274E2">
            <w:pPr>
              <w:jc w:val="center"/>
            </w:pPr>
            <w:r>
              <w:rPr>
                <w:color w:val="000000"/>
                <w:sz w:val="24"/>
              </w:rPr>
              <w:t>0.01%</w:t>
            </w:r>
          </w:p>
        </w:tc>
        <w:tc>
          <w:tcPr>
            <w:tcW w:w="1250" w:type="dxa"/>
            <w:vAlign w:val="center"/>
          </w:tcPr>
          <w:p w:rsidR="00966E4F" w:rsidRDefault="00A274E2">
            <w:pPr>
              <w:jc w:val="center"/>
            </w:pPr>
            <w:r>
              <w:rPr>
                <w:color w:val="000000"/>
                <w:sz w:val="24"/>
              </w:rPr>
              <w:t>1.49%</w:t>
            </w:r>
          </w:p>
        </w:tc>
        <w:tc>
          <w:tcPr>
            <w:tcW w:w="1250" w:type="dxa"/>
            <w:vAlign w:val="center"/>
          </w:tcPr>
          <w:p w:rsidR="00966E4F" w:rsidRDefault="00A274E2">
            <w:pPr>
              <w:jc w:val="center"/>
            </w:pPr>
            <w:r>
              <w:rPr>
                <w:color w:val="000000"/>
                <w:sz w:val="24"/>
              </w:rPr>
              <w:t>0.06%</w:t>
            </w:r>
          </w:p>
        </w:tc>
      </w:tr>
      <w:tr w:rsidR="00966E4F">
        <w:tc>
          <w:tcPr>
            <w:tcW w:w="1497" w:type="dxa"/>
            <w:vAlign w:val="center"/>
          </w:tcPr>
          <w:p w:rsidR="00966E4F" w:rsidRDefault="00A274E2">
            <w:pPr>
              <w:jc w:val="left"/>
            </w:pPr>
            <w:r>
              <w:rPr>
                <w:color w:val="000000"/>
                <w:sz w:val="24"/>
              </w:rPr>
              <w:t>过去一年</w:t>
            </w:r>
          </w:p>
        </w:tc>
        <w:tc>
          <w:tcPr>
            <w:tcW w:w="1251" w:type="dxa"/>
            <w:vAlign w:val="center"/>
          </w:tcPr>
          <w:p w:rsidR="00966E4F" w:rsidRDefault="00A274E2">
            <w:pPr>
              <w:jc w:val="center"/>
            </w:pPr>
            <w:r>
              <w:rPr>
                <w:color w:val="000000"/>
                <w:sz w:val="24"/>
              </w:rPr>
              <w:t>3.48%</w:t>
            </w:r>
          </w:p>
        </w:tc>
        <w:tc>
          <w:tcPr>
            <w:tcW w:w="1250" w:type="dxa"/>
            <w:vAlign w:val="center"/>
          </w:tcPr>
          <w:p w:rsidR="00966E4F" w:rsidRDefault="00A274E2">
            <w:pPr>
              <w:jc w:val="center"/>
            </w:pPr>
            <w:r>
              <w:rPr>
                <w:color w:val="000000"/>
                <w:sz w:val="24"/>
              </w:rPr>
              <w:t>0.06%</w:t>
            </w:r>
          </w:p>
        </w:tc>
        <w:tc>
          <w:tcPr>
            <w:tcW w:w="1250" w:type="dxa"/>
            <w:vAlign w:val="center"/>
          </w:tcPr>
          <w:p w:rsidR="00966E4F" w:rsidRDefault="00A274E2">
            <w:pPr>
              <w:jc w:val="center"/>
            </w:pPr>
            <w:r>
              <w:rPr>
                <w:color w:val="000000"/>
                <w:sz w:val="24"/>
              </w:rPr>
              <w:t>2.80%</w:t>
            </w:r>
          </w:p>
        </w:tc>
        <w:tc>
          <w:tcPr>
            <w:tcW w:w="1250" w:type="dxa"/>
            <w:vAlign w:val="center"/>
          </w:tcPr>
          <w:p w:rsidR="00966E4F" w:rsidRDefault="00A274E2">
            <w:pPr>
              <w:jc w:val="center"/>
            </w:pPr>
            <w:r>
              <w:rPr>
                <w:color w:val="000000"/>
                <w:sz w:val="24"/>
              </w:rPr>
              <w:t>0.01%</w:t>
            </w:r>
          </w:p>
        </w:tc>
        <w:tc>
          <w:tcPr>
            <w:tcW w:w="1250" w:type="dxa"/>
            <w:vAlign w:val="center"/>
          </w:tcPr>
          <w:p w:rsidR="00966E4F" w:rsidRDefault="00A274E2">
            <w:pPr>
              <w:jc w:val="center"/>
            </w:pPr>
            <w:r>
              <w:rPr>
                <w:color w:val="000000"/>
                <w:sz w:val="24"/>
              </w:rPr>
              <w:t>0.68%</w:t>
            </w:r>
          </w:p>
        </w:tc>
        <w:tc>
          <w:tcPr>
            <w:tcW w:w="1250" w:type="dxa"/>
            <w:vAlign w:val="center"/>
          </w:tcPr>
          <w:p w:rsidR="00966E4F" w:rsidRDefault="00A274E2">
            <w:pPr>
              <w:jc w:val="center"/>
            </w:pPr>
            <w:r>
              <w:rPr>
                <w:color w:val="000000"/>
                <w:sz w:val="24"/>
              </w:rPr>
              <w:t>0.05%</w:t>
            </w:r>
          </w:p>
        </w:tc>
      </w:tr>
      <w:tr w:rsidR="00966E4F">
        <w:tc>
          <w:tcPr>
            <w:tcW w:w="1497" w:type="dxa"/>
            <w:vAlign w:val="center"/>
          </w:tcPr>
          <w:p w:rsidR="00966E4F" w:rsidRDefault="00A274E2">
            <w:pPr>
              <w:jc w:val="left"/>
            </w:pPr>
            <w:r>
              <w:rPr>
                <w:color w:val="000000"/>
                <w:sz w:val="24"/>
              </w:rPr>
              <w:t>过去三年</w:t>
            </w:r>
          </w:p>
        </w:tc>
        <w:tc>
          <w:tcPr>
            <w:tcW w:w="1251" w:type="dxa"/>
            <w:vAlign w:val="center"/>
          </w:tcPr>
          <w:p w:rsidR="00966E4F" w:rsidRDefault="00A274E2">
            <w:pPr>
              <w:jc w:val="center"/>
            </w:pPr>
            <w:r>
              <w:rPr>
                <w:color w:val="000000"/>
                <w:sz w:val="24"/>
              </w:rPr>
              <w:t>-1.65%</w:t>
            </w:r>
          </w:p>
        </w:tc>
        <w:tc>
          <w:tcPr>
            <w:tcW w:w="1250" w:type="dxa"/>
            <w:vAlign w:val="center"/>
          </w:tcPr>
          <w:p w:rsidR="00966E4F" w:rsidRDefault="00A274E2">
            <w:pPr>
              <w:jc w:val="center"/>
            </w:pPr>
            <w:r>
              <w:rPr>
                <w:color w:val="000000"/>
                <w:sz w:val="24"/>
              </w:rPr>
              <w:t>0.48%</w:t>
            </w:r>
          </w:p>
        </w:tc>
        <w:tc>
          <w:tcPr>
            <w:tcW w:w="1250" w:type="dxa"/>
            <w:vAlign w:val="center"/>
          </w:tcPr>
          <w:p w:rsidR="00966E4F" w:rsidRDefault="00A274E2">
            <w:pPr>
              <w:jc w:val="center"/>
            </w:pPr>
            <w:r>
              <w:rPr>
                <w:color w:val="000000"/>
                <w:sz w:val="24"/>
              </w:rPr>
              <w:t>8.49%</w:t>
            </w:r>
          </w:p>
        </w:tc>
        <w:tc>
          <w:tcPr>
            <w:tcW w:w="1250" w:type="dxa"/>
            <w:vAlign w:val="center"/>
          </w:tcPr>
          <w:p w:rsidR="00966E4F" w:rsidRDefault="00A274E2">
            <w:pPr>
              <w:jc w:val="center"/>
            </w:pPr>
            <w:r>
              <w:rPr>
                <w:color w:val="000000"/>
                <w:sz w:val="24"/>
              </w:rPr>
              <w:t>0.01%</w:t>
            </w:r>
          </w:p>
        </w:tc>
        <w:tc>
          <w:tcPr>
            <w:tcW w:w="1250" w:type="dxa"/>
            <w:vAlign w:val="center"/>
          </w:tcPr>
          <w:p w:rsidR="00966E4F" w:rsidRDefault="00A274E2">
            <w:pPr>
              <w:jc w:val="center"/>
            </w:pPr>
            <w:r>
              <w:rPr>
                <w:color w:val="000000"/>
                <w:sz w:val="24"/>
              </w:rPr>
              <w:t>-10.14%</w:t>
            </w:r>
          </w:p>
        </w:tc>
        <w:tc>
          <w:tcPr>
            <w:tcW w:w="1250" w:type="dxa"/>
            <w:vAlign w:val="center"/>
          </w:tcPr>
          <w:p w:rsidR="00966E4F" w:rsidRDefault="00A274E2">
            <w:pPr>
              <w:jc w:val="center"/>
            </w:pPr>
            <w:r>
              <w:rPr>
                <w:color w:val="000000"/>
                <w:sz w:val="24"/>
              </w:rPr>
              <w:t>0.47%</w:t>
            </w:r>
          </w:p>
        </w:tc>
      </w:tr>
      <w:tr w:rsidR="00966E4F">
        <w:tc>
          <w:tcPr>
            <w:tcW w:w="1497" w:type="dxa"/>
            <w:vAlign w:val="center"/>
          </w:tcPr>
          <w:p w:rsidR="00966E4F" w:rsidRDefault="00A274E2">
            <w:pPr>
              <w:jc w:val="left"/>
            </w:pPr>
            <w:r>
              <w:rPr>
                <w:color w:val="000000"/>
                <w:sz w:val="24"/>
              </w:rPr>
              <w:t>自基金合同生效起至今</w:t>
            </w:r>
          </w:p>
        </w:tc>
        <w:tc>
          <w:tcPr>
            <w:tcW w:w="1251" w:type="dxa"/>
            <w:vAlign w:val="center"/>
          </w:tcPr>
          <w:p w:rsidR="00966E4F" w:rsidRDefault="00A274E2">
            <w:pPr>
              <w:jc w:val="center"/>
            </w:pPr>
            <w:r>
              <w:rPr>
                <w:color w:val="000000"/>
                <w:sz w:val="24"/>
              </w:rPr>
              <w:t>46.33%</w:t>
            </w:r>
          </w:p>
        </w:tc>
        <w:tc>
          <w:tcPr>
            <w:tcW w:w="1250" w:type="dxa"/>
            <w:vAlign w:val="center"/>
          </w:tcPr>
          <w:p w:rsidR="00966E4F" w:rsidRDefault="00A274E2">
            <w:pPr>
              <w:jc w:val="center"/>
            </w:pPr>
            <w:r>
              <w:rPr>
                <w:color w:val="000000"/>
                <w:sz w:val="24"/>
              </w:rPr>
              <w:t>0.51%</w:t>
            </w:r>
          </w:p>
        </w:tc>
        <w:tc>
          <w:tcPr>
            <w:tcW w:w="1250" w:type="dxa"/>
            <w:vAlign w:val="center"/>
          </w:tcPr>
          <w:p w:rsidR="00966E4F" w:rsidRDefault="00A274E2">
            <w:pPr>
              <w:jc w:val="center"/>
            </w:pPr>
            <w:r>
              <w:rPr>
                <w:color w:val="000000"/>
                <w:sz w:val="24"/>
              </w:rPr>
              <w:t>17.63%</w:t>
            </w:r>
          </w:p>
        </w:tc>
        <w:tc>
          <w:tcPr>
            <w:tcW w:w="1250" w:type="dxa"/>
            <w:vAlign w:val="center"/>
          </w:tcPr>
          <w:p w:rsidR="00966E4F" w:rsidRDefault="00A274E2">
            <w:pPr>
              <w:jc w:val="center"/>
            </w:pPr>
            <w:r>
              <w:rPr>
                <w:color w:val="000000"/>
                <w:sz w:val="24"/>
              </w:rPr>
              <w:t>0.01%</w:t>
            </w:r>
          </w:p>
        </w:tc>
        <w:tc>
          <w:tcPr>
            <w:tcW w:w="1250" w:type="dxa"/>
            <w:vAlign w:val="center"/>
          </w:tcPr>
          <w:p w:rsidR="00966E4F" w:rsidRDefault="00A274E2">
            <w:pPr>
              <w:jc w:val="center"/>
            </w:pPr>
            <w:r>
              <w:rPr>
                <w:color w:val="000000"/>
                <w:sz w:val="24"/>
              </w:rPr>
              <w:t>28.70%</w:t>
            </w:r>
          </w:p>
        </w:tc>
        <w:tc>
          <w:tcPr>
            <w:tcW w:w="1250" w:type="dxa"/>
            <w:vAlign w:val="center"/>
          </w:tcPr>
          <w:p w:rsidR="00966E4F" w:rsidRDefault="00A274E2">
            <w:pPr>
              <w:jc w:val="center"/>
            </w:pPr>
            <w:r>
              <w:rPr>
                <w:color w:val="000000"/>
                <w:sz w:val="24"/>
              </w:rPr>
              <w:t>0.50%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注：本基金的业绩比较基准为三年期银行定期存款税后收益率。</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交银施罗德荣祥保本混合型证券投资基金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2013</w:t>
      </w:r>
      <w:r w:rsidR="001548F9" w:rsidRPr="005C672D">
        <w:rPr>
          <w:rFonts w:ascii="Times New Roman" w:hAnsi="Times New Roman"/>
          <w:sz w:val="24"/>
          <w:szCs w:val="24"/>
        </w:rPr>
        <w:t>年</w:t>
      </w:r>
      <w:r w:rsidR="001548F9" w:rsidRPr="005C672D">
        <w:rPr>
          <w:rFonts w:ascii="Times New Roman" w:hAnsi="Times New Roman"/>
          <w:sz w:val="24"/>
          <w:szCs w:val="24"/>
        </w:rPr>
        <w:t>4</w:t>
      </w:r>
      <w:r w:rsidR="001548F9" w:rsidRPr="005C672D">
        <w:rPr>
          <w:rFonts w:ascii="Times New Roman" w:hAnsi="Times New Roman"/>
          <w:sz w:val="24"/>
          <w:szCs w:val="24"/>
        </w:rPr>
        <w:t>月</w:t>
      </w:r>
      <w:r w:rsidR="001548F9" w:rsidRPr="005C672D">
        <w:rPr>
          <w:rFonts w:ascii="Times New Roman" w:hAnsi="Times New Roman"/>
          <w:sz w:val="24"/>
          <w:szCs w:val="24"/>
        </w:rPr>
        <w:t>24</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966E4F" w:rsidRDefault="00A274E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966E4F">
        <w:tc>
          <w:tcPr>
            <w:tcW w:w="1033" w:type="dxa"/>
            <w:vAlign w:val="center"/>
          </w:tcPr>
          <w:p w:rsidR="00966E4F" w:rsidRDefault="00A274E2">
            <w:pPr>
              <w:jc w:val="center"/>
            </w:pPr>
            <w:r>
              <w:rPr>
                <w:color w:val="000000"/>
                <w:sz w:val="24"/>
              </w:rPr>
              <w:t>于海颖</w:t>
            </w:r>
          </w:p>
        </w:tc>
        <w:tc>
          <w:tcPr>
            <w:tcW w:w="1416" w:type="dxa"/>
            <w:vAlign w:val="center"/>
          </w:tcPr>
          <w:p w:rsidR="00966E4F" w:rsidRDefault="00A274E2">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收益债券、交银强化回报债券、交银丰盈收益债券、交银丰硕收益债券、交银荣鑫保本混合、交银增利增强债券、交银丰晟收益债券、交银</w:t>
            </w:r>
            <w:proofErr w:type="gramStart"/>
            <w:r>
              <w:rPr>
                <w:color w:val="000000"/>
                <w:sz w:val="24"/>
              </w:rPr>
              <w:t>裕如纯债债券</w:t>
            </w:r>
            <w:proofErr w:type="gramEnd"/>
            <w:r>
              <w:rPr>
                <w:color w:val="000000"/>
                <w:sz w:val="24"/>
              </w:rPr>
              <w:t>的基金经理，公司固定收益（公募）投资总监</w:t>
            </w:r>
          </w:p>
        </w:tc>
        <w:tc>
          <w:tcPr>
            <w:tcW w:w="1126" w:type="dxa"/>
            <w:vAlign w:val="center"/>
          </w:tcPr>
          <w:p w:rsidR="00966E4F" w:rsidRDefault="00A274E2">
            <w:pPr>
              <w:jc w:val="center"/>
            </w:pPr>
            <w:r>
              <w:rPr>
                <w:color w:val="000000"/>
                <w:sz w:val="24"/>
              </w:rPr>
              <w:t>2017-06-10</w:t>
            </w:r>
          </w:p>
        </w:tc>
        <w:tc>
          <w:tcPr>
            <w:tcW w:w="1192" w:type="dxa"/>
            <w:vAlign w:val="center"/>
          </w:tcPr>
          <w:p w:rsidR="00966E4F" w:rsidRDefault="00A274E2">
            <w:pPr>
              <w:jc w:val="center"/>
            </w:pPr>
            <w:r>
              <w:rPr>
                <w:color w:val="000000"/>
                <w:sz w:val="24"/>
              </w:rPr>
              <w:t>-</w:t>
            </w:r>
          </w:p>
        </w:tc>
        <w:tc>
          <w:tcPr>
            <w:tcW w:w="1169" w:type="dxa"/>
            <w:vAlign w:val="center"/>
          </w:tcPr>
          <w:p w:rsidR="00966E4F" w:rsidRDefault="00A274E2">
            <w:pPr>
              <w:jc w:val="center"/>
            </w:pPr>
            <w:r>
              <w:rPr>
                <w:color w:val="000000"/>
                <w:sz w:val="24"/>
              </w:rPr>
              <w:t>12</w:t>
            </w:r>
            <w:r>
              <w:rPr>
                <w:color w:val="000000"/>
                <w:sz w:val="24"/>
              </w:rPr>
              <w:t>年</w:t>
            </w:r>
          </w:p>
        </w:tc>
        <w:tc>
          <w:tcPr>
            <w:tcW w:w="3062" w:type="dxa"/>
            <w:vAlign w:val="center"/>
          </w:tcPr>
          <w:p w:rsidR="00966E4F" w:rsidRDefault="00A274E2">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966E4F">
        <w:tc>
          <w:tcPr>
            <w:tcW w:w="1033" w:type="dxa"/>
            <w:vAlign w:val="center"/>
          </w:tcPr>
          <w:p w:rsidR="00966E4F" w:rsidRDefault="00A274E2">
            <w:pPr>
              <w:jc w:val="center"/>
            </w:pPr>
            <w:r>
              <w:rPr>
                <w:color w:val="000000"/>
                <w:sz w:val="24"/>
              </w:rPr>
              <w:t>王艺伟</w:t>
            </w:r>
          </w:p>
        </w:tc>
        <w:tc>
          <w:tcPr>
            <w:tcW w:w="1416" w:type="dxa"/>
            <w:vAlign w:val="center"/>
          </w:tcPr>
          <w:p w:rsidR="00966E4F" w:rsidRDefault="00A274E2">
            <w:pPr>
              <w:jc w:val="center"/>
            </w:pPr>
            <w:r>
              <w:rPr>
                <w:color w:val="000000"/>
                <w:sz w:val="24"/>
              </w:rPr>
              <w:t>交银荣祥保本混合、交银定期支付月月丰债券、交</w:t>
            </w:r>
            <w:proofErr w:type="gramStart"/>
            <w:r>
              <w:rPr>
                <w:color w:val="000000"/>
                <w:sz w:val="24"/>
              </w:rPr>
              <w:t>银增强</w:t>
            </w:r>
            <w:proofErr w:type="gramEnd"/>
            <w:r>
              <w:rPr>
                <w:color w:val="000000"/>
                <w:sz w:val="24"/>
              </w:rPr>
              <w:t>收益债券、交银强化回报债券、交银荣鑫保本混合的基金经理助理</w:t>
            </w:r>
          </w:p>
        </w:tc>
        <w:tc>
          <w:tcPr>
            <w:tcW w:w="1126" w:type="dxa"/>
            <w:vAlign w:val="center"/>
          </w:tcPr>
          <w:p w:rsidR="00966E4F" w:rsidRDefault="00A274E2">
            <w:pPr>
              <w:jc w:val="center"/>
            </w:pPr>
            <w:r>
              <w:rPr>
                <w:color w:val="000000"/>
                <w:sz w:val="24"/>
              </w:rPr>
              <w:t>2017-02-10</w:t>
            </w:r>
          </w:p>
        </w:tc>
        <w:tc>
          <w:tcPr>
            <w:tcW w:w="1192" w:type="dxa"/>
            <w:vAlign w:val="center"/>
          </w:tcPr>
          <w:p w:rsidR="00966E4F" w:rsidRDefault="00A274E2">
            <w:pPr>
              <w:jc w:val="center"/>
            </w:pPr>
            <w:r>
              <w:rPr>
                <w:color w:val="000000"/>
                <w:sz w:val="24"/>
              </w:rPr>
              <w:t>-</w:t>
            </w:r>
          </w:p>
        </w:tc>
        <w:tc>
          <w:tcPr>
            <w:tcW w:w="1169" w:type="dxa"/>
            <w:vAlign w:val="center"/>
          </w:tcPr>
          <w:p w:rsidR="00966E4F" w:rsidRDefault="00A274E2">
            <w:pPr>
              <w:jc w:val="center"/>
            </w:pPr>
            <w:r>
              <w:rPr>
                <w:color w:val="000000"/>
                <w:sz w:val="24"/>
              </w:rPr>
              <w:t>6</w:t>
            </w:r>
            <w:r>
              <w:rPr>
                <w:color w:val="000000"/>
                <w:sz w:val="24"/>
              </w:rPr>
              <w:t>年</w:t>
            </w:r>
          </w:p>
        </w:tc>
        <w:tc>
          <w:tcPr>
            <w:tcW w:w="3062" w:type="dxa"/>
            <w:vAlign w:val="center"/>
          </w:tcPr>
          <w:p w:rsidR="00966E4F" w:rsidRDefault="00A274E2">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w:t>
            </w:r>
            <w:proofErr w:type="gramStart"/>
            <w:r>
              <w:rPr>
                <w:color w:val="000000"/>
                <w:sz w:val="24"/>
              </w:rPr>
              <w:t>部基金</w:t>
            </w:r>
            <w:proofErr w:type="gramEnd"/>
            <w:r>
              <w:rPr>
                <w:color w:val="000000"/>
                <w:sz w:val="24"/>
              </w:rPr>
              <w:t>经理助理。</w:t>
            </w:r>
          </w:p>
        </w:tc>
      </w:tr>
    </w:tbl>
    <w:p w:rsidR="00966E4F" w:rsidRDefault="00A274E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966E4F" w:rsidRDefault="00A274E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966E4F" w:rsidRDefault="00A274E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966E4F" w:rsidRDefault="00A274E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66E4F" w:rsidRDefault="00A274E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66E4F" w:rsidRDefault="00A274E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966E4F" w:rsidRDefault="00A274E2">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w:t>
      </w:r>
      <w:proofErr w:type="gramStart"/>
      <w:r>
        <w:rPr>
          <w:color w:val="000000"/>
          <w:sz w:val="24"/>
        </w:rPr>
        <w:t>令关键</w:t>
      </w:r>
      <w:proofErr w:type="gramEnd"/>
      <w:r>
        <w:rPr>
          <w:color w:val="000000"/>
          <w:sz w:val="24"/>
        </w:rPr>
        <w:t>年期</w:t>
      </w:r>
      <w:r>
        <w:rPr>
          <w:color w:val="000000"/>
          <w:sz w:val="24"/>
        </w:rPr>
        <w:t>10</w:t>
      </w:r>
      <w:r>
        <w:rPr>
          <w:color w:val="000000"/>
          <w:sz w:val="24"/>
        </w:rPr>
        <w:t>年期</w:t>
      </w:r>
      <w:proofErr w:type="gramStart"/>
      <w:r>
        <w:rPr>
          <w:color w:val="000000"/>
          <w:sz w:val="24"/>
        </w:rPr>
        <w:t>国开债收益率</w:t>
      </w:r>
      <w:proofErr w:type="gramEnd"/>
      <w:r>
        <w:rPr>
          <w:color w:val="000000"/>
          <w:sz w:val="24"/>
        </w:rPr>
        <w:t>上行约</w:t>
      </w:r>
      <w:r>
        <w:rPr>
          <w:color w:val="000000"/>
          <w:sz w:val="24"/>
        </w:rPr>
        <w:t>30BP</w:t>
      </w:r>
      <w:r>
        <w:rPr>
          <w:color w:val="000000"/>
          <w:sz w:val="24"/>
        </w:rPr>
        <w:t>至年内</w:t>
      </w:r>
      <w:r>
        <w:rPr>
          <w:color w:val="000000"/>
          <w:sz w:val="24"/>
        </w:rPr>
        <w:t>5.13%</w:t>
      </w:r>
      <w:r>
        <w:rPr>
          <w:color w:val="000000"/>
          <w:sz w:val="24"/>
        </w:rPr>
        <w:t>的高点，此后</w:t>
      </w:r>
      <w:r>
        <w:rPr>
          <w:color w:val="000000"/>
          <w:sz w:val="24"/>
        </w:rPr>
        <w:t>,</w:t>
      </w:r>
      <w:r>
        <w:rPr>
          <w:color w:val="000000"/>
          <w:sz w:val="24"/>
        </w:rPr>
        <w:t>债券收益率一路震荡走低，仅在四月中旬至五月中旬期间，受到</w:t>
      </w:r>
      <w:proofErr w:type="gramStart"/>
      <w:r>
        <w:rPr>
          <w:color w:val="000000"/>
          <w:sz w:val="24"/>
        </w:rPr>
        <w:t>资管新规</w:t>
      </w:r>
      <w:proofErr w:type="gramEnd"/>
      <w:r>
        <w:rPr>
          <w:color w:val="000000"/>
          <w:sz w:val="24"/>
        </w:rPr>
        <w:t>出台、</w:t>
      </w:r>
      <w:proofErr w:type="gramStart"/>
      <w:r>
        <w:rPr>
          <w:color w:val="000000"/>
          <w:sz w:val="24"/>
        </w:rPr>
        <w:t>降准释放</w:t>
      </w:r>
      <w:proofErr w:type="gramEnd"/>
      <w:r>
        <w:rPr>
          <w:color w:val="000000"/>
          <w:sz w:val="24"/>
        </w:rPr>
        <w:t>资金和</w:t>
      </w:r>
      <w:proofErr w:type="gramStart"/>
      <w:r>
        <w:rPr>
          <w:color w:val="000000"/>
          <w:sz w:val="24"/>
        </w:rPr>
        <w:t>缴税缴准错位</w:t>
      </w:r>
      <w:proofErr w:type="gramEnd"/>
      <w:r>
        <w:rPr>
          <w:color w:val="000000"/>
          <w:sz w:val="24"/>
        </w:rPr>
        <w:t>带来季末流动性的紧张等因素的影响，债券收益率阶段性上行。截至二季末，活跃</w:t>
      </w:r>
      <w:r>
        <w:rPr>
          <w:color w:val="000000"/>
          <w:sz w:val="24"/>
        </w:rPr>
        <w:t>10</w:t>
      </w:r>
      <w:r>
        <w:rPr>
          <w:color w:val="000000"/>
          <w:sz w:val="24"/>
        </w:rPr>
        <w:t>年期</w:t>
      </w:r>
      <w:proofErr w:type="gramStart"/>
      <w:r>
        <w:rPr>
          <w:color w:val="000000"/>
          <w:sz w:val="24"/>
        </w:rPr>
        <w:t>国开债收益率</w:t>
      </w:r>
      <w:proofErr w:type="gramEnd"/>
      <w:r>
        <w:rPr>
          <w:color w:val="000000"/>
          <w:sz w:val="24"/>
        </w:rPr>
        <w:t>水平到达</w:t>
      </w:r>
      <w:r>
        <w:rPr>
          <w:color w:val="000000"/>
          <w:sz w:val="24"/>
        </w:rPr>
        <w:t>4.25%</w:t>
      </w:r>
      <w:r>
        <w:rPr>
          <w:color w:val="000000"/>
          <w:sz w:val="24"/>
        </w:rPr>
        <w:t>，较</w:t>
      </w:r>
      <w:r>
        <w:rPr>
          <w:color w:val="000000"/>
          <w:sz w:val="24"/>
        </w:rPr>
        <w:t>2017</w:t>
      </w:r>
      <w:proofErr w:type="gramStart"/>
      <w:r>
        <w:rPr>
          <w:color w:val="000000"/>
          <w:sz w:val="24"/>
        </w:rPr>
        <w:t>年年末下行约</w:t>
      </w:r>
      <w:proofErr w:type="gramEnd"/>
      <w:r>
        <w:rPr>
          <w:color w:val="000000"/>
          <w:sz w:val="24"/>
        </w:rPr>
        <w:t>57BP</w:t>
      </w:r>
      <w:r>
        <w:rPr>
          <w:color w:val="000000"/>
          <w:sz w:val="24"/>
        </w:rPr>
        <w:t>。债券市场年初以来的行情是多方面因素交织影响的结果。经济增长方面，春节之后复工弱于往年，</w:t>
      </w:r>
      <w:proofErr w:type="gramStart"/>
      <w:r>
        <w:rPr>
          <w:color w:val="000000"/>
          <w:sz w:val="24"/>
        </w:rPr>
        <w:t>社融数据</w:t>
      </w:r>
      <w:proofErr w:type="gramEnd"/>
      <w:r>
        <w:rPr>
          <w:color w:val="000000"/>
          <w:sz w:val="24"/>
        </w:rPr>
        <w:t>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w:t>
      </w:r>
      <w:proofErr w:type="gramStart"/>
      <w:r>
        <w:rPr>
          <w:color w:val="000000"/>
          <w:sz w:val="24"/>
        </w:rPr>
        <w:t>整体超</w:t>
      </w:r>
      <w:proofErr w:type="gramEnd"/>
      <w:r>
        <w:rPr>
          <w:color w:val="000000"/>
          <w:sz w:val="24"/>
        </w:rPr>
        <w:t>预期宽松，三月跟随联储加息上调政策利率</w:t>
      </w:r>
      <w:r>
        <w:rPr>
          <w:color w:val="000000"/>
          <w:sz w:val="24"/>
        </w:rPr>
        <w:t>5BP</w:t>
      </w:r>
      <w:r>
        <w:rPr>
          <w:color w:val="000000"/>
          <w:sz w:val="24"/>
        </w:rPr>
        <w:t>后，央行在四月及六月底先后</w:t>
      </w:r>
      <w:proofErr w:type="gramStart"/>
      <w:r>
        <w:rPr>
          <w:color w:val="000000"/>
          <w:sz w:val="24"/>
        </w:rPr>
        <w:t>宣布降准</w:t>
      </w:r>
      <w:r>
        <w:rPr>
          <w:color w:val="000000"/>
          <w:sz w:val="24"/>
        </w:rPr>
        <w:t>1</w:t>
      </w:r>
      <w:r>
        <w:rPr>
          <w:color w:val="000000"/>
          <w:sz w:val="24"/>
        </w:rPr>
        <w:t>个</w:t>
      </w:r>
      <w:proofErr w:type="gramEnd"/>
      <w:r>
        <w:rPr>
          <w:color w:val="000000"/>
          <w:sz w:val="24"/>
        </w:rPr>
        <w:t>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966E4F" w:rsidRDefault="00A274E2">
      <w:pPr>
        <w:spacing w:before="29" w:line="288" w:lineRule="auto"/>
        <w:ind w:firstLineChars="200" w:firstLine="480"/>
        <w:rPr>
          <w:color w:val="000000"/>
          <w:sz w:val="24"/>
        </w:rPr>
      </w:pPr>
      <w:r>
        <w:rPr>
          <w:color w:val="000000"/>
          <w:sz w:val="24"/>
        </w:rPr>
        <w:t>权益市场方面，地产产业链及油气产业链等大盘蓝</w:t>
      </w:r>
      <w:proofErr w:type="gramStart"/>
      <w:r>
        <w:rPr>
          <w:color w:val="000000"/>
          <w:sz w:val="24"/>
        </w:rPr>
        <w:t>筹板块</w:t>
      </w:r>
      <w:proofErr w:type="gramEnd"/>
      <w:r>
        <w:rPr>
          <w:color w:val="000000"/>
          <w:sz w:val="24"/>
        </w:rPr>
        <w:t>年初伊始引领市场走出了近一个月左右的上涨行情后，随着美股调整以及市场对地产政策的担忧，蓝</w:t>
      </w:r>
      <w:proofErr w:type="gramStart"/>
      <w:r>
        <w:rPr>
          <w:color w:val="000000"/>
          <w:sz w:val="24"/>
        </w:rPr>
        <w:t>筹板块</w:t>
      </w:r>
      <w:proofErr w:type="gramEnd"/>
      <w:r>
        <w:rPr>
          <w:color w:val="000000"/>
          <w:sz w:val="24"/>
        </w:rPr>
        <w:t>回调，以计算机软件、集成电路板块为代表的成长板块接棒蓝</w:t>
      </w:r>
      <w:proofErr w:type="gramStart"/>
      <w:r>
        <w:rPr>
          <w:color w:val="000000"/>
          <w:sz w:val="24"/>
        </w:rPr>
        <w:t>筹成为</w:t>
      </w:r>
      <w:proofErr w:type="gramEnd"/>
      <w:r>
        <w:rPr>
          <w:color w:val="000000"/>
          <w:sz w:val="24"/>
        </w:rPr>
        <w:t>市场上行的新动力。二季度市场受信用收缩，海外风险事件的影响出现调整，以消费为代表的防御属性板块以及部分业绩稳定成长的计算机</w:t>
      </w:r>
      <w:proofErr w:type="gramStart"/>
      <w:r>
        <w:rPr>
          <w:color w:val="000000"/>
          <w:sz w:val="24"/>
        </w:rPr>
        <w:t>等成长</w:t>
      </w:r>
      <w:proofErr w:type="gramEnd"/>
      <w:r>
        <w:rPr>
          <w:color w:val="000000"/>
          <w:sz w:val="24"/>
        </w:rPr>
        <w:t>相对收益较为明显。</w:t>
      </w:r>
    </w:p>
    <w:p w:rsidR="00C02A8F" w:rsidRPr="005C672D" w:rsidRDefault="00C02A8F" w:rsidP="00AC6DDA">
      <w:pPr>
        <w:spacing w:before="29" w:line="288" w:lineRule="auto"/>
        <w:ind w:firstLineChars="200" w:firstLine="480"/>
        <w:rPr>
          <w:color w:val="000000"/>
          <w:sz w:val="24"/>
        </w:rPr>
      </w:pPr>
      <w:r w:rsidRPr="005C672D">
        <w:rPr>
          <w:color w:val="000000"/>
          <w:sz w:val="24"/>
        </w:rPr>
        <w:t>本报告期内，考虑到组合规模，债券方面以流动性较好的交易所利率债为主，并在春节前后及二季度持续拉长组合久期。股票方面，组合集中配置高景气细分行业。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展望下半年，社会融资总额增速下滑对于总需求的影响可能逐渐体现，在通胀总体可控、流动性较</w:t>
      </w:r>
      <w:r w:rsidRPr="005C672D">
        <w:rPr>
          <w:color w:val="000000"/>
          <w:sz w:val="24"/>
        </w:rPr>
        <w:t>2017</w:t>
      </w:r>
      <w:r w:rsidRPr="005C672D">
        <w:rPr>
          <w:color w:val="000000"/>
          <w:sz w:val="24"/>
        </w:rPr>
        <w:t>年改善的情况下，我们维持对债市谨慎乐观看法。操作策略方面，组合维持</w:t>
      </w:r>
      <w:proofErr w:type="gramStart"/>
      <w:r w:rsidRPr="005C672D">
        <w:rPr>
          <w:color w:val="000000"/>
          <w:sz w:val="24"/>
        </w:rPr>
        <w:t>目前久期不变</w:t>
      </w:r>
      <w:proofErr w:type="gramEnd"/>
      <w:r w:rsidRPr="005C672D">
        <w:rPr>
          <w:color w:val="000000"/>
          <w:sz w:val="24"/>
        </w:rPr>
        <w:t>。权益方面，组合将继续关注政策执行对于配置资金的影响，以及海外不确定性事件的进展，并将侧重于挑选高景气细分行业及估值调整至合理的优质个股，择机提升</w:t>
      </w:r>
      <w:proofErr w:type="gramStart"/>
      <w:r w:rsidRPr="005C672D">
        <w:rPr>
          <w:color w:val="000000"/>
          <w:sz w:val="24"/>
        </w:rPr>
        <w:t>仓位</w:t>
      </w:r>
      <w:proofErr w:type="gramEnd"/>
      <w:r w:rsidRPr="005C672D">
        <w:rPr>
          <w:color w:val="000000"/>
          <w:sz w:val="24"/>
        </w:rPr>
        <w:t>。</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966E4F" w:rsidRDefault="00A274E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66E4F" w:rsidRDefault="00A274E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 xml:space="preserve">— </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会计主体：交银施罗德荣祥保本混合型证券投资基金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1,429,367.25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2,379,042.95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15,440,586.86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18,014,014.78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5,110.25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11,712.01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876,868,585.20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951,441,896.30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876,868,585.20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951,441,896.30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1,621,249.57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12,962,296.36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17,638,003.34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259.69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1,018.78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906,706,205.61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991,106,937.73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350,799,509.30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297,160,444.76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112,268.51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255,088.08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1,870,255.21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553,000.92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719,811.99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92,166.81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119,968.67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13,876.65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16,159.19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18,500.52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16,000.19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98,118.25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156,651.21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310,142.76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352,017,062.19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300,294,900.83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570,958,092.84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731,240,129.07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-16,268,949.42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-40,428,092.17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554,689,143.42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690,812,036.90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906,706,205.61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991,106,937.73</w:t>
            </w:r>
          </w:p>
        </w:tc>
      </w:tr>
    </w:tbl>
    <w:p w:rsidR="00966E4F" w:rsidRDefault="00181216" w:rsidP="00181216">
      <w:pPr>
        <w:tabs>
          <w:tab w:val="left" w:pos="426"/>
        </w:tabs>
        <w:spacing w:before="29" w:line="288" w:lineRule="auto"/>
        <w:jc w:val="left"/>
        <w:rPr>
          <w:kern w:val="0"/>
          <w:sz w:val="24"/>
        </w:rPr>
      </w:pPr>
      <w:r>
        <w:rPr>
          <w:rFonts w:hint="eastAsia"/>
          <w:kern w:val="0"/>
          <w:sz w:val="24"/>
        </w:rPr>
        <w:t>注</w:t>
      </w:r>
      <w:r>
        <w:rPr>
          <w:kern w:val="0"/>
          <w:sz w:val="24"/>
        </w:rPr>
        <w:t>：</w:t>
      </w:r>
      <w:r w:rsidRPr="005C672D">
        <w:rPr>
          <w:kern w:val="0"/>
          <w:sz w:val="24"/>
        </w:rPr>
        <w:t>1</w:t>
      </w:r>
      <w:r w:rsidRPr="005C672D">
        <w:rPr>
          <w:kern w:val="0"/>
          <w:sz w:val="24"/>
        </w:rPr>
        <w:t>、</w:t>
      </w:r>
      <w:r w:rsidR="00A274E2">
        <w:rPr>
          <w:kern w:val="0"/>
          <w:sz w:val="24"/>
        </w:rPr>
        <w:t>报告截止日</w:t>
      </w:r>
      <w:r w:rsidR="00A274E2">
        <w:rPr>
          <w:kern w:val="0"/>
          <w:sz w:val="24"/>
        </w:rPr>
        <w:t>2018</w:t>
      </w:r>
      <w:r w:rsidR="00A274E2">
        <w:rPr>
          <w:kern w:val="0"/>
          <w:sz w:val="24"/>
        </w:rPr>
        <w:t>年</w:t>
      </w:r>
      <w:r w:rsidR="00A274E2">
        <w:rPr>
          <w:kern w:val="0"/>
          <w:sz w:val="24"/>
        </w:rPr>
        <w:t>6</w:t>
      </w:r>
      <w:r w:rsidR="00A274E2">
        <w:rPr>
          <w:kern w:val="0"/>
          <w:sz w:val="24"/>
        </w:rPr>
        <w:t>月</w:t>
      </w:r>
      <w:r w:rsidR="00A274E2">
        <w:rPr>
          <w:kern w:val="0"/>
          <w:sz w:val="24"/>
        </w:rPr>
        <w:t>30</w:t>
      </w:r>
      <w:r w:rsidR="00A274E2">
        <w:rPr>
          <w:kern w:val="0"/>
          <w:sz w:val="24"/>
        </w:rPr>
        <w:t>日，基金份额净值</w:t>
      </w:r>
      <w:r w:rsidR="00A274E2">
        <w:rPr>
          <w:kern w:val="0"/>
          <w:sz w:val="24"/>
        </w:rPr>
        <w:t>1.041</w:t>
      </w:r>
      <w:r w:rsidR="00A274E2">
        <w:rPr>
          <w:kern w:val="0"/>
          <w:sz w:val="24"/>
        </w:rPr>
        <w:t>元，基金份额总额</w:t>
      </w:r>
      <w:r w:rsidR="00A274E2">
        <w:rPr>
          <w:kern w:val="0"/>
          <w:sz w:val="24"/>
        </w:rPr>
        <w:t>532,930,967.97</w:t>
      </w:r>
    </w:p>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交银施罗德荣祥保本混合型证券投资基金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28,676,224.61</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18,318,329.57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20,632,452.00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20,669,493.02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137,521.66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127,176.06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20,494,930.34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20,542,316.96</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-1,039,708.97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-9,898,687.44</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419,958.29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-1,039,708.97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-10,319,645.73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1,000.00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8,561,995.24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6,915,636.00</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521,486.34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631,887.99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11,225,130.64</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13,417,571.03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3,672,578.01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5,599,187.87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612,096.32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933,197.96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5,776.98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16,329.99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6,737,763.22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6,638,314.48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6,737,763.22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6,638,314.48</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16,028.03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180,888.08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230,540.73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17,451,093.97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4,900,758.54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17,451,093.97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4,900,758.54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交银施罗德荣祥保本混合型证券投资基金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731,240,129.07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-40,428,092.17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690,812,036.90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17,451,093.97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17,451,093.97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-160,282,036.23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6,708,048.78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-153,573,987.45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5,485,240.85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-219,702.36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5,265,538.49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-165,767,277.08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6,927,751.14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-158,839,525.94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570,958,092.84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-16,268,949.42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554,689,143.42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1,082,268,627.13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-71,971,233.16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1,010,297,393.97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4,900,758.54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4,900,758.54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-184,641,247.45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12,412,147.34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-172,229,100.11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401,759.53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-27,072.42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374,687.11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-185,043,006.98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12,439,219.76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-172,603,787.22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897,627,379.68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-54,658,327.28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842,969,052.40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966E4F" w:rsidRDefault="00A274E2">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966E4F" w:rsidRDefault="00A274E2">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966E4F" w:rsidRDefault="00A274E2">
      <w:pPr>
        <w:spacing w:before="29" w:line="288" w:lineRule="auto"/>
        <w:ind w:firstLineChars="200" w:firstLine="480"/>
        <w:rPr>
          <w:color w:val="000000"/>
          <w:sz w:val="24"/>
        </w:rPr>
      </w:pPr>
      <w:r>
        <w:rPr>
          <w:color w:val="000000"/>
          <w:sz w:val="24"/>
        </w:rPr>
        <w:t>本基金目前处于第二个保本周期，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 w:val="24"/>
        </w:rPr>
        <w:t>(</w:t>
      </w:r>
      <w:r>
        <w:rPr>
          <w:color w:val="000000"/>
          <w:sz w:val="24"/>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Pr>
          <w:color w:val="000000"/>
          <w:sz w:val="24"/>
        </w:rPr>
        <w:t>)</w:t>
      </w:r>
      <w:r>
        <w:rPr>
          <w:color w:val="000000"/>
          <w:sz w:val="24"/>
        </w:rPr>
        <w:t>，</w:t>
      </w:r>
      <w:proofErr w:type="gramStart"/>
      <w:r>
        <w:rPr>
          <w:color w:val="000000"/>
          <w:sz w:val="24"/>
        </w:rPr>
        <w:t>则基金</w:t>
      </w:r>
      <w:proofErr w:type="gramEnd"/>
      <w:r>
        <w:rPr>
          <w:color w:val="000000"/>
          <w:sz w:val="24"/>
        </w:rPr>
        <w:t>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966E4F" w:rsidRDefault="00A274E2">
      <w:pPr>
        <w:spacing w:before="29" w:line="288" w:lineRule="auto"/>
        <w:ind w:firstLineChars="200" w:firstLine="480"/>
        <w:rPr>
          <w:color w:val="000000"/>
          <w:sz w:val="24"/>
        </w:rPr>
      </w:pPr>
      <w:r>
        <w:rPr>
          <w:color w:val="000000"/>
          <w:sz w:val="24"/>
        </w:rPr>
        <w:t>本基金的保本周期为</w:t>
      </w:r>
      <w:r>
        <w:rPr>
          <w:color w:val="000000"/>
          <w:sz w:val="24"/>
        </w:rPr>
        <w:t>3</w:t>
      </w:r>
      <w:r>
        <w:rPr>
          <w:color w:val="000000"/>
          <w:sz w:val="24"/>
        </w:rPr>
        <w:t>年，第一个保本周期自</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日开始至</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w:t>
      </w:r>
      <w:r>
        <w:rPr>
          <w:color w:val="000000"/>
          <w:sz w:val="24"/>
        </w:rPr>
        <w:t>(</w:t>
      </w:r>
      <w:r>
        <w:rPr>
          <w:color w:val="000000"/>
          <w:sz w:val="24"/>
        </w:rPr>
        <w:t>含</w:t>
      </w:r>
      <w:r>
        <w:rPr>
          <w:color w:val="000000"/>
          <w:sz w:val="24"/>
        </w:rPr>
        <w:t>)</w:t>
      </w:r>
      <w:r>
        <w:rPr>
          <w:color w:val="000000"/>
          <w:sz w:val="24"/>
        </w:rPr>
        <w:t>起至</w:t>
      </w:r>
      <w:r>
        <w:rPr>
          <w:color w:val="000000"/>
          <w:sz w:val="24"/>
        </w:rPr>
        <w:t>2016</w:t>
      </w:r>
      <w:r>
        <w:rPr>
          <w:color w:val="000000"/>
          <w:sz w:val="24"/>
        </w:rPr>
        <w:t>年</w:t>
      </w:r>
      <w:r>
        <w:rPr>
          <w:color w:val="000000"/>
          <w:sz w:val="24"/>
        </w:rPr>
        <w:t>4</w:t>
      </w:r>
      <w:r>
        <w:rPr>
          <w:color w:val="000000"/>
          <w:sz w:val="24"/>
        </w:rPr>
        <w:t>月</w:t>
      </w:r>
      <w:r>
        <w:rPr>
          <w:color w:val="000000"/>
          <w:sz w:val="24"/>
        </w:rPr>
        <w:t>28</w:t>
      </w:r>
      <w:r>
        <w:rPr>
          <w:color w:val="000000"/>
          <w:sz w:val="24"/>
        </w:rPr>
        <w:t>日</w:t>
      </w:r>
      <w:r>
        <w:rPr>
          <w:color w:val="000000"/>
          <w:sz w:val="24"/>
        </w:rPr>
        <w:t>(</w:t>
      </w:r>
      <w:r>
        <w:rPr>
          <w:color w:val="000000"/>
          <w:sz w:val="24"/>
        </w:rPr>
        <w:t>含</w:t>
      </w:r>
      <w:r>
        <w:rPr>
          <w:color w:val="000000"/>
          <w:sz w:val="24"/>
        </w:rPr>
        <w:t>)</w:t>
      </w:r>
      <w:r>
        <w:rPr>
          <w:color w:val="000000"/>
          <w:sz w:val="24"/>
        </w:rPr>
        <w:t>止，本基金过渡期自</w:t>
      </w:r>
      <w:r>
        <w:rPr>
          <w:color w:val="000000"/>
          <w:sz w:val="24"/>
        </w:rPr>
        <w:t>2016</w:t>
      </w:r>
      <w:r>
        <w:rPr>
          <w:color w:val="000000"/>
          <w:sz w:val="24"/>
        </w:rPr>
        <w:t>年</w:t>
      </w:r>
      <w:r>
        <w:rPr>
          <w:color w:val="000000"/>
          <w:sz w:val="24"/>
        </w:rPr>
        <w:t>4</w:t>
      </w:r>
      <w:r>
        <w:rPr>
          <w:color w:val="000000"/>
          <w:sz w:val="24"/>
        </w:rPr>
        <w:t>月</w:t>
      </w:r>
      <w:r>
        <w:rPr>
          <w:color w:val="000000"/>
          <w:sz w:val="24"/>
        </w:rPr>
        <w:t>29</w:t>
      </w:r>
      <w:r>
        <w:rPr>
          <w:color w:val="000000"/>
          <w:sz w:val="24"/>
        </w:rPr>
        <w:t>日</w:t>
      </w:r>
      <w:r>
        <w:rPr>
          <w:color w:val="000000"/>
          <w:sz w:val="24"/>
        </w:rPr>
        <w:t>(</w:t>
      </w:r>
      <w:r>
        <w:rPr>
          <w:color w:val="000000"/>
          <w:sz w:val="24"/>
        </w:rPr>
        <w:t>含</w:t>
      </w:r>
      <w:r>
        <w:rPr>
          <w:color w:val="000000"/>
          <w:sz w:val="24"/>
        </w:rPr>
        <w:t>)</w:t>
      </w:r>
      <w:r>
        <w:rPr>
          <w:color w:val="000000"/>
          <w:sz w:val="24"/>
        </w:rPr>
        <w:t>起至</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日止</w:t>
      </w:r>
      <w:r>
        <w:rPr>
          <w:color w:val="000000"/>
          <w:sz w:val="24"/>
        </w:rPr>
        <w:t>(</w:t>
      </w:r>
      <w:r>
        <w:rPr>
          <w:color w:val="000000"/>
          <w:sz w:val="24"/>
        </w:rPr>
        <w:t>含</w:t>
      </w:r>
      <w:r>
        <w:rPr>
          <w:color w:val="000000"/>
          <w:sz w:val="24"/>
        </w:rPr>
        <w:t>)</w:t>
      </w:r>
      <w:r>
        <w:rPr>
          <w:color w:val="000000"/>
          <w:sz w:val="24"/>
        </w:rPr>
        <w:t>，本基金于</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日进行了基金份额折算，第二个保本周期为自</w:t>
      </w:r>
      <w:r>
        <w:rPr>
          <w:color w:val="000000"/>
          <w:sz w:val="24"/>
        </w:rPr>
        <w:t>2016</w:t>
      </w:r>
      <w:r>
        <w:rPr>
          <w:color w:val="000000"/>
          <w:sz w:val="24"/>
        </w:rPr>
        <w:t>年</w:t>
      </w:r>
      <w:r>
        <w:rPr>
          <w:color w:val="000000"/>
          <w:sz w:val="24"/>
        </w:rPr>
        <w:t>5</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26</w:t>
      </w:r>
      <w:r>
        <w:rPr>
          <w:color w:val="000000"/>
          <w:sz w:val="24"/>
        </w:rPr>
        <w:t>日止。本基金第二个保本周期由中国投融资担保有限公司作为担保人，为本基金第二个保本周期的保本提供不可撤销的连带责任保证。</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5C672D">
        <w:rPr>
          <w:color w:val="000000"/>
          <w:sz w:val="24"/>
        </w:rPr>
        <w:t>券</w:t>
      </w:r>
      <w:proofErr w:type="gramEnd"/>
      <w:r w:rsidRPr="005C672D">
        <w:rPr>
          <w:color w:val="000000"/>
          <w:sz w:val="24"/>
        </w:rPr>
        <w:t>、可转换公司债</w:t>
      </w:r>
      <w:proofErr w:type="gramStart"/>
      <w:r w:rsidRPr="005C672D">
        <w:rPr>
          <w:color w:val="000000"/>
          <w:sz w:val="24"/>
        </w:rPr>
        <w:t>券</w:t>
      </w:r>
      <w:proofErr w:type="gramEnd"/>
      <w:r w:rsidRPr="005C672D">
        <w:rPr>
          <w:color w:val="000000"/>
          <w:sz w:val="24"/>
        </w:rPr>
        <w:t>(</w:t>
      </w:r>
      <w:r w:rsidRPr="005C672D">
        <w:rPr>
          <w:color w:val="000000"/>
          <w:sz w:val="24"/>
        </w:rPr>
        <w:t>含分离交易的可转换公司债</w:t>
      </w:r>
      <w:proofErr w:type="gramStart"/>
      <w:r w:rsidRPr="005C672D">
        <w:rPr>
          <w:color w:val="000000"/>
          <w:sz w:val="24"/>
        </w:rPr>
        <w:t>券</w:t>
      </w:r>
      <w:proofErr w:type="gramEnd"/>
      <w:r w:rsidRPr="005C672D">
        <w:rPr>
          <w:color w:val="000000"/>
          <w:sz w:val="24"/>
        </w:rPr>
        <w:t>)</w:t>
      </w:r>
      <w:r w:rsidRPr="005C672D">
        <w:rPr>
          <w:color w:val="000000"/>
          <w:sz w:val="24"/>
        </w:rPr>
        <w:t>、资产支持证券、债券回购等。风险资产为股票</w:t>
      </w:r>
      <w:r w:rsidRPr="005C672D">
        <w:rPr>
          <w:color w:val="000000"/>
          <w:sz w:val="24"/>
        </w:rPr>
        <w:t>(</w:t>
      </w:r>
      <w:r w:rsidRPr="005C672D">
        <w:rPr>
          <w:color w:val="000000"/>
          <w:sz w:val="24"/>
        </w:rPr>
        <w:t>包括中小板、创业板及其他经中国证监会核准上市的股票</w:t>
      </w:r>
      <w:r w:rsidRPr="005C672D">
        <w:rPr>
          <w:color w:val="000000"/>
          <w:sz w:val="24"/>
        </w:rPr>
        <w:t>)</w:t>
      </w:r>
      <w:r w:rsidRPr="005C672D">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5C672D">
        <w:rPr>
          <w:color w:val="000000"/>
          <w:sz w:val="24"/>
        </w:rPr>
        <w:t>60%</w:t>
      </w:r>
      <w:r w:rsidRPr="005C672D">
        <w:rPr>
          <w:color w:val="000000"/>
          <w:sz w:val="24"/>
        </w:rPr>
        <w:t>，其中基金应保留不低于基金资产净值</w:t>
      </w:r>
      <w:r w:rsidRPr="005C672D">
        <w:rPr>
          <w:color w:val="000000"/>
          <w:sz w:val="24"/>
        </w:rPr>
        <w:t>5%</w:t>
      </w:r>
      <w:r w:rsidRPr="005C672D">
        <w:rPr>
          <w:color w:val="000000"/>
          <w:sz w:val="24"/>
        </w:rPr>
        <w:t>的现金或到期日在一年以内的政府债券；股票、权证、股指期货等风险资产占基金资产的比例不高于</w:t>
      </w:r>
      <w:r w:rsidRPr="005C672D">
        <w:rPr>
          <w:color w:val="000000"/>
          <w:sz w:val="24"/>
        </w:rPr>
        <w:t>40%</w:t>
      </w:r>
      <w:r w:rsidRPr="005C672D">
        <w:rPr>
          <w:color w:val="000000"/>
          <w:sz w:val="24"/>
        </w:rPr>
        <w:t>，其中，基金持有的全部权证的市值不超过基金资产净值的</w:t>
      </w:r>
      <w:r w:rsidRPr="005C672D">
        <w:rPr>
          <w:color w:val="000000"/>
          <w:sz w:val="24"/>
        </w:rPr>
        <w:t>3%</w:t>
      </w:r>
      <w:r w:rsidRPr="005C672D">
        <w:rPr>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颁布的《证券投资基金会计核算业务指引》、《交银施罗德荣祥保本混合型证券投资基金基金合同》和在财务报表附注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966E4F" w:rsidRDefault="00A274E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66E4F" w:rsidRDefault="00A274E2">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966E4F" w:rsidRDefault="00A274E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66E4F" w:rsidRDefault="00A274E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966E4F" w:rsidRDefault="00A274E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66E4F" w:rsidRDefault="00A274E2">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966E4F" w:rsidRDefault="00A274E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966E4F">
        <w:tc>
          <w:tcPr>
            <w:tcW w:w="5219" w:type="dxa"/>
            <w:vAlign w:val="center"/>
          </w:tcPr>
          <w:p w:rsidR="00966E4F" w:rsidRDefault="00A274E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rsidR="00966E4F" w:rsidRDefault="00A274E2">
            <w:pPr>
              <w:jc w:val="left"/>
            </w:pPr>
            <w:r>
              <w:rPr>
                <w:color w:val="000000"/>
                <w:sz w:val="24"/>
              </w:rPr>
              <w:t>基金管理人、基金销售机构</w:t>
            </w:r>
          </w:p>
        </w:tc>
      </w:tr>
      <w:tr w:rsidR="00966E4F">
        <w:tc>
          <w:tcPr>
            <w:tcW w:w="5219" w:type="dxa"/>
            <w:vAlign w:val="center"/>
          </w:tcPr>
          <w:p w:rsidR="00966E4F" w:rsidRDefault="00A274E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966E4F" w:rsidRDefault="00A274E2">
            <w:pPr>
              <w:jc w:val="left"/>
            </w:pPr>
            <w:r>
              <w:rPr>
                <w:color w:val="000000"/>
                <w:sz w:val="24"/>
              </w:rPr>
              <w:t>基金托管人、基金销售机构</w:t>
            </w:r>
          </w:p>
        </w:tc>
      </w:tr>
      <w:tr w:rsidR="00966E4F">
        <w:tc>
          <w:tcPr>
            <w:tcW w:w="5219" w:type="dxa"/>
            <w:vAlign w:val="center"/>
          </w:tcPr>
          <w:p w:rsidR="00966E4F" w:rsidRDefault="00A274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66E4F" w:rsidRDefault="00A274E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3,672,578.01</w:t>
            </w:r>
          </w:p>
        </w:tc>
        <w:tc>
          <w:tcPr>
            <w:tcW w:w="2657" w:type="dxa"/>
            <w:vAlign w:val="center"/>
          </w:tcPr>
          <w:p w:rsidR="001548F9" w:rsidRPr="005C672D" w:rsidRDefault="001548F9" w:rsidP="00AC6DDA">
            <w:pPr>
              <w:spacing w:before="29" w:line="288" w:lineRule="auto"/>
              <w:jc w:val="right"/>
              <w:rPr>
                <w:sz w:val="24"/>
              </w:rPr>
            </w:pPr>
            <w:r w:rsidRPr="005C672D">
              <w:rPr>
                <w:sz w:val="24"/>
              </w:rPr>
              <w:t>5,599,187.87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1,330,772.68</w:t>
            </w:r>
          </w:p>
        </w:tc>
        <w:tc>
          <w:tcPr>
            <w:tcW w:w="2657" w:type="dxa"/>
            <w:vAlign w:val="center"/>
          </w:tcPr>
          <w:p w:rsidR="001548F9" w:rsidRPr="005C672D" w:rsidRDefault="001548F9" w:rsidP="00AC6DDA">
            <w:pPr>
              <w:spacing w:before="29" w:line="288" w:lineRule="auto"/>
              <w:jc w:val="right"/>
              <w:rPr>
                <w:sz w:val="24"/>
              </w:rPr>
            </w:pPr>
            <w:r w:rsidRPr="005C672D">
              <w:rPr>
                <w:sz w:val="24"/>
              </w:rPr>
              <w:t>1,961,511.33</w:t>
            </w:r>
          </w:p>
        </w:tc>
      </w:tr>
    </w:tbl>
    <w:p w:rsidR="00966E4F" w:rsidRDefault="00A274E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612,096.32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933,197.96</w:t>
            </w:r>
          </w:p>
        </w:tc>
      </w:tr>
    </w:tbl>
    <w:p w:rsidR="00966E4F" w:rsidRDefault="00A274E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548F9" w:rsidRPr="005C672D" w:rsidTr="00C17210">
        <w:tc>
          <w:tcPr>
            <w:tcW w:w="9435" w:type="dxa"/>
            <w:gridSpan w:val="7"/>
            <w:vAlign w:val="center"/>
          </w:tcPr>
          <w:p w:rsidR="001548F9" w:rsidRPr="005C672D" w:rsidRDefault="001548F9" w:rsidP="00AC6DDA">
            <w:pPr>
              <w:spacing w:before="29" w:line="288" w:lineRule="auto"/>
              <w:jc w:val="center"/>
              <w:rPr>
                <w:bCs/>
                <w:color w:val="000000"/>
                <w:sz w:val="24"/>
              </w:rPr>
            </w:pPr>
            <w:r w:rsidRPr="005C672D">
              <w:rPr>
                <w:bCs/>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bCs/>
                <w:color w:val="000000"/>
                <w:sz w:val="24"/>
              </w:rPr>
            </w:pPr>
            <w:r w:rsidRPr="005C672D">
              <w:rPr>
                <w:bCs/>
                <w:color w:val="000000"/>
                <w:sz w:val="24"/>
              </w:rPr>
              <w:t>2017</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2017</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966E4F">
        <w:tc>
          <w:tcPr>
            <w:tcW w:w="1422" w:type="dxa"/>
            <w:vAlign w:val="center"/>
          </w:tcPr>
          <w:p w:rsidR="00966E4F" w:rsidRDefault="00A274E2">
            <w:pPr>
              <w:jc w:val="left"/>
            </w:pPr>
            <w:r>
              <w:rPr>
                <w:bCs/>
                <w:color w:val="000000"/>
                <w:sz w:val="24"/>
              </w:rPr>
              <w:t>中国农业银行</w:t>
            </w:r>
          </w:p>
        </w:tc>
        <w:tc>
          <w:tcPr>
            <w:tcW w:w="1818" w:type="dxa"/>
            <w:vAlign w:val="center"/>
          </w:tcPr>
          <w:p w:rsidR="00966E4F" w:rsidRDefault="00A274E2">
            <w:pPr>
              <w:jc w:val="right"/>
            </w:pPr>
            <w:r>
              <w:rPr>
                <w:bCs/>
                <w:color w:val="000000"/>
                <w:sz w:val="24"/>
              </w:rPr>
              <w:t>-</w:t>
            </w:r>
          </w:p>
        </w:tc>
        <w:tc>
          <w:tcPr>
            <w:tcW w:w="1260" w:type="dxa"/>
            <w:vAlign w:val="center"/>
          </w:tcPr>
          <w:p w:rsidR="00966E4F" w:rsidRDefault="00A274E2">
            <w:pPr>
              <w:jc w:val="right"/>
            </w:pPr>
            <w:r>
              <w:rPr>
                <w:bCs/>
                <w:color w:val="000000"/>
                <w:sz w:val="24"/>
              </w:rPr>
              <w:t>68,732,011.37</w:t>
            </w:r>
          </w:p>
        </w:tc>
        <w:tc>
          <w:tcPr>
            <w:tcW w:w="1260" w:type="dxa"/>
            <w:vAlign w:val="center"/>
          </w:tcPr>
          <w:p w:rsidR="00966E4F" w:rsidRDefault="00A274E2">
            <w:pPr>
              <w:jc w:val="right"/>
            </w:pPr>
            <w:r>
              <w:rPr>
                <w:bCs/>
                <w:color w:val="000000"/>
                <w:sz w:val="24"/>
              </w:rPr>
              <w:t>-</w:t>
            </w:r>
          </w:p>
        </w:tc>
        <w:tc>
          <w:tcPr>
            <w:tcW w:w="1080" w:type="dxa"/>
            <w:vAlign w:val="center"/>
          </w:tcPr>
          <w:p w:rsidR="00966E4F" w:rsidRDefault="00A274E2">
            <w:pPr>
              <w:jc w:val="right"/>
            </w:pPr>
            <w:r>
              <w:rPr>
                <w:bCs/>
                <w:color w:val="000000"/>
                <w:sz w:val="24"/>
              </w:rPr>
              <w:t>-</w:t>
            </w:r>
          </w:p>
        </w:tc>
        <w:tc>
          <w:tcPr>
            <w:tcW w:w="1512" w:type="dxa"/>
            <w:vAlign w:val="center"/>
          </w:tcPr>
          <w:p w:rsidR="00966E4F" w:rsidRDefault="00A274E2">
            <w:pPr>
              <w:jc w:val="right"/>
            </w:pPr>
            <w:r>
              <w:rPr>
                <w:bCs/>
                <w:color w:val="000000"/>
                <w:sz w:val="24"/>
              </w:rPr>
              <w:t>-</w:t>
            </w:r>
          </w:p>
        </w:tc>
        <w:tc>
          <w:tcPr>
            <w:tcW w:w="1083" w:type="dxa"/>
            <w:vAlign w:val="center"/>
          </w:tcPr>
          <w:p w:rsidR="00966E4F" w:rsidRDefault="00A274E2">
            <w:pPr>
              <w:jc w:val="right"/>
            </w:pPr>
            <w:r>
              <w:rPr>
                <w:bCs/>
                <w:color w:val="000000"/>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966E4F">
        <w:tc>
          <w:tcPr>
            <w:tcW w:w="2171" w:type="dxa"/>
            <w:vAlign w:val="center"/>
          </w:tcPr>
          <w:p w:rsidR="00966E4F" w:rsidRDefault="00A274E2">
            <w:pPr>
              <w:jc w:val="left"/>
            </w:pPr>
            <w:r>
              <w:rPr>
                <w:sz w:val="24"/>
              </w:rPr>
              <w:t>中国农业银行股份有限公司</w:t>
            </w:r>
          </w:p>
        </w:tc>
        <w:tc>
          <w:tcPr>
            <w:tcW w:w="2023" w:type="dxa"/>
            <w:vAlign w:val="center"/>
          </w:tcPr>
          <w:p w:rsidR="00966E4F" w:rsidRDefault="00A274E2">
            <w:pPr>
              <w:jc w:val="right"/>
            </w:pPr>
            <w:r>
              <w:rPr>
                <w:sz w:val="24"/>
              </w:rPr>
              <w:t>1,429,367.25</w:t>
            </w:r>
          </w:p>
        </w:tc>
        <w:tc>
          <w:tcPr>
            <w:tcW w:w="1772" w:type="dxa"/>
            <w:vAlign w:val="center"/>
          </w:tcPr>
          <w:p w:rsidR="00966E4F" w:rsidRDefault="00A274E2">
            <w:pPr>
              <w:jc w:val="right"/>
            </w:pPr>
            <w:r>
              <w:rPr>
                <w:sz w:val="24"/>
              </w:rPr>
              <w:t>19,960.92</w:t>
            </w:r>
          </w:p>
        </w:tc>
        <w:tc>
          <w:tcPr>
            <w:tcW w:w="1412" w:type="dxa"/>
            <w:vAlign w:val="center"/>
          </w:tcPr>
          <w:p w:rsidR="00966E4F" w:rsidRDefault="00A274E2">
            <w:pPr>
              <w:jc w:val="right"/>
            </w:pPr>
            <w:r>
              <w:rPr>
                <w:sz w:val="24"/>
              </w:rPr>
              <w:t>4,250,317.98</w:t>
            </w:r>
          </w:p>
        </w:tc>
        <w:tc>
          <w:tcPr>
            <w:tcW w:w="1807" w:type="dxa"/>
            <w:vAlign w:val="center"/>
          </w:tcPr>
          <w:p w:rsidR="00966E4F" w:rsidRDefault="00A274E2">
            <w:pPr>
              <w:jc w:val="right"/>
            </w:pPr>
            <w:r>
              <w:rPr>
                <w:sz w:val="24"/>
              </w:rPr>
              <w:t>43,206.80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Pr="00690ED2" w:rsidRDefault="0095029A" w:rsidP="0095029A">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6.4.8.7.1 </w:t>
      </w:r>
      <w:r w:rsidRPr="00690ED2">
        <w:rPr>
          <w:rFonts w:eastAsiaTheme="minorEastAsia" w:hint="eastAsia"/>
          <w:b/>
          <w:color w:val="000000" w:themeColor="text1"/>
          <w:sz w:val="24"/>
        </w:rPr>
        <w:t>其他关联交易事项的说明</w:t>
      </w:r>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193,799,509.30</w:t>
      </w:r>
      <w:r w:rsidRPr="005C672D">
        <w:rPr>
          <w:color w:val="000000"/>
          <w:sz w:val="24"/>
        </w:rPr>
        <w:t>元，是以如下债券作为质押：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966E4F">
        <w:tc>
          <w:tcPr>
            <w:tcW w:w="1500" w:type="dxa"/>
            <w:vAlign w:val="center"/>
          </w:tcPr>
          <w:p w:rsidR="00966E4F" w:rsidRDefault="00A274E2">
            <w:pPr>
              <w:jc w:val="center"/>
            </w:pPr>
            <w:r>
              <w:rPr>
                <w:color w:val="000000"/>
                <w:kern w:val="0"/>
                <w:sz w:val="24"/>
              </w:rPr>
              <w:t>111892033</w:t>
            </w:r>
          </w:p>
        </w:tc>
        <w:tc>
          <w:tcPr>
            <w:tcW w:w="1500" w:type="dxa"/>
            <w:vAlign w:val="center"/>
          </w:tcPr>
          <w:p w:rsidR="00966E4F" w:rsidRDefault="00A274E2">
            <w:pPr>
              <w:jc w:val="center"/>
            </w:pPr>
            <w:r>
              <w:rPr>
                <w:color w:val="000000"/>
                <w:kern w:val="0"/>
                <w:sz w:val="24"/>
              </w:rPr>
              <w:t>18</w:t>
            </w:r>
            <w:r>
              <w:rPr>
                <w:color w:val="000000"/>
                <w:kern w:val="0"/>
                <w:sz w:val="24"/>
              </w:rPr>
              <w:t>宁波银行</w:t>
            </w:r>
            <w:r>
              <w:rPr>
                <w:color w:val="000000"/>
                <w:kern w:val="0"/>
                <w:sz w:val="24"/>
              </w:rPr>
              <w:t>CD032</w:t>
            </w:r>
          </w:p>
        </w:tc>
        <w:tc>
          <w:tcPr>
            <w:tcW w:w="1500" w:type="dxa"/>
            <w:vAlign w:val="center"/>
          </w:tcPr>
          <w:p w:rsidR="00966E4F" w:rsidRDefault="00A274E2">
            <w:pPr>
              <w:jc w:val="center"/>
            </w:pPr>
            <w:r>
              <w:rPr>
                <w:color w:val="000000"/>
                <w:kern w:val="0"/>
                <w:sz w:val="24"/>
              </w:rPr>
              <w:t>2018-07-02</w:t>
            </w:r>
          </w:p>
        </w:tc>
        <w:tc>
          <w:tcPr>
            <w:tcW w:w="1260" w:type="dxa"/>
            <w:vAlign w:val="center"/>
          </w:tcPr>
          <w:p w:rsidR="00966E4F" w:rsidRDefault="00A274E2">
            <w:pPr>
              <w:jc w:val="right"/>
            </w:pPr>
            <w:r>
              <w:rPr>
                <w:color w:val="000000"/>
                <w:kern w:val="0"/>
                <w:sz w:val="24"/>
              </w:rPr>
              <w:t>95.62</w:t>
            </w:r>
          </w:p>
        </w:tc>
        <w:tc>
          <w:tcPr>
            <w:tcW w:w="1440" w:type="dxa"/>
            <w:vAlign w:val="center"/>
          </w:tcPr>
          <w:p w:rsidR="00966E4F" w:rsidRDefault="00A274E2">
            <w:pPr>
              <w:jc w:val="right"/>
            </w:pPr>
            <w:r>
              <w:rPr>
                <w:color w:val="000000"/>
                <w:kern w:val="0"/>
                <w:sz w:val="24"/>
              </w:rPr>
              <w:t>1,000,000</w:t>
            </w:r>
          </w:p>
        </w:tc>
        <w:tc>
          <w:tcPr>
            <w:tcW w:w="1836" w:type="dxa"/>
            <w:vAlign w:val="center"/>
          </w:tcPr>
          <w:p w:rsidR="00966E4F" w:rsidRDefault="00A274E2">
            <w:pPr>
              <w:jc w:val="right"/>
            </w:pPr>
            <w:r>
              <w:rPr>
                <w:color w:val="000000"/>
                <w:kern w:val="0"/>
                <w:sz w:val="24"/>
              </w:rPr>
              <w:t>95,620,000.00</w:t>
            </w:r>
          </w:p>
        </w:tc>
      </w:tr>
      <w:tr w:rsidR="00966E4F">
        <w:tc>
          <w:tcPr>
            <w:tcW w:w="1500" w:type="dxa"/>
            <w:vAlign w:val="center"/>
          </w:tcPr>
          <w:p w:rsidR="00966E4F" w:rsidRDefault="00A274E2">
            <w:pPr>
              <w:jc w:val="center"/>
            </w:pPr>
            <w:r>
              <w:rPr>
                <w:color w:val="000000"/>
                <w:kern w:val="0"/>
                <w:sz w:val="24"/>
              </w:rPr>
              <w:t>111892638</w:t>
            </w:r>
          </w:p>
        </w:tc>
        <w:tc>
          <w:tcPr>
            <w:tcW w:w="1500" w:type="dxa"/>
            <w:vAlign w:val="center"/>
          </w:tcPr>
          <w:p w:rsidR="00966E4F" w:rsidRDefault="00A274E2">
            <w:pPr>
              <w:jc w:val="center"/>
            </w:pPr>
            <w:r>
              <w:rPr>
                <w:color w:val="000000"/>
                <w:kern w:val="0"/>
                <w:sz w:val="24"/>
              </w:rPr>
              <w:t>18</w:t>
            </w:r>
            <w:r>
              <w:rPr>
                <w:color w:val="000000"/>
                <w:kern w:val="0"/>
                <w:sz w:val="24"/>
              </w:rPr>
              <w:t>南京银行</w:t>
            </w:r>
            <w:r>
              <w:rPr>
                <w:color w:val="000000"/>
                <w:kern w:val="0"/>
                <w:sz w:val="24"/>
              </w:rPr>
              <w:t>CD033</w:t>
            </w:r>
          </w:p>
        </w:tc>
        <w:tc>
          <w:tcPr>
            <w:tcW w:w="1500" w:type="dxa"/>
            <w:vAlign w:val="center"/>
          </w:tcPr>
          <w:p w:rsidR="00966E4F" w:rsidRDefault="00A274E2">
            <w:pPr>
              <w:jc w:val="center"/>
            </w:pPr>
            <w:r>
              <w:rPr>
                <w:color w:val="000000"/>
                <w:kern w:val="0"/>
                <w:sz w:val="24"/>
              </w:rPr>
              <w:t>2018-07-02</w:t>
            </w:r>
          </w:p>
        </w:tc>
        <w:tc>
          <w:tcPr>
            <w:tcW w:w="1260" w:type="dxa"/>
            <w:vAlign w:val="center"/>
          </w:tcPr>
          <w:p w:rsidR="00966E4F" w:rsidRDefault="00A274E2">
            <w:pPr>
              <w:jc w:val="right"/>
            </w:pPr>
            <w:r>
              <w:rPr>
                <w:color w:val="000000"/>
                <w:kern w:val="0"/>
                <w:sz w:val="24"/>
              </w:rPr>
              <w:t>95.66</w:t>
            </w:r>
          </w:p>
        </w:tc>
        <w:tc>
          <w:tcPr>
            <w:tcW w:w="1440" w:type="dxa"/>
            <w:vAlign w:val="center"/>
          </w:tcPr>
          <w:p w:rsidR="00966E4F" w:rsidRDefault="00A274E2">
            <w:pPr>
              <w:jc w:val="right"/>
            </w:pPr>
            <w:r>
              <w:rPr>
                <w:color w:val="000000"/>
                <w:kern w:val="0"/>
                <w:sz w:val="24"/>
              </w:rPr>
              <w:t>400,000</w:t>
            </w:r>
          </w:p>
        </w:tc>
        <w:tc>
          <w:tcPr>
            <w:tcW w:w="1836" w:type="dxa"/>
            <w:vAlign w:val="center"/>
          </w:tcPr>
          <w:p w:rsidR="00966E4F" w:rsidRDefault="00A274E2">
            <w:pPr>
              <w:jc w:val="right"/>
            </w:pPr>
            <w:r>
              <w:rPr>
                <w:color w:val="000000"/>
                <w:kern w:val="0"/>
                <w:sz w:val="24"/>
              </w:rPr>
              <w:t>38,264,000.00</w:t>
            </w:r>
          </w:p>
        </w:tc>
      </w:tr>
      <w:tr w:rsidR="00966E4F">
        <w:tc>
          <w:tcPr>
            <w:tcW w:w="1500" w:type="dxa"/>
            <w:vAlign w:val="center"/>
          </w:tcPr>
          <w:p w:rsidR="00966E4F" w:rsidRDefault="00A274E2">
            <w:pPr>
              <w:jc w:val="center"/>
            </w:pPr>
            <w:r>
              <w:rPr>
                <w:color w:val="000000"/>
                <w:kern w:val="0"/>
                <w:sz w:val="24"/>
              </w:rPr>
              <w:t>111814035</w:t>
            </w:r>
          </w:p>
        </w:tc>
        <w:tc>
          <w:tcPr>
            <w:tcW w:w="1500" w:type="dxa"/>
            <w:vAlign w:val="center"/>
          </w:tcPr>
          <w:p w:rsidR="00966E4F" w:rsidRDefault="00A274E2">
            <w:pPr>
              <w:jc w:val="center"/>
            </w:pPr>
            <w:r>
              <w:rPr>
                <w:color w:val="000000"/>
                <w:kern w:val="0"/>
                <w:sz w:val="24"/>
              </w:rPr>
              <w:t>18</w:t>
            </w:r>
            <w:r>
              <w:rPr>
                <w:color w:val="000000"/>
                <w:kern w:val="0"/>
                <w:sz w:val="24"/>
              </w:rPr>
              <w:t>江苏银行</w:t>
            </w:r>
            <w:r>
              <w:rPr>
                <w:color w:val="000000"/>
                <w:kern w:val="0"/>
                <w:sz w:val="24"/>
              </w:rPr>
              <w:t>CD035</w:t>
            </w:r>
          </w:p>
        </w:tc>
        <w:tc>
          <w:tcPr>
            <w:tcW w:w="1500" w:type="dxa"/>
            <w:vAlign w:val="center"/>
          </w:tcPr>
          <w:p w:rsidR="00966E4F" w:rsidRDefault="00A274E2">
            <w:pPr>
              <w:jc w:val="center"/>
            </w:pPr>
            <w:r>
              <w:rPr>
                <w:color w:val="000000"/>
                <w:kern w:val="0"/>
                <w:sz w:val="24"/>
              </w:rPr>
              <w:t>2018-07-02</w:t>
            </w:r>
          </w:p>
        </w:tc>
        <w:tc>
          <w:tcPr>
            <w:tcW w:w="1260" w:type="dxa"/>
            <w:vAlign w:val="center"/>
          </w:tcPr>
          <w:p w:rsidR="00966E4F" w:rsidRDefault="00A274E2">
            <w:pPr>
              <w:jc w:val="right"/>
            </w:pPr>
            <w:r>
              <w:rPr>
                <w:color w:val="000000"/>
                <w:kern w:val="0"/>
                <w:sz w:val="24"/>
              </w:rPr>
              <w:t>95.65</w:t>
            </w:r>
          </w:p>
        </w:tc>
        <w:tc>
          <w:tcPr>
            <w:tcW w:w="1440" w:type="dxa"/>
            <w:vAlign w:val="center"/>
          </w:tcPr>
          <w:p w:rsidR="00966E4F" w:rsidRDefault="00A274E2">
            <w:pPr>
              <w:jc w:val="right"/>
            </w:pPr>
            <w:r>
              <w:rPr>
                <w:color w:val="000000"/>
                <w:kern w:val="0"/>
                <w:sz w:val="24"/>
              </w:rPr>
              <w:t>1,000,000</w:t>
            </w:r>
          </w:p>
        </w:tc>
        <w:tc>
          <w:tcPr>
            <w:tcW w:w="1836" w:type="dxa"/>
            <w:vAlign w:val="center"/>
          </w:tcPr>
          <w:p w:rsidR="00966E4F" w:rsidRDefault="00A274E2">
            <w:pPr>
              <w:jc w:val="right"/>
            </w:pPr>
            <w:r>
              <w:rPr>
                <w:color w:val="000000"/>
                <w:kern w:val="0"/>
                <w:sz w:val="24"/>
              </w:rPr>
              <w:t>95,650,000.00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2,400,000</w:t>
            </w:r>
          </w:p>
        </w:tc>
        <w:tc>
          <w:tcPr>
            <w:tcW w:w="1836" w:type="dxa"/>
            <w:vAlign w:val="center"/>
          </w:tcPr>
          <w:p w:rsidR="001548F9" w:rsidRPr="005C672D" w:rsidRDefault="001548F9" w:rsidP="00AC6DDA">
            <w:pPr>
              <w:spacing w:before="29" w:line="288" w:lineRule="auto"/>
              <w:jc w:val="right"/>
              <w:rPr>
                <w:sz w:val="24"/>
              </w:rPr>
            </w:pPr>
            <w:r w:rsidRPr="005C672D">
              <w:rPr>
                <w:sz w:val="24"/>
              </w:rPr>
              <w:t>229,534,000.00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日止，基金从事证券交易所债券正回购交易形成的卖出回购证券款余额</w:t>
      </w:r>
      <w:r w:rsidRPr="005C672D">
        <w:rPr>
          <w:color w:val="000000"/>
          <w:sz w:val="24"/>
        </w:rPr>
        <w:t>157,000,000.00</w:t>
      </w:r>
      <w:r w:rsidRPr="005C672D">
        <w:rPr>
          <w:color w:val="000000"/>
          <w:sz w:val="24"/>
        </w:rPr>
        <w:t>元，于</w:t>
      </w:r>
      <w:r w:rsidRPr="005C672D">
        <w:rPr>
          <w:color w:val="000000"/>
          <w:sz w:val="24"/>
        </w:rPr>
        <w:t>2018</w:t>
      </w:r>
      <w:r w:rsidRPr="005C672D">
        <w:rPr>
          <w:color w:val="000000"/>
          <w:sz w:val="24"/>
        </w:rPr>
        <w:t>年</w:t>
      </w:r>
      <w:r w:rsidRPr="005C672D">
        <w:rPr>
          <w:color w:val="000000"/>
          <w:sz w:val="24"/>
        </w:rPr>
        <w:t>7</w:t>
      </w:r>
      <w:r w:rsidRPr="005C672D">
        <w:rPr>
          <w:color w:val="000000"/>
          <w:sz w:val="24"/>
        </w:rPr>
        <w:t>月</w:t>
      </w:r>
      <w:r w:rsidRPr="005C672D">
        <w:rPr>
          <w:color w:val="000000"/>
          <w:sz w:val="24"/>
        </w:rPr>
        <w:t>2</w:t>
      </w:r>
      <w:r w:rsidRPr="005C672D">
        <w:rPr>
          <w:color w:val="000000"/>
          <w:sz w:val="24"/>
        </w:rPr>
        <w:t>日（先后）到期。该类交易要求本基金在回购期内持有的证券交易所交易的债券和</w:t>
      </w:r>
      <w:r w:rsidRPr="005C672D">
        <w:rPr>
          <w:color w:val="000000"/>
          <w:sz w:val="24"/>
        </w:rPr>
        <w:t>/</w:t>
      </w:r>
      <w:r w:rsidRPr="005C672D">
        <w:rPr>
          <w:color w:val="000000"/>
          <w:sz w:val="24"/>
        </w:rPr>
        <w:t>或在新质押式回购下转入质押库的债券，按证券交易所规定的比例折算为标准</w:t>
      </w:r>
      <w:proofErr w:type="gramStart"/>
      <w:r w:rsidRPr="005C672D">
        <w:rPr>
          <w:color w:val="000000"/>
          <w:sz w:val="24"/>
        </w:rPr>
        <w:t>券</w:t>
      </w:r>
      <w:proofErr w:type="gramEnd"/>
      <w:r w:rsidRPr="005C672D">
        <w:rPr>
          <w:color w:val="000000"/>
          <w:sz w:val="24"/>
        </w:rPr>
        <w:t>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876,868,585.20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96.71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876,868,585.20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96.71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16,869,954.11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12,967,666.30</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906,706,205.61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Default="00DD0E90" w:rsidP="00AC6DDA">
      <w:pPr>
        <w:tabs>
          <w:tab w:val="left" w:pos="426"/>
        </w:tabs>
        <w:spacing w:before="29" w:line="288" w:lineRule="auto"/>
        <w:jc w:val="left"/>
        <w:rPr>
          <w:kern w:val="0"/>
          <w:sz w:val="24"/>
        </w:rPr>
      </w:pPr>
      <w:r w:rsidRPr="005C672D">
        <w:rPr>
          <w:kern w:val="0"/>
          <w:sz w:val="24"/>
        </w:rPr>
        <w:t>本基金本报告期末未持有股票。</w:t>
      </w:r>
      <w:bookmarkStart w:id="62" w:name="_GoBack"/>
      <w:bookmarkEnd w:id="62"/>
    </w:p>
    <w:p w:rsidR="00EB5155" w:rsidRPr="005C672D" w:rsidRDefault="00EB5155" w:rsidP="00AC6DDA">
      <w:pPr>
        <w:tabs>
          <w:tab w:val="left" w:pos="426"/>
        </w:tabs>
        <w:spacing w:before="29" w:line="288" w:lineRule="auto"/>
        <w:jc w:val="left"/>
        <w:rPr>
          <w:rFonts w:hint="eastAsia"/>
          <w:kern w:val="0"/>
          <w:sz w:val="24"/>
        </w:rPr>
      </w:pPr>
    </w:p>
    <w:p w:rsidR="00785E72"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Start w:id="65" w:name="_Toc331410106"/>
      <w:bookmarkStart w:id="66" w:name="_Toc234814104"/>
      <w:bookmarkEnd w:id="63"/>
      <w:bookmarkEnd w:id="64"/>
    </w:p>
    <w:p w:rsidR="00785E72" w:rsidRDefault="00785E72" w:rsidP="00785E72">
      <w:pPr>
        <w:tabs>
          <w:tab w:val="left" w:pos="426"/>
        </w:tabs>
        <w:spacing w:before="29" w:line="288" w:lineRule="auto"/>
        <w:jc w:val="left"/>
        <w:rPr>
          <w:kern w:val="0"/>
          <w:sz w:val="24"/>
        </w:rPr>
      </w:pPr>
      <w:r w:rsidRPr="00AA61A9">
        <w:rPr>
          <w:rFonts w:hint="eastAsia"/>
          <w:kern w:val="0"/>
          <w:sz w:val="24"/>
        </w:rPr>
        <w:t>本报告期</w:t>
      </w:r>
      <w:r w:rsidRPr="00AA61A9">
        <w:rPr>
          <w:kern w:val="0"/>
          <w:sz w:val="24"/>
        </w:rPr>
        <w:t>内无股票交易。</w:t>
      </w:r>
    </w:p>
    <w:p w:rsidR="00EB5155" w:rsidRPr="00785E72" w:rsidRDefault="00EB5155" w:rsidP="00785E72">
      <w:pPr>
        <w:tabs>
          <w:tab w:val="left" w:pos="426"/>
        </w:tabs>
        <w:spacing w:before="29" w:line="288" w:lineRule="auto"/>
        <w:jc w:val="left"/>
        <w:rPr>
          <w:rFonts w:hint="eastAsia"/>
          <w:kern w:val="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28,106,400.00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28,106,400.00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5.07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196,241,000.00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35.38</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19,946,000.00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3.60</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70,765,000.00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12.76</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7,000,185.20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1.26</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554,810,000.00</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100.02</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876,868,585.20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158.08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966E4F">
        <w:tc>
          <w:tcPr>
            <w:tcW w:w="1320" w:type="dxa"/>
            <w:vAlign w:val="center"/>
          </w:tcPr>
          <w:p w:rsidR="00966E4F" w:rsidRDefault="00A274E2">
            <w:pPr>
              <w:jc w:val="center"/>
            </w:pPr>
            <w:r>
              <w:rPr>
                <w:color w:val="000000"/>
                <w:sz w:val="24"/>
              </w:rPr>
              <w:t>1</w:t>
            </w:r>
          </w:p>
        </w:tc>
        <w:tc>
          <w:tcPr>
            <w:tcW w:w="1382" w:type="dxa"/>
            <w:vAlign w:val="center"/>
          </w:tcPr>
          <w:p w:rsidR="00966E4F" w:rsidRDefault="00A274E2">
            <w:pPr>
              <w:jc w:val="center"/>
            </w:pPr>
            <w:r>
              <w:rPr>
                <w:color w:val="000000"/>
                <w:sz w:val="24"/>
              </w:rPr>
              <w:t>111814035</w:t>
            </w:r>
          </w:p>
        </w:tc>
        <w:tc>
          <w:tcPr>
            <w:tcW w:w="1353" w:type="dxa"/>
            <w:vAlign w:val="center"/>
          </w:tcPr>
          <w:p w:rsidR="00966E4F" w:rsidRDefault="00A274E2">
            <w:pPr>
              <w:jc w:val="center"/>
            </w:pPr>
            <w:r>
              <w:rPr>
                <w:color w:val="000000"/>
                <w:sz w:val="24"/>
              </w:rPr>
              <w:t>18</w:t>
            </w:r>
            <w:r>
              <w:rPr>
                <w:color w:val="000000"/>
                <w:sz w:val="24"/>
              </w:rPr>
              <w:t>江苏银行</w:t>
            </w:r>
            <w:r>
              <w:rPr>
                <w:color w:val="000000"/>
                <w:sz w:val="24"/>
              </w:rPr>
              <w:t>CD035</w:t>
            </w:r>
          </w:p>
        </w:tc>
        <w:tc>
          <w:tcPr>
            <w:tcW w:w="1505" w:type="dxa"/>
            <w:vAlign w:val="center"/>
          </w:tcPr>
          <w:p w:rsidR="00966E4F" w:rsidRDefault="00A274E2">
            <w:pPr>
              <w:jc w:val="right"/>
            </w:pPr>
            <w:r>
              <w:rPr>
                <w:color w:val="000000"/>
                <w:sz w:val="24"/>
              </w:rPr>
              <w:t>1,000,000</w:t>
            </w:r>
          </w:p>
        </w:tc>
        <w:tc>
          <w:tcPr>
            <w:tcW w:w="1737" w:type="dxa"/>
            <w:vAlign w:val="center"/>
          </w:tcPr>
          <w:p w:rsidR="00966E4F" w:rsidRDefault="00A274E2">
            <w:pPr>
              <w:jc w:val="right"/>
            </w:pPr>
            <w:r>
              <w:rPr>
                <w:color w:val="000000"/>
                <w:sz w:val="24"/>
              </w:rPr>
              <w:t>95,650,000.00</w:t>
            </w:r>
          </w:p>
        </w:tc>
        <w:tc>
          <w:tcPr>
            <w:tcW w:w="1701" w:type="dxa"/>
            <w:vAlign w:val="center"/>
          </w:tcPr>
          <w:p w:rsidR="00966E4F" w:rsidRDefault="00A274E2">
            <w:pPr>
              <w:jc w:val="right"/>
            </w:pPr>
            <w:r>
              <w:rPr>
                <w:color w:val="000000"/>
                <w:sz w:val="24"/>
              </w:rPr>
              <w:t>17.24</w:t>
            </w:r>
          </w:p>
        </w:tc>
      </w:tr>
      <w:tr w:rsidR="00966E4F">
        <w:tc>
          <w:tcPr>
            <w:tcW w:w="1320" w:type="dxa"/>
            <w:vAlign w:val="center"/>
          </w:tcPr>
          <w:p w:rsidR="00966E4F" w:rsidRDefault="00A274E2">
            <w:pPr>
              <w:jc w:val="center"/>
            </w:pPr>
            <w:r>
              <w:rPr>
                <w:color w:val="000000"/>
                <w:sz w:val="24"/>
              </w:rPr>
              <w:t>2</w:t>
            </w:r>
          </w:p>
        </w:tc>
        <w:tc>
          <w:tcPr>
            <w:tcW w:w="1382" w:type="dxa"/>
            <w:vAlign w:val="center"/>
          </w:tcPr>
          <w:p w:rsidR="00966E4F" w:rsidRDefault="00A274E2">
            <w:pPr>
              <w:jc w:val="center"/>
            </w:pPr>
            <w:r>
              <w:rPr>
                <w:color w:val="000000"/>
                <w:sz w:val="24"/>
              </w:rPr>
              <w:t>111892033</w:t>
            </w:r>
          </w:p>
        </w:tc>
        <w:tc>
          <w:tcPr>
            <w:tcW w:w="1353" w:type="dxa"/>
            <w:vAlign w:val="center"/>
          </w:tcPr>
          <w:p w:rsidR="00966E4F" w:rsidRDefault="00A274E2">
            <w:pPr>
              <w:jc w:val="center"/>
            </w:pPr>
            <w:r>
              <w:rPr>
                <w:color w:val="000000"/>
                <w:sz w:val="24"/>
              </w:rPr>
              <w:t>18</w:t>
            </w:r>
            <w:r>
              <w:rPr>
                <w:color w:val="000000"/>
                <w:sz w:val="24"/>
              </w:rPr>
              <w:t>宁波银行</w:t>
            </w:r>
            <w:r>
              <w:rPr>
                <w:color w:val="000000"/>
                <w:sz w:val="24"/>
              </w:rPr>
              <w:t>CD032</w:t>
            </w:r>
          </w:p>
        </w:tc>
        <w:tc>
          <w:tcPr>
            <w:tcW w:w="1505" w:type="dxa"/>
            <w:vAlign w:val="center"/>
          </w:tcPr>
          <w:p w:rsidR="00966E4F" w:rsidRDefault="00A274E2">
            <w:pPr>
              <w:jc w:val="right"/>
            </w:pPr>
            <w:r>
              <w:rPr>
                <w:color w:val="000000"/>
                <w:sz w:val="24"/>
              </w:rPr>
              <w:t>1,000,000</w:t>
            </w:r>
          </w:p>
        </w:tc>
        <w:tc>
          <w:tcPr>
            <w:tcW w:w="1737" w:type="dxa"/>
            <w:vAlign w:val="center"/>
          </w:tcPr>
          <w:p w:rsidR="00966E4F" w:rsidRDefault="00A274E2">
            <w:pPr>
              <w:jc w:val="right"/>
            </w:pPr>
            <w:r>
              <w:rPr>
                <w:color w:val="000000"/>
                <w:sz w:val="24"/>
              </w:rPr>
              <w:t>95,620,000.00</w:t>
            </w:r>
          </w:p>
        </w:tc>
        <w:tc>
          <w:tcPr>
            <w:tcW w:w="1701" w:type="dxa"/>
            <w:vAlign w:val="center"/>
          </w:tcPr>
          <w:p w:rsidR="00966E4F" w:rsidRDefault="00A274E2">
            <w:pPr>
              <w:jc w:val="right"/>
            </w:pPr>
            <w:r>
              <w:rPr>
                <w:color w:val="000000"/>
                <w:sz w:val="24"/>
              </w:rPr>
              <w:t>17.24</w:t>
            </w:r>
          </w:p>
        </w:tc>
      </w:tr>
      <w:tr w:rsidR="00966E4F">
        <w:tc>
          <w:tcPr>
            <w:tcW w:w="1320" w:type="dxa"/>
            <w:vAlign w:val="center"/>
          </w:tcPr>
          <w:p w:rsidR="00966E4F" w:rsidRDefault="00A274E2">
            <w:pPr>
              <w:jc w:val="center"/>
            </w:pPr>
            <w:r>
              <w:rPr>
                <w:color w:val="000000"/>
                <w:sz w:val="24"/>
              </w:rPr>
              <w:t>3</w:t>
            </w:r>
          </w:p>
        </w:tc>
        <w:tc>
          <w:tcPr>
            <w:tcW w:w="1382" w:type="dxa"/>
            <w:vAlign w:val="center"/>
          </w:tcPr>
          <w:p w:rsidR="00966E4F" w:rsidRDefault="00A274E2">
            <w:pPr>
              <w:jc w:val="center"/>
            </w:pPr>
            <w:r>
              <w:rPr>
                <w:color w:val="000000"/>
                <w:sz w:val="24"/>
              </w:rPr>
              <w:t>111893071</w:t>
            </w:r>
          </w:p>
        </w:tc>
        <w:tc>
          <w:tcPr>
            <w:tcW w:w="1353" w:type="dxa"/>
            <w:vAlign w:val="center"/>
          </w:tcPr>
          <w:p w:rsidR="00966E4F" w:rsidRDefault="00A274E2">
            <w:pPr>
              <w:jc w:val="center"/>
            </w:pPr>
            <w:r>
              <w:rPr>
                <w:color w:val="000000"/>
                <w:sz w:val="24"/>
              </w:rPr>
              <w:t>18</w:t>
            </w:r>
            <w:r>
              <w:rPr>
                <w:color w:val="000000"/>
                <w:sz w:val="24"/>
              </w:rPr>
              <w:t>杭州银行</w:t>
            </w:r>
            <w:r>
              <w:rPr>
                <w:color w:val="000000"/>
                <w:sz w:val="24"/>
              </w:rPr>
              <w:t>CD011</w:t>
            </w:r>
          </w:p>
        </w:tc>
        <w:tc>
          <w:tcPr>
            <w:tcW w:w="1505" w:type="dxa"/>
            <w:vAlign w:val="center"/>
          </w:tcPr>
          <w:p w:rsidR="00966E4F" w:rsidRDefault="00A274E2">
            <w:pPr>
              <w:jc w:val="right"/>
            </w:pPr>
            <w:r>
              <w:rPr>
                <w:color w:val="000000"/>
                <w:sz w:val="24"/>
              </w:rPr>
              <w:t>1,000,000</w:t>
            </w:r>
          </w:p>
        </w:tc>
        <w:tc>
          <w:tcPr>
            <w:tcW w:w="1737" w:type="dxa"/>
            <w:vAlign w:val="center"/>
          </w:tcPr>
          <w:p w:rsidR="00966E4F" w:rsidRDefault="00A274E2">
            <w:pPr>
              <w:jc w:val="right"/>
            </w:pPr>
            <w:r>
              <w:rPr>
                <w:color w:val="000000"/>
                <w:sz w:val="24"/>
              </w:rPr>
              <w:t>95,620,000.00</w:t>
            </w:r>
          </w:p>
        </w:tc>
        <w:tc>
          <w:tcPr>
            <w:tcW w:w="1701" w:type="dxa"/>
            <w:vAlign w:val="center"/>
          </w:tcPr>
          <w:p w:rsidR="00966E4F" w:rsidRDefault="00A274E2">
            <w:pPr>
              <w:jc w:val="right"/>
            </w:pPr>
            <w:r>
              <w:rPr>
                <w:color w:val="000000"/>
                <w:sz w:val="24"/>
              </w:rPr>
              <w:t>17.24</w:t>
            </w:r>
          </w:p>
        </w:tc>
      </w:tr>
      <w:tr w:rsidR="00966E4F">
        <w:tc>
          <w:tcPr>
            <w:tcW w:w="1320" w:type="dxa"/>
            <w:vAlign w:val="center"/>
          </w:tcPr>
          <w:p w:rsidR="00966E4F" w:rsidRDefault="00A274E2">
            <w:pPr>
              <w:jc w:val="center"/>
            </w:pPr>
            <w:r>
              <w:rPr>
                <w:color w:val="000000"/>
                <w:sz w:val="24"/>
              </w:rPr>
              <w:t>4</w:t>
            </w:r>
          </w:p>
        </w:tc>
        <w:tc>
          <w:tcPr>
            <w:tcW w:w="1382" w:type="dxa"/>
            <w:vAlign w:val="center"/>
          </w:tcPr>
          <w:p w:rsidR="00966E4F" w:rsidRDefault="00A274E2">
            <w:pPr>
              <w:jc w:val="center"/>
            </w:pPr>
            <w:r>
              <w:rPr>
                <w:color w:val="000000"/>
                <w:sz w:val="24"/>
              </w:rPr>
              <w:t>111892484</w:t>
            </w:r>
          </w:p>
        </w:tc>
        <w:tc>
          <w:tcPr>
            <w:tcW w:w="1353" w:type="dxa"/>
            <w:vAlign w:val="center"/>
          </w:tcPr>
          <w:p w:rsidR="00966E4F" w:rsidRDefault="00A274E2">
            <w:pPr>
              <w:jc w:val="center"/>
            </w:pPr>
            <w:r>
              <w:rPr>
                <w:color w:val="000000"/>
                <w:sz w:val="24"/>
              </w:rPr>
              <w:t>18</w:t>
            </w:r>
            <w:r>
              <w:rPr>
                <w:color w:val="000000"/>
                <w:sz w:val="24"/>
              </w:rPr>
              <w:t>广州农村商业银行</w:t>
            </w:r>
            <w:r>
              <w:rPr>
                <w:color w:val="000000"/>
                <w:sz w:val="24"/>
              </w:rPr>
              <w:t>CD001</w:t>
            </w:r>
          </w:p>
        </w:tc>
        <w:tc>
          <w:tcPr>
            <w:tcW w:w="1505" w:type="dxa"/>
            <w:vAlign w:val="center"/>
          </w:tcPr>
          <w:p w:rsidR="00966E4F" w:rsidRDefault="00A274E2">
            <w:pPr>
              <w:jc w:val="right"/>
            </w:pPr>
            <w:r>
              <w:rPr>
                <w:color w:val="000000"/>
                <w:sz w:val="24"/>
              </w:rPr>
              <w:t>1,000,000</w:t>
            </w:r>
          </w:p>
        </w:tc>
        <w:tc>
          <w:tcPr>
            <w:tcW w:w="1737" w:type="dxa"/>
            <w:vAlign w:val="center"/>
          </w:tcPr>
          <w:p w:rsidR="00966E4F" w:rsidRDefault="00A274E2">
            <w:pPr>
              <w:jc w:val="right"/>
            </w:pPr>
            <w:r>
              <w:rPr>
                <w:color w:val="000000"/>
                <w:sz w:val="24"/>
              </w:rPr>
              <w:t>95,600,000.00</w:t>
            </w:r>
          </w:p>
        </w:tc>
        <w:tc>
          <w:tcPr>
            <w:tcW w:w="1701" w:type="dxa"/>
            <w:vAlign w:val="center"/>
          </w:tcPr>
          <w:p w:rsidR="00966E4F" w:rsidRDefault="00A274E2">
            <w:pPr>
              <w:jc w:val="right"/>
            </w:pPr>
            <w:r>
              <w:rPr>
                <w:color w:val="000000"/>
                <w:sz w:val="24"/>
              </w:rPr>
              <w:t>17.23</w:t>
            </w:r>
          </w:p>
        </w:tc>
      </w:tr>
      <w:tr w:rsidR="00966E4F">
        <w:tc>
          <w:tcPr>
            <w:tcW w:w="1320" w:type="dxa"/>
            <w:vAlign w:val="center"/>
          </w:tcPr>
          <w:p w:rsidR="00966E4F" w:rsidRDefault="00A274E2">
            <w:pPr>
              <w:jc w:val="center"/>
            </w:pPr>
            <w:r>
              <w:rPr>
                <w:color w:val="000000"/>
                <w:sz w:val="24"/>
              </w:rPr>
              <w:t>5</w:t>
            </w:r>
          </w:p>
        </w:tc>
        <w:tc>
          <w:tcPr>
            <w:tcW w:w="1382" w:type="dxa"/>
            <w:vAlign w:val="center"/>
          </w:tcPr>
          <w:p w:rsidR="00966E4F" w:rsidRDefault="00A274E2">
            <w:pPr>
              <w:jc w:val="center"/>
            </w:pPr>
            <w:r>
              <w:rPr>
                <w:color w:val="000000"/>
                <w:sz w:val="24"/>
              </w:rPr>
              <w:t>136721</w:t>
            </w:r>
          </w:p>
        </w:tc>
        <w:tc>
          <w:tcPr>
            <w:tcW w:w="1353" w:type="dxa"/>
            <w:vAlign w:val="center"/>
          </w:tcPr>
          <w:p w:rsidR="00966E4F" w:rsidRDefault="00A274E2">
            <w:pPr>
              <w:jc w:val="center"/>
            </w:pPr>
            <w:r>
              <w:rPr>
                <w:color w:val="000000"/>
                <w:sz w:val="24"/>
              </w:rPr>
              <w:t>16</w:t>
            </w:r>
            <w:r>
              <w:rPr>
                <w:color w:val="000000"/>
                <w:sz w:val="24"/>
              </w:rPr>
              <w:t>石化</w:t>
            </w:r>
            <w:r>
              <w:rPr>
                <w:color w:val="000000"/>
                <w:sz w:val="24"/>
              </w:rPr>
              <w:t>01</w:t>
            </w:r>
          </w:p>
        </w:tc>
        <w:tc>
          <w:tcPr>
            <w:tcW w:w="1505" w:type="dxa"/>
            <w:vAlign w:val="center"/>
          </w:tcPr>
          <w:p w:rsidR="00966E4F" w:rsidRDefault="00A274E2">
            <w:pPr>
              <w:jc w:val="right"/>
            </w:pPr>
            <w:r>
              <w:rPr>
                <w:color w:val="000000"/>
                <w:sz w:val="24"/>
              </w:rPr>
              <w:t>500,000</w:t>
            </w:r>
          </w:p>
        </w:tc>
        <w:tc>
          <w:tcPr>
            <w:tcW w:w="1737" w:type="dxa"/>
            <w:vAlign w:val="center"/>
          </w:tcPr>
          <w:p w:rsidR="00966E4F" w:rsidRDefault="00A274E2">
            <w:pPr>
              <w:jc w:val="right"/>
            </w:pPr>
            <w:r>
              <w:rPr>
                <w:color w:val="000000"/>
                <w:sz w:val="24"/>
              </w:rPr>
              <w:t>48,965,000.00</w:t>
            </w:r>
          </w:p>
        </w:tc>
        <w:tc>
          <w:tcPr>
            <w:tcW w:w="1701" w:type="dxa"/>
            <w:vAlign w:val="center"/>
          </w:tcPr>
          <w:p w:rsidR="00966E4F" w:rsidRDefault="00A274E2">
            <w:pPr>
              <w:jc w:val="right"/>
            </w:pPr>
            <w:r>
              <w:rPr>
                <w:color w:val="000000"/>
                <w:sz w:val="24"/>
              </w:rPr>
              <w:t>8.83</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w:t>
      </w:r>
      <w:r w:rsidRPr="005C672D">
        <w:rPr>
          <w:color w:val="000000"/>
          <w:sz w:val="24"/>
        </w:rPr>
        <w:t>18</w:t>
      </w:r>
      <w:r w:rsidRPr="005C672D">
        <w:rPr>
          <w:color w:val="000000"/>
          <w:sz w:val="24"/>
        </w:rPr>
        <w:t>南京银行</w:t>
      </w:r>
      <w:r w:rsidRPr="005C672D">
        <w:rPr>
          <w:color w:val="000000"/>
          <w:sz w:val="24"/>
        </w:rPr>
        <w:t>CD027</w:t>
      </w:r>
      <w:r w:rsidRPr="005C672D">
        <w:rPr>
          <w:color w:val="000000"/>
          <w:sz w:val="24"/>
        </w:rPr>
        <w:t>（证券代码：</w:t>
      </w:r>
      <w:r w:rsidRPr="005C672D">
        <w:rPr>
          <w:color w:val="000000"/>
          <w:sz w:val="24"/>
        </w:rPr>
        <w:t>111892301</w:t>
      </w:r>
      <w:r w:rsidRPr="005C672D">
        <w:rPr>
          <w:color w:val="000000"/>
          <w:sz w:val="24"/>
        </w:rPr>
        <w:t>）、</w:t>
      </w:r>
      <w:r w:rsidRPr="005C672D">
        <w:rPr>
          <w:color w:val="000000"/>
          <w:sz w:val="24"/>
        </w:rPr>
        <w:t>18</w:t>
      </w:r>
      <w:r w:rsidRPr="005C672D">
        <w:rPr>
          <w:color w:val="000000"/>
          <w:sz w:val="24"/>
        </w:rPr>
        <w:t>南京银行</w:t>
      </w:r>
      <w:r w:rsidRPr="005C672D">
        <w:rPr>
          <w:color w:val="000000"/>
          <w:sz w:val="24"/>
        </w:rPr>
        <w:t>CD033</w:t>
      </w:r>
      <w:r w:rsidRPr="005C672D">
        <w:rPr>
          <w:color w:val="000000"/>
          <w:sz w:val="24"/>
        </w:rPr>
        <w:t>（证券代码：</w:t>
      </w:r>
      <w:r w:rsidRPr="005C672D">
        <w:rPr>
          <w:color w:val="000000"/>
          <w:sz w:val="24"/>
        </w:rPr>
        <w:t>111892638</w:t>
      </w:r>
      <w:r w:rsidRPr="005C672D">
        <w:rPr>
          <w:color w:val="000000"/>
          <w:sz w:val="24"/>
        </w:rPr>
        <w:t>）外，未出现被监管部门立案调查，或在报告编制日前一年内受到公开谴责、处罚的情形。</w:t>
      </w:r>
    </w:p>
    <w:p w:rsidR="00966E4F" w:rsidRDefault="00A274E2">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CD027</w:t>
      </w:r>
      <w:r>
        <w:rPr>
          <w:color w:val="000000"/>
          <w:sz w:val="24"/>
        </w:rPr>
        <w:t>（证券代码：</w:t>
      </w:r>
      <w:r>
        <w:rPr>
          <w:color w:val="000000"/>
          <w:sz w:val="24"/>
        </w:rPr>
        <w:t>111892301</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966E4F" w:rsidRDefault="00A274E2">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CD033</w:t>
      </w:r>
      <w:r>
        <w:rPr>
          <w:color w:val="000000"/>
          <w:sz w:val="24"/>
        </w:rPr>
        <w:t>（证券代码：</w:t>
      </w:r>
      <w:r>
        <w:rPr>
          <w:color w:val="000000"/>
          <w:sz w:val="24"/>
        </w:rPr>
        <w:t>111892638</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w:t>
      </w:r>
      <w:proofErr w:type="gramStart"/>
      <w:r>
        <w:rPr>
          <w:color w:val="000000"/>
          <w:sz w:val="24"/>
        </w:rPr>
        <w:t>监罚决</w:t>
      </w:r>
      <w:proofErr w:type="gramEnd"/>
      <w:r>
        <w:rPr>
          <w:color w:val="000000"/>
          <w:sz w:val="24"/>
        </w:rPr>
        <w:t>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966E4F" w:rsidRDefault="00A274E2">
      <w:pPr>
        <w:spacing w:before="29" w:line="288" w:lineRule="auto"/>
        <w:rPr>
          <w:color w:val="000000"/>
          <w:sz w:val="24"/>
        </w:rPr>
      </w:pPr>
      <w:r>
        <w:rPr>
          <w:color w:val="000000"/>
          <w:sz w:val="24"/>
        </w:rPr>
        <w:t>本基金管理人对上述证券投资决策程序的说明如下：本基金管理人对证券投资特别是重仓</w:t>
      </w:r>
      <w:proofErr w:type="gramStart"/>
      <w:r>
        <w:rPr>
          <w:color w:val="000000"/>
          <w:sz w:val="24"/>
        </w:rPr>
        <w:t>个券</w:t>
      </w:r>
      <w:proofErr w:type="gramEnd"/>
      <w:r>
        <w:rPr>
          <w:color w:val="000000"/>
          <w:sz w:val="24"/>
        </w:rPr>
        <w:t>的投资有严格的投资决策流程控制。本基金在对上述证券的投资也严格执行投资决策流程。在对上述证券的选择上，严格执行公司</w:t>
      </w:r>
      <w:proofErr w:type="gramStart"/>
      <w:r>
        <w:rPr>
          <w:color w:val="000000"/>
          <w:sz w:val="24"/>
        </w:rPr>
        <w:t>个券</w:t>
      </w:r>
      <w:proofErr w:type="gramEnd"/>
      <w:r>
        <w:rPr>
          <w:color w:val="000000"/>
          <w:sz w:val="24"/>
        </w:rPr>
        <w:t>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5,110.25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12,962,296.36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259.69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12,967,666.30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966E4F">
        <w:tc>
          <w:tcPr>
            <w:tcW w:w="1911" w:type="dxa"/>
            <w:vAlign w:val="center"/>
          </w:tcPr>
          <w:p w:rsidR="00966E4F" w:rsidRDefault="00A274E2">
            <w:pPr>
              <w:jc w:val="center"/>
            </w:pPr>
            <w:r>
              <w:rPr>
                <w:color w:val="000000"/>
                <w:sz w:val="24"/>
              </w:rPr>
              <w:t>1</w:t>
            </w:r>
          </w:p>
        </w:tc>
        <w:tc>
          <w:tcPr>
            <w:tcW w:w="1828" w:type="dxa"/>
            <w:vAlign w:val="center"/>
          </w:tcPr>
          <w:p w:rsidR="00966E4F" w:rsidRDefault="00A274E2">
            <w:pPr>
              <w:jc w:val="center"/>
            </w:pPr>
            <w:r>
              <w:rPr>
                <w:color w:val="000000"/>
                <w:sz w:val="24"/>
              </w:rPr>
              <w:t>113011</w:t>
            </w:r>
          </w:p>
        </w:tc>
        <w:tc>
          <w:tcPr>
            <w:tcW w:w="1752" w:type="dxa"/>
            <w:vAlign w:val="center"/>
          </w:tcPr>
          <w:p w:rsidR="00966E4F" w:rsidRDefault="00A274E2">
            <w:pPr>
              <w:jc w:val="center"/>
            </w:pPr>
            <w:r>
              <w:rPr>
                <w:color w:val="000000"/>
                <w:sz w:val="24"/>
              </w:rPr>
              <w:t>光大转债</w:t>
            </w:r>
          </w:p>
        </w:tc>
        <w:tc>
          <w:tcPr>
            <w:tcW w:w="1794" w:type="dxa"/>
            <w:vAlign w:val="center"/>
          </w:tcPr>
          <w:p w:rsidR="00966E4F" w:rsidRDefault="00A274E2">
            <w:pPr>
              <w:jc w:val="right"/>
            </w:pPr>
            <w:r>
              <w:rPr>
                <w:color w:val="000000"/>
                <w:sz w:val="24"/>
              </w:rPr>
              <w:t>5,072,985.20</w:t>
            </w:r>
          </w:p>
        </w:tc>
        <w:tc>
          <w:tcPr>
            <w:tcW w:w="1713" w:type="dxa"/>
            <w:vAlign w:val="center"/>
          </w:tcPr>
          <w:p w:rsidR="00966E4F" w:rsidRDefault="00A274E2">
            <w:pPr>
              <w:jc w:val="right"/>
            </w:pPr>
            <w:r>
              <w:rPr>
                <w:color w:val="000000"/>
                <w:sz w:val="24"/>
              </w:rPr>
              <w:t>0.91</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本基金本报告期末未持有股票。</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FC3E13" w:rsidRPr="005C672D" w:rsidTr="00FC3E1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66E4F" w:rsidRDefault="00A274E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FC3E13" w:rsidRPr="005C672D" w:rsidTr="00FC3E1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66E4F" w:rsidRDefault="00966E4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FC3E13" w:rsidRPr="005C672D" w:rsidTr="00FC3E1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66E4F" w:rsidRDefault="00966E4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FC3E13" w:rsidRPr="005C672D" w:rsidTr="00FC3E1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66E4F" w:rsidRDefault="00A274E2">
            <w:pPr>
              <w:jc w:val="center"/>
            </w:pPr>
            <w:r>
              <w:rPr>
                <w:bCs/>
                <w:color w:val="000000"/>
                <w:sz w:val="24"/>
              </w:rPr>
              <w:t>3,896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136,789.26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532,930,967.97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310,586.65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0.06%</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2013</w:t>
            </w:r>
            <w:r w:rsidRPr="005C672D">
              <w:rPr>
                <w:sz w:val="24"/>
              </w:rPr>
              <w:t>年</w:t>
            </w:r>
            <w:r w:rsidRPr="005C672D">
              <w:rPr>
                <w:sz w:val="24"/>
              </w:rPr>
              <w:t>4</w:t>
            </w:r>
            <w:r w:rsidRPr="005C672D">
              <w:rPr>
                <w:sz w:val="24"/>
              </w:rPr>
              <w:t>月</w:t>
            </w:r>
            <w:r w:rsidRPr="005C672D">
              <w:rPr>
                <w:sz w:val="24"/>
              </w:rPr>
              <w:t>24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744,437,272.39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682,553,276.26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5,120,779.05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154,743,087.34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532,930,967.97</w:t>
            </w:r>
          </w:p>
        </w:tc>
      </w:tr>
    </w:tbl>
    <w:p w:rsidR="00966E4F" w:rsidRDefault="00A274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966E4F" w:rsidRDefault="00A274E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966E4F" w:rsidRDefault="00A274E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66E4F" w:rsidRDefault="00A274E2">
      <w:pPr>
        <w:tabs>
          <w:tab w:val="left" w:pos="426"/>
        </w:tabs>
        <w:spacing w:before="29" w:line="288" w:lineRule="auto"/>
        <w:jc w:val="left"/>
        <w:rPr>
          <w:kern w:val="0"/>
          <w:sz w:val="24"/>
        </w:rPr>
      </w:pPr>
      <w:r>
        <w:rPr>
          <w:kern w:val="0"/>
          <w:sz w:val="24"/>
        </w:rPr>
        <w:t>基金管理人及其高级管理人员本报告期内未受监管部门稽查或处罚。</w:t>
      </w:r>
    </w:p>
    <w:p w:rsidR="00966E4F" w:rsidRDefault="00A274E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966E4F">
        <w:tc>
          <w:tcPr>
            <w:tcW w:w="1559" w:type="dxa"/>
            <w:vAlign w:val="center"/>
          </w:tcPr>
          <w:p w:rsidR="00966E4F" w:rsidRDefault="00A274E2">
            <w:pPr>
              <w:jc w:val="center"/>
            </w:pPr>
            <w:r>
              <w:rPr>
                <w:color w:val="000000"/>
                <w:sz w:val="24"/>
              </w:rPr>
              <w:t>西部证券股份有限公司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光大证券股份有限公司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华泰证券股份有限公司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华</w:t>
            </w:r>
            <w:proofErr w:type="gramStart"/>
            <w:r>
              <w:rPr>
                <w:color w:val="000000"/>
                <w:sz w:val="24"/>
              </w:rPr>
              <w:t>宝证券</w:t>
            </w:r>
            <w:proofErr w:type="gramEnd"/>
            <w:r>
              <w:rPr>
                <w:color w:val="000000"/>
                <w:sz w:val="24"/>
              </w:rPr>
              <w:t>有限责任公司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天风证券股份有限公司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长江证券股份有限公司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瑞银证券有限责任公司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兴业证券股份有限公司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招商证券股份有限公司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中国国际金融股份有限公司</w:t>
            </w:r>
          </w:p>
        </w:tc>
        <w:tc>
          <w:tcPr>
            <w:tcW w:w="779" w:type="dxa"/>
            <w:vAlign w:val="center"/>
          </w:tcPr>
          <w:p w:rsidR="00966E4F" w:rsidRDefault="00A274E2">
            <w:pPr>
              <w:jc w:val="center"/>
            </w:pPr>
            <w:r>
              <w:rPr>
                <w:color w:val="000000"/>
                <w:sz w:val="24"/>
              </w:rPr>
              <w:t>3</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中信证券股份有限公司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渤海证券股份有限公司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proofErr w:type="gramStart"/>
            <w:r>
              <w:rPr>
                <w:color w:val="000000"/>
                <w:sz w:val="24"/>
              </w:rPr>
              <w:t>川财证券</w:t>
            </w:r>
            <w:proofErr w:type="gramEnd"/>
            <w:r>
              <w:rPr>
                <w:color w:val="000000"/>
                <w:sz w:val="24"/>
              </w:rPr>
              <w:t>有限责任公司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东方证券股份有限公司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东海证券股份有限公司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华西证券股份有限公司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民生证券股份有限公司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九州证券股份有限公司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proofErr w:type="gramStart"/>
            <w:r>
              <w:rPr>
                <w:color w:val="000000"/>
                <w:sz w:val="24"/>
              </w:rPr>
              <w:t>申万宏源证券</w:t>
            </w:r>
            <w:proofErr w:type="gramEnd"/>
            <w:r>
              <w:rPr>
                <w:color w:val="000000"/>
                <w:sz w:val="24"/>
              </w:rPr>
              <w:t>有限公司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上海华信证券有限责任公司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广发证券股份有限公司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国联证券股份有限公司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国泰君安证券股份有限公司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国信证券股份有限公司</w:t>
            </w:r>
          </w:p>
        </w:tc>
        <w:tc>
          <w:tcPr>
            <w:tcW w:w="779" w:type="dxa"/>
            <w:vAlign w:val="center"/>
          </w:tcPr>
          <w:p w:rsidR="00966E4F" w:rsidRDefault="00A274E2">
            <w:pPr>
              <w:jc w:val="center"/>
            </w:pPr>
            <w:r>
              <w:rPr>
                <w:color w:val="000000"/>
                <w:sz w:val="24"/>
              </w:rPr>
              <w:t>2</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东北证券股份有限公司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海通证券股份有限公司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宏信证券有限责任公司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东兴证券股份有限公司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方正证券股份有限公司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北京高华证券有限责任公司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平安证券股份有限公司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proofErr w:type="gramStart"/>
            <w:r>
              <w:rPr>
                <w:color w:val="000000"/>
                <w:sz w:val="24"/>
              </w:rPr>
              <w:t>国融证券</w:t>
            </w:r>
            <w:proofErr w:type="gramEnd"/>
            <w:r>
              <w:rPr>
                <w:color w:val="000000"/>
                <w:sz w:val="24"/>
              </w:rPr>
              <w:t>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西南证券股份有限公司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r w:rsidR="00966E4F">
        <w:tc>
          <w:tcPr>
            <w:tcW w:w="1559" w:type="dxa"/>
            <w:vAlign w:val="center"/>
          </w:tcPr>
          <w:p w:rsidR="00966E4F" w:rsidRDefault="00A274E2">
            <w:pPr>
              <w:jc w:val="center"/>
            </w:pPr>
            <w:r>
              <w:rPr>
                <w:color w:val="000000"/>
                <w:sz w:val="24"/>
              </w:rPr>
              <w:t>新时代证券股份有限公司</w:t>
            </w:r>
          </w:p>
        </w:tc>
        <w:tc>
          <w:tcPr>
            <w:tcW w:w="779" w:type="dxa"/>
            <w:vAlign w:val="center"/>
          </w:tcPr>
          <w:p w:rsidR="00966E4F" w:rsidRDefault="00A274E2">
            <w:pPr>
              <w:jc w:val="center"/>
            </w:pPr>
            <w:r>
              <w:rPr>
                <w:color w:val="000000"/>
                <w:sz w:val="24"/>
              </w:rPr>
              <w:t>1</w:t>
            </w:r>
          </w:p>
        </w:tc>
        <w:tc>
          <w:tcPr>
            <w:tcW w:w="180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620" w:type="dxa"/>
            <w:vAlign w:val="center"/>
          </w:tcPr>
          <w:p w:rsidR="00966E4F" w:rsidRDefault="00A274E2">
            <w:pPr>
              <w:jc w:val="right"/>
            </w:pPr>
            <w:r>
              <w:rPr>
                <w:color w:val="000000"/>
                <w:sz w:val="24"/>
              </w:rPr>
              <w:t>-</w:t>
            </w:r>
          </w:p>
        </w:tc>
        <w:tc>
          <w:tcPr>
            <w:tcW w:w="1080" w:type="dxa"/>
            <w:vAlign w:val="center"/>
          </w:tcPr>
          <w:p w:rsidR="00966E4F" w:rsidRDefault="00A274E2">
            <w:pPr>
              <w:jc w:val="right"/>
            </w:pPr>
            <w:r>
              <w:rPr>
                <w:color w:val="000000"/>
                <w:sz w:val="24"/>
              </w:rPr>
              <w:t>-</w:t>
            </w:r>
          </w:p>
        </w:tc>
        <w:tc>
          <w:tcPr>
            <w:tcW w:w="1080" w:type="dxa"/>
            <w:vAlign w:val="center"/>
          </w:tcPr>
          <w:p w:rsidR="00966E4F" w:rsidRDefault="00A274E2">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FC3E13" w:rsidRPr="005312D8" w:rsidTr="006D7DD7">
        <w:tc>
          <w:tcPr>
            <w:tcW w:w="1560" w:type="dxa"/>
            <w:vMerge w:val="restart"/>
            <w:vAlign w:val="center"/>
          </w:tcPr>
          <w:p w:rsidR="00FC3E13" w:rsidRPr="005312D8" w:rsidRDefault="00FC3E13" w:rsidP="006D7DD7">
            <w:pPr>
              <w:spacing w:line="276" w:lineRule="auto"/>
              <w:jc w:val="center"/>
              <w:rPr>
                <w:rFonts w:eastAsiaTheme="minorEastAsia"/>
                <w:kern w:val="0"/>
                <w:sz w:val="24"/>
              </w:rPr>
            </w:pPr>
            <w:bookmarkStart w:id="136" w:name="_Toc331410125"/>
            <w:r w:rsidRPr="005312D8">
              <w:rPr>
                <w:rFonts w:eastAsiaTheme="minorEastAsia"/>
                <w:sz w:val="24"/>
              </w:rPr>
              <w:t>券商名称</w:t>
            </w:r>
          </w:p>
        </w:tc>
        <w:tc>
          <w:tcPr>
            <w:tcW w:w="2400" w:type="dxa"/>
            <w:gridSpan w:val="2"/>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权证交易</w:t>
            </w:r>
          </w:p>
        </w:tc>
      </w:tr>
      <w:tr w:rsidR="00FC3E13" w:rsidRPr="005312D8" w:rsidTr="006D7DD7">
        <w:tc>
          <w:tcPr>
            <w:tcW w:w="1560" w:type="dxa"/>
            <w:vMerge/>
            <w:vAlign w:val="center"/>
          </w:tcPr>
          <w:p w:rsidR="00FC3E13" w:rsidRPr="005312D8" w:rsidRDefault="00FC3E13" w:rsidP="006D7DD7">
            <w:pPr>
              <w:widowControl/>
              <w:spacing w:line="276" w:lineRule="auto"/>
              <w:jc w:val="left"/>
              <w:rPr>
                <w:rFonts w:eastAsiaTheme="minorEastAsia"/>
                <w:kern w:val="0"/>
                <w:sz w:val="24"/>
              </w:rPr>
            </w:pPr>
          </w:p>
        </w:tc>
        <w:tc>
          <w:tcPr>
            <w:tcW w:w="1320" w:type="dxa"/>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FC3E13" w:rsidRPr="005312D8" w:rsidRDefault="00FC3E13" w:rsidP="006D7DD7">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FC3E13" w:rsidTr="006D7DD7">
        <w:tc>
          <w:tcPr>
            <w:tcW w:w="1560" w:type="dxa"/>
            <w:vAlign w:val="center"/>
          </w:tcPr>
          <w:p w:rsidR="00FC3E13" w:rsidRDefault="00FC3E13" w:rsidP="006D7DD7">
            <w:pPr>
              <w:jc w:val="left"/>
            </w:pPr>
            <w:r>
              <w:rPr>
                <w:rFonts w:eastAsiaTheme="minorEastAsia"/>
                <w:sz w:val="24"/>
              </w:rPr>
              <w:t>西部证券股份有限公司</w:t>
            </w:r>
          </w:p>
        </w:tc>
        <w:tc>
          <w:tcPr>
            <w:tcW w:w="1320" w:type="dxa"/>
            <w:vAlign w:val="center"/>
          </w:tcPr>
          <w:p w:rsidR="00FC3E13" w:rsidRDefault="00FC3E13" w:rsidP="006D7DD7">
            <w:pPr>
              <w:jc w:val="right"/>
            </w:pPr>
            <w:r>
              <w:rPr>
                <w:rFonts w:eastAsiaTheme="minorEastAsia"/>
                <w:sz w:val="24"/>
              </w:rPr>
              <w:t>9,117,220.01</w:t>
            </w:r>
          </w:p>
        </w:tc>
        <w:tc>
          <w:tcPr>
            <w:tcW w:w="1080" w:type="dxa"/>
            <w:vAlign w:val="center"/>
          </w:tcPr>
          <w:p w:rsidR="00FC3E13" w:rsidRDefault="00FC3E13" w:rsidP="006D7DD7">
            <w:pPr>
              <w:jc w:val="right"/>
            </w:pPr>
            <w:r>
              <w:rPr>
                <w:rFonts w:eastAsiaTheme="minorEastAsia"/>
                <w:sz w:val="24"/>
              </w:rPr>
              <w:t>9.29%</w:t>
            </w:r>
          </w:p>
        </w:tc>
        <w:tc>
          <w:tcPr>
            <w:tcW w:w="1143" w:type="dxa"/>
            <w:vAlign w:val="center"/>
          </w:tcPr>
          <w:p w:rsidR="00FC3E13" w:rsidRDefault="00FC3E13" w:rsidP="006D7DD7">
            <w:pPr>
              <w:jc w:val="right"/>
            </w:pPr>
            <w:r>
              <w:rPr>
                <w:rFonts w:eastAsiaTheme="minorEastAsia"/>
                <w:sz w:val="24"/>
              </w:rPr>
              <w:t>2,000,000.00</w:t>
            </w:r>
          </w:p>
        </w:tc>
        <w:tc>
          <w:tcPr>
            <w:tcW w:w="1197" w:type="dxa"/>
            <w:vAlign w:val="center"/>
          </w:tcPr>
          <w:p w:rsidR="00FC3E13" w:rsidRDefault="00FC3E13" w:rsidP="006D7DD7">
            <w:pPr>
              <w:jc w:val="right"/>
            </w:pPr>
            <w:r>
              <w:rPr>
                <w:rFonts w:eastAsiaTheme="minorEastAsia"/>
                <w:sz w:val="24"/>
              </w:rPr>
              <w:t>0.01%</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光大证券股份有限公司</w:t>
            </w:r>
          </w:p>
        </w:tc>
        <w:tc>
          <w:tcPr>
            <w:tcW w:w="1320" w:type="dxa"/>
            <w:vAlign w:val="center"/>
          </w:tcPr>
          <w:p w:rsidR="00FC3E13" w:rsidRDefault="00FC3E13" w:rsidP="006D7DD7">
            <w:pPr>
              <w:jc w:val="right"/>
            </w:pPr>
            <w:r>
              <w:rPr>
                <w:rFonts w:eastAsiaTheme="minorEastAsia"/>
                <w:sz w:val="24"/>
              </w:rPr>
              <w:t>8,036,134.52</w:t>
            </w:r>
          </w:p>
        </w:tc>
        <w:tc>
          <w:tcPr>
            <w:tcW w:w="1080" w:type="dxa"/>
            <w:vAlign w:val="center"/>
          </w:tcPr>
          <w:p w:rsidR="00FC3E13" w:rsidRDefault="00FC3E13" w:rsidP="006D7DD7">
            <w:pPr>
              <w:jc w:val="right"/>
            </w:pPr>
            <w:r>
              <w:rPr>
                <w:rFonts w:eastAsiaTheme="minorEastAsia"/>
                <w:sz w:val="24"/>
              </w:rPr>
              <w:t>8.19%</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华泰证券股份有限公司</w:t>
            </w:r>
          </w:p>
        </w:tc>
        <w:tc>
          <w:tcPr>
            <w:tcW w:w="1320" w:type="dxa"/>
            <w:vAlign w:val="center"/>
          </w:tcPr>
          <w:p w:rsidR="00FC3E13" w:rsidRDefault="00FC3E13" w:rsidP="006D7DD7">
            <w:pPr>
              <w:jc w:val="right"/>
            </w:pPr>
            <w:r>
              <w:rPr>
                <w:rFonts w:eastAsiaTheme="minorEastAsia"/>
                <w:sz w:val="24"/>
              </w:rPr>
              <w:t>536,355.19</w:t>
            </w:r>
          </w:p>
        </w:tc>
        <w:tc>
          <w:tcPr>
            <w:tcW w:w="1080" w:type="dxa"/>
            <w:vAlign w:val="center"/>
          </w:tcPr>
          <w:p w:rsidR="00FC3E13" w:rsidRDefault="00FC3E13" w:rsidP="006D7DD7">
            <w:pPr>
              <w:jc w:val="right"/>
            </w:pPr>
            <w:r>
              <w:rPr>
                <w:rFonts w:eastAsiaTheme="minorEastAsia"/>
                <w:sz w:val="24"/>
              </w:rPr>
              <w:t>0.55%</w:t>
            </w:r>
          </w:p>
        </w:tc>
        <w:tc>
          <w:tcPr>
            <w:tcW w:w="1143" w:type="dxa"/>
            <w:vAlign w:val="center"/>
          </w:tcPr>
          <w:p w:rsidR="00FC3E13" w:rsidRDefault="00FC3E13" w:rsidP="006D7DD7">
            <w:pPr>
              <w:jc w:val="right"/>
            </w:pPr>
            <w:r>
              <w:rPr>
                <w:rFonts w:eastAsiaTheme="minorEastAsia"/>
                <w:sz w:val="24"/>
              </w:rPr>
              <w:t>1,336,500,000.00</w:t>
            </w:r>
          </w:p>
        </w:tc>
        <w:tc>
          <w:tcPr>
            <w:tcW w:w="1197" w:type="dxa"/>
            <w:vAlign w:val="center"/>
          </w:tcPr>
          <w:p w:rsidR="00FC3E13" w:rsidRDefault="00FC3E13" w:rsidP="006D7DD7">
            <w:pPr>
              <w:jc w:val="right"/>
            </w:pPr>
            <w:r>
              <w:rPr>
                <w:rFonts w:eastAsiaTheme="minorEastAsia"/>
                <w:sz w:val="24"/>
              </w:rPr>
              <w:t>7.68%</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华</w:t>
            </w:r>
            <w:proofErr w:type="gramStart"/>
            <w:r>
              <w:rPr>
                <w:rFonts w:eastAsiaTheme="minorEastAsia"/>
                <w:sz w:val="24"/>
              </w:rPr>
              <w:t>宝证券</w:t>
            </w:r>
            <w:proofErr w:type="gramEnd"/>
            <w:r>
              <w:rPr>
                <w:rFonts w:eastAsiaTheme="minorEastAsia"/>
                <w:sz w:val="24"/>
              </w:rPr>
              <w:t>有限责任公司</w:t>
            </w:r>
          </w:p>
        </w:tc>
        <w:tc>
          <w:tcPr>
            <w:tcW w:w="1320" w:type="dxa"/>
            <w:vAlign w:val="center"/>
          </w:tcPr>
          <w:p w:rsidR="00FC3E13" w:rsidRDefault="00FC3E13" w:rsidP="006D7DD7">
            <w:pPr>
              <w:jc w:val="right"/>
            </w:pPr>
            <w:r>
              <w:rPr>
                <w:rFonts w:eastAsiaTheme="minorEastAsia"/>
                <w:sz w:val="24"/>
              </w:rPr>
              <w:t>501,600.00</w:t>
            </w:r>
          </w:p>
        </w:tc>
        <w:tc>
          <w:tcPr>
            <w:tcW w:w="1080" w:type="dxa"/>
            <w:vAlign w:val="center"/>
          </w:tcPr>
          <w:p w:rsidR="00FC3E13" w:rsidRDefault="00FC3E13" w:rsidP="006D7DD7">
            <w:pPr>
              <w:jc w:val="right"/>
            </w:pPr>
            <w:r>
              <w:rPr>
                <w:rFonts w:eastAsiaTheme="minorEastAsia"/>
                <w:sz w:val="24"/>
              </w:rPr>
              <w:t>0.51%</w:t>
            </w:r>
          </w:p>
        </w:tc>
        <w:tc>
          <w:tcPr>
            <w:tcW w:w="1143" w:type="dxa"/>
            <w:vAlign w:val="center"/>
          </w:tcPr>
          <w:p w:rsidR="00FC3E13" w:rsidRDefault="00FC3E13" w:rsidP="006D7DD7">
            <w:pPr>
              <w:jc w:val="right"/>
            </w:pPr>
            <w:r>
              <w:rPr>
                <w:rFonts w:eastAsiaTheme="minorEastAsia"/>
                <w:sz w:val="24"/>
              </w:rPr>
              <w:t>438,500,000.00</w:t>
            </w:r>
          </w:p>
        </w:tc>
        <w:tc>
          <w:tcPr>
            <w:tcW w:w="1197" w:type="dxa"/>
            <w:vAlign w:val="center"/>
          </w:tcPr>
          <w:p w:rsidR="00FC3E13" w:rsidRDefault="00FC3E13" w:rsidP="006D7DD7">
            <w:pPr>
              <w:jc w:val="right"/>
            </w:pPr>
            <w:r>
              <w:rPr>
                <w:rFonts w:eastAsiaTheme="minorEastAsia"/>
                <w:sz w:val="24"/>
              </w:rPr>
              <w:t>2.52%</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天风证券股份有限公司</w:t>
            </w:r>
          </w:p>
        </w:tc>
        <w:tc>
          <w:tcPr>
            <w:tcW w:w="1320" w:type="dxa"/>
            <w:vAlign w:val="center"/>
          </w:tcPr>
          <w:p w:rsidR="00FC3E13" w:rsidRDefault="00FC3E13" w:rsidP="006D7DD7">
            <w:pPr>
              <w:jc w:val="right"/>
            </w:pPr>
            <w:r>
              <w:rPr>
                <w:rFonts w:eastAsiaTheme="minorEastAsia"/>
                <w:sz w:val="24"/>
              </w:rPr>
              <w:t>34,040,393.41</w:t>
            </w:r>
          </w:p>
        </w:tc>
        <w:tc>
          <w:tcPr>
            <w:tcW w:w="1080" w:type="dxa"/>
            <w:vAlign w:val="center"/>
          </w:tcPr>
          <w:p w:rsidR="00FC3E13" w:rsidRDefault="00FC3E13" w:rsidP="006D7DD7">
            <w:pPr>
              <w:jc w:val="right"/>
            </w:pPr>
            <w:r>
              <w:rPr>
                <w:rFonts w:eastAsiaTheme="minorEastAsia"/>
                <w:sz w:val="24"/>
              </w:rPr>
              <w:t>34.68%</w:t>
            </w:r>
          </w:p>
        </w:tc>
        <w:tc>
          <w:tcPr>
            <w:tcW w:w="1143" w:type="dxa"/>
            <w:vAlign w:val="center"/>
          </w:tcPr>
          <w:p w:rsidR="00FC3E13" w:rsidRDefault="00FC3E13" w:rsidP="006D7DD7">
            <w:pPr>
              <w:jc w:val="right"/>
            </w:pPr>
            <w:r>
              <w:rPr>
                <w:rFonts w:eastAsiaTheme="minorEastAsia"/>
                <w:sz w:val="24"/>
              </w:rPr>
              <w:t>4,840,500,000.00</w:t>
            </w:r>
          </w:p>
        </w:tc>
        <w:tc>
          <w:tcPr>
            <w:tcW w:w="1197" w:type="dxa"/>
            <w:vAlign w:val="center"/>
          </w:tcPr>
          <w:p w:rsidR="00FC3E13" w:rsidRDefault="00FC3E13" w:rsidP="006D7DD7">
            <w:pPr>
              <w:jc w:val="right"/>
            </w:pPr>
            <w:r>
              <w:rPr>
                <w:rFonts w:eastAsiaTheme="minorEastAsia"/>
                <w:sz w:val="24"/>
              </w:rPr>
              <w:t>27.81%</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长江证券股份有限公司</w:t>
            </w:r>
          </w:p>
        </w:tc>
        <w:tc>
          <w:tcPr>
            <w:tcW w:w="1320" w:type="dxa"/>
            <w:vAlign w:val="center"/>
          </w:tcPr>
          <w:p w:rsidR="00FC3E13" w:rsidRDefault="00FC3E13" w:rsidP="006D7DD7">
            <w:pPr>
              <w:jc w:val="right"/>
            </w:pPr>
            <w:r>
              <w:rPr>
                <w:rFonts w:eastAsiaTheme="minorEastAsia"/>
                <w:sz w:val="24"/>
              </w:rPr>
              <w:t>31,499,377.88</w:t>
            </w:r>
          </w:p>
        </w:tc>
        <w:tc>
          <w:tcPr>
            <w:tcW w:w="1080" w:type="dxa"/>
            <w:vAlign w:val="center"/>
          </w:tcPr>
          <w:p w:rsidR="00FC3E13" w:rsidRDefault="00FC3E13" w:rsidP="006D7DD7">
            <w:pPr>
              <w:jc w:val="right"/>
            </w:pPr>
            <w:r>
              <w:rPr>
                <w:rFonts w:eastAsiaTheme="minorEastAsia"/>
                <w:sz w:val="24"/>
              </w:rPr>
              <w:t>32.09%</w:t>
            </w:r>
          </w:p>
        </w:tc>
        <w:tc>
          <w:tcPr>
            <w:tcW w:w="1143" w:type="dxa"/>
            <w:vAlign w:val="center"/>
          </w:tcPr>
          <w:p w:rsidR="00FC3E13" w:rsidRDefault="00FC3E13" w:rsidP="006D7DD7">
            <w:pPr>
              <w:jc w:val="right"/>
            </w:pPr>
            <w:r>
              <w:rPr>
                <w:rFonts w:eastAsiaTheme="minorEastAsia"/>
                <w:sz w:val="24"/>
              </w:rPr>
              <w:t>1,163,000,000.00</w:t>
            </w:r>
          </w:p>
        </w:tc>
        <w:tc>
          <w:tcPr>
            <w:tcW w:w="1197" w:type="dxa"/>
            <w:vAlign w:val="center"/>
          </w:tcPr>
          <w:p w:rsidR="00FC3E13" w:rsidRDefault="00FC3E13" w:rsidP="006D7DD7">
            <w:pPr>
              <w:jc w:val="right"/>
            </w:pPr>
            <w:r>
              <w:rPr>
                <w:rFonts w:eastAsiaTheme="minorEastAsia"/>
                <w:sz w:val="24"/>
              </w:rPr>
              <w:t>6.68%</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瑞银证券有限责任公司</w:t>
            </w:r>
          </w:p>
        </w:tc>
        <w:tc>
          <w:tcPr>
            <w:tcW w:w="1320" w:type="dxa"/>
            <w:vAlign w:val="center"/>
          </w:tcPr>
          <w:p w:rsidR="00FC3E13" w:rsidRDefault="00FC3E13" w:rsidP="006D7DD7">
            <w:pPr>
              <w:jc w:val="right"/>
            </w:pPr>
            <w:r>
              <w:rPr>
                <w:rFonts w:eastAsiaTheme="minorEastAsia"/>
                <w:sz w:val="24"/>
              </w:rPr>
              <w:t>2,501,500.00</w:t>
            </w:r>
          </w:p>
        </w:tc>
        <w:tc>
          <w:tcPr>
            <w:tcW w:w="1080" w:type="dxa"/>
            <w:vAlign w:val="center"/>
          </w:tcPr>
          <w:p w:rsidR="00FC3E13" w:rsidRDefault="00FC3E13" w:rsidP="006D7DD7">
            <w:pPr>
              <w:jc w:val="right"/>
            </w:pPr>
            <w:r>
              <w:rPr>
                <w:rFonts w:eastAsiaTheme="minorEastAsia"/>
                <w:sz w:val="24"/>
              </w:rPr>
              <w:t>2.55%</w:t>
            </w:r>
          </w:p>
        </w:tc>
        <w:tc>
          <w:tcPr>
            <w:tcW w:w="1143" w:type="dxa"/>
            <w:vAlign w:val="center"/>
          </w:tcPr>
          <w:p w:rsidR="00FC3E13" w:rsidRDefault="00FC3E13" w:rsidP="006D7DD7">
            <w:pPr>
              <w:jc w:val="right"/>
            </w:pPr>
            <w:r>
              <w:rPr>
                <w:rFonts w:eastAsiaTheme="minorEastAsia"/>
                <w:sz w:val="24"/>
              </w:rPr>
              <w:t>1,976,000,000.00</w:t>
            </w:r>
          </w:p>
        </w:tc>
        <w:tc>
          <w:tcPr>
            <w:tcW w:w="1197" w:type="dxa"/>
            <w:vAlign w:val="center"/>
          </w:tcPr>
          <w:p w:rsidR="00FC3E13" w:rsidRDefault="00FC3E13" w:rsidP="006D7DD7">
            <w:pPr>
              <w:jc w:val="right"/>
            </w:pPr>
            <w:r>
              <w:rPr>
                <w:rFonts w:eastAsiaTheme="minorEastAsia"/>
                <w:sz w:val="24"/>
              </w:rPr>
              <w:t>11.35%</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兴业证券股份有限公司</w:t>
            </w:r>
          </w:p>
        </w:tc>
        <w:tc>
          <w:tcPr>
            <w:tcW w:w="1320" w:type="dxa"/>
            <w:vAlign w:val="center"/>
          </w:tcPr>
          <w:p w:rsidR="00FC3E13" w:rsidRDefault="00FC3E13" w:rsidP="006D7DD7">
            <w:pPr>
              <w:jc w:val="right"/>
            </w:pPr>
            <w:r>
              <w:rPr>
                <w:rFonts w:eastAsiaTheme="minorEastAsia"/>
                <w:sz w:val="24"/>
              </w:rPr>
              <w:t>11,922,256.71</w:t>
            </w:r>
          </w:p>
        </w:tc>
        <w:tc>
          <w:tcPr>
            <w:tcW w:w="1080" w:type="dxa"/>
            <w:vAlign w:val="center"/>
          </w:tcPr>
          <w:p w:rsidR="00FC3E13" w:rsidRDefault="00FC3E13" w:rsidP="006D7DD7">
            <w:pPr>
              <w:jc w:val="right"/>
            </w:pPr>
            <w:r>
              <w:rPr>
                <w:rFonts w:eastAsiaTheme="minorEastAsia"/>
                <w:sz w:val="24"/>
              </w:rPr>
              <w:t>12.15%</w:t>
            </w:r>
          </w:p>
        </w:tc>
        <w:tc>
          <w:tcPr>
            <w:tcW w:w="1143" w:type="dxa"/>
            <w:vAlign w:val="center"/>
          </w:tcPr>
          <w:p w:rsidR="00FC3E13" w:rsidRDefault="00FC3E13" w:rsidP="006D7DD7">
            <w:pPr>
              <w:jc w:val="right"/>
            </w:pPr>
            <w:r>
              <w:rPr>
                <w:rFonts w:eastAsiaTheme="minorEastAsia"/>
                <w:sz w:val="24"/>
              </w:rPr>
              <w:t>1,077,200,000.00</w:t>
            </w:r>
          </w:p>
        </w:tc>
        <w:tc>
          <w:tcPr>
            <w:tcW w:w="1197" w:type="dxa"/>
            <w:vAlign w:val="center"/>
          </w:tcPr>
          <w:p w:rsidR="00FC3E13" w:rsidRDefault="00FC3E13" w:rsidP="006D7DD7">
            <w:pPr>
              <w:jc w:val="right"/>
            </w:pPr>
            <w:r>
              <w:rPr>
                <w:rFonts w:eastAsiaTheme="minorEastAsia"/>
                <w:sz w:val="24"/>
              </w:rPr>
              <w:t>6.19%</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招商证券股份有限公司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1,398,500,000.00</w:t>
            </w:r>
          </w:p>
        </w:tc>
        <w:tc>
          <w:tcPr>
            <w:tcW w:w="1197" w:type="dxa"/>
            <w:vAlign w:val="center"/>
          </w:tcPr>
          <w:p w:rsidR="00FC3E13" w:rsidRDefault="00FC3E13" w:rsidP="006D7DD7">
            <w:pPr>
              <w:jc w:val="right"/>
            </w:pPr>
            <w:r>
              <w:rPr>
                <w:rFonts w:eastAsiaTheme="minorEastAsia"/>
                <w:sz w:val="24"/>
              </w:rPr>
              <w:t>8.04%</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中国国际金融股份有限公司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中信证券股份有限公司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渤海证券股份有限公司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proofErr w:type="gramStart"/>
            <w:r>
              <w:rPr>
                <w:rFonts w:eastAsiaTheme="minorEastAsia"/>
                <w:sz w:val="24"/>
              </w:rPr>
              <w:t>川财证券</w:t>
            </w:r>
            <w:proofErr w:type="gramEnd"/>
            <w:r>
              <w:rPr>
                <w:rFonts w:eastAsiaTheme="minorEastAsia"/>
                <w:sz w:val="24"/>
              </w:rPr>
              <w:t>有限责任公司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东方证券股份有限公司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东海证券股份有限公司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华西证券股份有限公司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民生证券股份有限公司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九州证券股份有限公司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proofErr w:type="gramStart"/>
            <w:r>
              <w:rPr>
                <w:rFonts w:eastAsiaTheme="minorEastAsia"/>
                <w:sz w:val="24"/>
              </w:rPr>
              <w:t>申万宏源证券</w:t>
            </w:r>
            <w:proofErr w:type="gramEnd"/>
            <w:r>
              <w:rPr>
                <w:rFonts w:eastAsiaTheme="minorEastAsia"/>
                <w:sz w:val="24"/>
              </w:rPr>
              <w:t>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947,000,000.00</w:t>
            </w:r>
          </w:p>
        </w:tc>
        <w:tc>
          <w:tcPr>
            <w:tcW w:w="1197" w:type="dxa"/>
            <w:vAlign w:val="center"/>
          </w:tcPr>
          <w:p w:rsidR="00FC3E13" w:rsidRDefault="00FC3E13" w:rsidP="006D7DD7">
            <w:pPr>
              <w:jc w:val="right"/>
            </w:pPr>
            <w:r>
              <w:rPr>
                <w:rFonts w:eastAsiaTheme="minorEastAsia"/>
                <w:sz w:val="24"/>
              </w:rPr>
              <w:t>5.44%</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上海华信证券有限责任公司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广发证券股份有限公司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1,561,500,000.00</w:t>
            </w:r>
          </w:p>
        </w:tc>
        <w:tc>
          <w:tcPr>
            <w:tcW w:w="1197" w:type="dxa"/>
            <w:vAlign w:val="center"/>
          </w:tcPr>
          <w:p w:rsidR="00FC3E13" w:rsidRDefault="00FC3E13" w:rsidP="006D7DD7">
            <w:pPr>
              <w:jc w:val="right"/>
            </w:pPr>
            <w:r>
              <w:rPr>
                <w:rFonts w:eastAsiaTheme="minorEastAsia"/>
                <w:sz w:val="24"/>
              </w:rPr>
              <w:t>8.97%</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国联证券股份有限公司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国泰君安证券股份有限公司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国信证券股份有限公司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东北证券股份有限公司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海通证券股份有限公司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宏信证券有限责任公司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东兴证券股份有限公司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方正证券股份有限公司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北京高华证券有限责任公司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平安证券股份有限公司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proofErr w:type="gramStart"/>
            <w:r>
              <w:rPr>
                <w:rFonts w:eastAsiaTheme="minorEastAsia"/>
                <w:sz w:val="24"/>
              </w:rPr>
              <w:t>国融证券</w:t>
            </w:r>
            <w:proofErr w:type="gramEnd"/>
            <w:r>
              <w:rPr>
                <w:rFonts w:eastAsiaTheme="minorEastAsia"/>
                <w:sz w:val="24"/>
              </w:rPr>
              <w:t>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西南证券股份有限公司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2,664,000,000.00</w:t>
            </w:r>
          </w:p>
        </w:tc>
        <w:tc>
          <w:tcPr>
            <w:tcW w:w="1197" w:type="dxa"/>
            <w:vAlign w:val="center"/>
          </w:tcPr>
          <w:p w:rsidR="00FC3E13" w:rsidRDefault="00FC3E13" w:rsidP="006D7DD7">
            <w:pPr>
              <w:jc w:val="right"/>
            </w:pPr>
            <w:r>
              <w:rPr>
                <w:rFonts w:eastAsiaTheme="minorEastAsia"/>
                <w:sz w:val="24"/>
              </w:rPr>
              <w:t>15.31%</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r w:rsidR="00FC3E13" w:rsidTr="006D7DD7">
        <w:tc>
          <w:tcPr>
            <w:tcW w:w="1560" w:type="dxa"/>
            <w:vAlign w:val="center"/>
          </w:tcPr>
          <w:p w:rsidR="00FC3E13" w:rsidRDefault="00FC3E13" w:rsidP="006D7DD7">
            <w:pPr>
              <w:jc w:val="left"/>
            </w:pPr>
            <w:r>
              <w:rPr>
                <w:rFonts w:eastAsiaTheme="minorEastAsia"/>
                <w:sz w:val="24"/>
              </w:rPr>
              <w:t>新时代证券股份有限公司</w:t>
            </w:r>
          </w:p>
        </w:tc>
        <w:tc>
          <w:tcPr>
            <w:tcW w:w="1320" w:type="dxa"/>
            <w:vAlign w:val="center"/>
          </w:tcPr>
          <w:p w:rsidR="00FC3E13" w:rsidRDefault="00FC3E13" w:rsidP="006D7DD7">
            <w:pPr>
              <w:jc w:val="right"/>
            </w:pPr>
            <w:r>
              <w:rPr>
                <w:rFonts w:eastAsiaTheme="minorEastAsia"/>
                <w:sz w:val="24"/>
              </w:rPr>
              <w:t>-</w:t>
            </w:r>
          </w:p>
        </w:tc>
        <w:tc>
          <w:tcPr>
            <w:tcW w:w="1080" w:type="dxa"/>
            <w:vAlign w:val="center"/>
          </w:tcPr>
          <w:p w:rsidR="00FC3E13" w:rsidRDefault="00FC3E13" w:rsidP="006D7DD7">
            <w:pPr>
              <w:jc w:val="right"/>
            </w:pPr>
            <w:r>
              <w:rPr>
                <w:rFonts w:eastAsiaTheme="minorEastAsia"/>
                <w:sz w:val="24"/>
              </w:rPr>
              <w:t>-</w:t>
            </w:r>
          </w:p>
        </w:tc>
        <w:tc>
          <w:tcPr>
            <w:tcW w:w="1143" w:type="dxa"/>
            <w:vAlign w:val="center"/>
          </w:tcPr>
          <w:p w:rsidR="00FC3E13" w:rsidRDefault="00FC3E13" w:rsidP="006D7DD7">
            <w:pPr>
              <w:jc w:val="right"/>
            </w:pPr>
            <w:r>
              <w:rPr>
                <w:rFonts w:eastAsiaTheme="minorEastAsia"/>
                <w:sz w:val="24"/>
              </w:rPr>
              <w:t>-</w:t>
            </w:r>
          </w:p>
        </w:tc>
        <w:tc>
          <w:tcPr>
            <w:tcW w:w="1197" w:type="dxa"/>
            <w:vAlign w:val="center"/>
          </w:tcPr>
          <w:p w:rsidR="00FC3E13" w:rsidRDefault="00FC3E13" w:rsidP="006D7DD7">
            <w:pPr>
              <w:jc w:val="right"/>
            </w:pPr>
            <w:r>
              <w:rPr>
                <w:rFonts w:eastAsiaTheme="minorEastAsia"/>
                <w:sz w:val="24"/>
              </w:rPr>
              <w:t>-</w:t>
            </w:r>
          </w:p>
        </w:tc>
        <w:tc>
          <w:tcPr>
            <w:tcW w:w="1497" w:type="dxa"/>
            <w:vAlign w:val="center"/>
          </w:tcPr>
          <w:p w:rsidR="00FC3E13" w:rsidRDefault="00FC3E13" w:rsidP="006D7DD7">
            <w:pPr>
              <w:jc w:val="right"/>
            </w:pPr>
            <w:r>
              <w:rPr>
                <w:rFonts w:eastAsiaTheme="minorEastAsia"/>
                <w:sz w:val="24"/>
              </w:rPr>
              <w:t>-</w:t>
            </w:r>
          </w:p>
        </w:tc>
        <w:tc>
          <w:tcPr>
            <w:tcW w:w="1203" w:type="dxa"/>
            <w:vAlign w:val="center"/>
          </w:tcPr>
          <w:p w:rsidR="00FC3E13" w:rsidRDefault="00FC3E13" w:rsidP="006D7DD7">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966E4F" w:rsidRDefault="00A274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966E4F" w:rsidRDefault="00A274E2">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966E4F" w:rsidRDefault="00A274E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E9" w:rsidRDefault="006834E9">
      <w:r>
        <w:separator/>
      </w:r>
    </w:p>
  </w:endnote>
  <w:endnote w:type="continuationSeparator" w:id="0">
    <w:p w:rsidR="006834E9" w:rsidRDefault="0068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EB5155">
      <w:rPr>
        <w:noProof/>
        <w:kern w:val="0"/>
        <w:szCs w:val="21"/>
      </w:rPr>
      <w:t>22</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EB5155">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E9" w:rsidRDefault="006834E9">
      <w:r>
        <w:separator/>
      </w:r>
    </w:p>
  </w:footnote>
  <w:footnote w:type="continuationSeparator" w:id="0">
    <w:p w:rsidR="006834E9" w:rsidRDefault="0068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交银施罗德荣祥保本混合型证券投资基金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16"/>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4E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5E72"/>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6E4F"/>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4E2"/>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155"/>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3E1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5789-79C5-49B1-B769-FED3B852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31</Pages>
  <Words>3485</Words>
  <Characters>19869</Characters>
  <Application>Microsoft Office Word</Application>
  <DocSecurity>0</DocSecurity>
  <Lines>165</Lines>
  <Paragraphs>46</Paragraphs>
  <ScaleCrop>false</ScaleCrop>
  <Company/>
  <LinksUpToDate>false</LinksUpToDate>
  <CharactersWithSpaces>23308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1251</cp:revision>
  <cp:lastPrinted>2007-07-19T00:46:00Z</cp:lastPrinted>
  <dcterms:created xsi:type="dcterms:W3CDTF">2013-08-19T07:44:00Z</dcterms:created>
  <dcterms:modified xsi:type="dcterms:W3CDTF">2018-08-24T06:18:00Z</dcterms:modified>
</cp:coreProperties>
</file>