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深证</w:t>
      </w:r>
      <w:r w:rsidRPr="005C672D">
        <w:rPr>
          <w:b/>
          <w:sz w:val="36"/>
          <w:szCs w:val="36"/>
        </w:rPr>
        <w:t>300</w:t>
      </w:r>
      <w:r w:rsidRPr="005C672D">
        <w:rPr>
          <w:b/>
          <w:sz w:val="36"/>
          <w:szCs w:val="36"/>
        </w:rPr>
        <w:t>价值交易型开放式指数证券投资基金</w:t>
      </w:r>
    </w:p>
    <w:p w:rsidR="001548F9" w:rsidRPr="005C672D" w:rsidRDefault="001548F9" w:rsidP="00AC6DDA">
      <w:pPr>
        <w:spacing w:before="29" w:line="288" w:lineRule="auto"/>
        <w:jc w:val="center"/>
        <w:rPr>
          <w:b/>
          <w:sz w:val="36"/>
          <w:szCs w:val="36"/>
        </w:rPr>
      </w:pPr>
      <w:r w:rsidRPr="005C672D">
        <w:rPr>
          <w:b/>
          <w:sz w:val="36"/>
          <w:szCs w:val="36"/>
        </w:rPr>
        <w:t>2018</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2018</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基金托管人：中国农业银行股份有限公司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报告送出日期：二〇一八年八月二十五日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default" r:id="rId8"/>
          <w:pgSz w:w="11926" w:h="15840"/>
          <w:pgMar w:top="1418" w:right="1418" w:bottom="851" w:left="1418" w:header="851" w:footer="992" w:gutter="0"/>
          <w:cols w:space="720"/>
          <w:titlePg/>
          <w:docGrid w:linePitch="286"/>
        </w:sect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中国农业银行股份有限公司</w:t>
      </w:r>
      <w:r w:rsidRPr="005C672D">
        <w:rPr>
          <w:color w:val="000000"/>
          <w:sz w:val="24"/>
        </w:rPr>
        <w:t>根据本基金合同规定，于</w:t>
      </w:r>
      <w:r w:rsidRPr="005C672D">
        <w:rPr>
          <w:color w:val="000000"/>
          <w:sz w:val="24"/>
        </w:rPr>
        <w:t>2018</w:t>
      </w:r>
      <w:r w:rsidRPr="005C672D">
        <w:rPr>
          <w:color w:val="000000"/>
          <w:sz w:val="24"/>
        </w:rPr>
        <w:t>年</w:t>
      </w:r>
      <w:r w:rsidRPr="005C672D">
        <w:rPr>
          <w:color w:val="000000"/>
          <w:sz w:val="24"/>
        </w:rPr>
        <w:t>8</w:t>
      </w:r>
      <w:r w:rsidRPr="005C672D">
        <w:rPr>
          <w:color w:val="000000"/>
          <w:sz w:val="24"/>
        </w:rPr>
        <w:t>月</w:t>
      </w:r>
      <w:r w:rsidRPr="005C672D">
        <w:rPr>
          <w:color w:val="000000"/>
          <w:sz w:val="24"/>
        </w:rPr>
        <w:t>24</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95029A">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交银深证</w:t>
            </w:r>
            <w:r w:rsidRPr="005C672D">
              <w:rPr>
                <w:sz w:val="24"/>
              </w:rPr>
              <w:t>300</w:t>
            </w:r>
            <w:r w:rsidRPr="005C672D">
              <w:rPr>
                <w:sz w:val="24"/>
              </w:rPr>
              <w:t>价值</w:t>
            </w:r>
            <w:r w:rsidRPr="005C672D">
              <w:rPr>
                <w:sz w:val="24"/>
              </w:rPr>
              <w:t>ETF</w:t>
            </w:r>
          </w:p>
        </w:tc>
      </w:tr>
      <w:tr w:rsidR="005914A2" w:rsidRPr="005C672D" w:rsidTr="005914A2">
        <w:tc>
          <w:tcPr>
            <w:tcW w:w="3607" w:type="dxa"/>
          </w:tcPr>
          <w:p w:rsidR="005914A2" w:rsidRPr="005C672D" w:rsidRDefault="005914A2" w:rsidP="00DB5718">
            <w:pPr>
              <w:spacing w:before="29" w:line="288" w:lineRule="auto"/>
              <w:jc w:val="left"/>
              <w:rPr>
                <w:szCs w:val="21"/>
              </w:rPr>
            </w:pPr>
            <w:r w:rsidRPr="005C672D">
              <w:rPr>
                <w:sz w:val="24"/>
              </w:rPr>
              <w:t>场内简称</w:t>
            </w:r>
          </w:p>
        </w:tc>
        <w:tc>
          <w:tcPr>
            <w:tcW w:w="5391" w:type="dxa"/>
            <w:vAlign w:val="center"/>
          </w:tcPr>
          <w:p w:rsidR="005914A2" w:rsidRPr="005C672D" w:rsidRDefault="005914A2" w:rsidP="00DB5718">
            <w:pPr>
              <w:spacing w:before="29" w:line="288" w:lineRule="auto"/>
              <w:jc w:val="center"/>
              <w:rPr>
                <w:sz w:val="24"/>
              </w:rPr>
            </w:pPr>
            <w:r w:rsidRPr="005C672D">
              <w:rPr>
                <w:sz w:val="24"/>
              </w:rPr>
              <w:t>深价值</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159913</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159913</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交易型开放式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2011</w:t>
            </w:r>
            <w:r w:rsidRPr="005C672D">
              <w:rPr>
                <w:sz w:val="24"/>
              </w:rPr>
              <w:t>年</w:t>
            </w:r>
            <w:r w:rsidRPr="005C672D">
              <w:rPr>
                <w:sz w:val="24"/>
              </w:rPr>
              <w:t>9</w:t>
            </w:r>
            <w:r w:rsidRPr="005C672D">
              <w:rPr>
                <w:sz w:val="24"/>
              </w:rPr>
              <w:t>月</w:t>
            </w:r>
            <w:r w:rsidRPr="005C672D">
              <w:rPr>
                <w:sz w:val="24"/>
              </w:rPr>
              <w:t>22</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中国农业银行股份有限公司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38,329,693</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基金份额上市的证券交易所</w:t>
            </w:r>
          </w:p>
        </w:tc>
        <w:tc>
          <w:tcPr>
            <w:tcW w:w="5391" w:type="dxa"/>
            <w:vAlign w:val="center"/>
          </w:tcPr>
          <w:p w:rsidR="005914A2" w:rsidRPr="005C672D" w:rsidRDefault="005914A2" w:rsidP="00AC6DDA">
            <w:pPr>
              <w:spacing w:before="29" w:line="288" w:lineRule="auto"/>
              <w:jc w:val="center"/>
              <w:rPr>
                <w:sz w:val="24"/>
              </w:rPr>
            </w:pPr>
            <w:r w:rsidRPr="005C672D">
              <w:rPr>
                <w:sz w:val="24"/>
              </w:rPr>
              <w:t>深圳证券交易所</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上市日期</w:t>
            </w:r>
          </w:p>
        </w:tc>
        <w:tc>
          <w:tcPr>
            <w:tcW w:w="5391" w:type="dxa"/>
            <w:vAlign w:val="center"/>
          </w:tcPr>
          <w:p w:rsidR="005914A2" w:rsidRPr="005C672D" w:rsidRDefault="005914A2" w:rsidP="00AC6DDA">
            <w:pPr>
              <w:spacing w:before="29" w:line="288" w:lineRule="auto"/>
              <w:jc w:val="center"/>
              <w:rPr>
                <w:sz w:val="24"/>
              </w:rPr>
            </w:pPr>
            <w:r w:rsidRPr="005C672D">
              <w:rPr>
                <w:sz w:val="24"/>
              </w:rPr>
              <w:t>2011</w:t>
            </w:r>
            <w:r w:rsidRPr="005C672D">
              <w:rPr>
                <w:sz w:val="24"/>
              </w:rPr>
              <w:t>年</w:t>
            </w:r>
            <w:r w:rsidRPr="005C672D">
              <w:rPr>
                <w:sz w:val="24"/>
              </w:rPr>
              <w:t>10</w:t>
            </w:r>
            <w:r w:rsidRPr="005C672D">
              <w:rPr>
                <w:sz w:val="24"/>
              </w:rPr>
              <w:t>月</w:t>
            </w:r>
            <w:r w:rsidRPr="005C672D">
              <w:rPr>
                <w:sz w:val="24"/>
              </w:rPr>
              <w:t>25</w:t>
            </w:r>
            <w:r w:rsidRPr="005C672D">
              <w:rPr>
                <w:sz w:val="24"/>
              </w:rPr>
              <w:t>日</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紧密跟踪标的指数，追求跟踪偏离度和跟踪误差最小化。</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本基金绝大部分资产采用完全复制法，跟踪深证</w:t>
            </w:r>
            <w:r w:rsidRPr="005C672D">
              <w:rPr>
                <w:sz w:val="24"/>
              </w:rPr>
              <w:t>300</w:t>
            </w:r>
            <w:r w:rsidRPr="005C672D">
              <w:rPr>
                <w:sz w:val="24"/>
              </w:rPr>
              <w:t>价值价格指数，以完全按照标的指数成份股组成及其权重构建基金股票投资组合为原则，进行被动式指数化投资。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深证</w:t>
            </w:r>
            <w:r w:rsidRPr="005C672D">
              <w:rPr>
                <w:sz w:val="24"/>
              </w:rPr>
              <w:t>300</w:t>
            </w:r>
            <w:r w:rsidRPr="005C672D">
              <w:rPr>
                <w:sz w:val="24"/>
              </w:rPr>
              <w:t>价值价格指数</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本基金属于股票基金，风险与预期收益高于混合基金、债券基金与货币市场基金。同时本基金为指数型基金，具有与标的指数、以及标的指数所代表的股票市场相似的风险收益特征。</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lastRenderedPageBreak/>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中国农业银行股份有限公司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贺倩</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010-66060069</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tgxxpl@abchina.com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95599</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010-68121816</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2018</w:t>
            </w:r>
            <w:r w:rsidR="00A43357" w:rsidRPr="005C672D">
              <w:rPr>
                <w:b/>
                <w:sz w:val="24"/>
              </w:rPr>
              <w:t>年</w:t>
            </w:r>
            <w:r w:rsidR="00A43357" w:rsidRPr="005C672D">
              <w:rPr>
                <w:b/>
                <w:sz w:val="24"/>
              </w:rPr>
              <w:t>1</w:t>
            </w:r>
            <w:r w:rsidR="00A43357" w:rsidRPr="005C672D">
              <w:rPr>
                <w:b/>
                <w:sz w:val="24"/>
              </w:rPr>
              <w:t>月</w:t>
            </w:r>
            <w:r w:rsidR="00A43357" w:rsidRPr="005C672D">
              <w:rPr>
                <w:b/>
                <w:sz w:val="24"/>
              </w:rPr>
              <w:t>1</w:t>
            </w:r>
            <w:r w:rsidR="00A43357" w:rsidRPr="005C672D">
              <w:rPr>
                <w:b/>
                <w:sz w:val="24"/>
              </w:rPr>
              <w:t>日至</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-2,902.89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-10,641,776.73</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-0.2641</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-11.78%</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0.670</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64,029,073.19</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1.670</w:t>
            </w:r>
          </w:p>
        </w:tc>
      </w:tr>
    </w:tbl>
    <w:bookmarkEnd w:id="13"/>
    <w:bookmarkEnd w:id="14"/>
    <w:p w:rsidR="00261796" w:rsidRDefault="00905738">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lastRenderedPageBreak/>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261796">
        <w:tc>
          <w:tcPr>
            <w:tcW w:w="1497" w:type="dxa"/>
            <w:vAlign w:val="center"/>
          </w:tcPr>
          <w:p w:rsidR="00261796" w:rsidRDefault="00905738">
            <w:pPr>
              <w:jc w:val="left"/>
            </w:pPr>
            <w:r>
              <w:rPr>
                <w:color w:val="000000"/>
                <w:sz w:val="24"/>
              </w:rPr>
              <w:t>过去一个月</w:t>
            </w:r>
          </w:p>
        </w:tc>
        <w:tc>
          <w:tcPr>
            <w:tcW w:w="1251" w:type="dxa"/>
            <w:vAlign w:val="center"/>
          </w:tcPr>
          <w:p w:rsidR="00261796" w:rsidRDefault="00905738">
            <w:pPr>
              <w:jc w:val="center"/>
            </w:pPr>
            <w:r>
              <w:rPr>
                <w:color w:val="000000"/>
                <w:sz w:val="24"/>
              </w:rPr>
              <w:t>-6.76%</w:t>
            </w:r>
          </w:p>
        </w:tc>
        <w:tc>
          <w:tcPr>
            <w:tcW w:w="1250" w:type="dxa"/>
            <w:vAlign w:val="center"/>
          </w:tcPr>
          <w:p w:rsidR="00261796" w:rsidRDefault="00905738">
            <w:pPr>
              <w:jc w:val="center"/>
            </w:pPr>
            <w:r>
              <w:rPr>
                <w:color w:val="000000"/>
                <w:sz w:val="24"/>
              </w:rPr>
              <w:t>1.57%</w:t>
            </w:r>
          </w:p>
        </w:tc>
        <w:tc>
          <w:tcPr>
            <w:tcW w:w="1250" w:type="dxa"/>
            <w:vAlign w:val="center"/>
          </w:tcPr>
          <w:p w:rsidR="00261796" w:rsidRDefault="00905738">
            <w:pPr>
              <w:jc w:val="center"/>
            </w:pPr>
            <w:r>
              <w:rPr>
                <w:color w:val="000000"/>
                <w:sz w:val="24"/>
              </w:rPr>
              <w:t>-7.01%</w:t>
            </w:r>
          </w:p>
        </w:tc>
        <w:tc>
          <w:tcPr>
            <w:tcW w:w="1250" w:type="dxa"/>
            <w:vAlign w:val="center"/>
          </w:tcPr>
          <w:p w:rsidR="00261796" w:rsidRDefault="00905738">
            <w:pPr>
              <w:jc w:val="center"/>
            </w:pPr>
            <w:r>
              <w:rPr>
                <w:color w:val="000000"/>
                <w:sz w:val="24"/>
              </w:rPr>
              <w:t>1.59%</w:t>
            </w:r>
          </w:p>
        </w:tc>
        <w:tc>
          <w:tcPr>
            <w:tcW w:w="1250" w:type="dxa"/>
            <w:vAlign w:val="center"/>
          </w:tcPr>
          <w:p w:rsidR="00261796" w:rsidRDefault="00905738">
            <w:pPr>
              <w:jc w:val="center"/>
            </w:pPr>
            <w:r>
              <w:rPr>
                <w:color w:val="000000"/>
                <w:sz w:val="24"/>
              </w:rPr>
              <w:t>0.25%</w:t>
            </w:r>
          </w:p>
        </w:tc>
        <w:tc>
          <w:tcPr>
            <w:tcW w:w="1250" w:type="dxa"/>
            <w:vAlign w:val="center"/>
          </w:tcPr>
          <w:p w:rsidR="00261796" w:rsidRDefault="00905738">
            <w:pPr>
              <w:jc w:val="center"/>
            </w:pPr>
            <w:r>
              <w:rPr>
                <w:color w:val="000000"/>
                <w:sz w:val="24"/>
              </w:rPr>
              <w:t>-0.02%</w:t>
            </w:r>
          </w:p>
        </w:tc>
      </w:tr>
      <w:tr w:rsidR="00261796">
        <w:tc>
          <w:tcPr>
            <w:tcW w:w="1497" w:type="dxa"/>
            <w:vAlign w:val="center"/>
          </w:tcPr>
          <w:p w:rsidR="00261796" w:rsidRDefault="00905738">
            <w:pPr>
              <w:jc w:val="left"/>
            </w:pPr>
            <w:r>
              <w:rPr>
                <w:color w:val="000000"/>
                <w:sz w:val="24"/>
              </w:rPr>
              <w:t>过去三个月</w:t>
            </w:r>
          </w:p>
        </w:tc>
        <w:tc>
          <w:tcPr>
            <w:tcW w:w="1251" w:type="dxa"/>
            <w:vAlign w:val="center"/>
          </w:tcPr>
          <w:p w:rsidR="00261796" w:rsidRDefault="00905738">
            <w:pPr>
              <w:jc w:val="center"/>
            </w:pPr>
            <w:r>
              <w:rPr>
                <w:color w:val="000000"/>
                <w:sz w:val="24"/>
              </w:rPr>
              <w:t>-8.54%</w:t>
            </w:r>
          </w:p>
        </w:tc>
        <w:tc>
          <w:tcPr>
            <w:tcW w:w="1250" w:type="dxa"/>
            <w:vAlign w:val="center"/>
          </w:tcPr>
          <w:p w:rsidR="00261796" w:rsidRDefault="00905738">
            <w:pPr>
              <w:jc w:val="center"/>
            </w:pPr>
            <w:r>
              <w:rPr>
                <w:color w:val="000000"/>
                <w:sz w:val="24"/>
              </w:rPr>
              <w:t>1.37%</w:t>
            </w:r>
          </w:p>
        </w:tc>
        <w:tc>
          <w:tcPr>
            <w:tcW w:w="1250" w:type="dxa"/>
            <w:vAlign w:val="center"/>
          </w:tcPr>
          <w:p w:rsidR="00261796" w:rsidRDefault="00905738">
            <w:pPr>
              <w:jc w:val="center"/>
            </w:pPr>
            <w:r>
              <w:rPr>
                <w:color w:val="000000"/>
                <w:sz w:val="24"/>
              </w:rPr>
              <w:t>-9.14%</w:t>
            </w:r>
          </w:p>
        </w:tc>
        <w:tc>
          <w:tcPr>
            <w:tcW w:w="1250" w:type="dxa"/>
            <w:vAlign w:val="center"/>
          </w:tcPr>
          <w:p w:rsidR="00261796" w:rsidRDefault="00905738">
            <w:pPr>
              <w:jc w:val="center"/>
            </w:pPr>
            <w:r>
              <w:rPr>
                <w:color w:val="000000"/>
                <w:sz w:val="24"/>
              </w:rPr>
              <w:t>1.38%</w:t>
            </w:r>
          </w:p>
        </w:tc>
        <w:tc>
          <w:tcPr>
            <w:tcW w:w="1250" w:type="dxa"/>
            <w:vAlign w:val="center"/>
          </w:tcPr>
          <w:p w:rsidR="00261796" w:rsidRDefault="00905738">
            <w:pPr>
              <w:jc w:val="center"/>
            </w:pPr>
            <w:r>
              <w:rPr>
                <w:color w:val="000000"/>
                <w:sz w:val="24"/>
              </w:rPr>
              <w:t>0.60%</w:t>
            </w:r>
          </w:p>
        </w:tc>
        <w:tc>
          <w:tcPr>
            <w:tcW w:w="1250" w:type="dxa"/>
            <w:vAlign w:val="center"/>
          </w:tcPr>
          <w:p w:rsidR="00261796" w:rsidRDefault="00905738">
            <w:pPr>
              <w:jc w:val="center"/>
            </w:pPr>
            <w:r>
              <w:rPr>
                <w:color w:val="000000"/>
                <w:sz w:val="24"/>
              </w:rPr>
              <w:t>-0.01%</w:t>
            </w:r>
          </w:p>
        </w:tc>
      </w:tr>
      <w:tr w:rsidR="00261796">
        <w:tc>
          <w:tcPr>
            <w:tcW w:w="1497" w:type="dxa"/>
            <w:vAlign w:val="center"/>
          </w:tcPr>
          <w:p w:rsidR="00261796" w:rsidRDefault="00905738">
            <w:pPr>
              <w:jc w:val="left"/>
            </w:pPr>
            <w:r>
              <w:rPr>
                <w:color w:val="000000"/>
                <w:sz w:val="24"/>
              </w:rPr>
              <w:t>过去六个月</w:t>
            </w:r>
          </w:p>
        </w:tc>
        <w:tc>
          <w:tcPr>
            <w:tcW w:w="1251" w:type="dxa"/>
            <w:vAlign w:val="center"/>
          </w:tcPr>
          <w:p w:rsidR="00261796" w:rsidRDefault="00905738">
            <w:pPr>
              <w:jc w:val="center"/>
            </w:pPr>
            <w:r>
              <w:rPr>
                <w:color w:val="000000"/>
                <w:sz w:val="24"/>
              </w:rPr>
              <w:t>-11.78%</w:t>
            </w:r>
          </w:p>
        </w:tc>
        <w:tc>
          <w:tcPr>
            <w:tcW w:w="1250" w:type="dxa"/>
            <w:vAlign w:val="center"/>
          </w:tcPr>
          <w:p w:rsidR="00261796" w:rsidRDefault="00905738">
            <w:pPr>
              <w:jc w:val="center"/>
            </w:pPr>
            <w:r>
              <w:rPr>
                <w:color w:val="000000"/>
                <w:sz w:val="24"/>
              </w:rPr>
              <w:t>1.43%</w:t>
            </w:r>
          </w:p>
        </w:tc>
        <w:tc>
          <w:tcPr>
            <w:tcW w:w="1250" w:type="dxa"/>
            <w:vAlign w:val="center"/>
          </w:tcPr>
          <w:p w:rsidR="00261796" w:rsidRDefault="00905738">
            <w:pPr>
              <w:jc w:val="center"/>
            </w:pPr>
            <w:r>
              <w:rPr>
                <w:color w:val="000000"/>
                <w:sz w:val="24"/>
              </w:rPr>
              <w:t>-12.30%</w:t>
            </w:r>
          </w:p>
        </w:tc>
        <w:tc>
          <w:tcPr>
            <w:tcW w:w="1250" w:type="dxa"/>
            <w:vAlign w:val="center"/>
          </w:tcPr>
          <w:p w:rsidR="00261796" w:rsidRDefault="00905738">
            <w:pPr>
              <w:jc w:val="center"/>
            </w:pPr>
            <w:r>
              <w:rPr>
                <w:color w:val="000000"/>
                <w:sz w:val="24"/>
              </w:rPr>
              <w:t>1.44%</w:t>
            </w:r>
          </w:p>
        </w:tc>
        <w:tc>
          <w:tcPr>
            <w:tcW w:w="1250" w:type="dxa"/>
            <w:vAlign w:val="center"/>
          </w:tcPr>
          <w:p w:rsidR="00261796" w:rsidRDefault="00905738">
            <w:pPr>
              <w:jc w:val="center"/>
            </w:pPr>
            <w:r>
              <w:rPr>
                <w:color w:val="000000"/>
                <w:sz w:val="24"/>
              </w:rPr>
              <w:t>0.52%</w:t>
            </w:r>
          </w:p>
        </w:tc>
        <w:tc>
          <w:tcPr>
            <w:tcW w:w="1250" w:type="dxa"/>
            <w:vAlign w:val="center"/>
          </w:tcPr>
          <w:p w:rsidR="00261796" w:rsidRDefault="00905738">
            <w:pPr>
              <w:jc w:val="center"/>
            </w:pPr>
            <w:r>
              <w:rPr>
                <w:color w:val="000000"/>
                <w:sz w:val="24"/>
              </w:rPr>
              <w:t>-0.01%</w:t>
            </w:r>
          </w:p>
        </w:tc>
      </w:tr>
      <w:tr w:rsidR="00261796">
        <w:tc>
          <w:tcPr>
            <w:tcW w:w="1497" w:type="dxa"/>
            <w:vAlign w:val="center"/>
          </w:tcPr>
          <w:p w:rsidR="00261796" w:rsidRDefault="00905738">
            <w:pPr>
              <w:jc w:val="left"/>
            </w:pPr>
            <w:r>
              <w:rPr>
                <w:color w:val="000000"/>
                <w:sz w:val="24"/>
              </w:rPr>
              <w:t>过去一年</w:t>
            </w:r>
          </w:p>
        </w:tc>
        <w:tc>
          <w:tcPr>
            <w:tcW w:w="1251" w:type="dxa"/>
            <w:vAlign w:val="center"/>
          </w:tcPr>
          <w:p w:rsidR="00261796" w:rsidRDefault="00905738">
            <w:pPr>
              <w:jc w:val="center"/>
            </w:pPr>
            <w:r>
              <w:rPr>
                <w:color w:val="000000"/>
                <w:sz w:val="24"/>
              </w:rPr>
              <w:t>0.06%</w:t>
            </w:r>
          </w:p>
        </w:tc>
        <w:tc>
          <w:tcPr>
            <w:tcW w:w="1250" w:type="dxa"/>
            <w:vAlign w:val="center"/>
          </w:tcPr>
          <w:p w:rsidR="00261796" w:rsidRDefault="00905738">
            <w:pPr>
              <w:jc w:val="center"/>
            </w:pPr>
            <w:r>
              <w:rPr>
                <w:color w:val="000000"/>
                <w:sz w:val="24"/>
              </w:rPr>
              <w:t>1.22%</w:t>
            </w:r>
          </w:p>
        </w:tc>
        <w:tc>
          <w:tcPr>
            <w:tcW w:w="1250" w:type="dxa"/>
            <w:vAlign w:val="center"/>
          </w:tcPr>
          <w:p w:rsidR="00261796" w:rsidRDefault="00905738">
            <w:pPr>
              <w:jc w:val="center"/>
            </w:pPr>
            <w:r>
              <w:rPr>
                <w:color w:val="000000"/>
                <w:sz w:val="24"/>
              </w:rPr>
              <w:t>-0.74%</w:t>
            </w:r>
          </w:p>
        </w:tc>
        <w:tc>
          <w:tcPr>
            <w:tcW w:w="1250" w:type="dxa"/>
            <w:vAlign w:val="center"/>
          </w:tcPr>
          <w:p w:rsidR="00261796" w:rsidRDefault="00905738">
            <w:pPr>
              <w:jc w:val="center"/>
            </w:pPr>
            <w:r>
              <w:rPr>
                <w:color w:val="000000"/>
                <w:sz w:val="24"/>
              </w:rPr>
              <w:t>1.23%</w:t>
            </w:r>
          </w:p>
        </w:tc>
        <w:tc>
          <w:tcPr>
            <w:tcW w:w="1250" w:type="dxa"/>
            <w:vAlign w:val="center"/>
          </w:tcPr>
          <w:p w:rsidR="00261796" w:rsidRDefault="00905738">
            <w:pPr>
              <w:jc w:val="center"/>
            </w:pPr>
            <w:r>
              <w:rPr>
                <w:color w:val="000000"/>
                <w:sz w:val="24"/>
              </w:rPr>
              <w:t>0.80%</w:t>
            </w:r>
          </w:p>
        </w:tc>
        <w:tc>
          <w:tcPr>
            <w:tcW w:w="1250" w:type="dxa"/>
            <w:vAlign w:val="center"/>
          </w:tcPr>
          <w:p w:rsidR="00261796" w:rsidRDefault="00905738">
            <w:pPr>
              <w:jc w:val="center"/>
            </w:pPr>
            <w:r>
              <w:rPr>
                <w:color w:val="000000"/>
                <w:sz w:val="24"/>
              </w:rPr>
              <w:t>-0.01%</w:t>
            </w:r>
          </w:p>
        </w:tc>
      </w:tr>
      <w:tr w:rsidR="00261796">
        <w:tc>
          <w:tcPr>
            <w:tcW w:w="1497" w:type="dxa"/>
            <w:vAlign w:val="center"/>
          </w:tcPr>
          <w:p w:rsidR="00261796" w:rsidRDefault="00905738">
            <w:pPr>
              <w:jc w:val="left"/>
            </w:pPr>
            <w:r>
              <w:rPr>
                <w:color w:val="000000"/>
                <w:sz w:val="24"/>
              </w:rPr>
              <w:t>过去三年</w:t>
            </w:r>
          </w:p>
        </w:tc>
        <w:tc>
          <w:tcPr>
            <w:tcW w:w="1251" w:type="dxa"/>
            <w:vAlign w:val="center"/>
          </w:tcPr>
          <w:p w:rsidR="00261796" w:rsidRDefault="00905738">
            <w:pPr>
              <w:jc w:val="center"/>
            </w:pPr>
            <w:r>
              <w:rPr>
                <w:color w:val="000000"/>
                <w:sz w:val="24"/>
              </w:rPr>
              <w:t>-8.24%</w:t>
            </w:r>
          </w:p>
        </w:tc>
        <w:tc>
          <w:tcPr>
            <w:tcW w:w="1250" w:type="dxa"/>
            <w:vAlign w:val="center"/>
          </w:tcPr>
          <w:p w:rsidR="00261796" w:rsidRDefault="00905738">
            <w:pPr>
              <w:jc w:val="center"/>
            </w:pPr>
            <w:r>
              <w:rPr>
                <w:color w:val="000000"/>
                <w:sz w:val="24"/>
              </w:rPr>
              <w:t>1.65%</w:t>
            </w:r>
          </w:p>
        </w:tc>
        <w:tc>
          <w:tcPr>
            <w:tcW w:w="1250" w:type="dxa"/>
            <w:vAlign w:val="center"/>
          </w:tcPr>
          <w:p w:rsidR="00261796" w:rsidRDefault="00905738">
            <w:pPr>
              <w:jc w:val="center"/>
            </w:pPr>
            <w:r>
              <w:rPr>
                <w:color w:val="000000"/>
                <w:sz w:val="24"/>
              </w:rPr>
              <w:t>-10.94%</w:t>
            </w:r>
          </w:p>
        </w:tc>
        <w:tc>
          <w:tcPr>
            <w:tcW w:w="1250" w:type="dxa"/>
            <w:vAlign w:val="center"/>
          </w:tcPr>
          <w:p w:rsidR="00261796" w:rsidRDefault="00905738">
            <w:pPr>
              <w:jc w:val="center"/>
            </w:pPr>
            <w:r>
              <w:rPr>
                <w:color w:val="000000"/>
                <w:sz w:val="24"/>
              </w:rPr>
              <w:t>1.69%</w:t>
            </w:r>
          </w:p>
        </w:tc>
        <w:tc>
          <w:tcPr>
            <w:tcW w:w="1250" w:type="dxa"/>
            <w:vAlign w:val="center"/>
          </w:tcPr>
          <w:p w:rsidR="00261796" w:rsidRDefault="00905738">
            <w:pPr>
              <w:jc w:val="center"/>
            </w:pPr>
            <w:r>
              <w:rPr>
                <w:color w:val="000000"/>
                <w:sz w:val="24"/>
              </w:rPr>
              <w:t>2.70%</w:t>
            </w:r>
          </w:p>
        </w:tc>
        <w:tc>
          <w:tcPr>
            <w:tcW w:w="1250" w:type="dxa"/>
            <w:vAlign w:val="center"/>
          </w:tcPr>
          <w:p w:rsidR="00261796" w:rsidRDefault="00905738">
            <w:pPr>
              <w:jc w:val="center"/>
            </w:pPr>
            <w:r>
              <w:rPr>
                <w:color w:val="000000"/>
                <w:sz w:val="24"/>
              </w:rPr>
              <w:t>-0.04%</w:t>
            </w:r>
          </w:p>
        </w:tc>
      </w:tr>
      <w:tr w:rsidR="00261796">
        <w:tc>
          <w:tcPr>
            <w:tcW w:w="1497" w:type="dxa"/>
            <w:vAlign w:val="center"/>
          </w:tcPr>
          <w:p w:rsidR="00261796" w:rsidRDefault="00905738">
            <w:pPr>
              <w:jc w:val="left"/>
            </w:pPr>
            <w:r>
              <w:rPr>
                <w:color w:val="000000"/>
                <w:sz w:val="24"/>
              </w:rPr>
              <w:t>自基金合同生效起至今</w:t>
            </w:r>
          </w:p>
        </w:tc>
        <w:tc>
          <w:tcPr>
            <w:tcW w:w="1251" w:type="dxa"/>
            <w:vAlign w:val="center"/>
          </w:tcPr>
          <w:p w:rsidR="00261796" w:rsidRDefault="00905738">
            <w:pPr>
              <w:jc w:val="center"/>
            </w:pPr>
            <w:r>
              <w:rPr>
                <w:color w:val="000000"/>
                <w:sz w:val="24"/>
              </w:rPr>
              <w:t>67.00%</w:t>
            </w:r>
          </w:p>
        </w:tc>
        <w:tc>
          <w:tcPr>
            <w:tcW w:w="1250" w:type="dxa"/>
            <w:vAlign w:val="center"/>
          </w:tcPr>
          <w:p w:rsidR="00261796" w:rsidRDefault="00905738">
            <w:pPr>
              <w:jc w:val="center"/>
            </w:pPr>
            <w:r>
              <w:rPr>
                <w:color w:val="000000"/>
                <w:sz w:val="24"/>
              </w:rPr>
              <w:t>1.57%</w:t>
            </w:r>
          </w:p>
        </w:tc>
        <w:tc>
          <w:tcPr>
            <w:tcW w:w="1250" w:type="dxa"/>
            <w:vAlign w:val="center"/>
          </w:tcPr>
          <w:p w:rsidR="00261796" w:rsidRDefault="00905738">
            <w:pPr>
              <w:jc w:val="center"/>
            </w:pPr>
            <w:r>
              <w:rPr>
                <w:color w:val="000000"/>
                <w:sz w:val="24"/>
              </w:rPr>
              <w:t>44.37%</w:t>
            </w:r>
          </w:p>
        </w:tc>
        <w:tc>
          <w:tcPr>
            <w:tcW w:w="1250" w:type="dxa"/>
            <w:vAlign w:val="center"/>
          </w:tcPr>
          <w:p w:rsidR="00261796" w:rsidRDefault="00905738">
            <w:pPr>
              <w:jc w:val="center"/>
            </w:pPr>
            <w:r>
              <w:rPr>
                <w:color w:val="000000"/>
                <w:sz w:val="24"/>
              </w:rPr>
              <w:t>1.60%</w:t>
            </w:r>
          </w:p>
        </w:tc>
        <w:tc>
          <w:tcPr>
            <w:tcW w:w="1250" w:type="dxa"/>
            <w:vAlign w:val="center"/>
          </w:tcPr>
          <w:p w:rsidR="00261796" w:rsidRDefault="00905738">
            <w:pPr>
              <w:jc w:val="center"/>
            </w:pPr>
            <w:r>
              <w:rPr>
                <w:color w:val="000000"/>
                <w:sz w:val="24"/>
              </w:rPr>
              <w:t>22.63%</w:t>
            </w:r>
          </w:p>
        </w:tc>
        <w:tc>
          <w:tcPr>
            <w:tcW w:w="1250" w:type="dxa"/>
            <w:vAlign w:val="center"/>
          </w:tcPr>
          <w:p w:rsidR="00261796" w:rsidRDefault="00905738">
            <w:pPr>
              <w:jc w:val="center"/>
            </w:pPr>
            <w:r>
              <w:rPr>
                <w:color w:val="000000"/>
                <w:sz w:val="24"/>
              </w:rPr>
              <w:t>-0.03%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注：本基金的业绩比较基准为深证</w:t>
      </w:r>
      <w:r w:rsidRPr="005C672D">
        <w:rPr>
          <w:kern w:val="0"/>
          <w:sz w:val="24"/>
        </w:rPr>
        <w:t>300</w:t>
      </w:r>
      <w:r w:rsidRPr="005C672D">
        <w:rPr>
          <w:kern w:val="0"/>
          <w:sz w:val="24"/>
        </w:rPr>
        <w:t>价值价格指数。</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深证</w:t>
      </w:r>
      <w:r w:rsidRPr="005C672D">
        <w:rPr>
          <w:kern w:val="0"/>
          <w:sz w:val="24"/>
        </w:rPr>
        <w:t>300</w:t>
      </w:r>
      <w:r w:rsidRPr="005C672D">
        <w:rPr>
          <w:kern w:val="0"/>
          <w:sz w:val="24"/>
        </w:rPr>
        <w:t>价值交易型开放式指数证券投资基金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2011</w:t>
      </w:r>
      <w:r w:rsidR="001548F9" w:rsidRPr="005C672D">
        <w:rPr>
          <w:rFonts w:ascii="Times New Roman" w:hAnsi="Times New Roman"/>
          <w:sz w:val="24"/>
          <w:szCs w:val="24"/>
        </w:rPr>
        <w:t>年</w:t>
      </w:r>
      <w:r w:rsidR="001548F9" w:rsidRPr="005C672D">
        <w:rPr>
          <w:rFonts w:ascii="Times New Roman" w:hAnsi="Times New Roman"/>
          <w:sz w:val="24"/>
          <w:szCs w:val="24"/>
        </w:rPr>
        <w:t>9</w:t>
      </w:r>
      <w:r w:rsidR="001548F9" w:rsidRPr="005C672D">
        <w:rPr>
          <w:rFonts w:ascii="Times New Roman" w:hAnsi="Times New Roman"/>
          <w:sz w:val="24"/>
          <w:szCs w:val="24"/>
        </w:rPr>
        <w:t>月</w:t>
      </w:r>
      <w:r w:rsidR="001548F9" w:rsidRPr="005C672D">
        <w:rPr>
          <w:rFonts w:ascii="Times New Roman" w:hAnsi="Times New Roman"/>
          <w:sz w:val="24"/>
          <w:szCs w:val="24"/>
        </w:rPr>
        <w:t>22</w:t>
      </w:r>
      <w:r w:rsidR="001548F9" w:rsidRPr="005C672D">
        <w:rPr>
          <w:rFonts w:ascii="Times New Roman" w:hAnsi="Times New Roman"/>
          <w:sz w:val="24"/>
          <w:szCs w:val="24"/>
        </w:rPr>
        <w:t>日至</w:t>
      </w:r>
      <w:r w:rsidRPr="005C672D">
        <w:rPr>
          <w:rFonts w:ascii="Times New Roman" w:hAnsi="Times New Roman"/>
          <w:sz w:val="24"/>
          <w:szCs w:val="24"/>
        </w:rPr>
        <w:t>2018</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lastRenderedPageBreak/>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注：本基金建仓期为自基金合同生效日起的</w:t>
      </w:r>
      <w:r w:rsidRPr="005C672D">
        <w:rPr>
          <w:kern w:val="0"/>
          <w:sz w:val="24"/>
        </w:rPr>
        <w:t>3</w:t>
      </w:r>
      <w:r w:rsidRPr="005C672D">
        <w:rPr>
          <w:kern w:val="0"/>
          <w:sz w:val="24"/>
        </w:rPr>
        <w:t>个月。截至建仓期结束，本基金各项资产配置比例符合基金合同及招募说明书有关投资比例的约定。</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261796" w:rsidRDefault="00905738">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截至报告期末，公司管理了包括货币型、债券型、保本混合型、普通混合型和股票型在内的</w:t>
      </w:r>
      <w:r w:rsidRPr="005C672D">
        <w:rPr>
          <w:color w:val="000000"/>
          <w:sz w:val="24"/>
        </w:rPr>
        <w:t>81</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261796">
        <w:tc>
          <w:tcPr>
            <w:tcW w:w="1033" w:type="dxa"/>
            <w:vAlign w:val="center"/>
          </w:tcPr>
          <w:p w:rsidR="00261796" w:rsidRDefault="00905738">
            <w:pPr>
              <w:jc w:val="center"/>
            </w:pPr>
            <w:r>
              <w:rPr>
                <w:color w:val="000000"/>
                <w:sz w:val="24"/>
              </w:rPr>
              <w:t>蔡铮</w:t>
            </w:r>
          </w:p>
        </w:tc>
        <w:tc>
          <w:tcPr>
            <w:tcW w:w="1416" w:type="dxa"/>
            <w:vAlign w:val="center"/>
          </w:tcPr>
          <w:p w:rsidR="00261796" w:rsidRDefault="00905738">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）、交银致远智投混合的基金经理，公司量化投资副总监兼多元资产管理副总监</w:t>
            </w:r>
          </w:p>
        </w:tc>
        <w:tc>
          <w:tcPr>
            <w:tcW w:w="1126" w:type="dxa"/>
            <w:vAlign w:val="center"/>
          </w:tcPr>
          <w:p w:rsidR="00261796" w:rsidRDefault="00905738">
            <w:pPr>
              <w:jc w:val="center"/>
            </w:pPr>
            <w:r>
              <w:rPr>
                <w:color w:val="000000"/>
                <w:sz w:val="24"/>
              </w:rPr>
              <w:t>2012-12-27</w:t>
            </w:r>
          </w:p>
        </w:tc>
        <w:tc>
          <w:tcPr>
            <w:tcW w:w="1192" w:type="dxa"/>
            <w:vAlign w:val="center"/>
          </w:tcPr>
          <w:p w:rsidR="00261796" w:rsidRDefault="00905738">
            <w:pPr>
              <w:jc w:val="center"/>
            </w:pPr>
            <w:r>
              <w:rPr>
                <w:color w:val="000000"/>
                <w:sz w:val="24"/>
              </w:rPr>
              <w:t>-</w:t>
            </w:r>
          </w:p>
        </w:tc>
        <w:tc>
          <w:tcPr>
            <w:tcW w:w="1169" w:type="dxa"/>
            <w:vAlign w:val="center"/>
          </w:tcPr>
          <w:p w:rsidR="00261796" w:rsidRDefault="00905738">
            <w:pPr>
              <w:jc w:val="center"/>
            </w:pPr>
            <w:r>
              <w:rPr>
                <w:color w:val="000000"/>
                <w:sz w:val="24"/>
              </w:rPr>
              <w:t>9</w:t>
            </w:r>
            <w:r>
              <w:rPr>
                <w:color w:val="000000"/>
                <w:sz w:val="24"/>
              </w:rPr>
              <w:t>年</w:t>
            </w:r>
          </w:p>
        </w:tc>
        <w:tc>
          <w:tcPr>
            <w:tcW w:w="3062" w:type="dxa"/>
            <w:vAlign w:val="center"/>
          </w:tcPr>
          <w:p w:rsidR="00261796" w:rsidRDefault="00905738">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rsidR="00261796" w:rsidRDefault="00905738">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261796" w:rsidRDefault="00905738">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5C672D" w:rsidRDefault="001548F9" w:rsidP="00AC6DDA">
      <w:pPr>
        <w:tabs>
          <w:tab w:val="left" w:pos="426"/>
        </w:tabs>
        <w:spacing w:before="29" w:line="288" w:lineRule="auto"/>
        <w:jc w:val="left"/>
        <w:rPr>
          <w:kern w:val="0"/>
          <w:sz w:val="24"/>
        </w:rPr>
      </w:pPr>
      <w:r w:rsidRPr="005C672D">
        <w:rPr>
          <w:kern w:val="0"/>
          <w:sz w:val="24"/>
        </w:rPr>
        <w:t xml:space="preserve">    3</w:t>
      </w:r>
      <w:r w:rsidRPr="005C672D">
        <w:rPr>
          <w:kern w:val="0"/>
          <w:sz w:val="24"/>
        </w:rPr>
        <w:t>、基金经理（或基金经理小组）期后变动（如有）敬请关注基金管理人发布的相关公告。</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261796" w:rsidRDefault="00905738">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本报告期内，本基金整体运作合规合法，无不当内幕交易和关联交易，基金投资范</w:t>
      </w:r>
      <w:r w:rsidRPr="005C672D">
        <w:rPr>
          <w:color w:val="000000"/>
          <w:sz w:val="24"/>
        </w:rPr>
        <w:lastRenderedPageBreak/>
        <w:t>围、投资比例及投资组合符合有关法律法规及基金合同的约定，未发生损害基金持有人利益的行为。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261796" w:rsidRDefault="00905738">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61796" w:rsidRDefault="00905738">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61796" w:rsidRDefault="00905738">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C672D">
        <w:rPr>
          <w:color w:val="000000"/>
          <w:sz w:val="24"/>
        </w:rPr>
        <w:t>5%</w:t>
      </w:r>
      <w:r w:rsidRPr="005C672D">
        <w:rPr>
          <w:color w:val="000000"/>
          <w:sz w:val="24"/>
        </w:rPr>
        <w:t>的情形，本基金与本公司管理的其他投资组合在不同时间窗下（如日内、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日内）同向交易的交易价差未出现异常。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C02A8F" w:rsidRPr="005C672D" w:rsidRDefault="00C02A8F" w:rsidP="00AC6DDA">
      <w:pPr>
        <w:spacing w:before="29" w:line="288" w:lineRule="auto"/>
        <w:ind w:firstLineChars="200" w:firstLine="480"/>
        <w:rPr>
          <w:color w:val="000000"/>
          <w:sz w:val="24"/>
        </w:rPr>
      </w:pPr>
      <w:r w:rsidRPr="005C672D">
        <w:rPr>
          <w:color w:val="000000"/>
          <w:sz w:val="24"/>
        </w:rPr>
        <w:t>2018</w:t>
      </w:r>
      <w:r w:rsidRPr="005C672D">
        <w:rPr>
          <w:color w:val="000000"/>
          <w:sz w:val="24"/>
        </w:rPr>
        <w:t>年上半年国内经济整体延续稳定状态，投资增速缓中趋稳，政策层面持续推行经济结构优化和去杠杆，消费增速小幅回落，对经济的贡献有所减弱。新旧动能转换</w:t>
      </w:r>
      <w:r w:rsidRPr="005C672D">
        <w:rPr>
          <w:color w:val="000000"/>
          <w:sz w:val="24"/>
        </w:rPr>
        <w:t>,</w:t>
      </w:r>
      <w:r w:rsidRPr="005C672D">
        <w:rPr>
          <w:color w:val="000000"/>
          <w:sz w:val="24"/>
        </w:rPr>
        <w:t>工业产能持续出清，产能利用率回升，行业集中度上升，经济整体效率提升，从长期看有利于经济增长进入高质量发展的新时代。在此经济背景下，一季度</w:t>
      </w:r>
      <w:r w:rsidRPr="005C672D">
        <w:rPr>
          <w:color w:val="000000"/>
          <w:sz w:val="24"/>
        </w:rPr>
        <w:t>A</w:t>
      </w:r>
      <w:r w:rsidRPr="005C672D">
        <w:rPr>
          <w:color w:val="000000"/>
          <w:sz w:val="24"/>
        </w:rPr>
        <w:t>股市场宽幅震荡，二季度因中美贸易摩擦的不确定性增加、美元加息、汇率波动等各因素频发，二季度</w:t>
      </w:r>
      <w:r w:rsidRPr="005C672D">
        <w:rPr>
          <w:color w:val="000000"/>
          <w:sz w:val="24"/>
        </w:rPr>
        <w:t>A</w:t>
      </w:r>
      <w:r w:rsidRPr="005C672D">
        <w:rPr>
          <w:color w:val="000000"/>
          <w:sz w:val="24"/>
        </w:rPr>
        <w:t>股市场波动加大，阶段性下行。作为跟踪基准指数的指数基金，上半年基金总体呈现出震荡向下的走势。</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 xml:space="preserve">“3.1 </w:t>
      </w:r>
      <w:r w:rsidRPr="005C672D">
        <w:rPr>
          <w:color w:val="000000"/>
          <w:sz w:val="24"/>
        </w:rPr>
        <w:t>主要财务指标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本报告期基金份额净值增长率及其与同期业绩比较基准收益率的比较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1548F9" w:rsidRPr="005C672D" w:rsidRDefault="001548F9" w:rsidP="00AC6DDA">
      <w:pPr>
        <w:spacing w:before="29" w:line="288" w:lineRule="auto"/>
        <w:ind w:firstLineChars="200" w:firstLine="480"/>
        <w:rPr>
          <w:color w:val="000000"/>
          <w:sz w:val="24"/>
        </w:rPr>
      </w:pPr>
      <w:r w:rsidRPr="005C672D">
        <w:rPr>
          <w:color w:val="000000"/>
          <w:sz w:val="24"/>
        </w:rPr>
        <w:t>展望下半年，我们认为通胀仍将维持温和，货币中性稳健，财政政策持续发力。中美贸易摩擦的影响在短期内或仍将延续，但市场经历了剧烈调整后，许多行业指数已接近合理估值区间，目前股价也包含了投资者较为悲观的预期，总体而言，从中长期来看我们对</w:t>
      </w:r>
      <w:r w:rsidRPr="005C672D">
        <w:rPr>
          <w:color w:val="000000"/>
          <w:sz w:val="24"/>
        </w:rPr>
        <w:t>A</w:t>
      </w:r>
      <w:r w:rsidRPr="005C672D">
        <w:rPr>
          <w:color w:val="000000"/>
          <w:sz w:val="24"/>
        </w:rPr>
        <w:t>股市场仍维持谨慎中性的看法。</w:t>
      </w:r>
      <w:r w:rsidRPr="005C672D">
        <w:rPr>
          <w:color w:val="000000"/>
          <w:sz w:val="24"/>
        </w:rPr>
        <w:t xml:space="preserve"> </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261796" w:rsidRDefault="00905738">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61796" w:rsidRDefault="00905738">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lastRenderedPageBreak/>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在托管本基金的过程中，本基金托管人中国农业银行股份有限公司严格遵守《证券投资基金法》相关法律法规的规定以及基金合同、托管协议的约定，对本基金基金管理人</w:t>
      </w:r>
      <w:r w:rsidRPr="005C672D">
        <w:rPr>
          <w:color w:val="000000"/>
          <w:sz w:val="24"/>
        </w:rPr>
        <w:t>—</w:t>
      </w:r>
      <w:r w:rsidRPr="005C672D">
        <w:rPr>
          <w:color w:val="000000"/>
          <w:sz w:val="24"/>
        </w:rPr>
        <w:t>交银施罗德基金管理有限公司</w:t>
      </w:r>
      <w:r w:rsidRPr="005C672D">
        <w:rPr>
          <w:color w:val="000000"/>
          <w:sz w:val="24"/>
        </w:rPr>
        <w:t xml:space="preserve"> 2018 </w:t>
      </w:r>
      <w:r w:rsidRPr="005C672D">
        <w:rPr>
          <w:color w:val="000000"/>
          <w:sz w:val="24"/>
        </w:rPr>
        <w:t>年</w:t>
      </w:r>
      <w:r w:rsidRPr="005C672D">
        <w:rPr>
          <w:color w:val="000000"/>
          <w:sz w:val="24"/>
        </w:rPr>
        <w:t xml:space="preserve"> 1 </w:t>
      </w:r>
      <w:r w:rsidRPr="005C672D">
        <w:rPr>
          <w:color w:val="000000"/>
          <w:sz w:val="24"/>
        </w:rPr>
        <w:t>月</w:t>
      </w:r>
      <w:r w:rsidRPr="005C672D">
        <w:rPr>
          <w:color w:val="000000"/>
          <w:sz w:val="24"/>
        </w:rPr>
        <w:t xml:space="preserve"> 1 </w:t>
      </w:r>
      <w:r w:rsidRPr="005C672D">
        <w:rPr>
          <w:color w:val="000000"/>
          <w:sz w:val="24"/>
        </w:rPr>
        <w:t>日至</w:t>
      </w:r>
      <w:r w:rsidRPr="005C672D">
        <w:rPr>
          <w:color w:val="000000"/>
          <w:sz w:val="24"/>
        </w:rPr>
        <w:t xml:space="preserve"> 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日基金的投资运作，进行了认真、独立的会计核算和必要的投资监督，认真履行了托管人的义务，没有从事任何损害基金份额持有人利益的行为。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w:t>
      </w:r>
      <w:r w:rsidRPr="005C672D">
        <w:rPr>
          <w:color w:val="000000"/>
          <w:sz w:val="24"/>
        </w:rPr>
        <w:t xml:space="preserve">, </w:t>
      </w:r>
      <w:r w:rsidRPr="005C672D">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1127DC" w:rsidRPr="005C672D" w:rsidRDefault="001127DC"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会计主体：深证</w:t>
      </w:r>
      <w:r w:rsidRPr="005C672D">
        <w:rPr>
          <w:color w:val="000000"/>
          <w:sz w:val="24"/>
        </w:rPr>
        <w:t>300</w:t>
      </w:r>
      <w:r w:rsidRPr="005C672D">
        <w:rPr>
          <w:color w:val="000000"/>
          <w:sz w:val="24"/>
        </w:rPr>
        <w:t>价值交易型开放式指数证券投资基金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1,164,512.91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890,116.36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409.09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108.81</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63,653,393.78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64,647,470.67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63,653,393.78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64,540,870.67</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lastRenderedPageBreak/>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106,600.00</w:t>
            </w:r>
          </w:p>
        </w:tc>
      </w:tr>
      <w:tr w:rsidR="006C5149" w:rsidRPr="005C672D" w:rsidTr="00BA0FB8">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225.06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196.90</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7529D6" w:rsidRPr="005C672D" w:rsidTr="00BA0FB8">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64,818,540.84</w:t>
            </w:r>
          </w:p>
        </w:tc>
        <w:tc>
          <w:tcPr>
            <w:tcW w:w="2520" w:type="dxa"/>
            <w:vAlign w:val="center"/>
          </w:tcPr>
          <w:p w:rsidR="007529D6" w:rsidRPr="005C672D" w:rsidRDefault="007529D6" w:rsidP="00AC6DDA">
            <w:pPr>
              <w:spacing w:before="29" w:line="288" w:lineRule="auto"/>
              <w:jc w:val="right"/>
              <w:rPr>
                <w:color w:val="000000"/>
                <w:sz w:val="24"/>
              </w:rPr>
            </w:pPr>
            <w:r w:rsidRPr="005C672D">
              <w:rPr>
                <w:color w:val="000000"/>
                <w:sz w:val="24"/>
              </w:rPr>
              <w:t>65,537,892.74</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c>
          <w:tcPr>
            <w:tcW w:w="252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12</w:t>
            </w:r>
            <w:r w:rsidRPr="005C672D">
              <w:rPr>
                <w:rFonts w:ascii="Times New Roman" w:hAnsi="Times New Roman"/>
                <w:b/>
                <w:color w:val="000000"/>
              </w:rPr>
              <w:t>月</w:t>
            </w:r>
            <w:r w:rsidRPr="005C672D">
              <w:rPr>
                <w:rFonts w:ascii="Times New Roman" w:hAnsi="Times New Roman"/>
                <w:b/>
                <w:color w:val="000000"/>
              </w:rPr>
              <w:t>31</w:t>
            </w:r>
            <w:r w:rsidRPr="005C672D">
              <w:rPr>
                <w:rFonts w:ascii="Times New Roman" w:hAnsi="Times New Roman"/>
                <w:b/>
                <w:color w:val="000000"/>
              </w:rPr>
              <w:t>日</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p>
        </w:tc>
        <w:tc>
          <w:tcPr>
            <w:tcW w:w="2520" w:type="dxa"/>
            <w:vAlign w:val="center"/>
          </w:tcPr>
          <w:p w:rsidR="006C5149" w:rsidRPr="005C672D" w:rsidRDefault="006C5149" w:rsidP="00AC6DDA">
            <w:pPr>
              <w:spacing w:before="29" w:line="288" w:lineRule="auto"/>
              <w:jc w:val="right"/>
              <w:rPr>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547,070.97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371,721.66</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28,032.99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27,096.93</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5,606.61</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5,419.40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6.4.7.7</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9,993.18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7,363.47</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198,763.90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130,000.00</w:t>
            </w:r>
          </w:p>
        </w:tc>
      </w:tr>
      <w:tr w:rsidR="006C5149" w:rsidRPr="005C672D" w:rsidTr="00BA0FB8">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789,467.65</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541,601.46</w:t>
            </w:r>
          </w:p>
        </w:tc>
      </w:tr>
      <w:tr w:rsidR="006C5149" w:rsidRPr="005C672D" w:rsidTr="00BA0FB8">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b/>
                <w:color w:val="000000"/>
                <w:sz w:val="24"/>
              </w:rPr>
            </w:pPr>
          </w:p>
        </w:tc>
        <w:tc>
          <w:tcPr>
            <w:tcW w:w="2520" w:type="dxa"/>
            <w:vAlign w:val="center"/>
          </w:tcPr>
          <w:p w:rsidR="006C5149" w:rsidRPr="005C672D" w:rsidRDefault="006C5149" w:rsidP="00AC6DDA">
            <w:pPr>
              <w:spacing w:before="29" w:line="288" w:lineRule="auto"/>
              <w:jc w:val="right"/>
              <w:rPr>
                <w:b/>
                <w:color w:val="000000"/>
                <w:sz w:val="24"/>
              </w:rPr>
            </w:pP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38,329,693.00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34,329,693.00</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lastRenderedPageBreak/>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25,699,380.19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30,666,598.28</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64,029,073.19</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64,996,291.28</w:t>
            </w:r>
          </w:p>
        </w:tc>
      </w:tr>
      <w:tr w:rsidR="006C5149" w:rsidRPr="005C672D" w:rsidTr="00BA0FB8">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64,818,540.84</w:t>
            </w:r>
          </w:p>
        </w:tc>
        <w:tc>
          <w:tcPr>
            <w:tcW w:w="2520" w:type="dxa"/>
            <w:vAlign w:val="center"/>
          </w:tcPr>
          <w:p w:rsidR="006C5149" w:rsidRPr="005C672D" w:rsidRDefault="006C5149" w:rsidP="00AC6DDA">
            <w:pPr>
              <w:spacing w:before="29" w:line="288" w:lineRule="auto"/>
              <w:jc w:val="right"/>
              <w:rPr>
                <w:color w:val="000000"/>
                <w:sz w:val="24"/>
              </w:rPr>
            </w:pPr>
            <w:r w:rsidRPr="005C672D">
              <w:rPr>
                <w:color w:val="000000"/>
                <w:sz w:val="24"/>
              </w:rPr>
              <w:t>65,537,892.74</w:t>
            </w:r>
          </w:p>
        </w:tc>
      </w:tr>
    </w:tbl>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报告截止日</w:t>
      </w:r>
      <w:r w:rsidR="006C5149" w:rsidRPr="005C672D">
        <w:rPr>
          <w:kern w:val="0"/>
          <w:sz w:val="24"/>
        </w:rPr>
        <w:t>2018</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日，基金份额净值</w:t>
      </w:r>
      <w:r w:rsidR="006C5149" w:rsidRPr="005C672D">
        <w:rPr>
          <w:kern w:val="0"/>
          <w:sz w:val="24"/>
        </w:rPr>
        <w:t>1.670</w:t>
      </w:r>
      <w:r w:rsidR="006C5149" w:rsidRPr="005C672D">
        <w:rPr>
          <w:kern w:val="0"/>
          <w:sz w:val="24"/>
        </w:rPr>
        <w:t>元，基金份额总额</w:t>
      </w:r>
      <w:r w:rsidR="006C5149" w:rsidRPr="005C672D">
        <w:rPr>
          <w:kern w:val="0"/>
          <w:sz w:val="24"/>
        </w:rPr>
        <w:t>38,329,693.00</w:t>
      </w:r>
      <w:r w:rsidR="006C5149" w:rsidRPr="005C672D">
        <w:rPr>
          <w:kern w:val="0"/>
          <w:sz w:val="24"/>
        </w:rPr>
        <w:t>份。</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深证</w:t>
      </w:r>
      <w:r w:rsidRPr="005C672D">
        <w:rPr>
          <w:kern w:val="0"/>
          <w:sz w:val="24"/>
        </w:rPr>
        <w:t>300</w:t>
      </w:r>
      <w:r w:rsidRPr="005C672D">
        <w:rPr>
          <w:kern w:val="0"/>
          <w:sz w:val="24"/>
        </w:rPr>
        <w:t>价值交易型开放式指数证券投资基金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1"/>
      </w:tblGrid>
      <w:tr w:rsidR="006C5149" w:rsidRPr="005C672D" w:rsidTr="0095029A">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225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c>
          <w:tcPr>
            <w:tcW w:w="225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上年度可比期间</w:t>
            </w:r>
          </w:p>
          <w:p w:rsidR="006C5149" w:rsidRPr="005C672D" w:rsidRDefault="006C514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6C5149" w:rsidRPr="005C672D" w:rsidTr="0095029A">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-10,142,423.94</w:t>
            </w:r>
          </w:p>
        </w:tc>
        <w:tc>
          <w:tcPr>
            <w:tcW w:w="225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8,617,875.61</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3,967.13</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2,161.07</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3,884.07</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2,161.07</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83.06</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489,317.80</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-32,183.60</w:t>
            </w:r>
          </w:p>
        </w:tc>
      </w:tr>
      <w:tr w:rsidR="006C5149" w:rsidRPr="005C672D" w:rsidTr="0095029A">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-133,714.02</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-598,288.89</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24,941.55</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6C5149" w:rsidRPr="005C672D" w:rsidTr="0095029A">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225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c>
          <w:tcPr>
            <w:tcW w:w="225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2250"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598,090.27</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566,105.29</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-10,638,873.84</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8,647,733.54</w:t>
            </w:r>
          </w:p>
        </w:tc>
      </w:tr>
      <w:tr w:rsidR="008F704B" w:rsidRPr="005C672D" w:rsidTr="0095029A">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3,164.97</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164.60</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lastRenderedPageBreak/>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499,352.79</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413,833.15</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187,199.57</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120,961.55</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37,439.97</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24,192.38</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16,779.26</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15,572.91</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0.09</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w:t>
            </w:r>
          </w:p>
        </w:tc>
      </w:tr>
      <w:tr w:rsidR="0095029A" w:rsidRPr="00690ED2" w:rsidTr="0095029A">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2250"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257,933.90</w:t>
            </w:r>
          </w:p>
        </w:tc>
        <w:tc>
          <w:tcPr>
            <w:tcW w:w="225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253,106.31</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-10,641,776.73</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8,204,042.46</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c>
          <w:tcPr>
            <w:tcW w:w="225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8F704B" w:rsidRPr="005C672D" w:rsidTr="0095029A">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2250"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-10,641,776.73</w:t>
            </w:r>
          </w:p>
        </w:tc>
        <w:tc>
          <w:tcPr>
            <w:tcW w:w="225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8,204,042.46</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深证</w:t>
      </w:r>
      <w:r w:rsidRPr="005C672D">
        <w:rPr>
          <w:kern w:val="0"/>
          <w:sz w:val="24"/>
        </w:rPr>
        <w:t>300</w:t>
      </w:r>
      <w:r w:rsidRPr="005C672D">
        <w:rPr>
          <w:kern w:val="0"/>
          <w:sz w:val="24"/>
        </w:rPr>
        <w:t>价值交易型开放式指数证券投资基金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w:t>
      </w:r>
      <w:r w:rsidRPr="005C672D">
        <w:rPr>
          <w:kern w:val="0"/>
          <w:sz w:val="24"/>
        </w:rPr>
        <w:t>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1</w:t>
            </w:r>
            <w:r w:rsidRPr="005C672D">
              <w:rPr>
                <w:rFonts w:ascii="Times New Roman" w:hAnsi="Times New Roman"/>
                <w:b/>
              </w:rPr>
              <w:t>月</w:t>
            </w:r>
            <w:r w:rsidRPr="005C672D">
              <w:rPr>
                <w:rFonts w:ascii="Times New Roman" w:hAnsi="Times New Roman"/>
                <w:b/>
              </w:rPr>
              <w:t>1</w:t>
            </w:r>
            <w:r w:rsidRPr="005C672D">
              <w:rPr>
                <w:rFonts w:ascii="Times New Roman" w:hAnsi="Times New Roman"/>
                <w:b/>
              </w:rPr>
              <w:t>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34,329,693.00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30,666,598.28</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64,996,291.28</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-10,641,776.73</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-10,641,776.73</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4,000,000.00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5,674,558.64</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9,674,558.64</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14,518,120.61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28,518,120.61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-10,000,000.00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-8,843,561.97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-18,843,561.97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w:t>
            </w:r>
            <w:r w:rsidRPr="005C672D">
              <w:rPr>
                <w:color w:val="000000"/>
                <w:sz w:val="24"/>
              </w:rPr>
              <w:lastRenderedPageBreak/>
              <w:t>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lastRenderedPageBreak/>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38,329,693.00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25,699,380.19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64,029,073.19</w:t>
            </w:r>
          </w:p>
        </w:tc>
      </w:tr>
      <w:tr w:rsidR="001548F9" w:rsidRPr="005C672D" w:rsidTr="00BA0FB8">
        <w:tc>
          <w:tcPr>
            <w:tcW w:w="2552" w:type="dxa"/>
            <w:vMerge w:val="restart"/>
            <w:vAlign w:val="center"/>
          </w:tcPr>
          <w:p w:rsidR="001548F9" w:rsidRPr="005C672D" w:rsidRDefault="001548F9" w:rsidP="00AC6DDA">
            <w:pPr>
              <w:spacing w:before="29" w:line="288" w:lineRule="auto"/>
              <w:jc w:val="center"/>
              <w:rPr>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上年度可比期间</w:t>
            </w:r>
          </w:p>
          <w:p w:rsidR="001548F9" w:rsidRPr="005C672D" w:rsidRDefault="001548F9" w:rsidP="00AC6DDA">
            <w:pPr>
              <w:pStyle w:val="af6"/>
              <w:spacing w:before="29" w:beforeAutospacing="0" w:after="0" w:afterAutospacing="0" w:line="288" w:lineRule="auto"/>
              <w:jc w:val="center"/>
              <w:rPr>
                <w:rFonts w:ascii="Times New Roman" w:hAnsi="Times New Roman"/>
                <w:color w:val="000000"/>
              </w:rPr>
            </w:pP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1</w:t>
            </w:r>
            <w:r w:rsidRPr="005C672D">
              <w:rPr>
                <w:rFonts w:ascii="Times New Roman" w:hAnsi="Times New Roman"/>
                <w:b/>
                <w:color w:val="000000"/>
              </w:rPr>
              <w:t>月</w:t>
            </w:r>
            <w:r w:rsidRPr="005C672D">
              <w:rPr>
                <w:rFonts w:ascii="Times New Roman" w:hAnsi="Times New Roman"/>
                <w:b/>
                <w:color w:val="000000"/>
              </w:rPr>
              <w:t>1</w:t>
            </w:r>
            <w:r w:rsidRPr="005C672D">
              <w:rPr>
                <w:rFonts w:ascii="Times New Roman" w:hAnsi="Times New Roman"/>
                <w:b/>
                <w:color w:val="000000"/>
              </w:rPr>
              <w:t>日至</w:t>
            </w:r>
            <w:r w:rsidRPr="005C672D">
              <w:rPr>
                <w:rFonts w:ascii="Times New Roman" w:hAnsi="Times New Roman"/>
                <w:b/>
                <w:color w:val="000000"/>
              </w:rPr>
              <w:t>2017</w:t>
            </w:r>
            <w:r w:rsidRPr="005C672D">
              <w:rPr>
                <w:rFonts w:ascii="Times New Roman" w:hAnsi="Times New Roman"/>
                <w:b/>
                <w:color w:val="000000"/>
              </w:rPr>
              <w:t>年</w:t>
            </w:r>
            <w:r w:rsidRPr="005C672D">
              <w:rPr>
                <w:rFonts w:ascii="Times New Roman" w:hAnsi="Times New Roman"/>
                <w:b/>
                <w:color w:val="000000"/>
              </w:rPr>
              <w:t>6</w:t>
            </w:r>
            <w:r w:rsidRPr="005C672D">
              <w:rPr>
                <w:rFonts w:ascii="Times New Roman" w:hAnsi="Times New Roman"/>
                <w:b/>
                <w:color w:val="000000"/>
              </w:rPr>
              <w:t>月</w:t>
            </w:r>
            <w:r w:rsidRPr="005C672D">
              <w:rPr>
                <w:rFonts w:ascii="Times New Roman" w:hAnsi="Times New Roman"/>
                <w:b/>
                <w:color w:val="000000"/>
              </w:rPr>
              <w:t>30</w:t>
            </w:r>
            <w:r w:rsidRPr="005C672D">
              <w:rPr>
                <w:rFonts w:ascii="Times New Roman" w:hAnsi="Times New Roman"/>
                <w:b/>
                <w:color w:val="000000"/>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color w:val="000000"/>
                <w:sz w:val="24"/>
              </w:rPr>
            </w:pP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30,329,693.00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12,996,785.07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43,326,478.07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8,204,042.46</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8,204,042.46</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2,424,862.91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7,424,862.91</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5,000,000.00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2,424,862.91</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7,424,862.91</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35,329,693.00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23,625,690.44</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58,955,383.44</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负责人：阮红，主管会计工作负责人：夏华龙，会计机构负责人：单江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261796" w:rsidRDefault="00905738">
      <w:pPr>
        <w:spacing w:before="29" w:line="288" w:lineRule="auto"/>
        <w:ind w:firstLineChars="200" w:firstLine="480"/>
        <w:rPr>
          <w:color w:val="000000"/>
          <w:sz w:val="24"/>
        </w:rPr>
      </w:pPr>
      <w:r>
        <w:rPr>
          <w:color w:val="000000"/>
          <w:sz w:val="24"/>
        </w:rPr>
        <w:t>深证</w:t>
      </w:r>
      <w:r>
        <w:rPr>
          <w:color w:val="000000"/>
          <w:sz w:val="24"/>
        </w:rPr>
        <w:t>300</w:t>
      </w:r>
      <w:r>
        <w:rPr>
          <w:color w:val="000000"/>
          <w:sz w:val="24"/>
        </w:rPr>
        <w:t>价值交易型开放式指数证券投资基金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[2011]</w:t>
      </w:r>
      <w:r>
        <w:rPr>
          <w:color w:val="000000"/>
          <w:sz w:val="24"/>
        </w:rPr>
        <w:t>第</w:t>
      </w:r>
      <w:r>
        <w:rPr>
          <w:color w:val="000000"/>
          <w:sz w:val="24"/>
        </w:rPr>
        <w:t>967</w:t>
      </w:r>
      <w:r>
        <w:rPr>
          <w:color w:val="000000"/>
          <w:sz w:val="24"/>
        </w:rPr>
        <w:t>号《关于核准深证</w:t>
      </w:r>
      <w:r>
        <w:rPr>
          <w:color w:val="000000"/>
          <w:sz w:val="24"/>
        </w:rPr>
        <w:t>300</w:t>
      </w:r>
      <w:r>
        <w:rPr>
          <w:color w:val="000000"/>
          <w:sz w:val="24"/>
        </w:rPr>
        <w:t>价值交易型开放式指数证券投资基金及其联接基金募集的批复》核准，由交银施罗德基金管理有限公司依照《中华人民共和国证券投资基金法》和《深证</w:t>
      </w:r>
      <w:r>
        <w:rPr>
          <w:color w:val="000000"/>
          <w:sz w:val="24"/>
        </w:rPr>
        <w:t>300</w:t>
      </w:r>
      <w:r>
        <w:rPr>
          <w:color w:val="000000"/>
          <w:sz w:val="24"/>
        </w:rPr>
        <w:t>价值交易型开放式指数证券投资基金基金合同》负责公开募集。本基金为契约型的交易型开放式基金，存续期</w:t>
      </w:r>
      <w:r>
        <w:rPr>
          <w:color w:val="000000"/>
          <w:sz w:val="24"/>
        </w:rPr>
        <w:lastRenderedPageBreak/>
        <w:t>限不定，首次设立募集不包括认购资金利息共募集人民币</w:t>
      </w:r>
      <w:r>
        <w:rPr>
          <w:color w:val="000000"/>
          <w:sz w:val="24"/>
        </w:rPr>
        <w:t>332,308,859.00</w:t>
      </w:r>
      <w:r>
        <w:rPr>
          <w:color w:val="000000"/>
          <w:sz w:val="24"/>
        </w:rPr>
        <w:t>元</w:t>
      </w:r>
      <w:r>
        <w:rPr>
          <w:color w:val="000000"/>
          <w:sz w:val="24"/>
        </w:rPr>
        <w:t>(</w:t>
      </w:r>
      <w:r>
        <w:rPr>
          <w:color w:val="000000"/>
          <w:sz w:val="24"/>
        </w:rPr>
        <w:t>含募集股票市值</w:t>
      </w:r>
      <w:r>
        <w:rPr>
          <w:color w:val="000000"/>
          <w:sz w:val="24"/>
        </w:rPr>
        <w:t>)</w:t>
      </w:r>
      <w:r>
        <w:rPr>
          <w:color w:val="000000"/>
          <w:sz w:val="24"/>
        </w:rPr>
        <w:t>，业经普华永道中天会计师事务所有限公司普华永道中天验字</w:t>
      </w:r>
      <w:r>
        <w:rPr>
          <w:color w:val="000000"/>
          <w:sz w:val="24"/>
        </w:rPr>
        <w:t>(2011)</w:t>
      </w:r>
      <w:r>
        <w:rPr>
          <w:color w:val="000000"/>
          <w:sz w:val="24"/>
        </w:rPr>
        <w:t>第</w:t>
      </w:r>
      <w:r>
        <w:rPr>
          <w:color w:val="000000"/>
          <w:sz w:val="24"/>
        </w:rPr>
        <w:t>374</w:t>
      </w:r>
      <w:r>
        <w:rPr>
          <w:color w:val="000000"/>
          <w:sz w:val="24"/>
        </w:rPr>
        <w:t>号验资报告予以验证。经向中国证监会备案，《深证</w:t>
      </w:r>
      <w:r>
        <w:rPr>
          <w:color w:val="000000"/>
          <w:sz w:val="24"/>
        </w:rPr>
        <w:t>300</w:t>
      </w:r>
      <w:r>
        <w:rPr>
          <w:color w:val="000000"/>
          <w:sz w:val="24"/>
        </w:rPr>
        <w:t>价值交易型开放式指数证券投资基金基金合同》于</w:t>
      </w:r>
      <w:r>
        <w:rPr>
          <w:color w:val="000000"/>
          <w:sz w:val="24"/>
        </w:rPr>
        <w:t>2011</w:t>
      </w:r>
      <w:r>
        <w:rPr>
          <w:color w:val="000000"/>
          <w:sz w:val="24"/>
        </w:rPr>
        <w:t>年</w:t>
      </w:r>
      <w:r>
        <w:rPr>
          <w:color w:val="000000"/>
          <w:sz w:val="24"/>
        </w:rPr>
        <w:t>9</w:t>
      </w:r>
      <w:r>
        <w:rPr>
          <w:color w:val="000000"/>
          <w:sz w:val="24"/>
        </w:rPr>
        <w:t>月</w:t>
      </w:r>
      <w:r>
        <w:rPr>
          <w:color w:val="000000"/>
          <w:sz w:val="24"/>
        </w:rPr>
        <w:t>22</w:t>
      </w:r>
      <w:r>
        <w:rPr>
          <w:color w:val="000000"/>
          <w:sz w:val="24"/>
        </w:rPr>
        <w:t>日正式生效，基金合同生效日的基金份额总额为</w:t>
      </w:r>
      <w:r>
        <w:rPr>
          <w:color w:val="000000"/>
          <w:sz w:val="24"/>
        </w:rPr>
        <w:t>332,329,693.00</w:t>
      </w:r>
      <w:r>
        <w:rPr>
          <w:color w:val="000000"/>
          <w:sz w:val="24"/>
        </w:rPr>
        <w:t>份基金份额，其中认购资金利息折合</w:t>
      </w:r>
      <w:r>
        <w:rPr>
          <w:color w:val="000000"/>
          <w:sz w:val="24"/>
        </w:rPr>
        <w:t>20,834.00</w:t>
      </w:r>
      <w:r>
        <w:rPr>
          <w:color w:val="000000"/>
          <w:sz w:val="24"/>
        </w:rPr>
        <w:t>份基金份额。本基金的基金管理人为交银施罗德基金管理有限公司，基金托管人为中国农业银行股份有限公司。</w:t>
      </w:r>
    </w:p>
    <w:p w:rsidR="00261796" w:rsidRDefault="00905738">
      <w:pPr>
        <w:spacing w:before="29" w:line="288" w:lineRule="auto"/>
        <w:ind w:firstLineChars="200" w:firstLine="480"/>
        <w:rPr>
          <w:color w:val="000000"/>
          <w:sz w:val="24"/>
        </w:rPr>
      </w:pPr>
      <w:r>
        <w:rPr>
          <w:color w:val="000000"/>
          <w:sz w:val="24"/>
        </w:rPr>
        <w:t>经深圳证券交易所</w:t>
      </w:r>
      <w:r>
        <w:rPr>
          <w:color w:val="000000"/>
          <w:sz w:val="24"/>
        </w:rPr>
        <w:t>(</w:t>
      </w:r>
      <w:r>
        <w:rPr>
          <w:color w:val="000000"/>
          <w:sz w:val="24"/>
        </w:rPr>
        <w:t>以下简称</w:t>
      </w:r>
      <w:r>
        <w:rPr>
          <w:color w:val="000000"/>
          <w:sz w:val="24"/>
        </w:rPr>
        <w:t>"</w:t>
      </w:r>
      <w:r>
        <w:rPr>
          <w:color w:val="000000"/>
          <w:sz w:val="24"/>
        </w:rPr>
        <w:t>深交所</w:t>
      </w:r>
      <w:r>
        <w:rPr>
          <w:color w:val="000000"/>
          <w:sz w:val="24"/>
        </w:rPr>
        <w:t>")</w:t>
      </w:r>
      <w:r>
        <w:rPr>
          <w:color w:val="000000"/>
          <w:sz w:val="24"/>
        </w:rPr>
        <w:t>深证上</w:t>
      </w:r>
      <w:r>
        <w:rPr>
          <w:color w:val="000000"/>
          <w:sz w:val="24"/>
        </w:rPr>
        <w:t>[2011]</w:t>
      </w:r>
      <w:r>
        <w:rPr>
          <w:color w:val="000000"/>
          <w:sz w:val="24"/>
        </w:rPr>
        <w:t>第</w:t>
      </w:r>
      <w:r>
        <w:rPr>
          <w:color w:val="000000"/>
          <w:sz w:val="24"/>
        </w:rPr>
        <w:t>318</w:t>
      </w:r>
      <w:r>
        <w:rPr>
          <w:color w:val="000000"/>
          <w:sz w:val="24"/>
        </w:rPr>
        <w:t>号文审核同意，本基金于</w:t>
      </w:r>
      <w:r>
        <w:rPr>
          <w:color w:val="000000"/>
          <w:sz w:val="24"/>
        </w:rPr>
        <w:t>2011</w:t>
      </w:r>
      <w:r>
        <w:rPr>
          <w:color w:val="000000"/>
          <w:sz w:val="24"/>
        </w:rPr>
        <w:t>年</w:t>
      </w:r>
      <w:r>
        <w:rPr>
          <w:color w:val="000000"/>
          <w:sz w:val="24"/>
        </w:rPr>
        <w:t>10</w:t>
      </w:r>
      <w:r>
        <w:rPr>
          <w:color w:val="000000"/>
          <w:sz w:val="24"/>
        </w:rPr>
        <w:t>月</w:t>
      </w:r>
      <w:r>
        <w:rPr>
          <w:color w:val="000000"/>
          <w:sz w:val="24"/>
        </w:rPr>
        <w:t>25</w:t>
      </w:r>
      <w:r>
        <w:rPr>
          <w:color w:val="000000"/>
          <w:sz w:val="24"/>
        </w:rPr>
        <w:t>日在深交所挂牌交易。</w:t>
      </w:r>
    </w:p>
    <w:p w:rsidR="00261796" w:rsidRDefault="00905738">
      <w:pPr>
        <w:spacing w:before="29" w:line="288" w:lineRule="auto"/>
        <w:ind w:firstLineChars="200" w:firstLine="480"/>
        <w:rPr>
          <w:color w:val="000000"/>
          <w:sz w:val="24"/>
        </w:rPr>
      </w:pPr>
      <w:r>
        <w:rPr>
          <w:color w:val="000000"/>
          <w:sz w:val="24"/>
        </w:rPr>
        <w:t>根据《中华人民共和国证券投资基金法》和《深证</w:t>
      </w:r>
      <w:r>
        <w:rPr>
          <w:color w:val="000000"/>
          <w:sz w:val="24"/>
        </w:rPr>
        <w:t>300</w:t>
      </w:r>
      <w:r>
        <w:rPr>
          <w:color w:val="000000"/>
          <w:sz w:val="24"/>
        </w:rPr>
        <w:t>价值交易型开放式指数证券投资基金基金合同》的有关规定，本基金的投资目标是紧密跟踪标的指数深证</w:t>
      </w:r>
      <w:r>
        <w:rPr>
          <w:color w:val="000000"/>
          <w:sz w:val="24"/>
        </w:rPr>
        <w:t>300</w:t>
      </w:r>
      <w:r>
        <w:rPr>
          <w:color w:val="000000"/>
          <w:sz w:val="24"/>
        </w:rPr>
        <w:t>价值价格指数，追求跟踪偏离度与跟踪误差最小化；主要投资范围为标的指数的成份股和备选成份股，该部分资产比例不低于基金资产净值的</w:t>
      </w:r>
      <w:r>
        <w:rPr>
          <w:color w:val="000000"/>
          <w:sz w:val="24"/>
        </w:rPr>
        <w:t>95%</w:t>
      </w:r>
      <w:r>
        <w:rPr>
          <w:color w:val="000000"/>
          <w:sz w:val="24"/>
        </w:rPr>
        <w:t>；本基金也可少量投资于新股、债券、回购、权证及中国证监会允许基金投资的其他金融工具</w:t>
      </w:r>
      <w:r>
        <w:rPr>
          <w:color w:val="000000"/>
          <w:sz w:val="24"/>
        </w:rPr>
        <w:t>(</w:t>
      </w:r>
      <w:r>
        <w:rPr>
          <w:color w:val="000000"/>
          <w:sz w:val="24"/>
        </w:rPr>
        <w:t>但须符合中国证监会的相关规定</w:t>
      </w:r>
      <w:r>
        <w:rPr>
          <w:color w:val="000000"/>
          <w:sz w:val="24"/>
        </w:rPr>
        <w:t>)</w:t>
      </w:r>
      <w:r>
        <w:rPr>
          <w:color w:val="000000"/>
          <w:sz w:val="24"/>
        </w:rPr>
        <w:t>。在正常市场情况下，力争本基金日均跟踪偏离度的绝对值不超过</w:t>
      </w:r>
      <w:r>
        <w:rPr>
          <w:color w:val="000000"/>
          <w:sz w:val="24"/>
        </w:rPr>
        <w:t>0.1%</w:t>
      </w:r>
      <w:r>
        <w:rPr>
          <w:color w:val="000000"/>
          <w:sz w:val="24"/>
        </w:rPr>
        <w:t>，年跟踪误差不超过</w:t>
      </w:r>
      <w:r>
        <w:rPr>
          <w:color w:val="000000"/>
          <w:sz w:val="24"/>
        </w:rPr>
        <w:t>2%</w:t>
      </w:r>
      <w:r>
        <w:rPr>
          <w:color w:val="000000"/>
          <w:sz w:val="24"/>
        </w:rPr>
        <w:t>。本基金的业绩比较基准为深证</w:t>
      </w:r>
      <w:r>
        <w:rPr>
          <w:color w:val="000000"/>
          <w:sz w:val="24"/>
        </w:rPr>
        <w:t>300</w:t>
      </w:r>
      <w:r>
        <w:rPr>
          <w:color w:val="000000"/>
          <w:sz w:val="24"/>
        </w:rPr>
        <w:t>价值价格指数。</w:t>
      </w:r>
    </w:p>
    <w:p w:rsidR="001548F9" w:rsidRPr="005C672D" w:rsidRDefault="001548F9" w:rsidP="00AC6DDA">
      <w:pPr>
        <w:spacing w:before="29" w:line="288" w:lineRule="auto"/>
        <w:ind w:firstLineChars="200" w:firstLine="480"/>
        <w:rPr>
          <w:color w:val="000000"/>
          <w:sz w:val="24"/>
        </w:rPr>
      </w:pPr>
      <w:r w:rsidRPr="005C672D">
        <w:rPr>
          <w:color w:val="000000"/>
          <w:sz w:val="24"/>
        </w:rPr>
        <w:t>交银施罗德基金管理有限公司以本基金为目标</w:t>
      </w:r>
      <w:r w:rsidRPr="005C672D">
        <w:rPr>
          <w:color w:val="000000"/>
          <w:sz w:val="24"/>
        </w:rPr>
        <w:t>ETF</w:t>
      </w:r>
      <w:r w:rsidRPr="005C672D">
        <w:rPr>
          <w:color w:val="000000"/>
          <w:sz w:val="24"/>
        </w:rPr>
        <w:t>，于</w:t>
      </w:r>
      <w:r w:rsidRPr="005C672D">
        <w:rPr>
          <w:color w:val="000000"/>
          <w:sz w:val="24"/>
        </w:rPr>
        <w:t>2011</w:t>
      </w:r>
      <w:r w:rsidRPr="005C672D">
        <w:rPr>
          <w:color w:val="000000"/>
          <w:sz w:val="24"/>
        </w:rPr>
        <w:t>年</w:t>
      </w:r>
      <w:r w:rsidRPr="005C672D">
        <w:rPr>
          <w:color w:val="000000"/>
          <w:sz w:val="24"/>
        </w:rPr>
        <w:t>9</w:t>
      </w:r>
      <w:r w:rsidRPr="005C672D">
        <w:rPr>
          <w:color w:val="000000"/>
          <w:sz w:val="24"/>
        </w:rPr>
        <w:t>月</w:t>
      </w:r>
      <w:r w:rsidRPr="005C672D">
        <w:rPr>
          <w:color w:val="000000"/>
          <w:sz w:val="24"/>
        </w:rPr>
        <w:t>28</w:t>
      </w:r>
      <w:r w:rsidRPr="005C672D">
        <w:rPr>
          <w:color w:val="000000"/>
          <w:sz w:val="24"/>
        </w:rPr>
        <w:t>日募集成立了交银施罗德深证</w:t>
      </w:r>
      <w:r w:rsidRPr="005C672D">
        <w:rPr>
          <w:color w:val="000000"/>
          <w:sz w:val="24"/>
        </w:rPr>
        <w:t>300</w:t>
      </w:r>
      <w:r w:rsidRPr="005C672D">
        <w:rPr>
          <w:color w:val="000000"/>
          <w:sz w:val="24"/>
        </w:rPr>
        <w:t>价值交易型开放式指数证券投资基金联接基金</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深证</w:t>
      </w:r>
      <w:r w:rsidRPr="005C672D">
        <w:rPr>
          <w:color w:val="000000"/>
          <w:sz w:val="24"/>
        </w:rPr>
        <w:t>300</w:t>
      </w:r>
      <w:r w:rsidRPr="005C672D">
        <w:rPr>
          <w:color w:val="000000"/>
          <w:sz w:val="24"/>
        </w:rPr>
        <w:t>价值</w:t>
      </w:r>
      <w:r w:rsidRPr="005C672D">
        <w:rPr>
          <w:color w:val="000000"/>
          <w:sz w:val="24"/>
        </w:rPr>
        <w:t>ETF</w:t>
      </w:r>
      <w:r w:rsidRPr="005C672D">
        <w:rPr>
          <w:color w:val="000000"/>
          <w:sz w:val="24"/>
        </w:rPr>
        <w:t>联接基金</w:t>
      </w:r>
      <w:r w:rsidRPr="005C672D">
        <w:rPr>
          <w:color w:val="000000"/>
          <w:sz w:val="24"/>
        </w:rPr>
        <w:t>”)</w:t>
      </w:r>
      <w:r w:rsidRPr="005C672D">
        <w:rPr>
          <w:color w:val="000000"/>
          <w:sz w:val="24"/>
        </w:rPr>
        <w:t>。深证</w:t>
      </w:r>
      <w:r w:rsidRPr="005C672D">
        <w:rPr>
          <w:color w:val="000000"/>
          <w:sz w:val="24"/>
        </w:rPr>
        <w:t>300</w:t>
      </w:r>
      <w:r w:rsidRPr="005C672D">
        <w:rPr>
          <w:color w:val="000000"/>
          <w:sz w:val="24"/>
        </w:rPr>
        <w:t>价值</w:t>
      </w:r>
      <w:r w:rsidRPr="005C672D">
        <w:rPr>
          <w:color w:val="000000"/>
          <w:sz w:val="24"/>
        </w:rPr>
        <w:t>ETF</w:t>
      </w:r>
      <w:r w:rsidRPr="005C672D">
        <w:rPr>
          <w:color w:val="000000"/>
          <w:sz w:val="24"/>
        </w:rPr>
        <w:t>联接基金为契约型开放式基金，投资目标与本基金类似，将绝大多数基金资产投资于本基金。</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本基金的财务报表按照财政部于</w:t>
      </w:r>
      <w:r w:rsidRPr="005C672D">
        <w:rPr>
          <w:color w:val="000000"/>
          <w:sz w:val="24"/>
        </w:rPr>
        <w:t>2006</w:t>
      </w:r>
      <w:r w:rsidRPr="005C672D">
        <w:rPr>
          <w:color w:val="000000"/>
          <w:sz w:val="24"/>
        </w:rPr>
        <w:t>年</w:t>
      </w:r>
      <w:r w:rsidRPr="005C672D">
        <w:rPr>
          <w:color w:val="000000"/>
          <w:sz w:val="24"/>
        </w:rPr>
        <w:t>2</w:t>
      </w:r>
      <w:r w:rsidRPr="005C672D">
        <w:rPr>
          <w:color w:val="000000"/>
          <w:sz w:val="24"/>
        </w:rPr>
        <w:t>月</w:t>
      </w:r>
      <w:r w:rsidRPr="005C672D">
        <w:rPr>
          <w:color w:val="000000"/>
          <w:sz w:val="24"/>
        </w:rPr>
        <w:t>15</w:t>
      </w:r>
      <w:r w:rsidRPr="005C672D">
        <w:rPr>
          <w:color w:val="000000"/>
          <w:sz w:val="24"/>
        </w:rPr>
        <w:t>日及以后期间颁布的《企业会计准则－基本准则》、各项具体会计准则及相关规定</w:t>
      </w:r>
      <w:r w:rsidRPr="005C672D">
        <w:rPr>
          <w:color w:val="000000"/>
          <w:sz w:val="24"/>
        </w:rPr>
        <w:t>(</w:t>
      </w:r>
      <w:r w:rsidRPr="005C672D">
        <w:rPr>
          <w:color w:val="000000"/>
          <w:sz w:val="24"/>
        </w:rPr>
        <w:t>以下合称</w:t>
      </w:r>
      <w:r w:rsidRPr="005C672D">
        <w:rPr>
          <w:color w:val="000000"/>
          <w:sz w:val="24"/>
        </w:rPr>
        <w:t>“</w:t>
      </w:r>
      <w:r w:rsidRPr="005C672D">
        <w:rPr>
          <w:color w:val="000000"/>
          <w:sz w:val="24"/>
        </w:rPr>
        <w:t>企业会计准则</w:t>
      </w:r>
      <w:r w:rsidRPr="005C672D">
        <w:rPr>
          <w:color w:val="000000"/>
          <w:sz w:val="24"/>
        </w:rPr>
        <w:t>”)</w:t>
      </w:r>
      <w:r w:rsidRPr="005C672D">
        <w:rPr>
          <w:color w:val="000000"/>
          <w:sz w:val="24"/>
        </w:rPr>
        <w:t>、中国证监会颁布的《证券投资基金信息披露</w:t>
      </w:r>
      <w:r w:rsidRPr="005C672D">
        <w:rPr>
          <w:color w:val="000000"/>
          <w:sz w:val="24"/>
        </w:rPr>
        <w:t>XBRL</w:t>
      </w:r>
      <w:r w:rsidRPr="005C672D">
        <w:rPr>
          <w:color w:val="000000"/>
          <w:sz w:val="24"/>
        </w:rPr>
        <w:t>模板第</w:t>
      </w:r>
      <w:r w:rsidRPr="005C672D">
        <w:rPr>
          <w:color w:val="000000"/>
          <w:sz w:val="24"/>
        </w:rPr>
        <w:t>3</w:t>
      </w:r>
      <w:r w:rsidRPr="005C672D">
        <w:rPr>
          <w:color w:val="000000"/>
          <w:sz w:val="24"/>
        </w:rPr>
        <w:t>号</w:t>
      </w:r>
      <w:r w:rsidRPr="005C672D">
        <w:rPr>
          <w:color w:val="000000"/>
          <w:sz w:val="24"/>
        </w:rPr>
        <w:t>&lt;</w:t>
      </w:r>
      <w:r w:rsidRPr="005C672D">
        <w:rPr>
          <w:color w:val="000000"/>
          <w:sz w:val="24"/>
        </w:rPr>
        <w:t>年度报告和半年度报告</w:t>
      </w:r>
      <w:r w:rsidRPr="005C672D">
        <w:rPr>
          <w:color w:val="000000"/>
          <w:sz w:val="24"/>
        </w:rPr>
        <w:t>&gt;</w:t>
      </w:r>
      <w:r w:rsidRPr="005C672D">
        <w:rPr>
          <w:color w:val="000000"/>
          <w:sz w:val="24"/>
        </w:rPr>
        <w:t>》、中国证券投资基金业协会</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中国基金业协会</w:t>
      </w:r>
      <w:r w:rsidRPr="005C672D">
        <w:rPr>
          <w:color w:val="000000"/>
          <w:sz w:val="24"/>
        </w:rPr>
        <w:t>”)</w:t>
      </w:r>
      <w:r w:rsidRPr="005C672D">
        <w:rPr>
          <w:color w:val="000000"/>
          <w:sz w:val="24"/>
        </w:rPr>
        <w:t>颁布的《证券投资基金会计核算业务指引》、《深证</w:t>
      </w:r>
      <w:r w:rsidRPr="005C672D">
        <w:rPr>
          <w:color w:val="000000"/>
          <w:sz w:val="24"/>
        </w:rPr>
        <w:t>300</w:t>
      </w:r>
      <w:r w:rsidRPr="005C672D">
        <w:rPr>
          <w:color w:val="000000"/>
          <w:sz w:val="24"/>
        </w:rPr>
        <w:t>价值交易型开放式指数证券投资基金基金合同》和在财务报表附注</w:t>
      </w:r>
      <w:r w:rsidRPr="005C672D">
        <w:rPr>
          <w:color w:val="000000"/>
          <w:sz w:val="24"/>
        </w:rPr>
        <w:t>6.4.4</w:t>
      </w:r>
      <w:r w:rsidRPr="005C672D">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2018</w:t>
      </w:r>
      <w:r w:rsidRPr="005C672D">
        <w:rPr>
          <w:color w:val="000000"/>
          <w:sz w:val="24"/>
        </w:rPr>
        <w:t>年上半年度财务报表符合企业会计准则的要求，真实、完整地反映了本基金</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2018</w:t>
      </w:r>
      <w:r w:rsidRPr="005C672D">
        <w:rPr>
          <w:color w:val="000000"/>
          <w:sz w:val="24"/>
        </w:rPr>
        <w:t>年上半年度的经营成果和基金净值变动情况等有关信息。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Pr="005C672D">
        <w:rPr>
          <w:b/>
          <w:kern w:val="0"/>
          <w:sz w:val="24"/>
        </w:rPr>
        <w:t>本报告期所采用的会计政策、会计估计与最近一期年度报告相一致的说明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本报告期所采用的会计政策、会计估计与最近一期年度报告相一致。</w:t>
      </w:r>
    </w:p>
    <w:p w:rsidR="006260B3" w:rsidRPr="005C672D" w:rsidRDefault="006260B3" w:rsidP="00AC6DDA">
      <w:pPr>
        <w:widowControl/>
        <w:spacing w:before="29" w:line="288" w:lineRule="auto"/>
        <w:ind w:firstLine="420"/>
        <w:jc w:val="left"/>
        <w:rPr>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lastRenderedPageBreak/>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本基金在本报告期间无需说明的会计差错更正。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261796" w:rsidRDefault="00905738">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261796" w:rsidRDefault="00261796">
      <w:pPr>
        <w:spacing w:before="29" w:line="288" w:lineRule="auto"/>
        <w:ind w:firstLineChars="200" w:firstLine="480"/>
        <w:rPr>
          <w:color w:val="000000"/>
          <w:sz w:val="24"/>
        </w:rPr>
      </w:pPr>
    </w:p>
    <w:p w:rsidR="00261796" w:rsidRDefault="00905738">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261796" w:rsidRDefault="00261796">
      <w:pPr>
        <w:spacing w:before="29" w:line="288" w:lineRule="auto"/>
        <w:ind w:firstLineChars="200" w:firstLine="480"/>
        <w:rPr>
          <w:color w:val="000000"/>
          <w:sz w:val="24"/>
        </w:rPr>
      </w:pPr>
    </w:p>
    <w:p w:rsidR="00261796" w:rsidRDefault="00905738">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261796" w:rsidRDefault="00261796">
      <w:pPr>
        <w:spacing w:before="29" w:line="288" w:lineRule="auto"/>
        <w:ind w:firstLineChars="200" w:firstLine="480"/>
        <w:rPr>
          <w:color w:val="000000"/>
          <w:sz w:val="24"/>
        </w:rPr>
      </w:pPr>
    </w:p>
    <w:p w:rsidR="00261796" w:rsidRDefault="00905738">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261796" w:rsidRDefault="00261796">
      <w:pPr>
        <w:spacing w:before="29" w:line="288" w:lineRule="auto"/>
        <w:ind w:firstLineChars="200" w:firstLine="480"/>
        <w:rPr>
          <w:color w:val="000000"/>
          <w:sz w:val="24"/>
        </w:rPr>
      </w:pPr>
    </w:p>
    <w:p w:rsidR="00261796" w:rsidRDefault="00905738">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w:t>
      </w:r>
      <w:r>
        <w:rPr>
          <w:color w:val="000000"/>
          <w:sz w:val="24"/>
        </w:rPr>
        <w:lastRenderedPageBreak/>
        <w:t>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261796" w:rsidRDefault="00261796">
      <w:pPr>
        <w:spacing w:before="29" w:line="288" w:lineRule="auto"/>
        <w:ind w:firstLineChars="200" w:firstLine="480"/>
        <w:rPr>
          <w:color w:val="000000"/>
          <w:sz w:val="24"/>
        </w:rPr>
      </w:pPr>
    </w:p>
    <w:p w:rsidR="00261796" w:rsidRDefault="00905738">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261796" w:rsidRDefault="00261796">
      <w:pPr>
        <w:spacing w:before="29" w:line="288" w:lineRule="auto"/>
        <w:ind w:firstLineChars="200" w:firstLine="480"/>
        <w:rPr>
          <w:color w:val="000000"/>
          <w:sz w:val="24"/>
        </w:rPr>
      </w:pP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(5) </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261796">
        <w:tc>
          <w:tcPr>
            <w:tcW w:w="5219" w:type="dxa"/>
            <w:vAlign w:val="center"/>
          </w:tcPr>
          <w:p w:rsidR="00261796" w:rsidRDefault="00905738">
            <w:pPr>
              <w:jc w:val="left"/>
            </w:pPr>
            <w:r>
              <w:rPr>
                <w:color w:val="000000"/>
                <w:sz w:val="24"/>
              </w:rPr>
              <w:t>交银施罗德基金管理有限公司</w:t>
            </w:r>
          </w:p>
        </w:tc>
        <w:tc>
          <w:tcPr>
            <w:tcW w:w="3779" w:type="dxa"/>
            <w:vAlign w:val="center"/>
          </w:tcPr>
          <w:p w:rsidR="00261796" w:rsidRDefault="00905738">
            <w:pPr>
              <w:jc w:val="left"/>
            </w:pPr>
            <w:r>
              <w:rPr>
                <w:color w:val="000000"/>
                <w:sz w:val="24"/>
              </w:rPr>
              <w:t>基金管理人、基金销售机构</w:t>
            </w:r>
          </w:p>
        </w:tc>
      </w:tr>
      <w:tr w:rsidR="00261796">
        <w:tc>
          <w:tcPr>
            <w:tcW w:w="5219" w:type="dxa"/>
            <w:vAlign w:val="center"/>
          </w:tcPr>
          <w:p w:rsidR="00261796" w:rsidRDefault="00905738">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261796" w:rsidRDefault="00905738">
            <w:pPr>
              <w:jc w:val="left"/>
            </w:pPr>
            <w:r>
              <w:rPr>
                <w:color w:val="000000"/>
                <w:sz w:val="24"/>
              </w:rPr>
              <w:t>基金托管人、基金销售机构</w:t>
            </w:r>
          </w:p>
        </w:tc>
      </w:tr>
      <w:tr w:rsidR="00261796">
        <w:tc>
          <w:tcPr>
            <w:tcW w:w="5219" w:type="dxa"/>
            <w:vAlign w:val="center"/>
          </w:tcPr>
          <w:p w:rsidR="00261796" w:rsidRDefault="00905738">
            <w:pPr>
              <w:jc w:val="left"/>
            </w:pPr>
            <w:r>
              <w:rPr>
                <w:color w:val="000000"/>
                <w:sz w:val="24"/>
              </w:rPr>
              <w:t>交银施罗德深证</w:t>
            </w:r>
            <w:r>
              <w:rPr>
                <w:color w:val="000000"/>
                <w:sz w:val="24"/>
              </w:rPr>
              <w:t>300</w:t>
            </w:r>
            <w:r>
              <w:rPr>
                <w:color w:val="000000"/>
                <w:sz w:val="24"/>
              </w:rPr>
              <w:t>价值交易型开放式指数证券投资基金联接基金</w:t>
            </w:r>
            <w:r>
              <w:rPr>
                <w:color w:val="000000"/>
                <w:sz w:val="24"/>
              </w:rPr>
              <w:t>(“</w:t>
            </w:r>
            <w:r>
              <w:rPr>
                <w:color w:val="000000"/>
                <w:sz w:val="24"/>
              </w:rPr>
              <w:t>深证</w:t>
            </w:r>
            <w:r>
              <w:rPr>
                <w:color w:val="000000"/>
                <w:sz w:val="24"/>
              </w:rPr>
              <w:t>300</w:t>
            </w:r>
            <w:r>
              <w:rPr>
                <w:color w:val="000000"/>
                <w:sz w:val="24"/>
              </w:rPr>
              <w:t>价值</w:t>
            </w:r>
            <w:r>
              <w:rPr>
                <w:color w:val="000000"/>
                <w:sz w:val="24"/>
              </w:rPr>
              <w:t>ETF</w:t>
            </w:r>
            <w:r>
              <w:rPr>
                <w:color w:val="000000"/>
                <w:sz w:val="24"/>
              </w:rPr>
              <w:t>联接基金</w:t>
            </w:r>
            <w:r>
              <w:rPr>
                <w:color w:val="000000"/>
                <w:sz w:val="24"/>
              </w:rPr>
              <w:t>”)</w:t>
            </w:r>
          </w:p>
        </w:tc>
        <w:tc>
          <w:tcPr>
            <w:tcW w:w="3779" w:type="dxa"/>
            <w:vAlign w:val="center"/>
          </w:tcPr>
          <w:p w:rsidR="00261796" w:rsidRDefault="00905738">
            <w:pPr>
              <w:jc w:val="left"/>
            </w:pPr>
            <w:r>
              <w:rPr>
                <w:color w:val="000000"/>
                <w:sz w:val="24"/>
              </w:rPr>
              <w:t>本基金的基金管理人管理的其他基金</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本基金本报告期内及上年度可比期间无通过关联方交易单元进行的交易。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lastRenderedPageBreak/>
              <w:t>当期发生的基金应支付的管理费</w:t>
            </w:r>
          </w:p>
        </w:tc>
        <w:tc>
          <w:tcPr>
            <w:tcW w:w="2657" w:type="dxa"/>
            <w:vAlign w:val="center"/>
          </w:tcPr>
          <w:p w:rsidR="001548F9" w:rsidRPr="005C672D" w:rsidRDefault="001548F9" w:rsidP="00AC6DDA">
            <w:pPr>
              <w:spacing w:before="29" w:line="288" w:lineRule="auto"/>
              <w:jc w:val="right"/>
              <w:rPr>
                <w:sz w:val="24"/>
              </w:rPr>
            </w:pPr>
            <w:r w:rsidRPr="005C672D">
              <w:rPr>
                <w:sz w:val="24"/>
              </w:rPr>
              <w:t>187,199.57</w:t>
            </w:r>
          </w:p>
        </w:tc>
        <w:tc>
          <w:tcPr>
            <w:tcW w:w="2657" w:type="dxa"/>
            <w:vAlign w:val="center"/>
          </w:tcPr>
          <w:p w:rsidR="001548F9" w:rsidRPr="005C672D" w:rsidRDefault="001548F9" w:rsidP="00AC6DDA">
            <w:pPr>
              <w:spacing w:before="29" w:line="288" w:lineRule="auto"/>
              <w:jc w:val="right"/>
              <w:rPr>
                <w:sz w:val="24"/>
              </w:rPr>
            </w:pPr>
            <w:r w:rsidRPr="005C672D">
              <w:rPr>
                <w:sz w:val="24"/>
              </w:rPr>
              <w:t>120,961.55</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2657" w:type="dxa"/>
            <w:vAlign w:val="center"/>
          </w:tcPr>
          <w:p w:rsidR="001548F9" w:rsidRPr="005C672D" w:rsidRDefault="001548F9" w:rsidP="00AC6DDA">
            <w:pPr>
              <w:spacing w:before="29" w:line="288" w:lineRule="auto"/>
              <w:jc w:val="right"/>
              <w:rPr>
                <w:sz w:val="24"/>
              </w:rPr>
            </w:pPr>
            <w:r w:rsidRPr="005C672D">
              <w:rPr>
                <w:sz w:val="24"/>
              </w:rPr>
              <w:t>-</w:t>
            </w:r>
          </w:p>
        </w:tc>
        <w:tc>
          <w:tcPr>
            <w:tcW w:w="2657" w:type="dxa"/>
            <w:vAlign w:val="center"/>
          </w:tcPr>
          <w:p w:rsidR="001548F9" w:rsidRPr="005C672D" w:rsidRDefault="001548F9" w:rsidP="00AC6DDA">
            <w:pPr>
              <w:spacing w:before="29" w:line="288" w:lineRule="auto"/>
              <w:jc w:val="right"/>
              <w:rPr>
                <w:sz w:val="24"/>
              </w:rPr>
            </w:pPr>
            <w:r w:rsidRPr="005C672D">
              <w:rPr>
                <w:sz w:val="24"/>
              </w:rPr>
              <w:t>-</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注：支付基金管理人的管理人报酬按前一日基金资产净值</w:t>
      </w:r>
      <w:r w:rsidRPr="005C672D">
        <w:rPr>
          <w:kern w:val="0"/>
          <w:sz w:val="24"/>
        </w:rPr>
        <w:t>0.5%</w:t>
      </w:r>
      <w:r w:rsidRPr="005C672D">
        <w:rPr>
          <w:kern w:val="0"/>
          <w:sz w:val="24"/>
        </w:rPr>
        <w:t>的年费率计提，逐日累计至每月月底，按月支付。其计算公式为：日管理人报酬＝前一日基金资产净值</w:t>
      </w:r>
      <w:r w:rsidRPr="005C672D">
        <w:rPr>
          <w:kern w:val="0"/>
          <w:sz w:val="24"/>
        </w:rPr>
        <w:t>×0.5%÷</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5C672D" w:rsidTr="00C17210">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1</w:t>
            </w:r>
            <w:r w:rsidRPr="005C672D">
              <w:rPr>
                <w:sz w:val="24"/>
              </w:rPr>
              <w:t>月</w:t>
            </w:r>
            <w:r w:rsidRPr="005C672D">
              <w:rPr>
                <w:sz w:val="24"/>
              </w:rPr>
              <w:t>1</w:t>
            </w:r>
            <w:r w:rsidRPr="005C672D">
              <w:rPr>
                <w:sz w:val="24"/>
              </w:rPr>
              <w:t>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c>
          <w:tcPr>
            <w:tcW w:w="2657" w:type="dxa"/>
            <w:vAlign w:val="center"/>
          </w:tcPr>
          <w:p w:rsidR="001548F9" w:rsidRPr="005C672D" w:rsidRDefault="001548F9" w:rsidP="00AC6DDA">
            <w:pPr>
              <w:spacing w:before="29" w:line="288" w:lineRule="auto"/>
              <w:jc w:val="center"/>
              <w:rPr>
                <w:color w:val="000000"/>
                <w:sz w:val="24"/>
              </w:rPr>
            </w:pPr>
            <w:r w:rsidRPr="005C672D">
              <w:rPr>
                <w:color w:val="000000"/>
                <w:sz w:val="24"/>
              </w:rPr>
              <w:t>上年度可比期间</w:t>
            </w:r>
          </w:p>
          <w:p w:rsidR="001548F9" w:rsidRPr="005C672D" w:rsidRDefault="001548F9"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1548F9" w:rsidRPr="005C672D" w:rsidTr="00C17210">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2657" w:type="dxa"/>
            <w:vAlign w:val="center"/>
          </w:tcPr>
          <w:p w:rsidR="001548F9" w:rsidRPr="005C672D" w:rsidRDefault="001548F9" w:rsidP="00AC6DDA">
            <w:pPr>
              <w:spacing w:before="29" w:line="288" w:lineRule="auto"/>
              <w:jc w:val="right"/>
              <w:rPr>
                <w:color w:val="000000"/>
                <w:kern w:val="0"/>
                <w:sz w:val="24"/>
              </w:rPr>
            </w:pPr>
            <w:r w:rsidRPr="005C672D">
              <w:rPr>
                <w:sz w:val="24"/>
              </w:rPr>
              <w:t>37,439.97</w:t>
            </w:r>
          </w:p>
        </w:tc>
        <w:tc>
          <w:tcPr>
            <w:tcW w:w="2657" w:type="dxa"/>
            <w:vAlign w:val="center"/>
          </w:tcPr>
          <w:p w:rsidR="001548F9" w:rsidRPr="005C672D" w:rsidRDefault="001548F9" w:rsidP="00AC6DDA">
            <w:pPr>
              <w:spacing w:before="29" w:line="288" w:lineRule="auto"/>
              <w:jc w:val="right"/>
              <w:rPr>
                <w:color w:val="000000"/>
                <w:sz w:val="24"/>
              </w:rPr>
            </w:pPr>
            <w:r w:rsidRPr="005C672D">
              <w:rPr>
                <w:sz w:val="24"/>
              </w:rPr>
              <w:t>24,192.38</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注：支付基金托管人的托管费按前一日基金资产净值</w:t>
      </w:r>
      <w:r w:rsidRPr="005C672D">
        <w:rPr>
          <w:kern w:val="0"/>
          <w:sz w:val="24"/>
        </w:rPr>
        <w:t>0.1%</w:t>
      </w:r>
      <w:r w:rsidRPr="005C672D">
        <w:rPr>
          <w:kern w:val="0"/>
          <w:sz w:val="24"/>
        </w:rPr>
        <w:t>的年费率计提，逐日累计至每月月底，按月支付。其计算公式为：日托管费＝前一日基金资产净值</w:t>
      </w:r>
      <w:r w:rsidRPr="005C672D">
        <w:rPr>
          <w:kern w:val="0"/>
          <w:sz w:val="24"/>
        </w:rPr>
        <w:t>× 0.1%÷</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本报告期内及上年度可比期间未发生基金管理人运用固有资金投资本基金的情况。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1548F9" w:rsidRPr="005C672D" w:rsidRDefault="001548F9" w:rsidP="00AC6DDA">
      <w:pPr>
        <w:adjustRightInd w:val="0"/>
        <w:snapToGrid w:val="0"/>
        <w:spacing w:before="29" w:line="288" w:lineRule="auto"/>
        <w:jc w:val="right"/>
        <w:rPr>
          <w:color w:val="000000"/>
          <w:sz w:val="24"/>
        </w:rPr>
      </w:pPr>
      <w:r w:rsidRPr="005C672D">
        <w:rPr>
          <w:color w:val="000000"/>
          <w:sz w:val="24"/>
        </w:rPr>
        <w:t>份额单位：份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1980"/>
        <w:gridCol w:w="1440"/>
        <w:gridCol w:w="2160"/>
        <w:gridCol w:w="1620"/>
      </w:tblGrid>
      <w:tr w:rsidR="00F31BCF" w:rsidRPr="005C672D" w:rsidTr="00C17210">
        <w:tc>
          <w:tcPr>
            <w:tcW w:w="1800" w:type="dxa"/>
            <w:vMerge w:val="restart"/>
            <w:vAlign w:val="center"/>
          </w:tcPr>
          <w:p w:rsidR="00F31BCF" w:rsidRPr="005C672D" w:rsidRDefault="00F31BCF" w:rsidP="00AC6DDA">
            <w:pPr>
              <w:spacing w:before="29" w:line="288" w:lineRule="auto"/>
              <w:jc w:val="center"/>
              <w:rPr>
                <w:color w:val="000000"/>
                <w:sz w:val="24"/>
              </w:rPr>
            </w:pPr>
            <w:r w:rsidRPr="005C672D">
              <w:rPr>
                <w:color w:val="000000"/>
                <w:sz w:val="24"/>
              </w:rPr>
              <w:t>关联方名称</w:t>
            </w:r>
          </w:p>
        </w:tc>
        <w:tc>
          <w:tcPr>
            <w:tcW w:w="3420" w:type="dxa"/>
            <w:gridSpan w:val="2"/>
            <w:vAlign w:val="center"/>
          </w:tcPr>
          <w:p w:rsidR="00F31BCF" w:rsidRPr="005C672D" w:rsidRDefault="00F31BCF" w:rsidP="00AC6DDA">
            <w:pPr>
              <w:spacing w:before="29" w:line="288" w:lineRule="auto"/>
              <w:jc w:val="center"/>
              <w:rPr>
                <w:color w:val="000000"/>
                <w:sz w:val="24"/>
              </w:rPr>
            </w:pPr>
            <w:r w:rsidRPr="005C672D">
              <w:rPr>
                <w:color w:val="000000"/>
                <w:sz w:val="24"/>
              </w:rPr>
              <w:t>本期末</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780" w:type="dxa"/>
            <w:gridSpan w:val="2"/>
            <w:vAlign w:val="center"/>
          </w:tcPr>
          <w:p w:rsidR="00F31BCF" w:rsidRPr="005C672D" w:rsidRDefault="00F31BCF" w:rsidP="00AC6DDA">
            <w:pPr>
              <w:spacing w:before="29" w:line="288" w:lineRule="auto"/>
              <w:jc w:val="center"/>
              <w:rPr>
                <w:color w:val="000000"/>
                <w:sz w:val="24"/>
              </w:rPr>
            </w:pPr>
            <w:r w:rsidRPr="005C672D">
              <w:rPr>
                <w:color w:val="000000"/>
                <w:sz w:val="24"/>
              </w:rPr>
              <w:t>上年度末</w:t>
            </w:r>
            <w:r w:rsidRPr="005C672D">
              <w:rPr>
                <w:color w:val="000000"/>
                <w:sz w:val="24"/>
              </w:rPr>
              <w:t>2017</w:t>
            </w:r>
            <w:r w:rsidRPr="005C672D">
              <w:rPr>
                <w:color w:val="000000"/>
                <w:sz w:val="24"/>
              </w:rPr>
              <w:t>年</w:t>
            </w:r>
            <w:r w:rsidRPr="005C672D">
              <w:rPr>
                <w:color w:val="000000"/>
                <w:sz w:val="24"/>
              </w:rPr>
              <w:t>12</w:t>
            </w:r>
            <w:r w:rsidRPr="005C672D">
              <w:rPr>
                <w:color w:val="000000"/>
                <w:sz w:val="24"/>
              </w:rPr>
              <w:t>月</w:t>
            </w:r>
            <w:r w:rsidRPr="005C672D">
              <w:rPr>
                <w:color w:val="000000"/>
                <w:sz w:val="24"/>
              </w:rPr>
              <w:t>31</w:t>
            </w:r>
            <w:r w:rsidRPr="005C672D">
              <w:rPr>
                <w:color w:val="000000"/>
                <w:sz w:val="24"/>
              </w:rPr>
              <w:t>日</w:t>
            </w:r>
          </w:p>
        </w:tc>
      </w:tr>
      <w:tr w:rsidR="00F31BCF" w:rsidRPr="005C672D" w:rsidTr="00C17210">
        <w:tc>
          <w:tcPr>
            <w:tcW w:w="1800" w:type="dxa"/>
            <w:vMerge/>
            <w:vAlign w:val="center"/>
          </w:tcPr>
          <w:p w:rsidR="00F31BCF" w:rsidRPr="005C672D" w:rsidRDefault="00F31BCF" w:rsidP="00AC6DDA">
            <w:pPr>
              <w:widowControl/>
              <w:spacing w:before="29" w:line="288" w:lineRule="auto"/>
              <w:jc w:val="left"/>
              <w:rPr>
                <w:color w:val="000000"/>
                <w:sz w:val="24"/>
              </w:rPr>
            </w:pPr>
          </w:p>
        </w:tc>
        <w:tc>
          <w:tcPr>
            <w:tcW w:w="198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w:t>
            </w:r>
          </w:p>
        </w:tc>
        <w:tc>
          <w:tcPr>
            <w:tcW w:w="144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持有的基金份额占基金总份额的比例</w:t>
            </w:r>
          </w:p>
        </w:tc>
        <w:tc>
          <w:tcPr>
            <w:tcW w:w="216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w:t>
            </w:r>
          </w:p>
        </w:tc>
        <w:tc>
          <w:tcPr>
            <w:tcW w:w="1620" w:type="dxa"/>
            <w:vAlign w:val="center"/>
          </w:tcPr>
          <w:p w:rsidR="00F31BCF" w:rsidRPr="005C672D" w:rsidRDefault="00F31BCF" w:rsidP="00AC6DDA">
            <w:pPr>
              <w:spacing w:before="29" w:line="288" w:lineRule="auto"/>
              <w:jc w:val="center"/>
              <w:rPr>
                <w:color w:val="000000"/>
                <w:sz w:val="24"/>
              </w:rPr>
            </w:pPr>
            <w:r w:rsidRPr="005C672D">
              <w:rPr>
                <w:color w:val="000000"/>
                <w:sz w:val="24"/>
              </w:rPr>
              <w:t>持有的基金份额占基金总份额的比例</w:t>
            </w:r>
          </w:p>
        </w:tc>
      </w:tr>
      <w:tr w:rsidR="00261796">
        <w:tc>
          <w:tcPr>
            <w:tcW w:w="1800" w:type="dxa"/>
            <w:vAlign w:val="center"/>
          </w:tcPr>
          <w:p w:rsidR="00261796" w:rsidRDefault="00905738">
            <w:pPr>
              <w:jc w:val="left"/>
            </w:pPr>
            <w:r>
              <w:rPr>
                <w:sz w:val="24"/>
              </w:rPr>
              <w:lastRenderedPageBreak/>
              <w:t>交银深证</w:t>
            </w:r>
            <w:r>
              <w:rPr>
                <w:sz w:val="24"/>
              </w:rPr>
              <w:t>300</w:t>
            </w:r>
            <w:r>
              <w:rPr>
                <w:sz w:val="24"/>
              </w:rPr>
              <w:t>价值</w:t>
            </w:r>
            <w:r>
              <w:rPr>
                <w:sz w:val="24"/>
              </w:rPr>
              <w:t>ETF</w:t>
            </w:r>
            <w:r>
              <w:rPr>
                <w:sz w:val="24"/>
              </w:rPr>
              <w:t>联接基金</w:t>
            </w:r>
          </w:p>
        </w:tc>
        <w:tc>
          <w:tcPr>
            <w:tcW w:w="1980" w:type="dxa"/>
            <w:vAlign w:val="center"/>
          </w:tcPr>
          <w:p w:rsidR="00261796" w:rsidRDefault="00905738">
            <w:pPr>
              <w:jc w:val="right"/>
            </w:pPr>
            <w:r>
              <w:rPr>
                <w:sz w:val="24"/>
              </w:rPr>
              <w:t>35,802,500.00</w:t>
            </w:r>
          </w:p>
        </w:tc>
        <w:tc>
          <w:tcPr>
            <w:tcW w:w="1440" w:type="dxa"/>
            <w:vAlign w:val="center"/>
          </w:tcPr>
          <w:p w:rsidR="00261796" w:rsidRDefault="00905738">
            <w:pPr>
              <w:jc w:val="right"/>
            </w:pPr>
            <w:r>
              <w:rPr>
                <w:sz w:val="24"/>
              </w:rPr>
              <w:t>93.41%</w:t>
            </w:r>
          </w:p>
        </w:tc>
        <w:tc>
          <w:tcPr>
            <w:tcW w:w="2160" w:type="dxa"/>
            <w:vAlign w:val="center"/>
          </w:tcPr>
          <w:p w:rsidR="00261796" w:rsidRDefault="00905738">
            <w:pPr>
              <w:jc w:val="right"/>
            </w:pPr>
            <w:r>
              <w:rPr>
                <w:sz w:val="24"/>
              </w:rPr>
              <w:t>31,802,500.00</w:t>
            </w:r>
          </w:p>
        </w:tc>
        <w:tc>
          <w:tcPr>
            <w:tcW w:w="1620" w:type="dxa"/>
            <w:vAlign w:val="center"/>
          </w:tcPr>
          <w:p w:rsidR="00261796" w:rsidRDefault="00905738">
            <w:pPr>
              <w:jc w:val="right"/>
            </w:pPr>
            <w:r>
              <w:rPr>
                <w:sz w:val="24"/>
              </w:rPr>
              <w:t>92.64%</w:t>
            </w:r>
          </w:p>
        </w:tc>
      </w:tr>
    </w:tbl>
    <w:p w:rsidR="00F31BCF" w:rsidRPr="005C672D" w:rsidRDefault="00F31BCF" w:rsidP="00AC6DDA">
      <w:pPr>
        <w:tabs>
          <w:tab w:val="left" w:pos="426"/>
        </w:tabs>
        <w:spacing w:before="29" w:line="288" w:lineRule="auto"/>
        <w:jc w:val="left"/>
        <w:rPr>
          <w:kern w:val="0"/>
          <w:sz w:val="24"/>
        </w:rPr>
      </w:pPr>
      <w:r w:rsidRPr="005C672D">
        <w:rPr>
          <w:kern w:val="0"/>
          <w:sz w:val="24"/>
        </w:rPr>
        <w:t>注：关联方投资本基金的费率按照基金合同和招募说明书规定的确定，符合公允性要求。</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9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71"/>
        <w:gridCol w:w="2023"/>
        <w:gridCol w:w="1772"/>
        <w:gridCol w:w="1412"/>
        <w:gridCol w:w="1807"/>
      </w:tblGrid>
      <w:tr w:rsidR="00300128" w:rsidRPr="005C672D" w:rsidTr="0017554D">
        <w:tc>
          <w:tcPr>
            <w:tcW w:w="2127"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3718"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sz w:val="24"/>
              </w:rPr>
            </w:pPr>
            <w:r w:rsidRPr="005C672D">
              <w:rPr>
                <w:color w:val="000000"/>
                <w:sz w:val="24"/>
              </w:rPr>
              <w:t>2018</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c>
          <w:tcPr>
            <w:tcW w:w="3153"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上年度可比期间</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2017</w:t>
            </w:r>
            <w:r w:rsidRPr="005C672D">
              <w:rPr>
                <w:color w:val="000000"/>
                <w:sz w:val="24"/>
              </w:rPr>
              <w:t>年</w:t>
            </w:r>
            <w:r w:rsidRPr="005C672D">
              <w:rPr>
                <w:color w:val="000000"/>
                <w:sz w:val="24"/>
              </w:rPr>
              <w:t>1</w:t>
            </w:r>
            <w:r w:rsidRPr="005C672D">
              <w:rPr>
                <w:color w:val="000000"/>
                <w:sz w:val="24"/>
              </w:rPr>
              <w:t>月</w:t>
            </w:r>
            <w:r w:rsidRPr="005C672D">
              <w:rPr>
                <w:color w:val="000000"/>
                <w:sz w:val="24"/>
              </w:rPr>
              <w:t>1</w:t>
            </w:r>
            <w:r w:rsidRPr="005C672D">
              <w:rPr>
                <w:color w:val="000000"/>
                <w:sz w:val="24"/>
              </w:rPr>
              <w:t>日至</w:t>
            </w:r>
            <w:r w:rsidRPr="005C672D">
              <w:rPr>
                <w:color w:val="000000"/>
                <w:sz w:val="24"/>
              </w:rPr>
              <w:t>2017</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17554D">
        <w:tc>
          <w:tcPr>
            <w:tcW w:w="2127" w:type="dxa"/>
            <w:vMerge/>
            <w:vAlign w:val="center"/>
          </w:tcPr>
          <w:p w:rsidR="00300128" w:rsidRPr="005C672D" w:rsidRDefault="00300128" w:rsidP="00AC6DDA">
            <w:pPr>
              <w:widowControl/>
              <w:spacing w:before="29" w:line="288" w:lineRule="auto"/>
              <w:jc w:val="left"/>
              <w:rPr>
                <w:color w:val="000000"/>
                <w:sz w:val="24"/>
              </w:rPr>
            </w:pPr>
          </w:p>
        </w:tc>
        <w:tc>
          <w:tcPr>
            <w:tcW w:w="1982"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36"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c>
          <w:tcPr>
            <w:tcW w:w="138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1770"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261796">
        <w:tc>
          <w:tcPr>
            <w:tcW w:w="2171" w:type="dxa"/>
            <w:vAlign w:val="center"/>
          </w:tcPr>
          <w:p w:rsidR="00261796" w:rsidRDefault="00905738">
            <w:pPr>
              <w:jc w:val="left"/>
            </w:pPr>
            <w:r>
              <w:rPr>
                <w:sz w:val="24"/>
              </w:rPr>
              <w:t>中国农业银行</w:t>
            </w:r>
          </w:p>
        </w:tc>
        <w:tc>
          <w:tcPr>
            <w:tcW w:w="2023" w:type="dxa"/>
            <w:vAlign w:val="center"/>
          </w:tcPr>
          <w:p w:rsidR="00261796" w:rsidRDefault="00905738">
            <w:pPr>
              <w:jc w:val="right"/>
            </w:pPr>
            <w:r>
              <w:rPr>
                <w:sz w:val="24"/>
              </w:rPr>
              <w:t>1,164,512.91</w:t>
            </w:r>
          </w:p>
        </w:tc>
        <w:tc>
          <w:tcPr>
            <w:tcW w:w="1772" w:type="dxa"/>
            <w:vAlign w:val="center"/>
          </w:tcPr>
          <w:p w:rsidR="00261796" w:rsidRDefault="00905738">
            <w:pPr>
              <w:jc w:val="right"/>
            </w:pPr>
            <w:r>
              <w:rPr>
                <w:sz w:val="24"/>
              </w:rPr>
              <w:t>3,707.67</w:t>
            </w:r>
          </w:p>
        </w:tc>
        <w:tc>
          <w:tcPr>
            <w:tcW w:w="1412" w:type="dxa"/>
            <w:vAlign w:val="center"/>
          </w:tcPr>
          <w:p w:rsidR="00261796" w:rsidRDefault="00905738">
            <w:pPr>
              <w:jc w:val="right"/>
            </w:pPr>
            <w:r>
              <w:rPr>
                <w:sz w:val="24"/>
              </w:rPr>
              <w:t>979,960.32</w:t>
            </w:r>
          </w:p>
        </w:tc>
        <w:tc>
          <w:tcPr>
            <w:tcW w:w="1807" w:type="dxa"/>
            <w:vAlign w:val="center"/>
          </w:tcPr>
          <w:p w:rsidR="00261796" w:rsidRDefault="00905738">
            <w:pPr>
              <w:jc w:val="right"/>
            </w:pPr>
            <w:r>
              <w:rPr>
                <w:sz w:val="24"/>
              </w:rPr>
              <w:t>2,096.20</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本基金本报告期内及上年度可比期间未在承销期内参与关联方承销证券。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95029A" w:rsidRPr="00690ED2" w:rsidRDefault="0095029A" w:rsidP="0095029A">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52" w:name="OLE_LINK189"/>
      <w:bookmarkStart w:id="53" w:name="OLE_LINK7"/>
      <w:bookmarkStart w:id="54" w:name="OLE_LINK6"/>
      <w:r w:rsidRPr="00690ED2">
        <w:rPr>
          <w:rFonts w:eastAsiaTheme="minorEastAsia" w:hint="eastAsia"/>
          <w:b/>
          <w:color w:val="000000" w:themeColor="text1"/>
          <w:sz w:val="24"/>
        </w:rPr>
        <w:t>其他关联交易事项的说明</w:t>
      </w:r>
      <w:bookmarkEnd w:id="52"/>
      <w:bookmarkEnd w:id="53"/>
      <w:bookmarkEnd w:id="54"/>
    </w:p>
    <w:p w:rsidR="0095029A" w:rsidRDefault="0095029A" w:rsidP="00C32A0B">
      <w:pPr>
        <w:widowControl/>
        <w:spacing w:line="360" w:lineRule="auto"/>
        <w:rPr>
          <w:rFonts w:eastAsiaTheme="minorEastAsia"/>
          <w:color w:val="000000" w:themeColor="text1"/>
          <w:kern w:val="0"/>
          <w:sz w:val="24"/>
        </w:rPr>
      </w:pPr>
      <w:r w:rsidRPr="00690ED2">
        <w:rPr>
          <w:rFonts w:eastAsiaTheme="minorEastAsia"/>
          <w:color w:val="000000" w:themeColor="text1"/>
          <w:kern w:val="0"/>
          <w:sz w:val="24"/>
        </w:rPr>
        <w:t>本基金本报告期内及上年度可比期间无其他关联交易事项。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2018</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本基金本报告期末未持有因认购新发</w:t>
      </w:r>
      <w:r w:rsidRPr="005C672D">
        <w:rPr>
          <w:kern w:val="0"/>
          <w:sz w:val="24"/>
        </w:rPr>
        <w:t>/</w:t>
      </w:r>
      <w:r w:rsidRPr="005C672D">
        <w:rPr>
          <w:kern w:val="0"/>
          <w:sz w:val="24"/>
        </w:rPr>
        <w:t>增发证券而流通受限的证券。</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w:t>
      </w:r>
      <w:r w:rsidRPr="005C672D">
        <w:rPr>
          <w:bCs/>
          <w:color w:val="000000"/>
          <w:sz w:val="24"/>
        </w:rPr>
        <w:t>：人民币元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548F9" w:rsidRPr="005C672D" w:rsidTr="00A95427">
        <w:trPr>
          <w:trHeight w:val="255"/>
        </w:trPr>
        <w:tc>
          <w:tcPr>
            <w:tcW w:w="616"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w:t>
            </w:r>
          </w:p>
          <w:p w:rsidR="001548F9" w:rsidRPr="005C672D" w:rsidRDefault="001548F9" w:rsidP="00AC6DDA">
            <w:pPr>
              <w:spacing w:before="29" w:line="288" w:lineRule="auto"/>
              <w:jc w:val="center"/>
              <w:rPr>
                <w:color w:val="000000"/>
                <w:sz w:val="24"/>
              </w:rPr>
            </w:pPr>
            <w:r w:rsidRPr="005C672D">
              <w:rPr>
                <w:color w:val="000000"/>
                <w:sz w:val="24"/>
              </w:rPr>
              <w:t>代码</w:t>
            </w:r>
          </w:p>
        </w:tc>
        <w:tc>
          <w:tcPr>
            <w:tcW w:w="686"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股票</w:t>
            </w:r>
          </w:p>
          <w:p w:rsidR="001548F9" w:rsidRPr="005C672D" w:rsidRDefault="001548F9" w:rsidP="00AC6DDA">
            <w:pPr>
              <w:spacing w:before="29" w:line="288" w:lineRule="auto"/>
              <w:jc w:val="center"/>
              <w:rPr>
                <w:color w:val="000000"/>
                <w:sz w:val="24"/>
              </w:rPr>
            </w:pPr>
            <w:r w:rsidRPr="005C672D">
              <w:rPr>
                <w:color w:val="000000"/>
                <w:sz w:val="24"/>
              </w:rPr>
              <w:t>名称</w:t>
            </w:r>
          </w:p>
        </w:tc>
        <w:tc>
          <w:tcPr>
            <w:tcW w:w="742"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停牌</w:t>
            </w:r>
          </w:p>
          <w:p w:rsidR="001548F9" w:rsidRPr="005C672D" w:rsidRDefault="001548F9" w:rsidP="00AC6DDA">
            <w:pPr>
              <w:spacing w:before="29" w:line="288" w:lineRule="auto"/>
              <w:jc w:val="center"/>
              <w:rPr>
                <w:color w:val="000000"/>
                <w:sz w:val="24"/>
              </w:rPr>
            </w:pPr>
            <w:r w:rsidRPr="005C672D">
              <w:rPr>
                <w:color w:val="000000"/>
                <w:sz w:val="24"/>
              </w:rPr>
              <w:t>日期</w:t>
            </w:r>
          </w:p>
        </w:tc>
        <w:tc>
          <w:tcPr>
            <w:tcW w:w="798"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停牌</w:t>
            </w:r>
          </w:p>
          <w:p w:rsidR="001548F9" w:rsidRPr="005C672D" w:rsidRDefault="001548F9" w:rsidP="00AC6DDA">
            <w:pPr>
              <w:spacing w:before="29" w:line="288" w:lineRule="auto"/>
              <w:jc w:val="center"/>
              <w:rPr>
                <w:color w:val="000000"/>
                <w:sz w:val="24"/>
              </w:rPr>
            </w:pPr>
            <w:r w:rsidRPr="005C672D">
              <w:rPr>
                <w:color w:val="000000"/>
                <w:sz w:val="24"/>
              </w:rPr>
              <w:t>原因</w:t>
            </w:r>
          </w:p>
        </w:tc>
        <w:tc>
          <w:tcPr>
            <w:tcW w:w="798"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期末估值单价</w:t>
            </w:r>
          </w:p>
        </w:tc>
        <w:tc>
          <w:tcPr>
            <w:tcW w:w="686"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复牌</w:t>
            </w:r>
          </w:p>
          <w:p w:rsidR="001548F9" w:rsidRPr="005C672D" w:rsidRDefault="001548F9" w:rsidP="00AC6DDA">
            <w:pPr>
              <w:spacing w:before="29" w:line="288" w:lineRule="auto"/>
              <w:jc w:val="center"/>
              <w:rPr>
                <w:color w:val="000000"/>
                <w:sz w:val="24"/>
              </w:rPr>
            </w:pPr>
            <w:r w:rsidRPr="005C672D">
              <w:rPr>
                <w:color w:val="000000"/>
                <w:sz w:val="24"/>
              </w:rPr>
              <w:t>日期</w:t>
            </w:r>
          </w:p>
        </w:tc>
        <w:tc>
          <w:tcPr>
            <w:tcW w:w="658"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复牌开</w:t>
            </w:r>
          </w:p>
          <w:p w:rsidR="001548F9" w:rsidRPr="005C672D" w:rsidRDefault="001548F9" w:rsidP="00AC6DDA">
            <w:pPr>
              <w:spacing w:before="29" w:line="288" w:lineRule="auto"/>
              <w:jc w:val="center"/>
              <w:rPr>
                <w:color w:val="000000"/>
                <w:sz w:val="24"/>
              </w:rPr>
            </w:pPr>
            <w:r w:rsidRPr="005C672D">
              <w:rPr>
                <w:color w:val="000000"/>
                <w:sz w:val="24"/>
              </w:rPr>
              <w:t>盘单价</w:t>
            </w:r>
          </w:p>
        </w:tc>
        <w:tc>
          <w:tcPr>
            <w:tcW w:w="1049" w:type="dxa"/>
            <w:tcMar>
              <w:top w:w="15" w:type="dxa"/>
              <w:left w:w="15" w:type="dxa"/>
              <w:bottom w:w="0" w:type="dxa"/>
              <w:right w:w="15" w:type="dxa"/>
            </w:tcMar>
            <w:vAlign w:val="center"/>
          </w:tcPr>
          <w:p w:rsidR="001548F9" w:rsidRPr="005C672D" w:rsidRDefault="001548F9" w:rsidP="00AC6DDA">
            <w:pPr>
              <w:spacing w:before="29" w:line="288" w:lineRule="auto"/>
              <w:jc w:val="center"/>
              <w:rPr>
                <w:color w:val="000000"/>
                <w:sz w:val="24"/>
              </w:rPr>
            </w:pPr>
            <w:r w:rsidRPr="005C672D">
              <w:rPr>
                <w:color w:val="000000"/>
                <w:sz w:val="24"/>
              </w:rPr>
              <w:t>数量</w:t>
            </w:r>
          </w:p>
          <w:p w:rsidR="001548F9" w:rsidRPr="005C672D" w:rsidRDefault="001548F9" w:rsidP="00AC6DDA">
            <w:pPr>
              <w:spacing w:before="29" w:line="288" w:lineRule="auto"/>
              <w:jc w:val="center"/>
              <w:rPr>
                <w:color w:val="000000"/>
                <w:sz w:val="24"/>
              </w:rPr>
            </w:pPr>
            <w:r w:rsidRPr="005C672D">
              <w:rPr>
                <w:color w:val="000000"/>
                <w:sz w:val="24"/>
              </w:rPr>
              <w:t>(</w:t>
            </w:r>
            <w:r w:rsidRPr="005C672D">
              <w:rPr>
                <w:color w:val="000000"/>
                <w:sz w:val="24"/>
              </w:rPr>
              <w:t>股</w:t>
            </w:r>
            <w:r w:rsidRPr="005C672D">
              <w:rPr>
                <w:color w:val="000000"/>
                <w:sz w:val="24"/>
              </w:rPr>
              <w:t>)</w:t>
            </w:r>
          </w:p>
        </w:tc>
        <w:tc>
          <w:tcPr>
            <w:tcW w:w="1218" w:type="dxa"/>
            <w:vAlign w:val="center"/>
          </w:tcPr>
          <w:p w:rsidR="001548F9" w:rsidRPr="005C672D" w:rsidRDefault="001548F9" w:rsidP="00AC6DDA">
            <w:pPr>
              <w:spacing w:before="29" w:line="288" w:lineRule="auto"/>
              <w:jc w:val="center"/>
              <w:rPr>
                <w:color w:val="000000"/>
                <w:sz w:val="24"/>
              </w:rPr>
            </w:pPr>
            <w:r w:rsidRPr="005C672D">
              <w:rPr>
                <w:color w:val="000000"/>
                <w:sz w:val="24"/>
              </w:rPr>
              <w:t>期末</w:t>
            </w:r>
          </w:p>
          <w:p w:rsidR="001548F9" w:rsidRPr="005C672D" w:rsidRDefault="001548F9" w:rsidP="00AC6DDA">
            <w:pPr>
              <w:spacing w:before="29" w:line="288" w:lineRule="auto"/>
              <w:jc w:val="center"/>
              <w:rPr>
                <w:color w:val="000000"/>
                <w:sz w:val="24"/>
              </w:rPr>
            </w:pPr>
            <w:r w:rsidRPr="005C672D">
              <w:rPr>
                <w:color w:val="000000"/>
                <w:sz w:val="24"/>
              </w:rPr>
              <w:t>成本总额</w:t>
            </w:r>
          </w:p>
        </w:tc>
        <w:tc>
          <w:tcPr>
            <w:tcW w:w="1160" w:type="dxa"/>
            <w:vAlign w:val="center"/>
          </w:tcPr>
          <w:p w:rsidR="001548F9" w:rsidRPr="005C672D" w:rsidRDefault="001548F9" w:rsidP="00AC6DDA">
            <w:pPr>
              <w:spacing w:before="29" w:line="288" w:lineRule="auto"/>
              <w:jc w:val="center"/>
              <w:rPr>
                <w:color w:val="000000"/>
                <w:sz w:val="24"/>
              </w:rPr>
            </w:pPr>
            <w:r w:rsidRPr="005C672D">
              <w:rPr>
                <w:color w:val="000000"/>
                <w:sz w:val="24"/>
              </w:rPr>
              <w:t>期末</w:t>
            </w:r>
          </w:p>
          <w:p w:rsidR="001548F9" w:rsidRPr="005C672D" w:rsidRDefault="001548F9" w:rsidP="00AC6DDA">
            <w:pPr>
              <w:spacing w:before="29" w:line="288" w:lineRule="auto"/>
              <w:jc w:val="center"/>
              <w:rPr>
                <w:color w:val="000000"/>
                <w:sz w:val="24"/>
              </w:rPr>
            </w:pPr>
            <w:r w:rsidRPr="005C672D">
              <w:rPr>
                <w:color w:val="000000"/>
                <w:sz w:val="24"/>
              </w:rPr>
              <w:t>估值总额</w:t>
            </w:r>
          </w:p>
        </w:tc>
        <w:tc>
          <w:tcPr>
            <w:tcW w:w="601" w:type="dxa"/>
            <w:vAlign w:val="center"/>
          </w:tcPr>
          <w:p w:rsidR="001548F9" w:rsidRPr="005C672D" w:rsidRDefault="001548F9" w:rsidP="00AC6DDA">
            <w:pPr>
              <w:spacing w:before="29" w:line="288" w:lineRule="auto"/>
              <w:jc w:val="center"/>
              <w:rPr>
                <w:color w:val="000000"/>
                <w:sz w:val="24"/>
              </w:rPr>
            </w:pPr>
            <w:r w:rsidRPr="005C672D">
              <w:rPr>
                <w:color w:val="000000"/>
                <w:sz w:val="24"/>
              </w:rPr>
              <w:t>备注</w:t>
            </w:r>
          </w:p>
        </w:tc>
      </w:tr>
      <w:tr w:rsidR="00261796">
        <w:tc>
          <w:tcPr>
            <w:tcW w:w="616" w:type="dxa"/>
            <w:vAlign w:val="center"/>
          </w:tcPr>
          <w:p w:rsidR="00261796" w:rsidRDefault="00905738">
            <w:pPr>
              <w:jc w:val="center"/>
            </w:pPr>
            <w:r>
              <w:rPr>
                <w:sz w:val="24"/>
              </w:rPr>
              <w:t>000540</w:t>
            </w:r>
          </w:p>
        </w:tc>
        <w:tc>
          <w:tcPr>
            <w:tcW w:w="686" w:type="dxa"/>
            <w:vAlign w:val="center"/>
          </w:tcPr>
          <w:p w:rsidR="00261796" w:rsidRDefault="00905738">
            <w:pPr>
              <w:jc w:val="center"/>
            </w:pPr>
            <w:r>
              <w:rPr>
                <w:sz w:val="24"/>
              </w:rPr>
              <w:t>中天金融</w:t>
            </w:r>
          </w:p>
        </w:tc>
        <w:tc>
          <w:tcPr>
            <w:tcW w:w="742" w:type="dxa"/>
            <w:vAlign w:val="center"/>
          </w:tcPr>
          <w:p w:rsidR="00261796" w:rsidRDefault="00905738">
            <w:pPr>
              <w:jc w:val="center"/>
            </w:pPr>
            <w:r>
              <w:rPr>
                <w:sz w:val="24"/>
              </w:rPr>
              <w:t>2017-08-21</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4.87</w:t>
            </w:r>
          </w:p>
        </w:tc>
        <w:tc>
          <w:tcPr>
            <w:tcW w:w="686" w:type="dxa"/>
            <w:vAlign w:val="center"/>
          </w:tcPr>
          <w:p w:rsidR="00261796" w:rsidRDefault="00905738">
            <w:pPr>
              <w:jc w:val="center"/>
            </w:pPr>
            <w:r>
              <w:rPr>
                <w:sz w:val="24"/>
              </w:rPr>
              <w:t>-</w:t>
            </w:r>
          </w:p>
        </w:tc>
        <w:tc>
          <w:tcPr>
            <w:tcW w:w="658" w:type="dxa"/>
            <w:vAlign w:val="center"/>
          </w:tcPr>
          <w:p w:rsidR="00261796" w:rsidRDefault="00905738">
            <w:pPr>
              <w:jc w:val="right"/>
            </w:pPr>
            <w:r>
              <w:rPr>
                <w:sz w:val="24"/>
              </w:rPr>
              <w:t>-</w:t>
            </w:r>
          </w:p>
        </w:tc>
        <w:tc>
          <w:tcPr>
            <w:tcW w:w="1049" w:type="dxa"/>
            <w:vAlign w:val="center"/>
          </w:tcPr>
          <w:p w:rsidR="00261796" w:rsidRDefault="00905738">
            <w:pPr>
              <w:jc w:val="right"/>
            </w:pPr>
            <w:r>
              <w:rPr>
                <w:sz w:val="24"/>
              </w:rPr>
              <w:t>76,508</w:t>
            </w:r>
          </w:p>
        </w:tc>
        <w:tc>
          <w:tcPr>
            <w:tcW w:w="1218" w:type="dxa"/>
            <w:vAlign w:val="center"/>
          </w:tcPr>
          <w:p w:rsidR="00261796" w:rsidRDefault="00905738">
            <w:pPr>
              <w:jc w:val="right"/>
            </w:pPr>
            <w:r>
              <w:rPr>
                <w:sz w:val="24"/>
              </w:rPr>
              <w:t>436,711.63</w:t>
            </w:r>
          </w:p>
        </w:tc>
        <w:tc>
          <w:tcPr>
            <w:tcW w:w="1160" w:type="dxa"/>
            <w:vAlign w:val="center"/>
          </w:tcPr>
          <w:p w:rsidR="00261796" w:rsidRDefault="00905738">
            <w:pPr>
              <w:jc w:val="right"/>
            </w:pPr>
            <w:r>
              <w:rPr>
                <w:sz w:val="24"/>
              </w:rPr>
              <w:t>372,593.96</w:t>
            </w:r>
          </w:p>
        </w:tc>
        <w:tc>
          <w:tcPr>
            <w:tcW w:w="601" w:type="dxa"/>
            <w:vAlign w:val="center"/>
          </w:tcPr>
          <w:p w:rsidR="00261796" w:rsidRDefault="00905738">
            <w:pPr>
              <w:jc w:val="center"/>
            </w:pPr>
            <w:r>
              <w:rPr>
                <w:sz w:val="24"/>
              </w:rPr>
              <w:t>-</w:t>
            </w:r>
          </w:p>
        </w:tc>
      </w:tr>
      <w:tr w:rsidR="00261796">
        <w:tc>
          <w:tcPr>
            <w:tcW w:w="616" w:type="dxa"/>
            <w:vAlign w:val="center"/>
          </w:tcPr>
          <w:p w:rsidR="00261796" w:rsidRDefault="00905738">
            <w:pPr>
              <w:jc w:val="center"/>
            </w:pPr>
            <w:r>
              <w:rPr>
                <w:sz w:val="24"/>
              </w:rPr>
              <w:t>000793</w:t>
            </w:r>
          </w:p>
        </w:tc>
        <w:tc>
          <w:tcPr>
            <w:tcW w:w="686" w:type="dxa"/>
            <w:vAlign w:val="center"/>
          </w:tcPr>
          <w:p w:rsidR="00261796" w:rsidRDefault="00905738">
            <w:pPr>
              <w:jc w:val="center"/>
            </w:pPr>
            <w:r>
              <w:rPr>
                <w:sz w:val="24"/>
              </w:rPr>
              <w:t>华闻传媒</w:t>
            </w:r>
          </w:p>
        </w:tc>
        <w:tc>
          <w:tcPr>
            <w:tcW w:w="742" w:type="dxa"/>
            <w:vAlign w:val="center"/>
          </w:tcPr>
          <w:p w:rsidR="00261796" w:rsidRDefault="00905738">
            <w:pPr>
              <w:jc w:val="center"/>
            </w:pPr>
            <w:r>
              <w:rPr>
                <w:sz w:val="24"/>
              </w:rPr>
              <w:t>2018-02-01</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8.40</w:t>
            </w:r>
          </w:p>
        </w:tc>
        <w:tc>
          <w:tcPr>
            <w:tcW w:w="686" w:type="dxa"/>
            <w:vAlign w:val="center"/>
          </w:tcPr>
          <w:p w:rsidR="00261796" w:rsidRDefault="00905738">
            <w:pPr>
              <w:jc w:val="center"/>
            </w:pPr>
            <w:r>
              <w:rPr>
                <w:sz w:val="24"/>
              </w:rPr>
              <w:t>2018-07-16</w:t>
            </w:r>
          </w:p>
        </w:tc>
        <w:tc>
          <w:tcPr>
            <w:tcW w:w="658" w:type="dxa"/>
            <w:vAlign w:val="center"/>
          </w:tcPr>
          <w:p w:rsidR="00261796" w:rsidRDefault="00905738">
            <w:pPr>
              <w:jc w:val="right"/>
            </w:pPr>
            <w:r>
              <w:rPr>
                <w:sz w:val="24"/>
              </w:rPr>
              <w:t>7.55</w:t>
            </w:r>
          </w:p>
        </w:tc>
        <w:tc>
          <w:tcPr>
            <w:tcW w:w="1049" w:type="dxa"/>
            <w:vAlign w:val="center"/>
          </w:tcPr>
          <w:p w:rsidR="00261796" w:rsidRDefault="00905738">
            <w:pPr>
              <w:jc w:val="right"/>
            </w:pPr>
            <w:r>
              <w:rPr>
                <w:sz w:val="24"/>
              </w:rPr>
              <w:t>43,725</w:t>
            </w:r>
          </w:p>
        </w:tc>
        <w:tc>
          <w:tcPr>
            <w:tcW w:w="1218" w:type="dxa"/>
            <w:vAlign w:val="center"/>
          </w:tcPr>
          <w:p w:rsidR="00261796" w:rsidRDefault="00905738">
            <w:pPr>
              <w:jc w:val="right"/>
            </w:pPr>
            <w:r>
              <w:rPr>
                <w:sz w:val="24"/>
              </w:rPr>
              <w:t>432,018.50</w:t>
            </w:r>
          </w:p>
        </w:tc>
        <w:tc>
          <w:tcPr>
            <w:tcW w:w="1160" w:type="dxa"/>
            <w:vAlign w:val="center"/>
          </w:tcPr>
          <w:p w:rsidR="00261796" w:rsidRDefault="00905738">
            <w:pPr>
              <w:jc w:val="right"/>
            </w:pPr>
            <w:r>
              <w:rPr>
                <w:sz w:val="24"/>
              </w:rPr>
              <w:t>367,290.00</w:t>
            </w:r>
          </w:p>
        </w:tc>
        <w:tc>
          <w:tcPr>
            <w:tcW w:w="601" w:type="dxa"/>
            <w:vAlign w:val="center"/>
          </w:tcPr>
          <w:p w:rsidR="00261796" w:rsidRDefault="00905738">
            <w:pPr>
              <w:jc w:val="center"/>
            </w:pPr>
            <w:r>
              <w:rPr>
                <w:sz w:val="24"/>
              </w:rPr>
              <w:t>-</w:t>
            </w:r>
          </w:p>
        </w:tc>
      </w:tr>
      <w:tr w:rsidR="00261796">
        <w:tc>
          <w:tcPr>
            <w:tcW w:w="616" w:type="dxa"/>
            <w:vAlign w:val="center"/>
          </w:tcPr>
          <w:p w:rsidR="00261796" w:rsidRDefault="00905738">
            <w:pPr>
              <w:jc w:val="center"/>
            </w:pPr>
            <w:r>
              <w:rPr>
                <w:sz w:val="24"/>
              </w:rPr>
              <w:t>000825</w:t>
            </w:r>
          </w:p>
        </w:tc>
        <w:tc>
          <w:tcPr>
            <w:tcW w:w="686" w:type="dxa"/>
            <w:vAlign w:val="center"/>
          </w:tcPr>
          <w:p w:rsidR="00261796" w:rsidRDefault="00905738">
            <w:pPr>
              <w:jc w:val="center"/>
            </w:pPr>
            <w:r>
              <w:rPr>
                <w:sz w:val="24"/>
              </w:rPr>
              <w:t>太钢不锈</w:t>
            </w:r>
          </w:p>
        </w:tc>
        <w:tc>
          <w:tcPr>
            <w:tcW w:w="742" w:type="dxa"/>
            <w:vAlign w:val="center"/>
          </w:tcPr>
          <w:p w:rsidR="00261796" w:rsidRDefault="00905738">
            <w:pPr>
              <w:jc w:val="center"/>
            </w:pPr>
            <w:r>
              <w:rPr>
                <w:sz w:val="24"/>
              </w:rPr>
              <w:t>2018-04-16</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6.00</w:t>
            </w:r>
          </w:p>
        </w:tc>
        <w:tc>
          <w:tcPr>
            <w:tcW w:w="686" w:type="dxa"/>
            <w:vAlign w:val="center"/>
          </w:tcPr>
          <w:p w:rsidR="00261796" w:rsidRDefault="00905738">
            <w:pPr>
              <w:jc w:val="center"/>
            </w:pPr>
            <w:r>
              <w:rPr>
                <w:sz w:val="24"/>
              </w:rPr>
              <w:t>-</w:t>
            </w:r>
          </w:p>
        </w:tc>
        <w:tc>
          <w:tcPr>
            <w:tcW w:w="658" w:type="dxa"/>
            <w:vAlign w:val="center"/>
          </w:tcPr>
          <w:p w:rsidR="00261796" w:rsidRDefault="00905738">
            <w:pPr>
              <w:jc w:val="right"/>
            </w:pPr>
            <w:r>
              <w:rPr>
                <w:sz w:val="24"/>
              </w:rPr>
              <w:t>-</w:t>
            </w:r>
          </w:p>
        </w:tc>
        <w:tc>
          <w:tcPr>
            <w:tcW w:w="1049" w:type="dxa"/>
            <w:vAlign w:val="center"/>
          </w:tcPr>
          <w:p w:rsidR="00261796" w:rsidRDefault="00905738">
            <w:pPr>
              <w:jc w:val="right"/>
            </w:pPr>
            <w:r>
              <w:rPr>
                <w:sz w:val="24"/>
              </w:rPr>
              <w:t>58,800</w:t>
            </w:r>
          </w:p>
        </w:tc>
        <w:tc>
          <w:tcPr>
            <w:tcW w:w="1218" w:type="dxa"/>
            <w:vAlign w:val="center"/>
          </w:tcPr>
          <w:p w:rsidR="00261796" w:rsidRDefault="00905738">
            <w:pPr>
              <w:jc w:val="right"/>
            </w:pPr>
            <w:r>
              <w:rPr>
                <w:sz w:val="24"/>
              </w:rPr>
              <w:t>273,350.81</w:t>
            </w:r>
          </w:p>
        </w:tc>
        <w:tc>
          <w:tcPr>
            <w:tcW w:w="1160" w:type="dxa"/>
            <w:vAlign w:val="center"/>
          </w:tcPr>
          <w:p w:rsidR="00261796" w:rsidRDefault="00905738">
            <w:pPr>
              <w:jc w:val="right"/>
            </w:pPr>
            <w:r>
              <w:rPr>
                <w:sz w:val="24"/>
              </w:rPr>
              <w:t>352,800.00</w:t>
            </w:r>
          </w:p>
        </w:tc>
        <w:tc>
          <w:tcPr>
            <w:tcW w:w="601" w:type="dxa"/>
            <w:vAlign w:val="center"/>
          </w:tcPr>
          <w:p w:rsidR="00261796" w:rsidRDefault="00905738">
            <w:pPr>
              <w:jc w:val="center"/>
            </w:pPr>
            <w:r>
              <w:rPr>
                <w:sz w:val="24"/>
              </w:rPr>
              <w:t>-</w:t>
            </w:r>
          </w:p>
        </w:tc>
      </w:tr>
      <w:tr w:rsidR="00261796">
        <w:tc>
          <w:tcPr>
            <w:tcW w:w="616" w:type="dxa"/>
            <w:vAlign w:val="center"/>
          </w:tcPr>
          <w:p w:rsidR="00261796" w:rsidRDefault="00905738">
            <w:pPr>
              <w:jc w:val="center"/>
            </w:pPr>
            <w:r>
              <w:rPr>
                <w:sz w:val="24"/>
              </w:rPr>
              <w:lastRenderedPageBreak/>
              <w:t>300146</w:t>
            </w:r>
          </w:p>
        </w:tc>
        <w:tc>
          <w:tcPr>
            <w:tcW w:w="686" w:type="dxa"/>
            <w:vAlign w:val="center"/>
          </w:tcPr>
          <w:p w:rsidR="00261796" w:rsidRDefault="00905738">
            <w:pPr>
              <w:jc w:val="center"/>
            </w:pPr>
            <w:r>
              <w:rPr>
                <w:sz w:val="24"/>
              </w:rPr>
              <w:t>汤臣倍健</w:t>
            </w:r>
          </w:p>
        </w:tc>
        <w:tc>
          <w:tcPr>
            <w:tcW w:w="742" w:type="dxa"/>
            <w:vAlign w:val="center"/>
          </w:tcPr>
          <w:p w:rsidR="00261796" w:rsidRDefault="00905738">
            <w:pPr>
              <w:jc w:val="center"/>
            </w:pPr>
            <w:r>
              <w:rPr>
                <w:sz w:val="24"/>
              </w:rPr>
              <w:t>2018-01-31</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16.60</w:t>
            </w:r>
          </w:p>
        </w:tc>
        <w:tc>
          <w:tcPr>
            <w:tcW w:w="686" w:type="dxa"/>
            <w:vAlign w:val="center"/>
          </w:tcPr>
          <w:p w:rsidR="00261796" w:rsidRDefault="00905738">
            <w:pPr>
              <w:jc w:val="center"/>
            </w:pPr>
            <w:r>
              <w:rPr>
                <w:sz w:val="24"/>
              </w:rPr>
              <w:t>2018-07-31</w:t>
            </w:r>
          </w:p>
        </w:tc>
        <w:tc>
          <w:tcPr>
            <w:tcW w:w="658" w:type="dxa"/>
            <w:vAlign w:val="center"/>
          </w:tcPr>
          <w:p w:rsidR="00261796" w:rsidRDefault="00905738">
            <w:pPr>
              <w:jc w:val="right"/>
            </w:pPr>
            <w:r>
              <w:rPr>
                <w:sz w:val="24"/>
              </w:rPr>
              <w:t>16.50</w:t>
            </w:r>
          </w:p>
        </w:tc>
        <w:tc>
          <w:tcPr>
            <w:tcW w:w="1049" w:type="dxa"/>
            <w:vAlign w:val="center"/>
          </w:tcPr>
          <w:p w:rsidR="00261796" w:rsidRDefault="00905738">
            <w:pPr>
              <w:jc w:val="right"/>
            </w:pPr>
            <w:r>
              <w:rPr>
                <w:sz w:val="24"/>
              </w:rPr>
              <w:t>19,800</w:t>
            </w:r>
          </w:p>
        </w:tc>
        <w:tc>
          <w:tcPr>
            <w:tcW w:w="1218" w:type="dxa"/>
            <w:vAlign w:val="center"/>
          </w:tcPr>
          <w:p w:rsidR="00261796" w:rsidRDefault="00905738">
            <w:pPr>
              <w:jc w:val="right"/>
            </w:pPr>
            <w:r>
              <w:rPr>
                <w:sz w:val="24"/>
              </w:rPr>
              <w:t>305,979.89</w:t>
            </w:r>
          </w:p>
        </w:tc>
        <w:tc>
          <w:tcPr>
            <w:tcW w:w="1160" w:type="dxa"/>
            <w:vAlign w:val="center"/>
          </w:tcPr>
          <w:p w:rsidR="00261796" w:rsidRDefault="00905738">
            <w:pPr>
              <w:jc w:val="right"/>
            </w:pPr>
            <w:r>
              <w:rPr>
                <w:sz w:val="24"/>
              </w:rPr>
              <w:t>328,680.00</w:t>
            </w:r>
          </w:p>
        </w:tc>
        <w:tc>
          <w:tcPr>
            <w:tcW w:w="601" w:type="dxa"/>
            <w:vAlign w:val="center"/>
          </w:tcPr>
          <w:p w:rsidR="00261796" w:rsidRDefault="00905738">
            <w:pPr>
              <w:jc w:val="center"/>
            </w:pPr>
            <w:r>
              <w:rPr>
                <w:sz w:val="24"/>
              </w:rPr>
              <w:t>-</w:t>
            </w:r>
          </w:p>
        </w:tc>
      </w:tr>
      <w:tr w:rsidR="00261796">
        <w:tc>
          <w:tcPr>
            <w:tcW w:w="616" w:type="dxa"/>
            <w:vAlign w:val="center"/>
          </w:tcPr>
          <w:p w:rsidR="00261796" w:rsidRDefault="00905738">
            <w:pPr>
              <w:jc w:val="center"/>
            </w:pPr>
            <w:r>
              <w:rPr>
                <w:sz w:val="24"/>
              </w:rPr>
              <w:t>002408</w:t>
            </w:r>
          </w:p>
        </w:tc>
        <w:tc>
          <w:tcPr>
            <w:tcW w:w="686" w:type="dxa"/>
            <w:vAlign w:val="center"/>
          </w:tcPr>
          <w:p w:rsidR="00261796" w:rsidRDefault="00905738">
            <w:pPr>
              <w:jc w:val="center"/>
            </w:pPr>
            <w:r>
              <w:rPr>
                <w:sz w:val="24"/>
              </w:rPr>
              <w:t>齐翔腾达</w:t>
            </w:r>
          </w:p>
        </w:tc>
        <w:tc>
          <w:tcPr>
            <w:tcW w:w="742" w:type="dxa"/>
            <w:vAlign w:val="center"/>
          </w:tcPr>
          <w:p w:rsidR="00261796" w:rsidRDefault="00905738">
            <w:pPr>
              <w:jc w:val="center"/>
            </w:pPr>
            <w:r>
              <w:rPr>
                <w:sz w:val="24"/>
              </w:rPr>
              <w:t>2018-06-19</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12.28</w:t>
            </w:r>
          </w:p>
        </w:tc>
        <w:tc>
          <w:tcPr>
            <w:tcW w:w="686" w:type="dxa"/>
            <w:vAlign w:val="center"/>
          </w:tcPr>
          <w:p w:rsidR="00261796" w:rsidRDefault="00905738">
            <w:pPr>
              <w:jc w:val="center"/>
            </w:pPr>
            <w:r>
              <w:rPr>
                <w:sz w:val="24"/>
              </w:rPr>
              <w:t>-</w:t>
            </w:r>
          </w:p>
        </w:tc>
        <w:tc>
          <w:tcPr>
            <w:tcW w:w="658" w:type="dxa"/>
            <w:vAlign w:val="center"/>
          </w:tcPr>
          <w:p w:rsidR="00261796" w:rsidRDefault="00905738">
            <w:pPr>
              <w:jc w:val="right"/>
            </w:pPr>
            <w:r>
              <w:rPr>
                <w:sz w:val="24"/>
              </w:rPr>
              <w:t>-</w:t>
            </w:r>
          </w:p>
        </w:tc>
        <w:tc>
          <w:tcPr>
            <w:tcW w:w="1049" w:type="dxa"/>
            <w:vAlign w:val="center"/>
          </w:tcPr>
          <w:p w:rsidR="00261796" w:rsidRDefault="00905738">
            <w:pPr>
              <w:jc w:val="right"/>
            </w:pPr>
            <w:r>
              <w:rPr>
                <w:sz w:val="24"/>
              </w:rPr>
              <w:t>21,000</w:t>
            </w:r>
          </w:p>
        </w:tc>
        <w:tc>
          <w:tcPr>
            <w:tcW w:w="1218" w:type="dxa"/>
            <w:vAlign w:val="center"/>
          </w:tcPr>
          <w:p w:rsidR="00261796" w:rsidRDefault="00905738">
            <w:pPr>
              <w:jc w:val="right"/>
            </w:pPr>
            <w:r>
              <w:rPr>
                <w:sz w:val="24"/>
              </w:rPr>
              <w:t>244,130.99</w:t>
            </w:r>
          </w:p>
        </w:tc>
        <w:tc>
          <w:tcPr>
            <w:tcW w:w="1160" w:type="dxa"/>
            <w:vAlign w:val="center"/>
          </w:tcPr>
          <w:p w:rsidR="00261796" w:rsidRDefault="00905738">
            <w:pPr>
              <w:jc w:val="right"/>
            </w:pPr>
            <w:r>
              <w:rPr>
                <w:sz w:val="24"/>
              </w:rPr>
              <w:t>257,880.00</w:t>
            </w:r>
          </w:p>
        </w:tc>
        <w:tc>
          <w:tcPr>
            <w:tcW w:w="601" w:type="dxa"/>
            <w:vAlign w:val="center"/>
          </w:tcPr>
          <w:p w:rsidR="00261796" w:rsidRDefault="00905738">
            <w:pPr>
              <w:jc w:val="center"/>
            </w:pPr>
            <w:r>
              <w:rPr>
                <w:sz w:val="24"/>
              </w:rPr>
              <w:t>-</w:t>
            </w:r>
          </w:p>
        </w:tc>
      </w:tr>
      <w:tr w:rsidR="00261796">
        <w:tc>
          <w:tcPr>
            <w:tcW w:w="616" w:type="dxa"/>
            <w:vAlign w:val="center"/>
          </w:tcPr>
          <w:p w:rsidR="00261796" w:rsidRDefault="00905738">
            <w:pPr>
              <w:jc w:val="center"/>
            </w:pPr>
            <w:r>
              <w:rPr>
                <w:sz w:val="24"/>
              </w:rPr>
              <w:t>002051</w:t>
            </w:r>
          </w:p>
        </w:tc>
        <w:tc>
          <w:tcPr>
            <w:tcW w:w="686" w:type="dxa"/>
            <w:vAlign w:val="center"/>
          </w:tcPr>
          <w:p w:rsidR="00261796" w:rsidRDefault="00905738">
            <w:pPr>
              <w:jc w:val="center"/>
            </w:pPr>
            <w:r>
              <w:rPr>
                <w:sz w:val="24"/>
              </w:rPr>
              <w:t>中工国际</w:t>
            </w:r>
          </w:p>
        </w:tc>
        <w:tc>
          <w:tcPr>
            <w:tcW w:w="742" w:type="dxa"/>
            <w:vAlign w:val="center"/>
          </w:tcPr>
          <w:p w:rsidR="00261796" w:rsidRDefault="00905738">
            <w:pPr>
              <w:jc w:val="center"/>
            </w:pPr>
            <w:r>
              <w:rPr>
                <w:sz w:val="24"/>
              </w:rPr>
              <w:t>2018-04-09</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15.27</w:t>
            </w:r>
          </w:p>
        </w:tc>
        <w:tc>
          <w:tcPr>
            <w:tcW w:w="686" w:type="dxa"/>
            <w:vAlign w:val="center"/>
          </w:tcPr>
          <w:p w:rsidR="00261796" w:rsidRDefault="00905738">
            <w:pPr>
              <w:jc w:val="center"/>
            </w:pPr>
            <w:r>
              <w:rPr>
                <w:sz w:val="24"/>
              </w:rPr>
              <w:t>-</w:t>
            </w:r>
          </w:p>
        </w:tc>
        <w:tc>
          <w:tcPr>
            <w:tcW w:w="658" w:type="dxa"/>
            <w:vAlign w:val="center"/>
          </w:tcPr>
          <w:p w:rsidR="00261796" w:rsidRDefault="00905738">
            <w:pPr>
              <w:jc w:val="right"/>
            </w:pPr>
            <w:r>
              <w:rPr>
                <w:sz w:val="24"/>
              </w:rPr>
              <w:t>-</w:t>
            </w:r>
          </w:p>
        </w:tc>
        <w:tc>
          <w:tcPr>
            <w:tcW w:w="1049" w:type="dxa"/>
            <w:vAlign w:val="center"/>
          </w:tcPr>
          <w:p w:rsidR="00261796" w:rsidRDefault="00905738">
            <w:pPr>
              <w:jc w:val="right"/>
            </w:pPr>
            <w:r>
              <w:rPr>
                <w:sz w:val="24"/>
              </w:rPr>
              <w:t>12,748</w:t>
            </w:r>
          </w:p>
        </w:tc>
        <w:tc>
          <w:tcPr>
            <w:tcW w:w="1218" w:type="dxa"/>
            <w:vAlign w:val="center"/>
          </w:tcPr>
          <w:p w:rsidR="00261796" w:rsidRDefault="00905738">
            <w:pPr>
              <w:jc w:val="right"/>
            </w:pPr>
            <w:r>
              <w:rPr>
                <w:sz w:val="24"/>
              </w:rPr>
              <w:t>223,629.88</w:t>
            </w:r>
          </w:p>
        </w:tc>
        <w:tc>
          <w:tcPr>
            <w:tcW w:w="1160" w:type="dxa"/>
            <w:vAlign w:val="center"/>
          </w:tcPr>
          <w:p w:rsidR="00261796" w:rsidRDefault="00905738">
            <w:pPr>
              <w:jc w:val="right"/>
            </w:pPr>
            <w:r>
              <w:rPr>
                <w:sz w:val="24"/>
              </w:rPr>
              <w:t>194,661.96</w:t>
            </w:r>
          </w:p>
        </w:tc>
        <w:tc>
          <w:tcPr>
            <w:tcW w:w="601" w:type="dxa"/>
            <w:vAlign w:val="center"/>
          </w:tcPr>
          <w:p w:rsidR="00261796" w:rsidRDefault="00905738">
            <w:pPr>
              <w:jc w:val="center"/>
            </w:pPr>
            <w:r>
              <w:rPr>
                <w:sz w:val="24"/>
              </w:rPr>
              <w:t>-</w:t>
            </w:r>
          </w:p>
        </w:tc>
      </w:tr>
      <w:tr w:rsidR="00261796">
        <w:tc>
          <w:tcPr>
            <w:tcW w:w="616" w:type="dxa"/>
            <w:vAlign w:val="center"/>
          </w:tcPr>
          <w:p w:rsidR="00261796" w:rsidRDefault="00905738">
            <w:pPr>
              <w:jc w:val="center"/>
            </w:pPr>
            <w:r>
              <w:rPr>
                <w:sz w:val="24"/>
              </w:rPr>
              <w:t>000415</w:t>
            </w:r>
          </w:p>
        </w:tc>
        <w:tc>
          <w:tcPr>
            <w:tcW w:w="686" w:type="dxa"/>
            <w:vAlign w:val="center"/>
          </w:tcPr>
          <w:p w:rsidR="00261796" w:rsidRDefault="00905738">
            <w:pPr>
              <w:jc w:val="center"/>
            </w:pPr>
            <w:r>
              <w:rPr>
                <w:sz w:val="24"/>
              </w:rPr>
              <w:t>渤海金控</w:t>
            </w:r>
          </w:p>
        </w:tc>
        <w:tc>
          <w:tcPr>
            <w:tcW w:w="742" w:type="dxa"/>
            <w:vAlign w:val="center"/>
          </w:tcPr>
          <w:p w:rsidR="00261796" w:rsidRDefault="00905738">
            <w:pPr>
              <w:jc w:val="center"/>
            </w:pPr>
            <w:r>
              <w:rPr>
                <w:sz w:val="24"/>
              </w:rPr>
              <w:t>2018-01-17</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5.84</w:t>
            </w:r>
          </w:p>
        </w:tc>
        <w:tc>
          <w:tcPr>
            <w:tcW w:w="686" w:type="dxa"/>
            <w:vAlign w:val="center"/>
          </w:tcPr>
          <w:p w:rsidR="00261796" w:rsidRDefault="00905738">
            <w:pPr>
              <w:jc w:val="center"/>
            </w:pPr>
            <w:r>
              <w:rPr>
                <w:sz w:val="24"/>
              </w:rPr>
              <w:t>2018-07-17</w:t>
            </w:r>
          </w:p>
        </w:tc>
        <w:tc>
          <w:tcPr>
            <w:tcW w:w="658" w:type="dxa"/>
            <w:vAlign w:val="center"/>
          </w:tcPr>
          <w:p w:rsidR="00261796" w:rsidRDefault="00905738">
            <w:pPr>
              <w:jc w:val="right"/>
            </w:pPr>
            <w:r>
              <w:rPr>
                <w:sz w:val="24"/>
              </w:rPr>
              <w:t>5.20</w:t>
            </w:r>
          </w:p>
        </w:tc>
        <w:tc>
          <w:tcPr>
            <w:tcW w:w="1049" w:type="dxa"/>
            <w:vAlign w:val="center"/>
          </w:tcPr>
          <w:p w:rsidR="00261796" w:rsidRDefault="00905738">
            <w:pPr>
              <w:jc w:val="right"/>
            </w:pPr>
            <w:r>
              <w:rPr>
                <w:sz w:val="24"/>
              </w:rPr>
              <w:t>33,064</w:t>
            </w:r>
          </w:p>
        </w:tc>
        <w:tc>
          <w:tcPr>
            <w:tcW w:w="1218" w:type="dxa"/>
            <w:vAlign w:val="center"/>
          </w:tcPr>
          <w:p w:rsidR="00261796" w:rsidRDefault="00905738">
            <w:pPr>
              <w:jc w:val="right"/>
            </w:pPr>
            <w:r>
              <w:rPr>
                <w:sz w:val="24"/>
              </w:rPr>
              <w:t>262,181.66</w:t>
            </w:r>
          </w:p>
        </w:tc>
        <w:tc>
          <w:tcPr>
            <w:tcW w:w="1160" w:type="dxa"/>
            <w:vAlign w:val="center"/>
          </w:tcPr>
          <w:p w:rsidR="00261796" w:rsidRDefault="00905738">
            <w:pPr>
              <w:jc w:val="right"/>
            </w:pPr>
            <w:r>
              <w:rPr>
                <w:sz w:val="24"/>
              </w:rPr>
              <w:t>193,093.76</w:t>
            </w:r>
          </w:p>
        </w:tc>
        <w:tc>
          <w:tcPr>
            <w:tcW w:w="601" w:type="dxa"/>
            <w:vAlign w:val="center"/>
          </w:tcPr>
          <w:p w:rsidR="00261796" w:rsidRDefault="00905738">
            <w:pPr>
              <w:jc w:val="center"/>
            </w:pPr>
            <w:r>
              <w:rPr>
                <w:sz w:val="24"/>
              </w:rPr>
              <w:t>-</w:t>
            </w:r>
          </w:p>
        </w:tc>
      </w:tr>
      <w:tr w:rsidR="00261796">
        <w:tc>
          <w:tcPr>
            <w:tcW w:w="616" w:type="dxa"/>
            <w:vAlign w:val="center"/>
          </w:tcPr>
          <w:p w:rsidR="00261796" w:rsidRDefault="00905738">
            <w:pPr>
              <w:jc w:val="center"/>
            </w:pPr>
            <w:r>
              <w:rPr>
                <w:sz w:val="24"/>
              </w:rPr>
              <w:t>002477</w:t>
            </w:r>
          </w:p>
        </w:tc>
        <w:tc>
          <w:tcPr>
            <w:tcW w:w="686" w:type="dxa"/>
            <w:vAlign w:val="center"/>
          </w:tcPr>
          <w:p w:rsidR="00261796" w:rsidRDefault="00905738">
            <w:pPr>
              <w:jc w:val="center"/>
            </w:pPr>
            <w:r>
              <w:rPr>
                <w:sz w:val="24"/>
              </w:rPr>
              <w:t>雏鹰农牧</w:t>
            </w:r>
          </w:p>
        </w:tc>
        <w:tc>
          <w:tcPr>
            <w:tcW w:w="742" w:type="dxa"/>
            <w:vAlign w:val="center"/>
          </w:tcPr>
          <w:p w:rsidR="00261796" w:rsidRDefault="00905738">
            <w:pPr>
              <w:jc w:val="center"/>
            </w:pPr>
            <w:r>
              <w:rPr>
                <w:sz w:val="24"/>
              </w:rPr>
              <w:t>2018-06-14</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3.31</w:t>
            </w:r>
          </w:p>
        </w:tc>
        <w:tc>
          <w:tcPr>
            <w:tcW w:w="686" w:type="dxa"/>
            <w:vAlign w:val="center"/>
          </w:tcPr>
          <w:p w:rsidR="00261796" w:rsidRDefault="00905738">
            <w:pPr>
              <w:jc w:val="center"/>
            </w:pPr>
            <w:r>
              <w:rPr>
                <w:sz w:val="24"/>
              </w:rPr>
              <w:t>-</w:t>
            </w:r>
          </w:p>
        </w:tc>
        <w:tc>
          <w:tcPr>
            <w:tcW w:w="658" w:type="dxa"/>
            <w:vAlign w:val="center"/>
          </w:tcPr>
          <w:p w:rsidR="00261796" w:rsidRDefault="00905738">
            <w:pPr>
              <w:jc w:val="right"/>
            </w:pPr>
            <w:r>
              <w:rPr>
                <w:sz w:val="24"/>
              </w:rPr>
              <w:t>-</w:t>
            </w:r>
          </w:p>
        </w:tc>
        <w:tc>
          <w:tcPr>
            <w:tcW w:w="1049" w:type="dxa"/>
            <w:vAlign w:val="center"/>
          </w:tcPr>
          <w:p w:rsidR="00261796" w:rsidRDefault="00905738">
            <w:pPr>
              <w:jc w:val="right"/>
            </w:pPr>
            <w:r>
              <w:rPr>
                <w:sz w:val="24"/>
              </w:rPr>
              <w:t>42,100</w:t>
            </w:r>
          </w:p>
        </w:tc>
        <w:tc>
          <w:tcPr>
            <w:tcW w:w="1218" w:type="dxa"/>
            <w:vAlign w:val="center"/>
          </w:tcPr>
          <w:p w:rsidR="00261796" w:rsidRDefault="00905738">
            <w:pPr>
              <w:jc w:val="right"/>
            </w:pPr>
            <w:r>
              <w:rPr>
                <w:sz w:val="24"/>
              </w:rPr>
              <w:t>186,284.52</w:t>
            </w:r>
          </w:p>
        </w:tc>
        <w:tc>
          <w:tcPr>
            <w:tcW w:w="1160" w:type="dxa"/>
            <w:vAlign w:val="center"/>
          </w:tcPr>
          <w:p w:rsidR="00261796" w:rsidRDefault="00905738">
            <w:pPr>
              <w:jc w:val="right"/>
            </w:pPr>
            <w:r>
              <w:rPr>
                <w:sz w:val="24"/>
              </w:rPr>
              <w:t>139,351.00</w:t>
            </w:r>
          </w:p>
        </w:tc>
        <w:tc>
          <w:tcPr>
            <w:tcW w:w="601" w:type="dxa"/>
            <w:vAlign w:val="center"/>
          </w:tcPr>
          <w:p w:rsidR="00261796" w:rsidRDefault="00905738">
            <w:pPr>
              <w:jc w:val="center"/>
            </w:pPr>
            <w:r>
              <w:rPr>
                <w:sz w:val="24"/>
              </w:rPr>
              <w:t>-</w:t>
            </w:r>
          </w:p>
        </w:tc>
      </w:tr>
      <w:tr w:rsidR="00261796">
        <w:tc>
          <w:tcPr>
            <w:tcW w:w="616" w:type="dxa"/>
            <w:vAlign w:val="center"/>
          </w:tcPr>
          <w:p w:rsidR="00261796" w:rsidRDefault="00905738">
            <w:pPr>
              <w:jc w:val="center"/>
            </w:pPr>
            <w:r>
              <w:rPr>
                <w:sz w:val="24"/>
              </w:rPr>
              <w:t>000564</w:t>
            </w:r>
          </w:p>
        </w:tc>
        <w:tc>
          <w:tcPr>
            <w:tcW w:w="686" w:type="dxa"/>
            <w:vAlign w:val="center"/>
          </w:tcPr>
          <w:p w:rsidR="00261796" w:rsidRDefault="00905738">
            <w:pPr>
              <w:jc w:val="center"/>
            </w:pPr>
            <w:r>
              <w:rPr>
                <w:sz w:val="24"/>
              </w:rPr>
              <w:t>供销大集</w:t>
            </w:r>
          </w:p>
        </w:tc>
        <w:tc>
          <w:tcPr>
            <w:tcW w:w="742" w:type="dxa"/>
            <w:vAlign w:val="center"/>
          </w:tcPr>
          <w:p w:rsidR="00261796" w:rsidRDefault="00905738">
            <w:pPr>
              <w:jc w:val="center"/>
            </w:pPr>
            <w:r>
              <w:rPr>
                <w:sz w:val="24"/>
              </w:rPr>
              <w:t>2017-11-28</w:t>
            </w:r>
          </w:p>
        </w:tc>
        <w:tc>
          <w:tcPr>
            <w:tcW w:w="798" w:type="dxa"/>
            <w:vAlign w:val="center"/>
          </w:tcPr>
          <w:p w:rsidR="00261796" w:rsidRDefault="00905738">
            <w:pPr>
              <w:jc w:val="center"/>
            </w:pPr>
            <w:r>
              <w:rPr>
                <w:sz w:val="24"/>
              </w:rPr>
              <w:t>重大事项</w:t>
            </w:r>
          </w:p>
        </w:tc>
        <w:tc>
          <w:tcPr>
            <w:tcW w:w="798" w:type="dxa"/>
            <w:vAlign w:val="center"/>
          </w:tcPr>
          <w:p w:rsidR="00261796" w:rsidRDefault="00905738">
            <w:pPr>
              <w:jc w:val="right"/>
            </w:pPr>
            <w:r>
              <w:rPr>
                <w:sz w:val="24"/>
              </w:rPr>
              <w:t>4.78</w:t>
            </w:r>
          </w:p>
        </w:tc>
        <w:tc>
          <w:tcPr>
            <w:tcW w:w="686" w:type="dxa"/>
            <w:vAlign w:val="center"/>
          </w:tcPr>
          <w:p w:rsidR="00261796" w:rsidRDefault="00905738">
            <w:pPr>
              <w:jc w:val="center"/>
            </w:pPr>
            <w:r>
              <w:rPr>
                <w:sz w:val="24"/>
              </w:rPr>
              <w:t>2018-07-20</w:t>
            </w:r>
          </w:p>
        </w:tc>
        <w:tc>
          <w:tcPr>
            <w:tcW w:w="658" w:type="dxa"/>
            <w:vAlign w:val="center"/>
          </w:tcPr>
          <w:p w:rsidR="00261796" w:rsidRDefault="00905738">
            <w:pPr>
              <w:jc w:val="right"/>
            </w:pPr>
            <w:r>
              <w:rPr>
                <w:sz w:val="24"/>
              </w:rPr>
              <w:t>4.29</w:t>
            </w:r>
          </w:p>
        </w:tc>
        <w:tc>
          <w:tcPr>
            <w:tcW w:w="1049" w:type="dxa"/>
            <w:vAlign w:val="center"/>
          </w:tcPr>
          <w:p w:rsidR="00261796" w:rsidRDefault="00905738">
            <w:pPr>
              <w:jc w:val="right"/>
            </w:pPr>
            <w:r>
              <w:rPr>
                <w:sz w:val="24"/>
              </w:rPr>
              <w:t>5,500</w:t>
            </w:r>
          </w:p>
        </w:tc>
        <w:tc>
          <w:tcPr>
            <w:tcW w:w="1218" w:type="dxa"/>
            <w:vAlign w:val="center"/>
          </w:tcPr>
          <w:p w:rsidR="00261796" w:rsidRDefault="00905738">
            <w:pPr>
              <w:jc w:val="right"/>
            </w:pPr>
            <w:r>
              <w:rPr>
                <w:sz w:val="24"/>
              </w:rPr>
              <w:t>34,706.87</w:t>
            </w:r>
          </w:p>
        </w:tc>
        <w:tc>
          <w:tcPr>
            <w:tcW w:w="1160" w:type="dxa"/>
            <w:vAlign w:val="center"/>
          </w:tcPr>
          <w:p w:rsidR="00261796" w:rsidRDefault="00905738">
            <w:pPr>
              <w:jc w:val="right"/>
            </w:pPr>
            <w:r>
              <w:rPr>
                <w:sz w:val="24"/>
              </w:rPr>
              <w:t>26,290.00</w:t>
            </w:r>
          </w:p>
        </w:tc>
        <w:tc>
          <w:tcPr>
            <w:tcW w:w="601" w:type="dxa"/>
            <w:vAlign w:val="center"/>
          </w:tcPr>
          <w:p w:rsidR="00261796" w:rsidRDefault="00905738">
            <w:pPr>
              <w:jc w:val="center"/>
            </w:pPr>
            <w:r>
              <w:rPr>
                <w:sz w:val="24"/>
              </w:rPr>
              <w:t>-</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注：本基金截至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日止持有以上因公布的重大事项可能产生重大影响而被暂时停牌的股票，该类股票将在所公布事项的重大影响消除后，经交易所批准复牌。</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5C672D">
        <w:rPr>
          <w:b/>
          <w:bCs/>
          <w:szCs w:val="24"/>
          <w:lang w:val="en-US"/>
        </w:rPr>
        <w:t xml:space="preserve">7  </w:t>
      </w:r>
      <w:r w:rsidRPr="005C672D">
        <w:rPr>
          <w:b/>
          <w:bCs/>
          <w:szCs w:val="24"/>
          <w:lang w:val="en-US"/>
        </w:rPr>
        <w:t>投资组合报告</w:t>
      </w:r>
      <w:bookmarkEnd w:id="55"/>
      <w:bookmarkEnd w:id="56"/>
    </w:p>
    <w:p w:rsidR="001548F9" w:rsidRPr="005C672D" w:rsidRDefault="001548F9" w:rsidP="00AC6DDA">
      <w:pPr>
        <w:pStyle w:val="20"/>
        <w:spacing w:before="29" w:after="0" w:line="288" w:lineRule="auto"/>
        <w:rPr>
          <w:rFonts w:ascii="Times New Roman" w:hAnsi="Times New Roman"/>
          <w:kern w:val="0"/>
          <w:szCs w:val="24"/>
        </w:rPr>
      </w:pPr>
      <w:bookmarkStart w:id="57" w:name="_Toc331410102"/>
      <w:bookmarkStart w:id="58"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7"/>
      <w:bookmarkEnd w:id="5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63,653,393.78</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98.20</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63,653,393.78</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98.20</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1,164,512.91</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1.80</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634.15</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0.00</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lastRenderedPageBreak/>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64,818,540.84</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9" w:name="_Toc331410103"/>
      <w:bookmarkStart w:id="60"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59"/>
      <w:bookmarkEnd w:id="60"/>
    </w:p>
    <w:p w:rsidR="001548F9" w:rsidRPr="005C672D" w:rsidRDefault="001548F9" w:rsidP="00AC6DDA">
      <w:pPr>
        <w:spacing w:before="29" w:line="288" w:lineRule="auto"/>
        <w:rPr>
          <w:b/>
          <w:color w:val="000000"/>
          <w:sz w:val="24"/>
        </w:rPr>
      </w:pPr>
      <w:bookmarkStart w:id="61" w:name="_Toc275523745"/>
      <w:r w:rsidRPr="005C672D">
        <w:rPr>
          <w:b/>
          <w:kern w:val="0"/>
          <w:sz w:val="24"/>
        </w:rPr>
        <w:t xml:space="preserve">7.2.1 </w:t>
      </w:r>
      <w:r w:rsidRPr="005C672D">
        <w:rPr>
          <w:b/>
          <w:color w:val="000000"/>
          <w:sz w:val="24"/>
        </w:rPr>
        <w:t>指数投资期末按行业分类的股票投资组合</w:t>
      </w:r>
      <w:bookmarkEnd w:id="61"/>
    </w:p>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25"/>
        <w:gridCol w:w="3635"/>
        <w:gridCol w:w="2319"/>
        <w:gridCol w:w="2319"/>
      </w:tblGrid>
      <w:tr w:rsidR="001548F9" w:rsidRPr="005C672D" w:rsidTr="00576A1F">
        <w:trPr>
          <w:trHeight w:val="390"/>
        </w:trPr>
        <w:tc>
          <w:tcPr>
            <w:tcW w:w="704" w:type="dxa"/>
            <w:vAlign w:val="center"/>
          </w:tcPr>
          <w:p w:rsidR="001548F9" w:rsidRPr="005C672D" w:rsidRDefault="001548F9" w:rsidP="00AC6DDA">
            <w:pPr>
              <w:adjustRightInd w:val="0"/>
              <w:snapToGrid w:val="0"/>
              <w:spacing w:before="29" w:line="288" w:lineRule="auto"/>
              <w:jc w:val="center"/>
              <w:rPr>
                <w:sz w:val="24"/>
              </w:rPr>
            </w:pPr>
            <w:r w:rsidRPr="005C672D">
              <w:rPr>
                <w:sz w:val="24"/>
              </w:rPr>
              <w:t>代码</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行业类别</w:t>
            </w:r>
          </w:p>
        </w:tc>
        <w:tc>
          <w:tcPr>
            <w:tcW w:w="2250" w:type="dxa"/>
            <w:tcBorders>
              <w:left w:val="single" w:sz="4" w:space="0" w:color="auto"/>
            </w:tcBorders>
            <w:vAlign w:val="center"/>
          </w:tcPr>
          <w:p w:rsidR="001548F9" w:rsidRPr="005C672D" w:rsidRDefault="001548F9" w:rsidP="00AC6DDA">
            <w:pPr>
              <w:adjustRightInd w:val="0"/>
              <w:snapToGrid w:val="0"/>
              <w:spacing w:before="29" w:line="288" w:lineRule="auto"/>
              <w:jc w:val="center"/>
              <w:rPr>
                <w:sz w:val="24"/>
              </w:rPr>
            </w:pPr>
            <w:r w:rsidRPr="005C672D">
              <w:rPr>
                <w:sz w:val="24"/>
              </w:rPr>
              <w:t>公允价值</w:t>
            </w:r>
          </w:p>
        </w:tc>
        <w:tc>
          <w:tcPr>
            <w:tcW w:w="2250"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占基金资产净值比例（％）</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A</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农、林、牧、渔业</w:t>
            </w:r>
          </w:p>
        </w:tc>
        <w:tc>
          <w:tcPr>
            <w:tcW w:w="2250" w:type="dxa"/>
            <w:tcBorders>
              <w:left w:val="single" w:sz="4" w:space="0" w:color="auto"/>
            </w:tcBorders>
            <w:vAlign w:val="center"/>
          </w:tcPr>
          <w:p w:rsidR="001548F9" w:rsidRPr="005C672D" w:rsidRDefault="001548F9" w:rsidP="00AC6DDA">
            <w:pPr>
              <w:autoSpaceDE w:val="0"/>
              <w:autoSpaceDN w:val="0"/>
              <w:adjustRightInd w:val="0"/>
              <w:spacing w:before="29" w:line="288" w:lineRule="auto"/>
              <w:ind w:left="15"/>
              <w:jc w:val="right"/>
              <w:rPr>
                <w:sz w:val="24"/>
              </w:rPr>
            </w:pPr>
            <w:r w:rsidRPr="005C672D">
              <w:rPr>
                <w:sz w:val="24"/>
              </w:rPr>
              <w:t>2,829,400.00</w:t>
            </w:r>
          </w:p>
        </w:tc>
        <w:tc>
          <w:tcPr>
            <w:tcW w:w="2250" w:type="dxa"/>
            <w:tcMar>
              <w:top w:w="15" w:type="dxa"/>
              <w:left w:w="15" w:type="dxa"/>
              <w:bottom w:w="0" w:type="dxa"/>
              <w:right w:w="15" w:type="dxa"/>
            </w:tcMar>
            <w:vAlign w:val="center"/>
          </w:tcPr>
          <w:p w:rsidR="001548F9" w:rsidRPr="005C672D" w:rsidRDefault="001548F9" w:rsidP="00AC6DDA">
            <w:pPr>
              <w:autoSpaceDE w:val="0"/>
              <w:autoSpaceDN w:val="0"/>
              <w:adjustRightInd w:val="0"/>
              <w:spacing w:before="29" w:line="288" w:lineRule="auto"/>
              <w:ind w:left="15"/>
              <w:jc w:val="right"/>
              <w:rPr>
                <w:sz w:val="24"/>
              </w:rPr>
            </w:pPr>
            <w:r w:rsidRPr="005C672D">
              <w:rPr>
                <w:sz w:val="24"/>
              </w:rPr>
              <w:t>4.42</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576,600.28</w:t>
            </w:r>
          </w:p>
          <w:p w:rsidR="001548F9" w:rsidRPr="005C672D" w:rsidRDefault="001548F9" w:rsidP="00AC6DDA">
            <w:pPr>
              <w:spacing w:before="29" w:line="288" w:lineRule="auto"/>
              <w:jc w:val="right"/>
              <w:rPr>
                <w:sz w:val="24"/>
              </w:rPr>
            </w:pP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0.90</w:t>
            </w:r>
          </w:p>
          <w:p w:rsidR="001548F9" w:rsidRPr="005C672D" w:rsidRDefault="001548F9" w:rsidP="00AC6DDA">
            <w:pPr>
              <w:spacing w:before="29" w:line="288" w:lineRule="auto"/>
              <w:jc w:val="right"/>
              <w:rPr>
                <w:sz w:val="24"/>
              </w:rPr>
            </w:pP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C</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制造业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45,307,381.24</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70.76</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872,780.25</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1.36</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E</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建筑业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564,321.96</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0.88</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1,152,041.00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1.80</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128,612.00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0.20</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sz w:val="24"/>
              </w:rPr>
            </w:pPr>
            <w:r w:rsidRPr="005C672D">
              <w:rPr>
                <w:sz w:val="24"/>
              </w:rPr>
              <w:t>信息传输、软件和信息技术服务业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479,729.00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0.75</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4,658,610.92</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7.28</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6,523,533.37</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10.19</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193,093.76</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0.30</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367,290.00</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0.57</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rPr>
          <w:trHeight w:val="285"/>
        </w:trPr>
        <w:tc>
          <w:tcPr>
            <w:tcW w:w="704" w:type="dxa"/>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jc w:val="center"/>
              <w:rPr>
                <w:color w:val="000000"/>
                <w:sz w:val="24"/>
              </w:rPr>
            </w:pPr>
          </w:p>
        </w:tc>
        <w:tc>
          <w:tcPr>
            <w:tcW w:w="3527" w:type="dxa"/>
            <w:tcBorders>
              <w:right w:val="single" w:sz="4" w:space="0" w:color="auto"/>
            </w:tcBorders>
            <w:tcMar>
              <w:top w:w="15" w:type="dxa"/>
              <w:left w:w="15" w:type="dxa"/>
              <w:bottom w:w="0" w:type="dxa"/>
              <w:right w:w="15" w:type="dxa"/>
            </w:tcMar>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合计</w:t>
            </w:r>
          </w:p>
        </w:tc>
        <w:tc>
          <w:tcPr>
            <w:tcW w:w="2250" w:type="dxa"/>
            <w:tcBorders>
              <w:left w:val="single" w:sz="4" w:space="0" w:color="auto"/>
            </w:tcBorders>
            <w:vAlign w:val="center"/>
          </w:tcPr>
          <w:p w:rsidR="001548F9" w:rsidRPr="005C672D" w:rsidRDefault="001548F9" w:rsidP="00AC6DDA">
            <w:pPr>
              <w:spacing w:before="29" w:line="288" w:lineRule="auto"/>
              <w:jc w:val="right"/>
              <w:rPr>
                <w:sz w:val="24"/>
              </w:rPr>
            </w:pPr>
            <w:r w:rsidRPr="005C672D">
              <w:rPr>
                <w:sz w:val="24"/>
              </w:rPr>
              <w:t>63,653,393.78</w:t>
            </w:r>
          </w:p>
        </w:tc>
        <w:tc>
          <w:tcPr>
            <w:tcW w:w="2250" w:type="dxa"/>
            <w:tcMar>
              <w:top w:w="15" w:type="dxa"/>
              <w:left w:w="15" w:type="dxa"/>
              <w:bottom w:w="0" w:type="dxa"/>
              <w:right w:w="15" w:type="dxa"/>
            </w:tcMar>
            <w:vAlign w:val="center"/>
          </w:tcPr>
          <w:p w:rsidR="001548F9" w:rsidRPr="005C672D" w:rsidRDefault="001548F9" w:rsidP="00AC6DDA">
            <w:pPr>
              <w:spacing w:before="29" w:line="288" w:lineRule="auto"/>
              <w:jc w:val="right"/>
              <w:rPr>
                <w:sz w:val="24"/>
              </w:rPr>
            </w:pPr>
            <w:r w:rsidRPr="005C672D">
              <w:rPr>
                <w:sz w:val="24"/>
              </w:rPr>
              <w:t>99.41</w:t>
            </w:r>
          </w:p>
        </w:tc>
      </w:tr>
    </w:tbl>
    <w:p w:rsidR="00F44E30" w:rsidRPr="005C672D" w:rsidRDefault="00F44E30" w:rsidP="00AC6DDA">
      <w:pPr>
        <w:widowControl/>
        <w:spacing w:before="29" w:line="288" w:lineRule="auto"/>
        <w:rPr>
          <w:kern w:val="0"/>
          <w:sz w:val="24"/>
        </w:rPr>
      </w:pPr>
    </w:p>
    <w:p w:rsidR="001548F9" w:rsidRPr="005C672D" w:rsidRDefault="001548F9" w:rsidP="00AC6DDA">
      <w:pPr>
        <w:pStyle w:val="30"/>
        <w:keepNext w:val="0"/>
        <w:keepLines w:val="0"/>
        <w:spacing w:before="29" w:after="0" w:line="288" w:lineRule="auto"/>
        <w:rPr>
          <w:color w:val="000000"/>
          <w:sz w:val="24"/>
          <w:szCs w:val="24"/>
        </w:rPr>
      </w:pPr>
      <w:bookmarkStart w:id="62" w:name="_Toc275523746"/>
      <w:r w:rsidRPr="005C672D">
        <w:rPr>
          <w:color w:val="000000"/>
          <w:sz w:val="24"/>
          <w:szCs w:val="24"/>
        </w:rPr>
        <w:t xml:space="preserve">7.2.2 </w:t>
      </w:r>
      <w:r w:rsidRPr="005C672D">
        <w:rPr>
          <w:color w:val="000000"/>
          <w:sz w:val="24"/>
          <w:szCs w:val="24"/>
        </w:rPr>
        <w:t>积极投资期末按行业分类的股票投资组合</w:t>
      </w:r>
      <w:bookmarkEnd w:id="62"/>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本基金本报告期末未持有积极投资的股票。</w:t>
      </w: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7.2.3</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3"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3"/>
    </w:p>
    <w:p w:rsidR="00C01514" w:rsidRPr="005C672D" w:rsidRDefault="00C01514" w:rsidP="00AC6DDA">
      <w:pPr>
        <w:pStyle w:val="20"/>
        <w:spacing w:before="29" w:after="0" w:line="288" w:lineRule="auto"/>
        <w:rPr>
          <w:rFonts w:ascii="Times New Roman" w:hAnsi="Times New Roman"/>
          <w:b w:val="0"/>
          <w:bCs w:val="0"/>
          <w:color w:val="000000"/>
          <w:szCs w:val="24"/>
        </w:rPr>
      </w:pPr>
      <w:r w:rsidRPr="005C672D">
        <w:rPr>
          <w:rFonts w:ascii="Times New Roman" w:hAnsi="Times New Roman"/>
          <w:color w:val="000000"/>
          <w:szCs w:val="24"/>
        </w:rPr>
        <w:t xml:space="preserve">7.3.1 </w:t>
      </w:r>
      <w:r w:rsidR="00867117" w:rsidRPr="005C672D">
        <w:rPr>
          <w:rFonts w:ascii="Times New Roman" w:hAnsi="Times New Roman"/>
          <w:color w:val="000000"/>
          <w:szCs w:val="24"/>
        </w:rPr>
        <w:t>期末指数投资按公允价值占基金资产净值比例大小排序的前十名</w:t>
      </w:r>
      <w:r w:rsidRPr="005C672D">
        <w:rPr>
          <w:rFonts w:ascii="Times New Roman" w:hAnsi="Times New Roman"/>
          <w:color w:val="000000"/>
          <w:szCs w:val="24"/>
        </w:rPr>
        <w:t>股票投资明细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261796">
        <w:tc>
          <w:tcPr>
            <w:tcW w:w="862" w:type="dxa"/>
            <w:vAlign w:val="center"/>
          </w:tcPr>
          <w:p w:rsidR="00261796" w:rsidRDefault="00905738">
            <w:pPr>
              <w:jc w:val="center"/>
            </w:pPr>
            <w:r>
              <w:rPr>
                <w:color w:val="000000"/>
                <w:sz w:val="24"/>
              </w:rPr>
              <w:t>1</w:t>
            </w:r>
          </w:p>
        </w:tc>
        <w:tc>
          <w:tcPr>
            <w:tcW w:w="1346" w:type="dxa"/>
            <w:vAlign w:val="center"/>
          </w:tcPr>
          <w:p w:rsidR="00261796" w:rsidRDefault="00905738">
            <w:pPr>
              <w:jc w:val="center"/>
            </w:pPr>
            <w:r>
              <w:rPr>
                <w:color w:val="000000"/>
                <w:sz w:val="24"/>
              </w:rPr>
              <w:t>000333</w:t>
            </w:r>
          </w:p>
        </w:tc>
        <w:tc>
          <w:tcPr>
            <w:tcW w:w="1795" w:type="dxa"/>
            <w:vAlign w:val="center"/>
          </w:tcPr>
          <w:p w:rsidR="00261796" w:rsidRDefault="00905738">
            <w:pPr>
              <w:jc w:val="center"/>
            </w:pPr>
            <w:r>
              <w:rPr>
                <w:color w:val="000000"/>
                <w:sz w:val="24"/>
              </w:rPr>
              <w:t>美的集团</w:t>
            </w:r>
          </w:p>
        </w:tc>
        <w:tc>
          <w:tcPr>
            <w:tcW w:w="1681" w:type="dxa"/>
            <w:vAlign w:val="center"/>
          </w:tcPr>
          <w:p w:rsidR="00261796" w:rsidRDefault="00905738">
            <w:pPr>
              <w:jc w:val="right"/>
            </w:pPr>
            <w:r>
              <w:rPr>
                <w:color w:val="000000"/>
                <w:sz w:val="24"/>
              </w:rPr>
              <w:t>119,253</w:t>
            </w:r>
          </w:p>
        </w:tc>
        <w:tc>
          <w:tcPr>
            <w:tcW w:w="1795" w:type="dxa"/>
            <w:vAlign w:val="center"/>
          </w:tcPr>
          <w:p w:rsidR="00261796" w:rsidRDefault="00905738">
            <w:pPr>
              <w:jc w:val="right"/>
            </w:pPr>
            <w:r>
              <w:rPr>
                <w:color w:val="000000"/>
                <w:sz w:val="24"/>
              </w:rPr>
              <w:t>6,227,391.66</w:t>
            </w:r>
          </w:p>
        </w:tc>
        <w:tc>
          <w:tcPr>
            <w:tcW w:w="1519" w:type="dxa"/>
            <w:vAlign w:val="center"/>
          </w:tcPr>
          <w:p w:rsidR="00261796" w:rsidRDefault="00905738">
            <w:pPr>
              <w:jc w:val="right"/>
            </w:pPr>
            <w:r>
              <w:rPr>
                <w:color w:val="000000"/>
                <w:sz w:val="24"/>
              </w:rPr>
              <w:t>9.73</w:t>
            </w:r>
          </w:p>
        </w:tc>
      </w:tr>
      <w:tr w:rsidR="00261796">
        <w:tc>
          <w:tcPr>
            <w:tcW w:w="862" w:type="dxa"/>
            <w:vAlign w:val="center"/>
          </w:tcPr>
          <w:p w:rsidR="00261796" w:rsidRDefault="00905738">
            <w:pPr>
              <w:jc w:val="center"/>
            </w:pPr>
            <w:r>
              <w:rPr>
                <w:color w:val="000000"/>
                <w:sz w:val="24"/>
              </w:rPr>
              <w:t>2</w:t>
            </w:r>
          </w:p>
        </w:tc>
        <w:tc>
          <w:tcPr>
            <w:tcW w:w="1346" w:type="dxa"/>
            <w:vAlign w:val="center"/>
          </w:tcPr>
          <w:p w:rsidR="00261796" w:rsidRDefault="00905738">
            <w:pPr>
              <w:jc w:val="center"/>
            </w:pPr>
            <w:r>
              <w:rPr>
                <w:color w:val="000000"/>
                <w:sz w:val="24"/>
              </w:rPr>
              <w:t>000651</w:t>
            </w:r>
          </w:p>
        </w:tc>
        <w:tc>
          <w:tcPr>
            <w:tcW w:w="1795" w:type="dxa"/>
            <w:vAlign w:val="center"/>
          </w:tcPr>
          <w:p w:rsidR="00261796" w:rsidRDefault="00905738">
            <w:pPr>
              <w:jc w:val="center"/>
            </w:pPr>
            <w:r>
              <w:rPr>
                <w:color w:val="000000"/>
                <w:sz w:val="24"/>
              </w:rPr>
              <w:t>格力电器</w:t>
            </w:r>
          </w:p>
        </w:tc>
        <w:tc>
          <w:tcPr>
            <w:tcW w:w="1681" w:type="dxa"/>
            <w:vAlign w:val="center"/>
          </w:tcPr>
          <w:p w:rsidR="00261796" w:rsidRDefault="00905738">
            <w:pPr>
              <w:jc w:val="right"/>
            </w:pPr>
            <w:r>
              <w:rPr>
                <w:color w:val="000000"/>
                <w:sz w:val="24"/>
              </w:rPr>
              <w:t>123,974</w:t>
            </w:r>
          </w:p>
        </w:tc>
        <w:tc>
          <w:tcPr>
            <w:tcW w:w="1795" w:type="dxa"/>
            <w:vAlign w:val="center"/>
          </w:tcPr>
          <w:p w:rsidR="00261796" w:rsidRDefault="00905738">
            <w:pPr>
              <w:jc w:val="right"/>
            </w:pPr>
            <w:r>
              <w:rPr>
                <w:color w:val="000000"/>
                <w:sz w:val="24"/>
              </w:rPr>
              <w:t>5,845,374.10</w:t>
            </w:r>
          </w:p>
        </w:tc>
        <w:tc>
          <w:tcPr>
            <w:tcW w:w="1519" w:type="dxa"/>
            <w:vAlign w:val="center"/>
          </w:tcPr>
          <w:p w:rsidR="00261796" w:rsidRDefault="00905738">
            <w:pPr>
              <w:jc w:val="right"/>
            </w:pPr>
            <w:r>
              <w:rPr>
                <w:color w:val="000000"/>
                <w:sz w:val="24"/>
              </w:rPr>
              <w:t>9.13</w:t>
            </w:r>
          </w:p>
        </w:tc>
      </w:tr>
      <w:tr w:rsidR="00261796">
        <w:tc>
          <w:tcPr>
            <w:tcW w:w="862" w:type="dxa"/>
            <w:vAlign w:val="center"/>
          </w:tcPr>
          <w:p w:rsidR="00261796" w:rsidRDefault="00905738">
            <w:pPr>
              <w:jc w:val="center"/>
            </w:pPr>
            <w:r>
              <w:rPr>
                <w:color w:val="000000"/>
                <w:sz w:val="24"/>
              </w:rPr>
              <w:t>3</w:t>
            </w:r>
          </w:p>
        </w:tc>
        <w:tc>
          <w:tcPr>
            <w:tcW w:w="1346" w:type="dxa"/>
            <w:vAlign w:val="center"/>
          </w:tcPr>
          <w:p w:rsidR="00261796" w:rsidRDefault="00905738">
            <w:pPr>
              <w:jc w:val="center"/>
            </w:pPr>
            <w:r>
              <w:rPr>
                <w:color w:val="000000"/>
                <w:sz w:val="24"/>
              </w:rPr>
              <w:t>000858</w:t>
            </w:r>
          </w:p>
        </w:tc>
        <w:tc>
          <w:tcPr>
            <w:tcW w:w="1795" w:type="dxa"/>
            <w:vAlign w:val="center"/>
          </w:tcPr>
          <w:p w:rsidR="00261796" w:rsidRDefault="00905738">
            <w:pPr>
              <w:jc w:val="center"/>
            </w:pPr>
            <w:r>
              <w:rPr>
                <w:color w:val="000000"/>
                <w:sz w:val="24"/>
              </w:rPr>
              <w:t>五粮液</w:t>
            </w:r>
          </w:p>
        </w:tc>
        <w:tc>
          <w:tcPr>
            <w:tcW w:w="1681" w:type="dxa"/>
            <w:vAlign w:val="center"/>
          </w:tcPr>
          <w:p w:rsidR="00261796" w:rsidRDefault="00905738">
            <w:pPr>
              <w:jc w:val="right"/>
            </w:pPr>
            <w:r>
              <w:rPr>
                <w:color w:val="000000"/>
                <w:sz w:val="24"/>
              </w:rPr>
              <w:t>47,626</w:t>
            </w:r>
          </w:p>
        </w:tc>
        <w:tc>
          <w:tcPr>
            <w:tcW w:w="1795" w:type="dxa"/>
            <w:vAlign w:val="center"/>
          </w:tcPr>
          <w:p w:rsidR="00261796" w:rsidRDefault="00905738">
            <w:pPr>
              <w:jc w:val="right"/>
            </w:pPr>
            <w:r>
              <w:rPr>
                <w:color w:val="000000"/>
                <w:sz w:val="24"/>
              </w:rPr>
              <w:t>3,619,576.00</w:t>
            </w:r>
          </w:p>
        </w:tc>
        <w:tc>
          <w:tcPr>
            <w:tcW w:w="1519" w:type="dxa"/>
            <w:vAlign w:val="center"/>
          </w:tcPr>
          <w:p w:rsidR="00261796" w:rsidRDefault="00905738">
            <w:pPr>
              <w:jc w:val="right"/>
            </w:pPr>
            <w:r>
              <w:rPr>
                <w:color w:val="000000"/>
                <w:sz w:val="24"/>
              </w:rPr>
              <w:t>5.65</w:t>
            </w:r>
          </w:p>
        </w:tc>
      </w:tr>
      <w:tr w:rsidR="00261796">
        <w:tc>
          <w:tcPr>
            <w:tcW w:w="862" w:type="dxa"/>
            <w:vAlign w:val="center"/>
          </w:tcPr>
          <w:p w:rsidR="00261796" w:rsidRDefault="00905738">
            <w:pPr>
              <w:jc w:val="center"/>
            </w:pPr>
            <w:r>
              <w:rPr>
                <w:color w:val="000000"/>
                <w:sz w:val="24"/>
              </w:rPr>
              <w:t>4</w:t>
            </w:r>
          </w:p>
        </w:tc>
        <w:tc>
          <w:tcPr>
            <w:tcW w:w="1346" w:type="dxa"/>
            <w:vAlign w:val="center"/>
          </w:tcPr>
          <w:p w:rsidR="00261796" w:rsidRDefault="00905738">
            <w:pPr>
              <w:jc w:val="center"/>
            </w:pPr>
            <w:r>
              <w:rPr>
                <w:color w:val="000000"/>
                <w:sz w:val="24"/>
              </w:rPr>
              <w:t>002415</w:t>
            </w:r>
          </w:p>
        </w:tc>
        <w:tc>
          <w:tcPr>
            <w:tcW w:w="1795" w:type="dxa"/>
            <w:vAlign w:val="center"/>
          </w:tcPr>
          <w:p w:rsidR="00261796" w:rsidRDefault="00905738">
            <w:pPr>
              <w:jc w:val="center"/>
            </w:pPr>
            <w:r>
              <w:rPr>
                <w:color w:val="000000"/>
                <w:sz w:val="24"/>
              </w:rPr>
              <w:t>海康威视</w:t>
            </w:r>
          </w:p>
        </w:tc>
        <w:tc>
          <w:tcPr>
            <w:tcW w:w="1681" w:type="dxa"/>
            <w:vAlign w:val="center"/>
          </w:tcPr>
          <w:p w:rsidR="00261796" w:rsidRDefault="00905738">
            <w:pPr>
              <w:jc w:val="right"/>
            </w:pPr>
            <w:r>
              <w:rPr>
                <w:color w:val="000000"/>
                <w:sz w:val="24"/>
              </w:rPr>
              <w:t>90,795</w:t>
            </w:r>
          </w:p>
        </w:tc>
        <w:tc>
          <w:tcPr>
            <w:tcW w:w="1795" w:type="dxa"/>
            <w:vAlign w:val="center"/>
          </w:tcPr>
          <w:p w:rsidR="00261796" w:rsidRDefault="00905738">
            <w:pPr>
              <w:jc w:val="right"/>
            </w:pPr>
            <w:r>
              <w:rPr>
                <w:color w:val="000000"/>
                <w:sz w:val="24"/>
              </w:rPr>
              <w:t>3,371,218.35</w:t>
            </w:r>
          </w:p>
        </w:tc>
        <w:tc>
          <w:tcPr>
            <w:tcW w:w="1519" w:type="dxa"/>
            <w:vAlign w:val="center"/>
          </w:tcPr>
          <w:p w:rsidR="00261796" w:rsidRDefault="00905738">
            <w:pPr>
              <w:jc w:val="right"/>
            </w:pPr>
            <w:r>
              <w:rPr>
                <w:color w:val="000000"/>
                <w:sz w:val="24"/>
              </w:rPr>
              <w:t>5.27</w:t>
            </w:r>
          </w:p>
        </w:tc>
      </w:tr>
      <w:tr w:rsidR="00261796">
        <w:tc>
          <w:tcPr>
            <w:tcW w:w="862" w:type="dxa"/>
            <w:vAlign w:val="center"/>
          </w:tcPr>
          <w:p w:rsidR="00261796" w:rsidRDefault="00905738">
            <w:pPr>
              <w:jc w:val="center"/>
            </w:pPr>
            <w:r>
              <w:rPr>
                <w:color w:val="000000"/>
                <w:sz w:val="24"/>
              </w:rPr>
              <w:t>5</w:t>
            </w:r>
          </w:p>
        </w:tc>
        <w:tc>
          <w:tcPr>
            <w:tcW w:w="1346" w:type="dxa"/>
            <w:vAlign w:val="center"/>
          </w:tcPr>
          <w:p w:rsidR="00261796" w:rsidRDefault="00905738">
            <w:pPr>
              <w:jc w:val="center"/>
            </w:pPr>
            <w:r>
              <w:rPr>
                <w:color w:val="000000"/>
                <w:sz w:val="24"/>
              </w:rPr>
              <w:t>000002</w:t>
            </w:r>
          </w:p>
        </w:tc>
        <w:tc>
          <w:tcPr>
            <w:tcW w:w="1795" w:type="dxa"/>
            <w:vAlign w:val="center"/>
          </w:tcPr>
          <w:p w:rsidR="00261796" w:rsidRDefault="00905738">
            <w:pPr>
              <w:jc w:val="center"/>
            </w:pPr>
            <w:r>
              <w:rPr>
                <w:color w:val="000000"/>
                <w:sz w:val="24"/>
              </w:rPr>
              <w:t>万科</w:t>
            </w:r>
            <w:r>
              <w:rPr>
                <w:color w:val="000000"/>
                <w:sz w:val="24"/>
              </w:rPr>
              <w:t>A</w:t>
            </w:r>
          </w:p>
        </w:tc>
        <w:tc>
          <w:tcPr>
            <w:tcW w:w="1681" w:type="dxa"/>
            <w:vAlign w:val="center"/>
          </w:tcPr>
          <w:p w:rsidR="00261796" w:rsidRDefault="00905738">
            <w:pPr>
              <w:jc w:val="right"/>
            </w:pPr>
            <w:r>
              <w:rPr>
                <w:color w:val="000000"/>
                <w:sz w:val="24"/>
              </w:rPr>
              <w:t>104,900</w:t>
            </w:r>
          </w:p>
        </w:tc>
        <w:tc>
          <w:tcPr>
            <w:tcW w:w="1795" w:type="dxa"/>
            <w:vAlign w:val="center"/>
          </w:tcPr>
          <w:p w:rsidR="00261796" w:rsidRDefault="00905738">
            <w:pPr>
              <w:jc w:val="right"/>
            </w:pPr>
            <w:r>
              <w:rPr>
                <w:color w:val="000000"/>
                <w:sz w:val="24"/>
              </w:rPr>
              <w:t>2,580,540.00</w:t>
            </w:r>
          </w:p>
        </w:tc>
        <w:tc>
          <w:tcPr>
            <w:tcW w:w="1519" w:type="dxa"/>
            <w:vAlign w:val="center"/>
          </w:tcPr>
          <w:p w:rsidR="00261796" w:rsidRDefault="00905738">
            <w:pPr>
              <w:jc w:val="right"/>
            </w:pPr>
            <w:r>
              <w:rPr>
                <w:color w:val="000000"/>
                <w:sz w:val="24"/>
              </w:rPr>
              <w:t>4.03</w:t>
            </w:r>
          </w:p>
        </w:tc>
      </w:tr>
      <w:tr w:rsidR="00261796">
        <w:tc>
          <w:tcPr>
            <w:tcW w:w="862" w:type="dxa"/>
            <w:vAlign w:val="center"/>
          </w:tcPr>
          <w:p w:rsidR="00261796" w:rsidRDefault="00905738">
            <w:pPr>
              <w:jc w:val="center"/>
            </w:pPr>
            <w:r>
              <w:rPr>
                <w:color w:val="000000"/>
                <w:sz w:val="24"/>
              </w:rPr>
              <w:t>6</w:t>
            </w:r>
          </w:p>
        </w:tc>
        <w:tc>
          <w:tcPr>
            <w:tcW w:w="1346" w:type="dxa"/>
            <w:vAlign w:val="center"/>
          </w:tcPr>
          <w:p w:rsidR="00261796" w:rsidRDefault="00905738">
            <w:pPr>
              <w:jc w:val="center"/>
            </w:pPr>
            <w:r>
              <w:rPr>
                <w:color w:val="000000"/>
                <w:sz w:val="24"/>
              </w:rPr>
              <w:t>000725</w:t>
            </w:r>
          </w:p>
        </w:tc>
        <w:tc>
          <w:tcPr>
            <w:tcW w:w="1795" w:type="dxa"/>
            <w:vAlign w:val="center"/>
          </w:tcPr>
          <w:p w:rsidR="00261796" w:rsidRDefault="00905738">
            <w:pPr>
              <w:jc w:val="center"/>
            </w:pPr>
            <w:r>
              <w:rPr>
                <w:color w:val="000000"/>
                <w:sz w:val="24"/>
              </w:rPr>
              <w:t>京东方</w:t>
            </w:r>
            <w:r>
              <w:rPr>
                <w:color w:val="000000"/>
                <w:sz w:val="24"/>
              </w:rPr>
              <w:t>A</w:t>
            </w:r>
          </w:p>
        </w:tc>
        <w:tc>
          <w:tcPr>
            <w:tcW w:w="1681" w:type="dxa"/>
            <w:vAlign w:val="center"/>
          </w:tcPr>
          <w:p w:rsidR="00261796" w:rsidRDefault="00905738">
            <w:pPr>
              <w:jc w:val="right"/>
            </w:pPr>
            <w:r>
              <w:rPr>
                <w:color w:val="000000"/>
                <w:sz w:val="24"/>
              </w:rPr>
              <w:t>673,085</w:t>
            </w:r>
          </w:p>
        </w:tc>
        <w:tc>
          <w:tcPr>
            <w:tcW w:w="1795" w:type="dxa"/>
            <w:vAlign w:val="center"/>
          </w:tcPr>
          <w:p w:rsidR="00261796" w:rsidRDefault="00905738">
            <w:pPr>
              <w:jc w:val="right"/>
            </w:pPr>
            <w:r>
              <w:rPr>
                <w:color w:val="000000"/>
                <w:sz w:val="24"/>
              </w:rPr>
              <w:t>2,382,720.90</w:t>
            </w:r>
          </w:p>
        </w:tc>
        <w:tc>
          <w:tcPr>
            <w:tcW w:w="1519" w:type="dxa"/>
            <w:vAlign w:val="center"/>
          </w:tcPr>
          <w:p w:rsidR="00261796" w:rsidRDefault="00905738">
            <w:pPr>
              <w:jc w:val="right"/>
            </w:pPr>
            <w:r>
              <w:rPr>
                <w:color w:val="000000"/>
                <w:sz w:val="24"/>
              </w:rPr>
              <w:t>3.72</w:t>
            </w:r>
          </w:p>
        </w:tc>
      </w:tr>
      <w:tr w:rsidR="00261796">
        <w:tc>
          <w:tcPr>
            <w:tcW w:w="862" w:type="dxa"/>
            <w:vAlign w:val="center"/>
          </w:tcPr>
          <w:p w:rsidR="00261796" w:rsidRDefault="00905738">
            <w:pPr>
              <w:jc w:val="center"/>
            </w:pPr>
            <w:r>
              <w:rPr>
                <w:color w:val="000000"/>
                <w:sz w:val="24"/>
              </w:rPr>
              <w:t>7</w:t>
            </w:r>
          </w:p>
        </w:tc>
        <w:tc>
          <w:tcPr>
            <w:tcW w:w="1346" w:type="dxa"/>
            <w:vAlign w:val="center"/>
          </w:tcPr>
          <w:p w:rsidR="00261796" w:rsidRDefault="00905738">
            <w:pPr>
              <w:jc w:val="center"/>
            </w:pPr>
            <w:r>
              <w:rPr>
                <w:color w:val="000000"/>
                <w:sz w:val="24"/>
              </w:rPr>
              <w:t>300498</w:t>
            </w:r>
          </w:p>
        </w:tc>
        <w:tc>
          <w:tcPr>
            <w:tcW w:w="1795" w:type="dxa"/>
            <w:vAlign w:val="center"/>
          </w:tcPr>
          <w:p w:rsidR="00261796" w:rsidRDefault="00905738">
            <w:pPr>
              <w:jc w:val="center"/>
            </w:pPr>
            <w:r>
              <w:rPr>
                <w:color w:val="000000"/>
                <w:sz w:val="24"/>
              </w:rPr>
              <w:t>温氏股份</w:t>
            </w:r>
          </w:p>
        </w:tc>
        <w:tc>
          <w:tcPr>
            <w:tcW w:w="1681" w:type="dxa"/>
            <w:vAlign w:val="center"/>
          </w:tcPr>
          <w:p w:rsidR="00261796" w:rsidRDefault="00905738">
            <w:pPr>
              <w:jc w:val="right"/>
            </w:pPr>
            <w:r>
              <w:rPr>
                <w:color w:val="000000"/>
                <w:sz w:val="24"/>
              </w:rPr>
              <w:t>98,900</w:t>
            </w:r>
          </w:p>
        </w:tc>
        <w:tc>
          <w:tcPr>
            <w:tcW w:w="1795" w:type="dxa"/>
            <w:vAlign w:val="center"/>
          </w:tcPr>
          <w:p w:rsidR="00261796" w:rsidRDefault="00905738">
            <w:pPr>
              <w:jc w:val="right"/>
            </w:pPr>
            <w:r>
              <w:rPr>
                <w:color w:val="000000"/>
                <w:sz w:val="24"/>
              </w:rPr>
              <w:t>2,177,778.00</w:t>
            </w:r>
          </w:p>
        </w:tc>
        <w:tc>
          <w:tcPr>
            <w:tcW w:w="1519" w:type="dxa"/>
            <w:vAlign w:val="center"/>
          </w:tcPr>
          <w:p w:rsidR="00261796" w:rsidRDefault="00905738">
            <w:pPr>
              <w:jc w:val="right"/>
            </w:pPr>
            <w:r>
              <w:rPr>
                <w:color w:val="000000"/>
                <w:sz w:val="24"/>
              </w:rPr>
              <w:t>3.40</w:t>
            </w:r>
          </w:p>
        </w:tc>
      </w:tr>
      <w:tr w:rsidR="00261796">
        <w:tc>
          <w:tcPr>
            <w:tcW w:w="862" w:type="dxa"/>
            <w:vAlign w:val="center"/>
          </w:tcPr>
          <w:p w:rsidR="00261796" w:rsidRDefault="00905738">
            <w:pPr>
              <w:jc w:val="center"/>
            </w:pPr>
            <w:r>
              <w:rPr>
                <w:color w:val="000000"/>
                <w:sz w:val="24"/>
              </w:rPr>
              <w:t>8</w:t>
            </w:r>
          </w:p>
        </w:tc>
        <w:tc>
          <w:tcPr>
            <w:tcW w:w="1346" w:type="dxa"/>
            <w:vAlign w:val="center"/>
          </w:tcPr>
          <w:p w:rsidR="00261796" w:rsidRDefault="00905738">
            <w:pPr>
              <w:jc w:val="center"/>
            </w:pPr>
            <w:r>
              <w:rPr>
                <w:color w:val="000000"/>
                <w:sz w:val="24"/>
              </w:rPr>
              <w:t>000001</w:t>
            </w:r>
          </w:p>
        </w:tc>
        <w:tc>
          <w:tcPr>
            <w:tcW w:w="1795" w:type="dxa"/>
            <w:vAlign w:val="center"/>
          </w:tcPr>
          <w:p w:rsidR="00261796" w:rsidRDefault="00905738">
            <w:pPr>
              <w:jc w:val="center"/>
            </w:pPr>
            <w:r>
              <w:rPr>
                <w:color w:val="000000"/>
                <w:sz w:val="24"/>
              </w:rPr>
              <w:t>平安银行</w:t>
            </w:r>
          </w:p>
        </w:tc>
        <w:tc>
          <w:tcPr>
            <w:tcW w:w="1681" w:type="dxa"/>
            <w:vAlign w:val="center"/>
          </w:tcPr>
          <w:p w:rsidR="00261796" w:rsidRDefault="00905738">
            <w:pPr>
              <w:jc w:val="right"/>
            </w:pPr>
            <w:r>
              <w:rPr>
                <w:color w:val="000000"/>
                <w:sz w:val="24"/>
              </w:rPr>
              <w:t>217,894</w:t>
            </w:r>
          </w:p>
        </w:tc>
        <w:tc>
          <w:tcPr>
            <w:tcW w:w="1795" w:type="dxa"/>
            <w:vAlign w:val="center"/>
          </w:tcPr>
          <w:p w:rsidR="00261796" w:rsidRDefault="00905738">
            <w:pPr>
              <w:jc w:val="right"/>
            </w:pPr>
            <w:r>
              <w:rPr>
                <w:color w:val="000000"/>
                <w:sz w:val="24"/>
              </w:rPr>
              <w:t>1,980,656.46</w:t>
            </w:r>
          </w:p>
        </w:tc>
        <w:tc>
          <w:tcPr>
            <w:tcW w:w="1519" w:type="dxa"/>
            <w:vAlign w:val="center"/>
          </w:tcPr>
          <w:p w:rsidR="00261796" w:rsidRDefault="00905738">
            <w:pPr>
              <w:jc w:val="right"/>
            </w:pPr>
            <w:r>
              <w:rPr>
                <w:color w:val="000000"/>
                <w:sz w:val="24"/>
              </w:rPr>
              <w:t>3.09</w:t>
            </w:r>
          </w:p>
        </w:tc>
      </w:tr>
      <w:tr w:rsidR="00261796">
        <w:tc>
          <w:tcPr>
            <w:tcW w:w="862" w:type="dxa"/>
            <w:vAlign w:val="center"/>
          </w:tcPr>
          <w:p w:rsidR="00261796" w:rsidRDefault="00905738">
            <w:pPr>
              <w:jc w:val="center"/>
            </w:pPr>
            <w:r>
              <w:rPr>
                <w:color w:val="000000"/>
                <w:sz w:val="24"/>
              </w:rPr>
              <w:t>9</w:t>
            </w:r>
          </w:p>
        </w:tc>
        <w:tc>
          <w:tcPr>
            <w:tcW w:w="1346" w:type="dxa"/>
            <w:vAlign w:val="center"/>
          </w:tcPr>
          <w:p w:rsidR="00261796" w:rsidRDefault="00905738">
            <w:pPr>
              <w:jc w:val="center"/>
            </w:pPr>
            <w:r>
              <w:rPr>
                <w:color w:val="000000"/>
                <w:sz w:val="24"/>
              </w:rPr>
              <w:t>002304</w:t>
            </w:r>
          </w:p>
        </w:tc>
        <w:tc>
          <w:tcPr>
            <w:tcW w:w="1795" w:type="dxa"/>
            <w:vAlign w:val="center"/>
          </w:tcPr>
          <w:p w:rsidR="00261796" w:rsidRDefault="00905738">
            <w:pPr>
              <w:jc w:val="center"/>
            </w:pPr>
            <w:r>
              <w:rPr>
                <w:color w:val="000000"/>
                <w:sz w:val="24"/>
              </w:rPr>
              <w:t>洋河股份</w:t>
            </w:r>
          </w:p>
        </w:tc>
        <w:tc>
          <w:tcPr>
            <w:tcW w:w="1681" w:type="dxa"/>
            <w:vAlign w:val="center"/>
          </w:tcPr>
          <w:p w:rsidR="00261796" w:rsidRDefault="00905738">
            <w:pPr>
              <w:jc w:val="right"/>
            </w:pPr>
            <w:r>
              <w:rPr>
                <w:color w:val="000000"/>
                <w:sz w:val="24"/>
              </w:rPr>
              <w:t>14,638</w:t>
            </w:r>
          </w:p>
        </w:tc>
        <w:tc>
          <w:tcPr>
            <w:tcW w:w="1795" w:type="dxa"/>
            <w:vAlign w:val="center"/>
          </w:tcPr>
          <w:p w:rsidR="00261796" w:rsidRDefault="00905738">
            <w:pPr>
              <w:jc w:val="right"/>
            </w:pPr>
            <w:r>
              <w:rPr>
                <w:color w:val="000000"/>
                <w:sz w:val="24"/>
              </w:rPr>
              <w:t>1,926,360.80</w:t>
            </w:r>
          </w:p>
        </w:tc>
        <w:tc>
          <w:tcPr>
            <w:tcW w:w="1519" w:type="dxa"/>
            <w:vAlign w:val="center"/>
          </w:tcPr>
          <w:p w:rsidR="00261796" w:rsidRDefault="00905738">
            <w:pPr>
              <w:jc w:val="right"/>
            </w:pPr>
            <w:r>
              <w:rPr>
                <w:color w:val="000000"/>
                <w:sz w:val="24"/>
              </w:rPr>
              <w:t>3.01</w:t>
            </w:r>
          </w:p>
        </w:tc>
      </w:tr>
      <w:tr w:rsidR="00261796">
        <w:tc>
          <w:tcPr>
            <w:tcW w:w="862" w:type="dxa"/>
            <w:vAlign w:val="center"/>
          </w:tcPr>
          <w:p w:rsidR="00261796" w:rsidRDefault="00905738">
            <w:pPr>
              <w:jc w:val="center"/>
            </w:pPr>
            <w:r>
              <w:rPr>
                <w:color w:val="000000"/>
                <w:sz w:val="24"/>
              </w:rPr>
              <w:t>10</w:t>
            </w:r>
          </w:p>
        </w:tc>
        <w:tc>
          <w:tcPr>
            <w:tcW w:w="1346" w:type="dxa"/>
            <w:vAlign w:val="center"/>
          </w:tcPr>
          <w:p w:rsidR="00261796" w:rsidRDefault="00905738">
            <w:pPr>
              <w:jc w:val="center"/>
            </w:pPr>
            <w:r>
              <w:rPr>
                <w:color w:val="000000"/>
                <w:sz w:val="24"/>
              </w:rPr>
              <w:t>000538</w:t>
            </w:r>
          </w:p>
        </w:tc>
        <w:tc>
          <w:tcPr>
            <w:tcW w:w="1795" w:type="dxa"/>
            <w:vAlign w:val="center"/>
          </w:tcPr>
          <w:p w:rsidR="00261796" w:rsidRDefault="00905738">
            <w:pPr>
              <w:jc w:val="center"/>
            </w:pPr>
            <w:r>
              <w:rPr>
                <w:color w:val="000000"/>
                <w:sz w:val="24"/>
              </w:rPr>
              <w:t>云南白药</w:t>
            </w:r>
          </w:p>
        </w:tc>
        <w:tc>
          <w:tcPr>
            <w:tcW w:w="1681" w:type="dxa"/>
            <w:vAlign w:val="center"/>
          </w:tcPr>
          <w:p w:rsidR="00261796" w:rsidRDefault="00905738">
            <w:pPr>
              <w:jc w:val="right"/>
            </w:pPr>
            <w:r>
              <w:rPr>
                <w:color w:val="000000"/>
                <w:sz w:val="24"/>
              </w:rPr>
              <w:t>11,600</w:t>
            </w:r>
          </w:p>
        </w:tc>
        <w:tc>
          <w:tcPr>
            <w:tcW w:w="1795" w:type="dxa"/>
            <w:vAlign w:val="center"/>
          </w:tcPr>
          <w:p w:rsidR="00261796" w:rsidRDefault="00905738">
            <w:pPr>
              <w:jc w:val="right"/>
            </w:pPr>
            <w:r>
              <w:rPr>
                <w:color w:val="000000"/>
                <w:sz w:val="24"/>
              </w:rPr>
              <w:t>1,240,736.00</w:t>
            </w:r>
          </w:p>
        </w:tc>
        <w:tc>
          <w:tcPr>
            <w:tcW w:w="1519" w:type="dxa"/>
            <w:vAlign w:val="center"/>
          </w:tcPr>
          <w:p w:rsidR="00261796" w:rsidRDefault="00905738">
            <w:pPr>
              <w:jc w:val="right"/>
            </w:pPr>
            <w:r>
              <w:rPr>
                <w:color w:val="000000"/>
                <w:sz w:val="24"/>
              </w:rPr>
              <w:t>1.94</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C01514" w:rsidRPr="005C672D" w:rsidRDefault="00C01514" w:rsidP="00AC6DDA">
      <w:pPr>
        <w:pStyle w:val="20"/>
        <w:spacing w:before="29" w:after="0" w:line="288" w:lineRule="auto"/>
        <w:rPr>
          <w:rFonts w:ascii="Times New Roman" w:hAnsi="Times New Roman"/>
          <w:b w:val="0"/>
          <w:bCs w:val="0"/>
          <w:color w:val="000000"/>
          <w:szCs w:val="24"/>
        </w:rPr>
      </w:pPr>
      <w:r w:rsidRPr="005C672D">
        <w:rPr>
          <w:rFonts w:ascii="Times New Roman" w:hAnsi="Times New Roman"/>
          <w:color w:val="000000"/>
          <w:szCs w:val="24"/>
        </w:rPr>
        <w:t xml:space="preserve">7.3.2 </w:t>
      </w:r>
      <w:r w:rsidR="00867117" w:rsidRPr="005C672D">
        <w:rPr>
          <w:rFonts w:ascii="Times New Roman" w:hAnsi="Times New Roman"/>
          <w:color w:val="000000"/>
          <w:szCs w:val="24"/>
        </w:rPr>
        <w:t>期末积极投资按公允价值占基金资产净值比例大小排序的前五名</w:t>
      </w:r>
      <w:r w:rsidRPr="005C672D">
        <w:rPr>
          <w:rFonts w:ascii="Times New Roman" w:hAnsi="Times New Roman"/>
          <w:color w:val="000000"/>
          <w:szCs w:val="24"/>
        </w:rPr>
        <w:t>股票投资明细</w:t>
      </w:r>
    </w:p>
    <w:p w:rsidR="00C01514" w:rsidRPr="005C672D" w:rsidRDefault="00C01514" w:rsidP="00AC6DDA">
      <w:pPr>
        <w:tabs>
          <w:tab w:val="left" w:pos="426"/>
        </w:tabs>
        <w:spacing w:before="29" w:line="288" w:lineRule="auto"/>
        <w:jc w:val="left"/>
        <w:rPr>
          <w:kern w:val="0"/>
          <w:sz w:val="24"/>
        </w:rPr>
      </w:pPr>
      <w:r w:rsidRPr="005C672D">
        <w:rPr>
          <w:kern w:val="0"/>
          <w:sz w:val="24"/>
        </w:rPr>
        <w:t>本基金本报告期末未持有积极投资的股票。</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4" w:name="_Toc331410105"/>
      <w:r w:rsidRPr="005C672D">
        <w:rPr>
          <w:rFonts w:ascii="Times New Roman" w:hAnsi="Times New Roman"/>
          <w:kern w:val="0"/>
          <w:szCs w:val="24"/>
        </w:rPr>
        <w:t>7.4</w:t>
      </w:r>
      <w:bookmarkStart w:id="65" w:name="_Toc234814103"/>
      <w:r w:rsidRPr="005C672D">
        <w:rPr>
          <w:rFonts w:ascii="Times New Roman" w:hAnsi="Times New Roman"/>
          <w:kern w:val="0"/>
          <w:szCs w:val="24"/>
        </w:rPr>
        <w:t>报告期内股票投资组合的重大变动</w:t>
      </w:r>
      <w:bookmarkEnd w:id="64"/>
      <w:bookmarkEnd w:id="65"/>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累计买入金额超出期初基金资产净值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261796">
        <w:tc>
          <w:tcPr>
            <w:tcW w:w="869" w:type="dxa"/>
            <w:vAlign w:val="center"/>
          </w:tcPr>
          <w:p w:rsidR="00261796" w:rsidRDefault="00905738">
            <w:pPr>
              <w:jc w:val="center"/>
            </w:pPr>
            <w:r>
              <w:rPr>
                <w:sz w:val="24"/>
              </w:rPr>
              <w:t>1</w:t>
            </w:r>
          </w:p>
        </w:tc>
        <w:tc>
          <w:tcPr>
            <w:tcW w:w="1650" w:type="dxa"/>
            <w:vAlign w:val="center"/>
          </w:tcPr>
          <w:p w:rsidR="00261796" w:rsidRDefault="00905738">
            <w:pPr>
              <w:jc w:val="center"/>
            </w:pPr>
            <w:r>
              <w:rPr>
                <w:sz w:val="24"/>
              </w:rPr>
              <w:t>000703</w:t>
            </w:r>
          </w:p>
        </w:tc>
        <w:tc>
          <w:tcPr>
            <w:tcW w:w="1980" w:type="dxa"/>
            <w:vAlign w:val="center"/>
          </w:tcPr>
          <w:p w:rsidR="00261796" w:rsidRDefault="00905738">
            <w:pPr>
              <w:jc w:val="center"/>
            </w:pPr>
            <w:r>
              <w:rPr>
                <w:sz w:val="24"/>
              </w:rPr>
              <w:t>恒逸石化</w:t>
            </w:r>
          </w:p>
        </w:tc>
        <w:tc>
          <w:tcPr>
            <w:tcW w:w="2879" w:type="dxa"/>
            <w:vAlign w:val="center"/>
          </w:tcPr>
          <w:p w:rsidR="00261796" w:rsidRDefault="00905738">
            <w:pPr>
              <w:jc w:val="right"/>
            </w:pPr>
            <w:r>
              <w:rPr>
                <w:sz w:val="24"/>
              </w:rPr>
              <w:t>473,273.00</w:t>
            </w:r>
          </w:p>
        </w:tc>
        <w:tc>
          <w:tcPr>
            <w:tcW w:w="1620" w:type="dxa"/>
            <w:vAlign w:val="center"/>
          </w:tcPr>
          <w:p w:rsidR="00261796" w:rsidRDefault="00905738">
            <w:pPr>
              <w:jc w:val="right"/>
            </w:pPr>
            <w:r>
              <w:rPr>
                <w:sz w:val="24"/>
              </w:rPr>
              <w:t>0.73</w:t>
            </w:r>
          </w:p>
        </w:tc>
      </w:tr>
      <w:tr w:rsidR="00261796">
        <w:tc>
          <w:tcPr>
            <w:tcW w:w="869" w:type="dxa"/>
            <w:vAlign w:val="center"/>
          </w:tcPr>
          <w:p w:rsidR="00261796" w:rsidRDefault="00905738">
            <w:pPr>
              <w:jc w:val="center"/>
            </w:pPr>
            <w:r>
              <w:rPr>
                <w:sz w:val="24"/>
              </w:rPr>
              <w:lastRenderedPageBreak/>
              <w:t>2</w:t>
            </w:r>
          </w:p>
        </w:tc>
        <w:tc>
          <w:tcPr>
            <w:tcW w:w="1650" w:type="dxa"/>
            <w:vAlign w:val="center"/>
          </w:tcPr>
          <w:p w:rsidR="00261796" w:rsidRDefault="00905738">
            <w:pPr>
              <w:jc w:val="center"/>
            </w:pPr>
            <w:r>
              <w:rPr>
                <w:sz w:val="24"/>
              </w:rPr>
              <w:t>000418</w:t>
            </w:r>
          </w:p>
        </w:tc>
        <w:tc>
          <w:tcPr>
            <w:tcW w:w="1980" w:type="dxa"/>
            <w:vAlign w:val="center"/>
          </w:tcPr>
          <w:p w:rsidR="00261796" w:rsidRDefault="00905738">
            <w:pPr>
              <w:jc w:val="center"/>
            </w:pPr>
            <w:r>
              <w:rPr>
                <w:sz w:val="24"/>
              </w:rPr>
              <w:t>小天鹅</w:t>
            </w:r>
            <w:r>
              <w:rPr>
                <w:sz w:val="24"/>
              </w:rPr>
              <w:t>A</w:t>
            </w:r>
          </w:p>
        </w:tc>
        <w:tc>
          <w:tcPr>
            <w:tcW w:w="2879" w:type="dxa"/>
            <w:vAlign w:val="center"/>
          </w:tcPr>
          <w:p w:rsidR="00261796" w:rsidRDefault="00905738">
            <w:pPr>
              <w:jc w:val="right"/>
            </w:pPr>
            <w:r>
              <w:rPr>
                <w:sz w:val="24"/>
              </w:rPr>
              <w:t>386,213.00</w:t>
            </w:r>
          </w:p>
        </w:tc>
        <w:tc>
          <w:tcPr>
            <w:tcW w:w="1620" w:type="dxa"/>
            <w:vAlign w:val="center"/>
          </w:tcPr>
          <w:p w:rsidR="00261796" w:rsidRDefault="00905738">
            <w:pPr>
              <w:jc w:val="right"/>
            </w:pPr>
            <w:r>
              <w:rPr>
                <w:sz w:val="24"/>
              </w:rPr>
              <w:t>0.59</w:t>
            </w:r>
          </w:p>
        </w:tc>
      </w:tr>
      <w:tr w:rsidR="00261796">
        <w:tc>
          <w:tcPr>
            <w:tcW w:w="869" w:type="dxa"/>
            <w:vAlign w:val="center"/>
          </w:tcPr>
          <w:p w:rsidR="00261796" w:rsidRDefault="00905738">
            <w:pPr>
              <w:jc w:val="center"/>
            </w:pPr>
            <w:r>
              <w:rPr>
                <w:sz w:val="24"/>
              </w:rPr>
              <w:t>3</w:t>
            </w:r>
          </w:p>
        </w:tc>
        <w:tc>
          <w:tcPr>
            <w:tcW w:w="1650" w:type="dxa"/>
            <w:vAlign w:val="center"/>
          </w:tcPr>
          <w:p w:rsidR="00261796" w:rsidRDefault="00905738">
            <w:pPr>
              <w:jc w:val="center"/>
            </w:pPr>
            <w:r>
              <w:rPr>
                <w:sz w:val="24"/>
              </w:rPr>
              <w:t>000333</w:t>
            </w:r>
          </w:p>
        </w:tc>
        <w:tc>
          <w:tcPr>
            <w:tcW w:w="1980" w:type="dxa"/>
            <w:vAlign w:val="center"/>
          </w:tcPr>
          <w:p w:rsidR="00261796" w:rsidRDefault="00905738">
            <w:pPr>
              <w:jc w:val="center"/>
            </w:pPr>
            <w:r>
              <w:rPr>
                <w:sz w:val="24"/>
              </w:rPr>
              <w:t>美的集团</w:t>
            </w:r>
          </w:p>
        </w:tc>
        <w:tc>
          <w:tcPr>
            <w:tcW w:w="2879" w:type="dxa"/>
            <w:vAlign w:val="center"/>
          </w:tcPr>
          <w:p w:rsidR="00261796" w:rsidRDefault="00905738">
            <w:pPr>
              <w:jc w:val="right"/>
            </w:pPr>
            <w:r>
              <w:rPr>
                <w:sz w:val="24"/>
              </w:rPr>
              <w:t>377,851.00</w:t>
            </w:r>
          </w:p>
        </w:tc>
        <w:tc>
          <w:tcPr>
            <w:tcW w:w="1620" w:type="dxa"/>
            <w:vAlign w:val="center"/>
          </w:tcPr>
          <w:p w:rsidR="00261796" w:rsidRDefault="00905738">
            <w:pPr>
              <w:jc w:val="right"/>
            </w:pPr>
            <w:r>
              <w:rPr>
                <w:sz w:val="24"/>
              </w:rPr>
              <w:t>0.58</w:t>
            </w:r>
          </w:p>
        </w:tc>
      </w:tr>
      <w:tr w:rsidR="00261796">
        <w:tc>
          <w:tcPr>
            <w:tcW w:w="869" w:type="dxa"/>
            <w:vAlign w:val="center"/>
          </w:tcPr>
          <w:p w:rsidR="00261796" w:rsidRDefault="00905738">
            <w:pPr>
              <w:jc w:val="center"/>
            </w:pPr>
            <w:r>
              <w:rPr>
                <w:sz w:val="24"/>
              </w:rPr>
              <w:t>4</w:t>
            </w:r>
          </w:p>
        </w:tc>
        <w:tc>
          <w:tcPr>
            <w:tcW w:w="1650" w:type="dxa"/>
            <w:vAlign w:val="center"/>
          </w:tcPr>
          <w:p w:rsidR="00261796" w:rsidRDefault="00905738">
            <w:pPr>
              <w:jc w:val="center"/>
            </w:pPr>
            <w:r>
              <w:rPr>
                <w:sz w:val="24"/>
              </w:rPr>
              <w:t>000513</w:t>
            </w:r>
          </w:p>
        </w:tc>
        <w:tc>
          <w:tcPr>
            <w:tcW w:w="1980" w:type="dxa"/>
            <w:vAlign w:val="center"/>
          </w:tcPr>
          <w:p w:rsidR="00261796" w:rsidRDefault="00905738">
            <w:pPr>
              <w:jc w:val="center"/>
            </w:pPr>
            <w:r>
              <w:rPr>
                <w:sz w:val="24"/>
              </w:rPr>
              <w:t>丽珠集团</w:t>
            </w:r>
          </w:p>
        </w:tc>
        <w:tc>
          <w:tcPr>
            <w:tcW w:w="2879" w:type="dxa"/>
            <w:vAlign w:val="center"/>
          </w:tcPr>
          <w:p w:rsidR="00261796" w:rsidRDefault="00905738">
            <w:pPr>
              <w:jc w:val="right"/>
            </w:pPr>
            <w:r>
              <w:rPr>
                <w:sz w:val="24"/>
              </w:rPr>
              <w:t>341,672.00</w:t>
            </w:r>
          </w:p>
        </w:tc>
        <w:tc>
          <w:tcPr>
            <w:tcW w:w="1620" w:type="dxa"/>
            <w:vAlign w:val="center"/>
          </w:tcPr>
          <w:p w:rsidR="00261796" w:rsidRDefault="00905738">
            <w:pPr>
              <w:jc w:val="right"/>
            </w:pPr>
            <w:r>
              <w:rPr>
                <w:sz w:val="24"/>
              </w:rPr>
              <w:t>0.53</w:t>
            </w:r>
          </w:p>
        </w:tc>
      </w:tr>
      <w:tr w:rsidR="00261796">
        <w:tc>
          <w:tcPr>
            <w:tcW w:w="869" w:type="dxa"/>
            <w:vAlign w:val="center"/>
          </w:tcPr>
          <w:p w:rsidR="00261796" w:rsidRDefault="00905738">
            <w:pPr>
              <w:jc w:val="center"/>
            </w:pPr>
            <w:r>
              <w:rPr>
                <w:sz w:val="24"/>
              </w:rPr>
              <w:t>5</w:t>
            </w:r>
          </w:p>
        </w:tc>
        <w:tc>
          <w:tcPr>
            <w:tcW w:w="1650" w:type="dxa"/>
            <w:vAlign w:val="center"/>
          </w:tcPr>
          <w:p w:rsidR="00261796" w:rsidRDefault="00905738">
            <w:pPr>
              <w:jc w:val="center"/>
            </w:pPr>
            <w:r>
              <w:rPr>
                <w:sz w:val="24"/>
              </w:rPr>
              <w:t>000060</w:t>
            </w:r>
          </w:p>
        </w:tc>
        <w:tc>
          <w:tcPr>
            <w:tcW w:w="1980" w:type="dxa"/>
            <w:vAlign w:val="center"/>
          </w:tcPr>
          <w:p w:rsidR="00261796" w:rsidRDefault="00905738">
            <w:pPr>
              <w:jc w:val="center"/>
            </w:pPr>
            <w:r>
              <w:rPr>
                <w:sz w:val="24"/>
              </w:rPr>
              <w:t>中金岭南</w:t>
            </w:r>
          </w:p>
        </w:tc>
        <w:tc>
          <w:tcPr>
            <w:tcW w:w="2879" w:type="dxa"/>
            <w:vAlign w:val="center"/>
          </w:tcPr>
          <w:p w:rsidR="00261796" w:rsidRDefault="00905738">
            <w:pPr>
              <w:jc w:val="right"/>
            </w:pPr>
            <w:r>
              <w:rPr>
                <w:sz w:val="24"/>
              </w:rPr>
              <w:t>299,601.00</w:t>
            </w:r>
          </w:p>
        </w:tc>
        <w:tc>
          <w:tcPr>
            <w:tcW w:w="1620" w:type="dxa"/>
            <w:vAlign w:val="center"/>
          </w:tcPr>
          <w:p w:rsidR="00261796" w:rsidRDefault="00905738">
            <w:pPr>
              <w:jc w:val="right"/>
            </w:pPr>
            <w:r>
              <w:rPr>
                <w:sz w:val="24"/>
              </w:rPr>
              <w:t>0.46</w:t>
            </w:r>
          </w:p>
        </w:tc>
      </w:tr>
      <w:tr w:rsidR="00261796">
        <w:tc>
          <w:tcPr>
            <w:tcW w:w="869" w:type="dxa"/>
            <w:vAlign w:val="center"/>
          </w:tcPr>
          <w:p w:rsidR="00261796" w:rsidRDefault="00905738">
            <w:pPr>
              <w:jc w:val="center"/>
            </w:pPr>
            <w:r>
              <w:rPr>
                <w:sz w:val="24"/>
              </w:rPr>
              <w:t>6</w:t>
            </w:r>
          </w:p>
        </w:tc>
        <w:tc>
          <w:tcPr>
            <w:tcW w:w="1650" w:type="dxa"/>
            <w:vAlign w:val="center"/>
          </w:tcPr>
          <w:p w:rsidR="00261796" w:rsidRDefault="00905738">
            <w:pPr>
              <w:jc w:val="center"/>
            </w:pPr>
            <w:r>
              <w:rPr>
                <w:sz w:val="24"/>
              </w:rPr>
              <w:t>000932</w:t>
            </w:r>
          </w:p>
        </w:tc>
        <w:tc>
          <w:tcPr>
            <w:tcW w:w="1980" w:type="dxa"/>
            <w:vAlign w:val="center"/>
          </w:tcPr>
          <w:p w:rsidR="00261796" w:rsidRDefault="00905738">
            <w:pPr>
              <w:jc w:val="center"/>
            </w:pPr>
            <w:r>
              <w:rPr>
                <w:sz w:val="24"/>
              </w:rPr>
              <w:t>华菱钢铁</w:t>
            </w:r>
          </w:p>
        </w:tc>
        <w:tc>
          <w:tcPr>
            <w:tcW w:w="2879" w:type="dxa"/>
            <w:vAlign w:val="center"/>
          </w:tcPr>
          <w:p w:rsidR="00261796" w:rsidRDefault="00905738">
            <w:pPr>
              <w:jc w:val="right"/>
            </w:pPr>
            <w:r>
              <w:rPr>
                <w:sz w:val="24"/>
              </w:rPr>
              <w:t>286,130.00</w:t>
            </w:r>
          </w:p>
        </w:tc>
        <w:tc>
          <w:tcPr>
            <w:tcW w:w="1620" w:type="dxa"/>
            <w:vAlign w:val="center"/>
          </w:tcPr>
          <w:p w:rsidR="00261796" w:rsidRDefault="00905738">
            <w:pPr>
              <w:jc w:val="right"/>
            </w:pPr>
            <w:r>
              <w:rPr>
                <w:sz w:val="24"/>
              </w:rPr>
              <w:t>0.44</w:t>
            </w:r>
          </w:p>
        </w:tc>
      </w:tr>
      <w:tr w:rsidR="00261796">
        <w:tc>
          <w:tcPr>
            <w:tcW w:w="869" w:type="dxa"/>
            <w:vAlign w:val="center"/>
          </w:tcPr>
          <w:p w:rsidR="00261796" w:rsidRDefault="00905738">
            <w:pPr>
              <w:jc w:val="center"/>
            </w:pPr>
            <w:r>
              <w:rPr>
                <w:sz w:val="24"/>
              </w:rPr>
              <w:t>7</w:t>
            </w:r>
          </w:p>
        </w:tc>
        <w:tc>
          <w:tcPr>
            <w:tcW w:w="1650" w:type="dxa"/>
            <w:vAlign w:val="center"/>
          </w:tcPr>
          <w:p w:rsidR="00261796" w:rsidRDefault="00905738">
            <w:pPr>
              <w:jc w:val="center"/>
            </w:pPr>
            <w:r>
              <w:rPr>
                <w:sz w:val="24"/>
              </w:rPr>
              <w:t>000596</w:t>
            </w:r>
          </w:p>
        </w:tc>
        <w:tc>
          <w:tcPr>
            <w:tcW w:w="1980" w:type="dxa"/>
            <w:vAlign w:val="center"/>
          </w:tcPr>
          <w:p w:rsidR="00261796" w:rsidRDefault="00905738">
            <w:pPr>
              <w:jc w:val="center"/>
            </w:pPr>
            <w:r>
              <w:rPr>
                <w:sz w:val="24"/>
              </w:rPr>
              <w:t>古井贡酒</w:t>
            </w:r>
          </w:p>
        </w:tc>
        <w:tc>
          <w:tcPr>
            <w:tcW w:w="2879" w:type="dxa"/>
            <w:vAlign w:val="center"/>
          </w:tcPr>
          <w:p w:rsidR="00261796" w:rsidRDefault="00905738">
            <w:pPr>
              <w:jc w:val="right"/>
            </w:pPr>
            <w:r>
              <w:rPr>
                <w:sz w:val="24"/>
              </w:rPr>
              <w:t>281,413.00</w:t>
            </w:r>
          </w:p>
        </w:tc>
        <w:tc>
          <w:tcPr>
            <w:tcW w:w="1620" w:type="dxa"/>
            <w:vAlign w:val="center"/>
          </w:tcPr>
          <w:p w:rsidR="00261796" w:rsidRDefault="00905738">
            <w:pPr>
              <w:jc w:val="right"/>
            </w:pPr>
            <w:r>
              <w:rPr>
                <w:sz w:val="24"/>
              </w:rPr>
              <w:t>0.43</w:t>
            </w:r>
          </w:p>
        </w:tc>
      </w:tr>
      <w:tr w:rsidR="00261796">
        <w:tc>
          <w:tcPr>
            <w:tcW w:w="869" w:type="dxa"/>
            <w:vAlign w:val="center"/>
          </w:tcPr>
          <w:p w:rsidR="00261796" w:rsidRDefault="00905738">
            <w:pPr>
              <w:jc w:val="center"/>
            </w:pPr>
            <w:r>
              <w:rPr>
                <w:sz w:val="24"/>
              </w:rPr>
              <w:t>8</w:t>
            </w:r>
          </w:p>
        </w:tc>
        <w:tc>
          <w:tcPr>
            <w:tcW w:w="1650" w:type="dxa"/>
            <w:vAlign w:val="center"/>
          </w:tcPr>
          <w:p w:rsidR="00261796" w:rsidRDefault="00905738">
            <w:pPr>
              <w:jc w:val="center"/>
            </w:pPr>
            <w:r>
              <w:rPr>
                <w:sz w:val="24"/>
              </w:rPr>
              <w:t>002110</w:t>
            </w:r>
          </w:p>
        </w:tc>
        <w:tc>
          <w:tcPr>
            <w:tcW w:w="1980" w:type="dxa"/>
            <w:vAlign w:val="center"/>
          </w:tcPr>
          <w:p w:rsidR="00261796" w:rsidRDefault="00905738">
            <w:pPr>
              <w:jc w:val="center"/>
            </w:pPr>
            <w:r>
              <w:rPr>
                <w:sz w:val="24"/>
              </w:rPr>
              <w:t>三钢闽光</w:t>
            </w:r>
          </w:p>
        </w:tc>
        <w:tc>
          <w:tcPr>
            <w:tcW w:w="2879" w:type="dxa"/>
            <w:vAlign w:val="center"/>
          </w:tcPr>
          <w:p w:rsidR="00261796" w:rsidRDefault="00905738">
            <w:pPr>
              <w:jc w:val="right"/>
            </w:pPr>
            <w:r>
              <w:rPr>
                <w:sz w:val="24"/>
              </w:rPr>
              <w:t>281,208.00</w:t>
            </w:r>
          </w:p>
        </w:tc>
        <w:tc>
          <w:tcPr>
            <w:tcW w:w="1620" w:type="dxa"/>
            <w:vAlign w:val="center"/>
          </w:tcPr>
          <w:p w:rsidR="00261796" w:rsidRDefault="00905738">
            <w:pPr>
              <w:jc w:val="right"/>
            </w:pPr>
            <w:r>
              <w:rPr>
                <w:sz w:val="24"/>
              </w:rPr>
              <w:t>0.43</w:t>
            </w:r>
          </w:p>
        </w:tc>
      </w:tr>
      <w:tr w:rsidR="00261796">
        <w:tc>
          <w:tcPr>
            <w:tcW w:w="869" w:type="dxa"/>
            <w:vAlign w:val="center"/>
          </w:tcPr>
          <w:p w:rsidR="00261796" w:rsidRDefault="00905738">
            <w:pPr>
              <w:jc w:val="center"/>
            </w:pPr>
            <w:r>
              <w:rPr>
                <w:sz w:val="24"/>
              </w:rPr>
              <w:t>9</w:t>
            </w:r>
          </w:p>
        </w:tc>
        <w:tc>
          <w:tcPr>
            <w:tcW w:w="1650" w:type="dxa"/>
            <w:vAlign w:val="center"/>
          </w:tcPr>
          <w:p w:rsidR="00261796" w:rsidRDefault="00905738">
            <w:pPr>
              <w:jc w:val="center"/>
            </w:pPr>
            <w:r>
              <w:rPr>
                <w:sz w:val="24"/>
              </w:rPr>
              <w:t>002221</w:t>
            </w:r>
          </w:p>
        </w:tc>
        <w:tc>
          <w:tcPr>
            <w:tcW w:w="1980" w:type="dxa"/>
            <w:vAlign w:val="center"/>
          </w:tcPr>
          <w:p w:rsidR="00261796" w:rsidRDefault="00905738">
            <w:pPr>
              <w:jc w:val="center"/>
            </w:pPr>
            <w:r>
              <w:rPr>
                <w:sz w:val="24"/>
              </w:rPr>
              <w:t>东华能源</w:t>
            </w:r>
          </w:p>
        </w:tc>
        <w:tc>
          <w:tcPr>
            <w:tcW w:w="2879" w:type="dxa"/>
            <w:vAlign w:val="center"/>
          </w:tcPr>
          <w:p w:rsidR="00261796" w:rsidRDefault="00905738">
            <w:pPr>
              <w:jc w:val="right"/>
            </w:pPr>
            <w:r>
              <w:rPr>
                <w:sz w:val="24"/>
              </w:rPr>
              <w:t>278,878.00</w:t>
            </w:r>
          </w:p>
        </w:tc>
        <w:tc>
          <w:tcPr>
            <w:tcW w:w="1620" w:type="dxa"/>
            <w:vAlign w:val="center"/>
          </w:tcPr>
          <w:p w:rsidR="00261796" w:rsidRDefault="00905738">
            <w:pPr>
              <w:jc w:val="right"/>
            </w:pPr>
            <w:r>
              <w:rPr>
                <w:sz w:val="24"/>
              </w:rPr>
              <w:t>0.43</w:t>
            </w:r>
          </w:p>
        </w:tc>
      </w:tr>
      <w:tr w:rsidR="00261796">
        <w:tc>
          <w:tcPr>
            <w:tcW w:w="869" w:type="dxa"/>
            <w:vAlign w:val="center"/>
          </w:tcPr>
          <w:p w:rsidR="00261796" w:rsidRDefault="00905738">
            <w:pPr>
              <w:jc w:val="center"/>
            </w:pPr>
            <w:r>
              <w:rPr>
                <w:sz w:val="24"/>
              </w:rPr>
              <w:t>10</w:t>
            </w:r>
          </w:p>
        </w:tc>
        <w:tc>
          <w:tcPr>
            <w:tcW w:w="1650" w:type="dxa"/>
            <w:vAlign w:val="center"/>
          </w:tcPr>
          <w:p w:rsidR="00261796" w:rsidRDefault="00905738">
            <w:pPr>
              <w:jc w:val="center"/>
            </w:pPr>
            <w:r>
              <w:rPr>
                <w:sz w:val="24"/>
              </w:rPr>
              <w:t>000887</w:t>
            </w:r>
          </w:p>
        </w:tc>
        <w:tc>
          <w:tcPr>
            <w:tcW w:w="1980" w:type="dxa"/>
            <w:vAlign w:val="center"/>
          </w:tcPr>
          <w:p w:rsidR="00261796" w:rsidRDefault="00905738">
            <w:pPr>
              <w:jc w:val="center"/>
            </w:pPr>
            <w:r>
              <w:rPr>
                <w:sz w:val="24"/>
              </w:rPr>
              <w:t>中鼎股份</w:t>
            </w:r>
          </w:p>
        </w:tc>
        <w:tc>
          <w:tcPr>
            <w:tcW w:w="2879" w:type="dxa"/>
            <w:vAlign w:val="center"/>
          </w:tcPr>
          <w:p w:rsidR="00261796" w:rsidRDefault="00905738">
            <w:pPr>
              <w:jc w:val="right"/>
            </w:pPr>
            <w:r>
              <w:rPr>
                <w:sz w:val="24"/>
              </w:rPr>
              <w:t>263,885.00</w:t>
            </w:r>
          </w:p>
        </w:tc>
        <w:tc>
          <w:tcPr>
            <w:tcW w:w="1620" w:type="dxa"/>
            <w:vAlign w:val="center"/>
          </w:tcPr>
          <w:p w:rsidR="00261796" w:rsidRDefault="00905738">
            <w:pPr>
              <w:jc w:val="right"/>
            </w:pPr>
            <w:r>
              <w:rPr>
                <w:sz w:val="24"/>
              </w:rPr>
              <w:t>0.41</w:t>
            </w:r>
          </w:p>
        </w:tc>
      </w:tr>
      <w:tr w:rsidR="00261796">
        <w:tc>
          <w:tcPr>
            <w:tcW w:w="869" w:type="dxa"/>
            <w:vAlign w:val="center"/>
          </w:tcPr>
          <w:p w:rsidR="00261796" w:rsidRDefault="00905738">
            <w:pPr>
              <w:jc w:val="center"/>
            </w:pPr>
            <w:r>
              <w:rPr>
                <w:sz w:val="24"/>
              </w:rPr>
              <w:t>11</w:t>
            </w:r>
          </w:p>
        </w:tc>
        <w:tc>
          <w:tcPr>
            <w:tcW w:w="1650" w:type="dxa"/>
            <w:vAlign w:val="center"/>
          </w:tcPr>
          <w:p w:rsidR="00261796" w:rsidRDefault="00905738">
            <w:pPr>
              <w:jc w:val="center"/>
            </w:pPr>
            <w:r>
              <w:rPr>
                <w:sz w:val="24"/>
              </w:rPr>
              <w:t>002415</w:t>
            </w:r>
          </w:p>
        </w:tc>
        <w:tc>
          <w:tcPr>
            <w:tcW w:w="1980" w:type="dxa"/>
            <w:vAlign w:val="center"/>
          </w:tcPr>
          <w:p w:rsidR="00261796" w:rsidRDefault="00905738">
            <w:pPr>
              <w:jc w:val="center"/>
            </w:pPr>
            <w:r>
              <w:rPr>
                <w:sz w:val="24"/>
              </w:rPr>
              <w:t>海康威视</w:t>
            </w:r>
          </w:p>
        </w:tc>
        <w:tc>
          <w:tcPr>
            <w:tcW w:w="2879" w:type="dxa"/>
            <w:vAlign w:val="center"/>
          </w:tcPr>
          <w:p w:rsidR="00261796" w:rsidRDefault="00905738">
            <w:pPr>
              <w:jc w:val="right"/>
            </w:pPr>
            <w:r>
              <w:rPr>
                <w:sz w:val="24"/>
              </w:rPr>
              <w:t>257,684.00</w:t>
            </w:r>
          </w:p>
        </w:tc>
        <w:tc>
          <w:tcPr>
            <w:tcW w:w="1620" w:type="dxa"/>
            <w:vAlign w:val="center"/>
          </w:tcPr>
          <w:p w:rsidR="00261796" w:rsidRDefault="00905738">
            <w:pPr>
              <w:jc w:val="right"/>
            </w:pPr>
            <w:r>
              <w:rPr>
                <w:sz w:val="24"/>
              </w:rPr>
              <w:t>0.40</w:t>
            </w:r>
          </w:p>
        </w:tc>
      </w:tr>
      <w:tr w:rsidR="00261796">
        <w:tc>
          <w:tcPr>
            <w:tcW w:w="869" w:type="dxa"/>
            <w:vAlign w:val="center"/>
          </w:tcPr>
          <w:p w:rsidR="00261796" w:rsidRDefault="00905738">
            <w:pPr>
              <w:jc w:val="center"/>
            </w:pPr>
            <w:r>
              <w:rPr>
                <w:sz w:val="24"/>
              </w:rPr>
              <w:t>12</w:t>
            </w:r>
          </w:p>
        </w:tc>
        <w:tc>
          <w:tcPr>
            <w:tcW w:w="1650" w:type="dxa"/>
            <w:vAlign w:val="center"/>
          </w:tcPr>
          <w:p w:rsidR="00261796" w:rsidRDefault="00905738">
            <w:pPr>
              <w:jc w:val="center"/>
            </w:pPr>
            <w:r>
              <w:rPr>
                <w:sz w:val="24"/>
              </w:rPr>
              <w:t>002385</w:t>
            </w:r>
          </w:p>
        </w:tc>
        <w:tc>
          <w:tcPr>
            <w:tcW w:w="1980" w:type="dxa"/>
            <w:vAlign w:val="center"/>
          </w:tcPr>
          <w:p w:rsidR="00261796" w:rsidRDefault="00905738">
            <w:pPr>
              <w:jc w:val="center"/>
            </w:pPr>
            <w:r>
              <w:rPr>
                <w:sz w:val="24"/>
              </w:rPr>
              <w:t>大北农</w:t>
            </w:r>
          </w:p>
        </w:tc>
        <w:tc>
          <w:tcPr>
            <w:tcW w:w="2879" w:type="dxa"/>
            <w:vAlign w:val="center"/>
          </w:tcPr>
          <w:p w:rsidR="00261796" w:rsidRDefault="00905738">
            <w:pPr>
              <w:jc w:val="right"/>
            </w:pPr>
            <w:r>
              <w:rPr>
                <w:sz w:val="24"/>
              </w:rPr>
              <w:t>236,991.00</w:t>
            </w:r>
          </w:p>
        </w:tc>
        <w:tc>
          <w:tcPr>
            <w:tcW w:w="1620" w:type="dxa"/>
            <w:vAlign w:val="center"/>
          </w:tcPr>
          <w:p w:rsidR="00261796" w:rsidRDefault="00905738">
            <w:pPr>
              <w:jc w:val="right"/>
            </w:pPr>
            <w:r>
              <w:rPr>
                <w:sz w:val="24"/>
              </w:rPr>
              <w:t>0.36</w:t>
            </w:r>
          </w:p>
        </w:tc>
      </w:tr>
      <w:tr w:rsidR="00261796">
        <w:tc>
          <w:tcPr>
            <w:tcW w:w="869" w:type="dxa"/>
            <w:vAlign w:val="center"/>
          </w:tcPr>
          <w:p w:rsidR="00261796" w:rsidRDefault="00905738">
            <w:pPr>
              <w:jc w:val="center"/>
            </w:pPr>
            <w:r>
              <w:rPr>
                <w:sz w:val="24"/>
              </w:rPr>
              <w:t>13</w:t>
            </w:r>
          </w:p>
        </w:tc>
        <w:tc>
          <w:tcPr>
            <w:tcW w:w="1650" w:type="dxa"/>
            <w:vAlign w:val="center"/>
          </w:tcPr>
          <w:p w:rsidR="00261796" w:rsidRDefault="00905738">
            <w:pPr>
              <w:jc w:val="center"/>
            </w:pPr>
            <w:r>
              <w:rPr>
                <w:sz w:val="24"/>
              </w:rPr>
              <w:t>000717</w:t>
            </w:r>
          </w:p>
        </w:tc>
        <w:tc>
          <w:tcPr>
            <w:tcW w:w="1980" w:type="dxa"/>
            <w:vAlign w:val="center"/>
          </w:tcPr>
          <w:p w:rsidR="00261796" w:rsidRDefault="00905738">
            <w:pPr>
              <w:jc w:val="center"/>
            </w:pPr>
            <w:r>
              <w:rPr>
                <w:sz w:val="24"/>
              </w:rPr>
              <w:t>韶钢松山</w:t>
            </w:r>
          </w:p>
        </w:tc>
        <w:tc>
          <w:tcPr>
            <w:tcW w:w="2879" w:type="dxa"/>
            <w:vAlign w:val="center"/>
          </w:tcPr>
          <w:p w:rsidR="00261796" w:rsidRDefault="00905738">
            <w:pPr>
              <w:jc w:val="right"/>
            </w:pPr>
            <w:r>
              <w:rPr>
                <w:sz w:val="24"/>
              </w:rPr>
              <w:t>209,864.00</w:t>
            </w:r>
          </w:p>
        </w:tc>
        <w:tc>
          <w:tcPr>
            <w:tcW w:w="1620" w:type="dxa"/>
            <w:vAlign w:val="center"/>
          </w:tcPr>
          <w:p w:rsidR="00261796" w:rsidRDefault="00905738">
            <w:pPr>
              <w:jc w:val="right"/>
            </w:pPr>
            <w:r>
              <w:rPr>
                <w:sz w:val="24"/>
              </w:rPr>
              <w:t>0.32</w:t>
            </w:r>
          </w:p>
        </w:tc>
      </w:tr>
      <w:tr w:rsidR="00261796">
        <w:tc>
          <w:tcPr>
            <w:tcW w:w="869" w:type="dxa"/>
            <w:vAlign w:val="center"/>
          </w:tcPr>
          <w:p w:rsidR="00261796" w:rsidRDefault="00905738">
            <w:pPr>
              <w:jc w:val="center"/>
            </w:pPr>
            <w:r>
              <w:rPr>
                <w:sz w:val="24"/>
              </w:rPr>
              <w:t>14</w:t>
            </w:r>
          </w:p>
        </w:tc>
        <w:tc>
          <w:tcPr>
            <w:tcW w:w="1650" w:type="dxa"/>
            <w:vAlign w:val="center"/>
          </w:tcPr>
          <w:p w:rsidR="00261796" w:rsidRDefault="00905738">
            <w:pPr>
              <w:jc w:val="center"/>
            </w:pPr>
            <w:r>
              <w:rPr>
                <w:sz w:val="24"/>
              </w:rPr>
              <w:t>002244</w:t>
            </w:r>
          </w:p>
        </w:tc>
        <w:tc>
          <w:tcPr>
            <w:tcW w:w="1980" w:type="dxa"/>
            <w:vAlign w:val="center"/>
          </w:tcPr>
          <w:p w:rsidR="00261796" w:rsidRDefault="00905738">
            <w:pPr>
              <w:jc w:val="center"/>
            </w:pPr>
            <w:r>
              <w:rPr>
                <w:sz w:val="24"/>
              </w:rPr>
              <w:t>滨江集团</w:t>
            </w:r>
          </w:p>
        </w:tc>
        <w:tc>
          <w:tcPr>
            <w:tcW w:w="2879" w:type="dxa"/>
            <w:vAlign w:val="center"/>
          </w:tcPr>
          <w:p w:rsidR="00261796" w:rsidRDefault="00905738">
            <w:pPr>
              <w:jc w:val="right"/>
            </w:pPr>
            <w:r>
              <w:rPr>
                <w:sz w:val="24"/>
              </w:rPr>
              <w:t>185,286.00</w:t>
            </w:r>
          </w:p>
        </w:tc>
        <w:tc>
          <w:tcPr>
            <w:tcW w:w="1620" w:type="dxa"/>
            <w:vAlign w:val="center"/>
          </w:tcPr>
          <w:p w:rsidR="00261796" w:rsidRDefault="00905738">
            <w:pPr>
              <w:jc w:val="right"/>
            </w:pPr>
            <w:r>
              <w:rPr>
                <w:sz w:val="24"/>
              </w:rPr>
              <w:t>0.29</w:t>
            </w:r>
          </w:p>
        </w:tc>
      </w:tr>
      <w:tr w:rsidR="00261796">
        <w:tc>
          <w:tcPr>
            <w:tcW w:w="869" w:type="dxa"/>
            <w:vAlign w:val="center"/>
          </w:tcPr>
          <w:p w:rsidR="00261796" w:rsidRDefault="00905738">
            <w:pPr>
              <w:jc w:val="center"/>
            </w:pPr>
            <w:r>
              <w:rPr>
                <w:sz w:val="24"/>
              </w:rPr>
              <w:t>15</w:t>
            </w:r>
          </w:p>
        </w:tc>
        <w:tc>
          <w:tcPr>
            <w:tcW w:w="1650" w:type="dxa"/>
            <w:vAlign w:val="center"/>
          </w:tcPr>
          <w:p w:rsidR="00261796" w:rsidRDefault="00905738">
            <w:pPr>
              <w:jc w:val="center"/>
            </w:pPr>
            <w:r>
              <w:rPr>
                <w:sz w:val="24"/>
              </w:rPr>
              <w:t>000100</w:t>
            </w:r>
          </w:p>
        </w:tc>
        <w:tc>
          <w:tcPr>
            <w:tcW w:w="1980" w:type="dxa"/>
            <w:vAlign w:val="center"/>
          </w:tcPr>
          <w:p w:rsidR="00261796" w:rsidRDefault="00905738">
            <w:pPr>
              <w:jc w:val="center"/>
            </w:pPr>
            <w:r>
              <w:rPr>
                <w:sz w:val="24"/>
              </w:rPr>
              <w:t>TCL</w:t>
            </w:r>
            <w:r>
              <w:rPr>
                <w:sz w:val="24"/>
              </w:rPr>
              <w:t>集团</w:t>
            </w:r>
          </w:p>
        </w:tc>
        <w:tc>
          <w:tcPr>
            <w:tcW w:w="2879" w:type="dxa"/>
            <w:vAlign w:val="center"/>
          </w:tcPr>
          <w:p w:rsidR="00261796" w:rsidRDefault="00905738">
            <w:pPr>
              <w:jc w:val="right"/>
            </w:pPr>
            <w:r>
              <w:rPr>
                <w:sz w:val="24"/>
              </w:rPr>
              <w:t>182,646.00</w:t>
            </w:r>
          </w:p>
        </w:tc>
        <w:tc>
          <w:tcPr>
            <w:tcW w:w="1620" w:type="dxa"/>
            <w:vAlign w:val="center"/>
          </w:tcPr>
          <w:p w:rsidR="00261796" w:rsidRDefault="00905738">
            <w:pPr>
              <w:jc w:val="right"/>
            </w:pPr>
            <w:r>
              <w:rPr>
                <w:sz w:val="24"/>
              </w:rPr>
              <w:t>0.28</w:t>
            </w:r>
          </w:p>
        </w:tc>
      </w:tr>
      <w:tr w:rsidR="00261796">
        <w:tc>
          <w:tcPr>
            <w:tcW w:w="869" w:type="dxa"/>
            <w:vAlign w:val="center"/>
          </w:tcPr>
          <w:p w:rsidR="00261796" w:rsidRDefault="00905738">
            <w:pPr>
              <w:jc w:val="center"/>
            </w:pPr>
            <w:r>
              <w:rPr>
                <w:sz w:val="24"/>
              </w:rPr>
              <w:t>16</w:t>
            </w:r>
          </w:p>
        </w:tc>
        <w:tc>
          <w:tcPr>
            <w:tcW w:w="1650" w:type="dxa"/>
            <w:vAlign w:val="center"/>
          </w:tcPr>
          <w:p w:rsidR="00261796" w:rsidRDefault="00905738">
            <w:pPr>
              <w:jc w:val="center"/>
            </w:pPr>
            <w:r>
              <w:rPr>
                <w:sz w:val="24"/>
              </w:rPr>
              <w:t>002597</w:t>
            </w:r>
          </w:p>
        </w:tc>
        <w:tc>
          <w:tcPr>
            <w:tcW w:w="1980" w:type="dxa"/>
            <w:vAlign w:val="center"/>
          </w:tcPr>
          <w:p w:rsidR="00261796" w:rsidRDefault="00905738">
            <w:pPr>
              <w:jc w:val="center"/>
            </w:pPr>
            <w:r>
              <w:rPr>
                <w:sz w:val="24"/>
              </w:rPr>
              <w:t>金禾实业</w:t>
            </w:r>
          </w:p>
        </w:tc>
        <w:tc>
          <w:tcPr>
            <w:tcW w:w="2879" w:type="dxa"/>
            <w:vAlign w:val="center"/>
          </w:tcPr>
          <w:p w:rsidR="00261796" w:rsidRDefault="00905738">
            <w:pPr>
              <w:jc w:val="right"/>
            </w:pPr>
            <w:r>
              <w:rPr>
                <w:sz w:val="24"/>
              </w:rPr>
              <w:t>176,884.00</w:t>
            </w:r>
          </w:p>
        </w:tc>
        <w:tc>
          <w:tcPr>
            <w:tcW w:w="1620" w:type="dxa"/>
            <w:vAlign w:val="center"/>
          </w:tcPr>
          <w:p w:rsidR="00261796" w:rsidRDefault="00905738">
            <w:pPr>
              <w:jc w:val="right"/>
            </w:pPr>
            <w:r>
              <w:rPr>
                <w:sz w:val="24"/>
              </w:rPr>
              <w:t>0.27</w:t>
            </w:r>
          </w:p>
        </w:tc>
      </w:tr>
      <w:tr w:rsidR="00261796">
        <w:tc>
          <w:tcPr>
            <w:tcW w:w="869" w:type="dxa"/>
            <w:vAlign w:val="center"/>
          </w:tcPr>
          <w:p w:rsidR="00261796" w:rsidRDefault="00905738">
            <w:pPr>
              <w:jc w:val="center"/>
            </w:pPr>
            <w:r>
              <w:rPr>
                <w:sz w:val="24"/>
              </w:rPr>
              <w:t>17</w:t>
            </w:r>
          </w:p>
        </w:tc>
        <w:tc>
          <w:tcPr>
            <w:tcW w:w="1650" w:type="dxa"/>
            <w:vAlign w:val="center"/>
          </w:tcPr>
          <w:p w:rsidR="00261796" w:rsidRDefault="00905738">
            <w:pPr>
              <w:jc w:val="center"/>
            </w:pPr>
            <w:r>
              <w:rPr>
                <w:sz w:val="24"/>
              </w:rPr>
              <w:t>000725</w:t>
            </w:r>
          </w:p>
        </w:tc>
        <w:tc>
          <w:tcPr>
            <w:tcW w:w="1980" w:type="dxa"/>
            <w:vAlign w:val="center"/>
          </w:tcPr>
          <w:p w:rsidR="00261796" w:rsidRDefault="00905738">
            <w:pPr>
              <w:jc w:val="center"/>
            </w:pPr>
            <w:r>
              <w:rPr>
                <w:sz w:val="24"/>
              </w:rPr>
              <w:t>京东方</w:t>
            </w:r>
            <w:r>
              <w:rPr>
                <w:sz w:val="24"/>
              </w:rPr>
              <w:t>A</w:t>
            </w:r>
          </w:p>
        </w:tc>
        <w:tc>
          <w:tcPr>
            <w:tcW w:w="2879" w:type="dxa"/>
            <w:vAlign w:val="center"/>
          </w:tcPr>
          <w:p w:rsidR="00261796" w:rsidRDefault="00905738">
            <w:pPr>
              <w:jc w:val="right"/>
            </w:pPr>
            <w:r>
              <w:rPr>
                <w:sz w:val="24"/>
              </w:rPr>
              <w:t>151,430.00</w:t>
            </w:r>
          </w:p>
        </w:tc>
        <w:tc>
          <w:tcPr>
            <w:tcW w:w="1620" w:type="dxa"/>
            <w:vAlign w:val="center"/>
          </w:tcPr>
          <w:p w:rsidR="00261796" w:rsidRDefault="00905738">
            <w:pPr>
              <w:jc w:val="right"/>
            </w:pPr>
            <w:r>
              <w:rPr>
                <w:sz w:val="24"/>
              </w:rPr>
              <w:t>0.23</w:t>
            </w:r>
          </w:p>
        </w:tc>
      </w:tr>
      <w:tr w:rsidR="00261796">
        <w:tc>
          <w:tcPr>
            <w:tcW w:w="869" w:type="dxa"/>
            <w:vAlign w:val="center"/>
          </w:tcPr>
          <w:p w:rsidR="00261796" w:rsidRDefault="00905738">
            <w:pPr>
              <w:jc w:val="center"/>
            </w:pPr>
            <w:r>
              <w:rPr>
                <w:sz w:val="24"/>
              </w:rPr>
              <w:t>18</w:t>
            </w:r>
          </w:p>
        </w:tc>
        <w:tc>
          <w:tcPr>
            <w:tcW w:w="1650" w:type="dxa"/>
            <w:vAlign w:val="center"/>
          </w:tcPr>
          <w:p w:rsidR="00261796" w:rsidRDefault="00905738">
            <w:pPr>
              <w:jc w:val="center"/>
            </w:pPr>
            <w:r>
              <w:rPr>
                <w:sz w:val="24"/>
              </w:rPr>
              <w:t>002128</w:t>
            </w:r>
          </w:p>
        </w:tc>
        <w:tc>
          <w:tcPr>
            <w:tcW w:w="1980" w:type="dxa"/>
            <w:vAlign w:val="center"/>
          </w:tcPr>
          <w:p w:rsidR="00261796" w:rsidRDefault="00905738">
            <w:pPr>
              <w:jc w:val="center"/>
            </w:pPr>
            <w:r>
              <w:rPr>
                <w:sz w:val="24"/>
              </w:rPr>
              <w:t>露天煤业</w:t>
            </w:r>
          </w:p>
        </w:tc>
        <w:tc>
          <w:tcPr>
            <w:tcW w:w="2879" w:type="dxa"/>
            <w:vAlign w:val="center"/>
          </w:tcPr>
          <w:p w:rsidR="00261796" w:rsidRDefault="00905738">
            <w:pPr>
              <w:jc w:val="right"/>
            </w:pPr>
            <w:r>
              <w:rPr>
                <w:sz w:val="24"/>
              </w:rPr>
              <w:t>145,730.00</w:t>
            </w:r>
          </w:p>
        </w:tc>
        <w:tc>
          <w:tcPr>
            <w:tcW w:w="1620" w:type="dxa"/>
            <w:vAlign w:val="center"/>
          </w:tcPr>
          <w:p w:rsidR="00261796" w:rsidRDefault="00905738">
            <w:pPr>
              <w:jc w:val="right"/>
            </w:pPr>
            <w:r>
              <w:rPr>
                <w:sz w:val="24"/>
              </w:rPr>
              <w:t>0.22</w:t>
            </w:r>
          </w:p>
        </w:tc>
      </w:tr>
      <w:tr w:rsidR="00261796">
        <w:tc>
          <w:tcPr>
            <w:tcW w:w="869" w:type="dxa"/>
            <w:vAlign w:val="center"/>
          </w:tcPr>
          <w:p w:rsidR="00261796" w:rsidRDefault="00905738">
            <w:pPr>
              <w:jc w:val="center"/>
            </w:pPr>
            <w:r>
              <w:rPr>
                <w:sz w:val="24"/>
              </w:rPr>
              <w:t>19</w:t>
            </w:r>
          </w:p>
        </w:tc>
        <w:tc>
          <w:tcPr>
            <w:tcW w:w="1650" w:type="dxa"/>
            <w:vAlign w:val="center"/>
          </w:tcPr>
          <w:p w:rsidR="00261796" w:rsidRDefault="00905738">
            <w:pPr>
              <w:jc w:val="center"/>
            </w:pPr>
            <w:r>
              <w:rPr>
                <w:sz w:val="24"/>
              </w:rPr>
              <w:t>002839</w:t>
            </w:r>
          </w:p>
        </w:tc>
        <w:tc>
          <w:tcPr>
            <w:tcW w:w="1980" w:type="dxa"/>
            <w:vAlign w:val="center"/>
          </w:tcPr>
          <w:p w:rsidR="00261796" w:rsidRDefault="00905738">
            <w:pPr>
              <w:jc w:val="center"/>
            </w:pPr>
            <w:r>
              <w:rPr>
                <w:sz w:val="24"/>
              </w:rPr>
              <w:t>张家港行</w:t>
            </w:r>
          </w:p>
        </w:tc>
        <w:tc>
          <w:tcPr>
            <w:tcW w:w="2879" w:type="dxa"/>
            <w:vAlign w:val="center"/>
          </w:tcPr>
          <w:p w:rsidR="00261796" w:rsidRDefault="00905738">
            <w:pPr>
              <w:jc w:val="right"/>
            </w:pPr>
            <w:r>
              <w:rPr>
                <w:sz w:val="24"/>
              </w:rPr>
              <w:t>145,145.00</w:t>
            </w:r>
          </w:p>
        </w:tc>
        <w:tc>
          <w:tcPr>
            <w:tcW w:w="1620" w:type="dxa"/>
            <w:vAlign w:val="center"/>
          </w:tcPr>
          <w:p w:rsidR="00261796" w:rsidRDefault="00905738">
            <w:pPr>
              <w:jc w:val="right"/>
            </w:pPr>
            <w:r>
              <w:rPr>
                <w:sz w:val="24"/>
              </w:rPr>
              <w:t>0.22</w:t>
            </w:r>
          </w:p>
        </w:tc>
      </w:tr>
      <w:tr w:rsidR="00261796">
        <w:tc>
          <w:tcPr>
            <w:tcW w:w="869" w:type="dxa"/>
            <w:vAlign w:val="center"/>
          </w:tcPr>
          <w:p w:rsidR="00261796" w:rsidRDefault="00905738">
            <w:pPr>
              <w:jc w:val="center"/>
            </w:pPr>
            <w:r>
              <w:rPr>
                <w:sz w:val="24"/>
              </w:rPr>
              <w:t>20</w:t>
            </w:r>
          </w:p>
        </w:tc>
        <w:tc>
          <w:tcPr>
            <w:tcW w:w="1650" w:type="dxa"/>
            <w:vAlign w:val="center"/>
          </w:tcPr>
          <w:p w:rsidR="00261796" w:rsidRDefault="00905738">
            <w:pPr>
              <w:jc w:val="center"/>
            </w:pPr>
            <w:r>
              <w:rPr>
                <w:sz w:val="24"/>
              </w:rPr>
              <w:t>001965</w:t>
            </w:r>
          </w:p>
        </w:tc>
        <w:tc>
          <w:tcPr>
            <w:tcW w:w="1980" w:type="dxa"/>
            <w:vAlign w:val="center"/>
          </w:tcPr>
          <w:p w:rsidR="00261796" w:rsidRDefault="00905738">
            <w:pPr>
              <w:jc w:val="center"/>
            </w:pPr>
            <w:r>
              <w:rPr>
                <w:sz w:val="24"/>
              </w:rPr>
              <w:t>招商公路</w:t>
            </w:r>
          </w:p>
        </w:tc>
        <w:tc>
          <w:tcPr>
            <w:tcW w:w="2879" w:type="dxa"/>
            <w:vAlign w:val="center"/>
          </w:tcPr>
          <w:p w:rsidR="00261796" w:rsidRDefault="00905738">
            <w:pPr>
              <w:jc w:val="right"/>
            </w:pPr>
            <w:r>
              <w:rPr>
                <w:sz w:val="24"/>
              </w:rPr>
              <w:t>129,029.00</w:t>
            </w:r>
          </w:p>
        </w:tc>
        <w:tc>
          <w:tcPr>
            <w:tcW w:w="1620" w:type="dxa"/>
            <w:vAlign w:val="center"/>
          </w:tcPr>
          <w:p w:rsidR="00261796" w:rsidRDefault="00905738">
            <w:pPr>
              <w:jc w:val="right"/>
            </w:pPr>
            <w:r>
              <w:rPr>
                <w:sz w:val="24"/>
              </w:rPr>
              <w:t>0.20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本期累计买入金额</w:t>
      </w:r>
      <w:r w:rsidRPr="005C672D">
        <w:rPr>
          <w:kern w:val="0"/>
          <w:sz w:val="24"/>
        </w:rPr>
        <w:t>”</w:t>
      </w:r>
      <w:r w:rsidRPr="005C672D">
        <w:rPr>
          <w:kern w:val="0"/>
          <w:sz w:val="24"/>
        </w:rPr>
        <w:t>按买入成交金额（成交单价乘以成交数量）填列，不考虑相关交易费用。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累计卖出金额超出期初基金资产净值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占期初基金资产净值比例（％）</w:t>
            </w:r>
          </w:p>
        </w:tc>
      </w:tr>
      <w:tr w:rsidR="00261796">
        <w:tc>
          <w:tcPr>
            <w:tcW w:w="869" w:type="dxa"/>
            <w:vAlign w:val="center"/>
          </w:tcPr>
          <w:p w:rsidR="00261796" w:rsidRDefault="00905738">
            <w:pPr>
              <w:jc w:val="center"/>
            </w:pPr>
            <w:r>
              <w:t>1</w:t>
            </w:r>
          </w:p>
        </w:tc>
        <w:tc>
          <w:tcPr>
            <w:tcW w:w="1650" w:type="dxa"/>
            <w:vAlign w:val="center"/>
          </w:tcPr>
          <w:p w:rsidR="00261796" w:rsidRDefault="00905738">
            <w:pPr>
              <w:jc w:val="center"/>
            </w:pPr>
            <w:r>
              <w:t>002027</w:t>
            </w:r>
          </w:p>
        </w:tc>
        <w:tc>
          <w:tcPr>
            <w:tcW w:w="1980" w:type="dxa"/>
            <w:vAlign w:val="center"/>
          </w:tcPr>
          <w:p w:rsidR="00261796" w:rsidRDefault="00905738">
            <w:pPr>
              <w:jc w:val="center"/>
            </w:pPr>
            <w:r>
              <w:t>分众传媒</w:t>
            </w:r>
          </w:p>
        </w:tc>
        <w:tc>
          <w:tcPr>
            <w:tcW w:w="2879" w:type="dxa"/>
            <w:vAlign w:val="center"/>
          </w:tcPr>
          <w:p w:rsidR="00261796" w:rsidRDefault="00905738">
            <w:pPr>
              <w:jc w:val="right"/>
            </w:pPr>
            <w:r>
              <w:t>1,259,937.00</w:t>
            </w:r>
          </w:p>
        </w:tc>
        <w:tc>
          <w:tcPr>
            <w:tcW w:w="1620" w:type="dxa"/>
            <w:vAlign w:val="center"/>
          </w:tcPr>
          <w:p w:rsidR="00261796" w:rsidRDefault="00905738">
            <w:pPr>
              <w:jc w:val="right"/>
            </w:pPr>
            <w:r>
              <w:t>1.94</w:t>
            </w:r>
          </w:p>
        </w:tc>
      </w:tr>
      <w:tr w:rsidR="00261796">
        <w:tc>
          <w:tcPr>
            <w:tcW w:w="869" w:type="dxa"/>
            <w:vAlign w:val="center"/>
          </w:tcPr>
          <w:p w:rsidR="00261796" w:rsidRDefault="00905738">
            <w:pPr>
              <w:jc w:val="center"/>
            </w:pPr>
            <w:r>
              <w:lastRenderedPageBreak/>
              <w:t>2</w:t>
            </w:r>
          </w:p>
        </w:tc>
        <w:tc>
          <w:tcPr>
            <w:tcW w:w="1650" w:type="dxa"/>
            <w:vAlign w:val="center"/>
          </w:tcPr>
          <w:p w:rsidR="00261796" w:rsidRDefault="00905738">
            <w:pPr>
              <w:jc w:val="center"/>
            </w:pPr>
            <w:r>
              <w:t>000783</w:t>
            </w:r>
          </w:p>
        </w:tc>
        <w:tc>
          <w:tcPr>
            <w:tcW w:w="1980" w:type="dxa"/>
            <w:vAlign w:val="center"/>
          </w:tcPr>
          <w:p w:rsidR="00261796" w:rsidRDefault="00905738">
            <w:pPr>
              <w:jc w:val="center"/>
            </w:pPr>
            <w:r>
              <w:t>长江证券</w:t>
            </w:r>
          </w:p>
        </w:tc>
        <w:tc>
          <w:tcPr>
            <w:tcW w:w="2879" w:type="dxa"/>
            <w:vAlign w:val="center"/>
          </w:tcPr>
          <w:p w:rsidR="00261796" w:rsidRDefault="00905738">
            <w:pPr>
              <w:jc w:val="right"/>
            </w:pPr>
            <w:r>
              <w:t>570,920.03</w:t>
            </w:r>
          </w:p>
        </w:tc>
        <w:tc>
          <w:tcPr>
            <w:tcW w:w="1620" w:type="dxa"/>
            <w:vAlign w:val="center"/>
          </w:tcPr>
          <w:p w:rsidR="00261796" w:rsidRDefault="00905738">
            <w:pPr>
              <w:jc w:val="right"/>
            </w:pPr>
            <w:r>
              <w:t>0.88</w:t>
            </w:r>
          </w:p>
        </w:tc>
      </w:tr>
      <w:tr w:rsidR="00261796">
        <w:tc>
          <w:tcPr>
            <w:tcW w:w="869" w:type="dxa"/>
            <w:vAlign w:val="center"/>
          </w:tcPr>
          <w:p w:rsidR="00261796" w:rsidRDefault="00905738">
            <w:pPr>
              <w:jc w:val="center"/>
            </w:pPr>
            <w:r>
              <w:t>3</w:t>
            </w:r>
          </w:p>
        </w:tc>
        <w:tc>
          <w:tcPr>
            <w:tcW w:w="1650" w:type="dxa"/>
            <w:vAlign w:val="center"/>
          </w:tcPr>
          <w:p w:rsidR="00261796" w:rsidRDefault="00905738">
            <w:pPr>
              <w:jc w:val="center"/>
            </w:pPr>
            <w:r>
              <w:t>002736</w:t>
            </w:r>
          </w:p>
        </w:tc>
        <w:tc>
          <w:tcPr>
            <w:tcW w:w="1980" w:type="dxa"/>
            <w:vAlign w:val="center"/>
          </w:tcPr>
          <w:p w:rsidR="00261796" w:rsidRDefault="00905738">
            <w:pPr>
              <w:jc w:val="center"/>
            </w:pPr>
            <w:r>
              <w:t>国信证券</w:t>
            </w:r>
          </w:p>
        </w:tc>
        <w:tc>
          <w:tcPr>
            <w:tcW w:w="2879" w:type="dxa"/>
            <w:vAlign w:val="center"/>
          </w:tcPr>
          <w:p w:rsidR="00261796" w:rsidRDefault="00905738">
            <w:pPr>
              <w:jc w:val="right"/>
            </w:pPr>
            <w:r>
              <w:t>413,392.00</w:t>
            </w:r>
          </w:p>
        </w:tc>
        <w:tc>
          <w:tcPr>
            <w:tcW w:w="1620" w:type="dxa"/>
            <w:vAlign w:val="center"/>
          </w:tcPr>
          <w:p w:rsidR="00261796" w:rsidRDefault="00905738">
            <w:pPr>
              <w:jc w:val="right"/>
            </w:pPr>
            <w:r>
              <w:t>0.64</w:t>
            </w:r>
          </w:p>
        </w:tc>
      </w:tr>
      <w:tr w:rsidR="00261796">
        <w:tc>
          <w:tcPr>
            <w:tcW w:w="869" w:type="dxa"/>
            <w:vAlign w:val="center"/>
          </w:tcPr>
          <w:p w:rsidR="00261796" w:rsidRDefault="00905738">
            <w:pPr>
              <w:jc w:val="center"/>
            </w:pPr>
            <w:r>
              <w:t>4</w:t>
            </w:r>
          </w:p>
        </w:tc>
        <w:tc>
          <w:tcPr>
            <w:tcW w:w="1650" w:type="dxa"/>
            <w:vAlign w:val="center"/>
          </w:tcPr>
          <w:p w:rsidR="00261796" w:rsidRDefault="00905738">
            <w:pPr>
              <w:jc w:val="center"/>
            </w:pPr>
            <w:r>
              <w:t>000792</w:t>
            </w:r>
          </w:p>
        </w:tc>
        <w:tc>
          <w:tcPr>
            <w:tcW w:w="1980" w:type="dxa"/>
            <w:vAlign w:val="center"/>
          </w:tcPr>
          <w:p w:rsidR="00261796" w:rsidRDefault="00905738">
            <w:pPr>
              <w:jc w:val="center"/>
            </w:pPr>
            <w:r>
              <w:t>盐湖股份</w:t>
            </w:r>
          </w:p>
        </w:tc>
        <w:tc>
          <w:tcPr>
            <w:tcW w:w="2879" w:type="dxa"/>
            <w:vAlign w:val="center"/>
          </w:tcPr>
          <w:p w:rsidR="00261796" w:rsidRDefault="00905738">
            <w:pPr>
              <w:jc w:val="right"/>
            </w:pPr>
            <w:r>
              <w:t>384,884.92</w:t>
            </w:r>
          </w:p>
        </w:tc>
        <w:tc>
          <w:tcPr>
            <w:tcW w:w="1620" w:type="dxa"/>
            <w:vAlign w:val="center"/>
          </w:tcPr>
          <w:p w:rsidR="00261796" w:rsidRDefault="00905738">
            <w:pPr>
              <w:jc w:val="right"/>
            </w:pPr>
            <w:r>
              <w:t>0.59</w:t>
            </w:r>
          </w:p>
        </w:tc>
      </w:tr>
      <w:tr w:rsidR="00261796">
        <w:tc>
          <w:tcPr>
            <w:tcW w:w="869" w:type="dxa"/>
            <w:vAlign w:val="center"/>
          </w:tcPr>
          <w:p w:rsidR="00261796" w:rsidRDefault="00905738">
            <w:pPr>
              <w:jc w:val="center"/>
            </w:pPr>
            <w:r>
              <w:t>5</w:t>
            </w:r>
          </w:p>
        </w:tc>
        <w:tc>
          <w:tcPr>
            <w:tcW w:w="1650" w:type="dxa"/>
            <w:vAlign w:val="center"/>
          </w:tcPr>
          <w:p w:rsidR="00261796" w:rsidRDefault="00905738">
            <w:pPr>
              <w:jc w:val="center"/>
            </w:pPr>
            <w:r>
              <w:t>000732</w:t>
            </w:r>
          </w:p>
        </w:tc>
        <w:tc>
          <w:tcPr>
            <w:tcW w:w="1980" w:type="dxa"/>
            <w:vAlign w:val="center"/>
          </w:tcPr>
          <w:p w:rsidR="00261796" w:rsidRDefault="00905738">
            <w:pPr>
              <w:jc w:val="center"/>
            </w:pPr>
            <w:r>
              <w:t>泰禾集团</w:t>
            </w:r>
          </w:p>
        </w:tc>
        <w:tc>
          <w:tcPr>
            <w:tcW w:w="2879" w:type="dxa"/>
            <w:vAlign w:val="center"/>
          </w:tcPr>
          <w:p w:rsidR="00261796" w:rsidRDefault="00905738">
            <w:pPr>
              <w:jc w:val="right"/>
            </w:pPr>
            <w:r>
              <w:t>269,374.00</w:t>
            </w:r>
          </w:p>
        </w:tc>
        <w:tc>
          <w:tcPr>
            <w:tcW w:w="1620" w:type="dxa"/>
            <w:vAlign w:val="center"/>
          </w:tcPr>
          <w:p w:rsidR="00261796" w:rsidRDefault="00905738">
            <w:pPr>
              <w:jc w:val="right"/>
            </w:pPr>
            <w:r>
              <w:t>0.41</w:t>
            </w:r>
          </w:p>
        </w:tc>
      </w:tr>
      <w:tr w:rsidR="00261796">
        <w:tc>
          <w:tcPr>
            <w:tcW w:w="869" w:type="dxa"/>
            <w:vAlign w:val="center"/>
          </w:tcPr>
          <w:p w:rsidR="00261796" w:rsidRDefault="00905738">
            <w:pPr>
              <w:jc w:val="center"/>
            </w:pPr>
            <w:r>
              <w:t>6</w:t>
            </w:r>
          </w:p>
        </w:tc>
        <w:tc>
          <w:tcPr>
            <w:tcW w:w="1650" w:type="dxa"/>
            <w:vAlign w:val="center"/>
          </w:tcPr>
          <w:p w:rsidR="00261796" w:rsidRDefault="00905738">
            <w:pPr>
              <w:jc w:val="center"/>
            </w:pPr>
            <w:r>
              <w:t>000046</w:t>
            </w:r>
          </w:p>
        </w:tc>
        <w:tc>
          <w:tcPr>
            <w:tcW w:w="1980" w:type="dxa"/>
            <w:vAlign w:val="center"/>
          </w:tcPr>
          <w:p w:rsidR="00261796" w:rsidRDefault="00905738">
            <w:pPr>
              <w:jc w:val="center"/>
            </w:pPr>
            <w:r>
              <w:t>泛海控股</w:t>
            </w:r>
          </w:p>
        </w:tc>
        <w:tc>
          <w:tcPr>
            <w:tcW w:w="2879" w:type="dxa"/>
            <w:vAlign w:val="center"/>
          </w:tcPr>
          <w:p w:rsidR="00261796" w:rsidRDefault="00905738">
            <w:pPr>
              <w:jc w:val="right"/>
            </w:pPr>
            <w:r>
              <w:t>234,354.00</w:t>
            </w:r>
          </w:p>
        </w:tc>
        <w:tc>
          <w:tcPr>
            <w:tcW w:w="1620" w:type="dxa"/>
            <w:vAlign w:val="center"/>
          </w:tcPr>
          <w:p w:rsidR="00261796" w:rsidRDefault="00905738">
            <w:pPr>
              <w:jc w:val="right"/>
            </w:pPr>
            <w:r>
              <w:t>0.36</w:t>
            </w:r>
          </w:p>
        </w:tc>
      </w:tr>
      <w:tr w:rsidR="00261796">
        <w:tc>
          <w:tcPr>
            <w:tcW w:w="869" w:type="dxa"/>
            <w:vAlign w:val="center"/>
          </w:tcPr>
          <w:p w:rsidR="00261796" w:rsidRDefault="00905738">
            <w:pPr>
              <w:jc w:val="center"/>
            </w:pPr>
            <w:r>
              <w:t>7</w:t>
            </w:r>
          </w:p>
        </w:tc>
        <w:tc>
          <w:tcPr>
            <w:tcW w:w="1650" w:type="dxa"/>
            <w:vAlign w:val="center"/>
          </w:tcPr>
          <w:p w:rsidR="00261796" w:rsidRDefault="00905738">
            <w:pPr>
              <w:jc w:val="center"/>
            </w:pPr>
            <w:r>
              <w:t>002352</w:t>
            </w:r>
          </w:p>
        </w:tc>
        <w:tc>
          <w:tcPr>
            <w:tcW w:w="1980" w:type="dxa"/>
            <w:vAlign w:val="center"/>
          </w:tcPr>
          <w:p w:rsidR="00261796" w:rsidRDefault="00905738">
            <w:pPr>
              <w:jc w:val="center"/>
            </w:pPr>
            <w:r>
              <w:t>顺丰控股</w:t>
            </w:r>
          </w:p>
        </w:tc>
        <w:tc>
          <w:tcPr>
            <w:tcW w:w="2879" w:type="dxa"/>
            <w:vAlign w:val="center"/>
          </w:tcPr>
          <w:p w:rsidR="00261796" w:rsidRDefault="00905738">
            <w:pPr>
              <w:jc w:val="right"/>
            </w:pPr>
            <w:r>
              <w:t>207,001.00</w:t>
            </w:r>
          </w:p>
        </w:tc>
        <w:tc>
          <w:tcPr>
            <w:tcW w:w="1620" w:type="dxa"/>
            <w:vAlign w:val="center"/>
          </w:tcPr>
          <w:p w:rsidR="00261796" w:rsidRDefault="00905738">
            <w:pPr>
              <w:jc w:val="right"/>
            </w:pPr>
            <w:r>
              <w:t>0.32</w:t>
            </w:r>
          </w:p>
        </w:tc>
      </w:tr>
      <w:tr w:rsidR="00261796">
        <w:tc>
          <w:tcPr>
            <w:tcW w:w="869" w:type="dxa"/>
            <w:vAlign w:val="center"/>
          </w:tcPr>
          <w:p w:rsidR="00261796" w:rsidRDefault="00905738">
            <w:pPr>
              <w:jc w:val="center"/>
            </w:pPr>
            <w:r>
              <w:t>8</w:t>
            </w:r>
          </w:p>
        </w:tc>
        <w:tc>
          <w:tcPr>
            <w:tcW w:w="1650" w:type="dxa"/>
            <w:vAlign w:val="center"/>
          </w:tcPr>
          <w:p w:rsidR="00261796" w:rsidRDefault="00905738">
            <w:pPr>
              <w:jc w:val="center"/>
            </w:pPr>
            <w:r>
              <w:t>002399</w:t>
            </w:r>
          </w:p>
        </w:tc>
        <w:tc>
          <w:tcPr>
            <w:tcW w:w="1980" w:type="dxa"/>
            <w:vAlign w:val="center"/>
          </w:tcPr>
          <w:p w:rsidR="00261796" w:rsidRDefault="00905738">
            <w:pPr>
              <w:jc w:val="center"/>
            </w:pPr>
            <w:r>
              <w:t>海普瑞</w:t>
            </w:r>
          </w:p>
        </w:tc>
        <w:tc>
          <w:tcPr>
            <w:tcW w:w="2879" w:type="dxa"/>
            <w:vAlign w:val="center"/>
          </w:tcPr>
          <w:p w:rsidR="00261796" w:rsidRDefault="00905738">
            <w:pPr>
              <w:jc w:val="right"/>
            </w:pPr>
            <w:r>
              <w:t>199,454.40</w:t>
            </w:r>
          </w:p>
        </w:tc>
        <w:tc>
          <w:tcPr>
            <w:tcW w:w="1620" w:type="dxa"/>
            <w:vAlign w:val="center"/>
          </w:tcPr>
          <w:p w:rsidR="00261796" w:rsidRDefault="00905738">
            <w:pPr>
              <w:jc w:val="right"/>
            </w:pPr>
            <w:r>
              <w:t>0.31</w:t>
            </w:r>
          </w:p>
        </w:tc>
      </w:tr>
      <w:tr w:rsidR="00261796">
        <w:tc>
          <w:tcPr>
            <w:tcW w:w="869" w:type="dxa"/>
            <w:vAlign w:val="center"/>
          </w:tcPr>
          <w:p w:rsidR="00261796" w:rsidRDefault="00905738">
            <w:pPr>
              <w:jc w:val="center"/>
            </w:pPr>
            <w:r>
              <w:t>9</w:t>
            </w:r>
          </w:p>
        </w:tc>
        <w:tc>
          <w:tcPr>
            <w:tcW w:w="1650" w:type="dxa"/>
            <w:vAlign w:val="center"/>
          </w:tcPr>
          <w:p w:rsidR="00261796" w:rsidRDefault="00905738">
            <w:pPr>
              <w:jc w:val="center"/>
            </w:pPr>
            <w:r>
              <w:t>002701</w:t>
            </w:r>
          </w:p>
        </w:tc>
        <w:tc>
          <w:tcPr>
            <w:tcW w:w="1980" w:type="dxa"/>
            <w:vAlign w:val="center"/>
          </w:tcPr>
          <w:p w:rsidR="00261796" w:rsidRDefault="00905738">
            <w:pPr>
              <w:jc w:val="center"/>
            </w:pPr>
            <w:r>
              <w:t>奥瑞金</w:t>
            </w:r>
          </w:p>
        </w:tc>
        <w:tc>
          <w:tcPr>
            <w:tcW w:w="2879" w:type="dxa"/>
            <w:vAlign w:val="center"/>
          </w:tcPr>
          <w:p w:rsidR="00261796" w:rsidRDefault="00905738">
            <w:pPr>
              <w:jc w:val="right"/>
            </w:pPr>
            <w:r>
              <w:t>183,641.20</w:t>
            </w:r>
          </w:p>
        </w:tc>
        <w:tc>
          <w:tcPr>
            <w:tcW w:w="1620" w:type="dxa"/>
            <w:vAlign w:val="center"/>
          </w:tcPr>
          <w:p w:rsidR="00261796" w:rsidRDefault="00905738">
            <w:pPr>
              <w:jc w:val="right"/>
            </w:pPr>
            <w:r>
              <w:t>0.28</w:t>
            </w:r>
          </w:p>
        </w:tc>
      </w:tr>
      <w:tr w:rsidR="00261796">
        <w:tc>
          <w:tcPr>
            <w:tcW w:w="869" w:type="dxa"/>
            <w:vAlign w:val="center"/>
          </w:tcPr>
          <w:p w:rsidR="00261796" w:rsidRDefault="00905738">
            <w:pPr>
              <w:jc w:val="center"/>
            </w:pPr>
            <w:r>
              <w:t>10</w:t>
            </w:r>
          </w:p>
        </w:tc>
        <w:tc>
          <w:tcPr>
            <w:tcW w:w="1650" w:type="dxa"/>
            <w:vAlign w:val="center"/>
          </w:tcPr>
          <w:p w:rsidR="00261796" w:rsidRDefault="00905738">
            <w:pPr>
              <w:jc w:val="center"/>
            </w:pPr>
            <w:r>
              <w:t>002004</w:t>
            </w:r>
          </w:p>
        </w:tc>
        <w:tc>
          <w:tcPr>
            <w:tcW w:w="1980" w:type="dxa"/>
            <w:vAlign w:val="center"/>
          </w:tcPr>
          <w:p w:rsidR="00261796" w:rsidRDefault="00905738">
            <w:pPr>
              <w:jc w:val="center"/>
            </w:pPr>
            <w:r>
              <w:t>华邦健康</w:t>
            </w:r>
          </w:p>
        </w:tc>
        <w:tc>
          <w:tcPr>
            <w:tcW w:w="2879" w:type="dxa"/>
            <w:vAlign w:val="center"/>
          </w:tcPr>
          <w:p w:rsidR="00261796" w:rsidRDefault="00905738">
            <w:pPr>
              <w:jc w:val="right"/>
            </w:pPr>
            <w:r>
              <w:t>174,696.00</w:t>
            </w:r>
          </w:p>
        </w:tc>
        <w:tc>
          <w:tcPr>
            <w:tcW w:w="1620" w:type="dxa"/>
            <w:vAlign w:val="center"/>
          </w:tcPr>
          <w:p w:rsidR="00261796" w:rsidRDefault="00905738">
            <w:pPr>
              <w:jc w:val="right"/>
            </w:pPr>
            <w:r>
              <w:t>0.27</w:t>
            </w:r>
          </w:p>
        </w:tc>
      </w:tr>
      <w:tr w:rsidR="00261796">
        <w:tc>
          <w:tcPr>
            <w:tcW w:w="869" w:type="dxa"/>
            <w:vAlign w:val="center"/>
          </w:tcPr>
          <w:p w:rsidR="00261796" w:rsidRDefault="00905738">
            <w:pPr>
              <w:jc w:val="center"/>
            </w:pPr>
            <w:r>
              <w:t>11</w:t>
            </w:r>
          </w:p>
        </w:tc>
        <w:tc>
          <w:tcPr>
            <w:tcW w:w="1650" w:type="dxa"/>
            <w:vAlign w:val="center"/>
          </w:tcPr>
          <w:p w:rsidR="00261796" w:rsidRDefault="00905738">
            <w:pPr>
              <w:jc w:val="center"/>
            </w:pPr>
            <w:r>
              <w:t>002191</w:t>
            </w:r>
          </w:p>
        </w:tc>
        <w:tc>
          <w:tcPr>
            <w:tcW w:w="1980" w:type="dxa"/>
            <w:vAlign w:val="center"/>
          </w:tcPr>
          <w:p w:rsidR="00261796" w:rsidRDefault="00905738">
            <w:pPr>
              <w:jc w:val="center"/>
            </w:pPr>
            <w:r>
              <w:t>劲嘉股份</w:t>
            </w:r>
          </w:p>
        </w:tc>
        <w:tc>
          <w:tcPr>
            <w:tcW w:w="2879" w:type="dxa"/>
            <w:vAlign w:val="center"/>
          </w:tcPr>
          <w:p w:rsidR="00261796" w:rsidRDefault="00905738">
            <w:pPr>
              <w:jc w:val="right"/>
            </w:pPr>
            <w:r>
              <w:t>172,472.00</w:t>
            </w:r>
          </w:p>
        </w:tc>
        <w:tc>
          <w:tcPr>
            <w:tcW w:w="1620" w:type="dxa"/>
            <w:vAlign w:val="center"/>
          </w:tcPr>
          <w:p w:rsidR="00261796" w:rsidRDefault="00905738">
            <w:pPr>
              <w:jc w:val="right"/>
            </w:pPr>
            <w:r>
              <w:t>0.27</w:t>
            </w:r>
          </w:p>
        </w:tc>
      </w:tr>
      <w:tr w:rsidR="00261796">
        <w:tc>
          <w:tcPr>
            <w:tcW w:w="869" w:type="dxa"/>
            <w:vAlign w:val="center"/>
          </w:tcPr>
          <w:p w:rsidR="00261796" w:rsidRDefault="00905738">
            <w:pPr>
              <w:jc w:val="center"/>
            </w:pPr>
            <w:r>
              <w:t>12</w:t>
            </w:r>
          </w:p>
        </w:tc>
        <w:tc>
          <w:tcPr>
            <w:tcW w:w="1650" w:type="dxa"/>
            <w:vAlign w:val="center"/>
          </w:tcPr>
          <w:p w:rsidR="00261796" w:rsidRDefault="00905738">
            <w:pPr>
              <w:jc w:val="center"/>
            </w:pPr>
            <w:r>
              <w:t>002285</w:t>
            </w:r>
          </w:p>
        </w:tc>
        <w:tc>
          <w:tcPr>
            <w:tcW w:w="1980" w:type="dxa"/>
            <w:vAlign w:val="center"/>
          </w:tcPr>
          <w:p w:rsidR="00261796" w:rsidRDefault="00905738">
            <w:pPr>
              <w:jc w:val="center"/>
            </w:pPr>
            <w:r>
              <w:t>世联行</w:t>
            </w:r>
          </w:p>
        </w:tc>
        <w:tc>
          <w:tcPr>
            <w:tcW w:w="2879" w:type="dxa"/>
            <w:vAlign w:val="center"/>
          </w:tcPr>
          <w:p w:rsidR="00261796" w:rsidRDefault="00905738">
            <w:pPr>
              <w:jc w:val="right"/>
            </w:pPr>
            <w:r>
              <w:t>153,800.00</w:t>
            </w:r>
          </w:p>
        </w:tc>
        <w:tc>
          <w:tcPr>
            <w:tcW w:w="1620" w:type="dxa"/>
            <w:vAlign w:val="center"/>
          </w:tcPr>
          <w:p w:rsidR="00261796" w:rsidRDefault="00905738">
            <w:pPr>
              <w:jc w:val="right"/>
            </w:pPr>
            <w:r>
              <w:t>0.24</w:t>
            </w:r>
          </w:p>
        </w:tc>
      </w:tr>
      <w:tr w:rsidR="00261796">
        <w:tc>
          <w:tcPr>
            <w:tcW w:w="869" w:type="dxa"/>
            <w:vAlign w:val="center"/>
          </w:tcPr>
          <w:p w:rsidR="00261796" w:rsidRDefault="00905738">
            <w:pPr>
              <w:jc w:val="center"/>
            </w:pPr>
            <w:r>
              <w:t>13</w:t>
            </w:r>
          </w:p>
        </w:tc>
        <w:tc>
          <w:tcPr>
            <w:tcW w:w="1650" w:type="dxa"/>
            <w:vAlign w:val="center"/>
          </w:tcPr>
          <w:p w:rsidR="00261796" w:rsidRDefault="00905738">
            <w:pPr>
              <w:jc w:val="center"/>
            </w:pPr>
            <w:r>
              <w:t>000718</w:t>
            </w:r>
          </w:p>
        </w:tc>
        <w:tc>
          <w:tcPr>
            <w:tcW w:w="1980" w:type="dxa"/>
            <w:vAlign w:val="center"/>
          </w:tcPr>
          <w:p w:rsidR="00261796" w:rsidRDefault="00905738">
            <w:pPr>
              <w:jc w:val="center"/>
            </w:pPr>
            <w:r>
              <w:t>苏宁环球</w:t>
            </w:r>
          </w:p>
        </w:tc>
        <w:tc>
          <w:tcPr>
            <w:tcW w:w="2879" w:type="dxa"/>
            <w:vAlign w:val="center"/>
          </w:tcPr>
          <w:p w:rsidR="00261796" w:rsidRDefault="00905738">
            <w:pPr>
              <w:jc w:val="right"/>
            </w:pPr>
            <w:r>
              <w:t>143,478.45</w:t>
            </w:r>
          </w:p>
        </w:tc>
        <w:tc>
          <w:tcPr>
            <w:tcW w:w="1620" w:type="dxa"/>
            <w:vAlign w:val="center"/>
          </w:tcPr>
          <w:p w:rsidR="00261796" w:rsidRDefault="00905738">
            <w:pPr>
              <w:jc w:val="right"/>
            </w:pPr>
            <w:r>
              <w:t>0.22</w:t>
            </w:r>
          </w:p>
        </w:tc>
      </w:tr>
      <w:tr w:rsidR="00261796">
        <w:tc>
          <w:tcPr>
            <w:tcW w:w="869" w:type="dxa"/>
            <w:vAlign w:val="center"/>
          </w:tcPr>
          <w:p w:rsidR="00261796" w:rsidRDefault="00905738">
            <w:pPr>
              <w:jc w:val="center"/>
            </w:pPr>
            <w:r>
              <w:t>14</w:t>
            </w:r>
          </w:p>
        </w:tc>
        <w:tc>
          <w:tcPr>
            <w:tcW w:w="1650" w:type="dxa"/>
            <w:vAlign w:val="center"/>
          </w:tcPr>
          <w:p w:rsidR="00261796" w:rsidRDefault="00905738">
            <w:pPr>
              <w:jc w:val="center"/>
            </w:pPr>
            <w:r>
              <w:t>000400</w:t>
            </w:r>
          </w:p>
        </w:tc>
        <w:tc>
          <w:tcPr>
            <w:tcW w:w="1980" w:type="dxa"/>
            <w:vAlign w:val="center"/>
          </w:tcPr>
          <w:p w:rsidR="00261796" w:rsidRDefault="00905738">
            <w:pPr>
              <w:jc w:val="center"/>
            </w:pPr>
            <w:r>
              <w:t>许继电气</w:t>
            </w:r>
          </w:p>
        </w:tc>
        <w:tc>
          <w:tcPr>
            <w:tcW w:w="2879" w:type="dxa"/>
            <w:vAlign w:val="center"/>
          </w:tcPr>
          <w:p w:rsidR="00261796" w:rsidRDefault="00905738">
            <w:pPr>
              <w:jc w:val="right"/>
            </w:pPr>
            <w:r>
              <w:t>132,600.00</w:t>
            </w:r>
          </w:p>
        </w:tc>
        <w:tc>
          <w:tcPr>
            <w:tcW w:w="1620" w:type="dxa"/>
            <w:vAlign w:val="center"/>
          </w:tcPr>
          <w:p w:rsidR="00261796" w:rsidRDefault="00905738">
            <w:pPr>
              <w:jc w:val="right"/>
            </w:pPr>
            <w:r>
              <w:t>0.20</w:t>
            </w:r>
          </w:p>
        </w:tc>
      </w:tr>
      <w:tr w:rsidR="00261796">
        <w:tc>
          <w:tcPr>
            <w:tcW w:w="869" w:type="dxa"/>
            <w:vAlign w:val="center"/>
          </w:tcPr>
          <w:p w:rsidR="00261796" w:rsidRDefault="00905738">
            <w:pPr>
              <w:jc w:val="center"/>
            </w:pPr>
            <w:r>
              <w:t>15</w:t>
            </w:r>
          </w:p>
        </w:tc>
        <w:tc>
          <w:tcPr>
            <w:tcW w:w="1650" w:type="dxa"/>
            <w:vAlign w:val="center"/>
          </w:tcPr>
          <w:p w:rsidR="00261796" w:rsidRDefault="00905738">
            <w:pPr>
              <w:jc w:val="center"/>
            </w:pPr>
            <w:r>
              <w:t>002501</w:t>
            </w:r>
          </w:p>
        </w:tc>
        <w:tc>
          <w:tcPr>
            <w:tcW w:w="1980" w:type="dxa"/>
            <w:vAlign w:val="center"/>
          </w:tcPr>
          <w:p w:rsidR="00261796" w:rsidRDefault="00905738">
            <w:pPr>
              <w:jc w:val="center"/>
            </w:pPr>
            <w:r>
              <w:t>利源精制</w:t>
            </w:r>
          </w:p>
        </w:tc>
        <w:tc>
          <w:tcPr>
            <w:tcW w:w="2879" w:type="dxa"/>
            <w:vAlign w:val="center"/>
          </w:tcPr>
          <w:p w:rsidR="00261796" w:rsidRDefault="00905738">
            <w:pPr>
              <w:jc w:val="right"/>
            </w:pPr>
            <w:r>
              <w:t>117,967.00</w:t>
            </w:r>
          </w:p>
        </w:tc>
        <w:tc>
          <w:tcPr>
            <w:tcW w:w="1620" w:type="dxa"/>
            <w:vAlign w:val="center"/>
          </w:tcPr>
          <w:p w:rsidR="00261796" w:rsidRDefault="00905738">
            <w:pPr>
              <w:jc w:val="right"/>
            </w:pPr>
            <w:r>
              <w:t>0.18</w:t>
            </w:r>
          </w:p>
        </w:tc>
      </w:tr>
      <w:tr w:rsidR="00261796">
        <w:tc>
          <w:tcPr>
            <w:tcW w:w="869" w:type="dxa"/>
            <w:vAlign w:val="center"/>
          </w:tcPr>
          <w:p w:rsidR="00261796" w:rsidRDefault="00905738">
            <w:pPr>
              <w:jc w:val="center"/>
            </w:pPr>
            <w:r>
              <w:t>16</w:t>
            </w:r>
          </w:p>
        </w:tc>
        <w:tc>
          <w:tcPr>
            <w:tcW w:w="1650" w:type="dxa"/>
            <w:vAlign w:val="center"/>
          </w:tcPr>
          <w:p w:rsidR="00261796" w:rsidRDefault="00905738">
            <w:pPr>
              <w:jc w:val="center"/>
            </w:pPr>
            <w:r>
              <w:t>002002</w:t>
            </w:r>
          </w:p>
        </w:tc>
        <w:tc>
          <w:tcPr>
            <w:tcW w:w="1980" w:type="dxa"/>
            <w:vAlign w:val="center"/>
          </w:tcPr>
          <w:p w:rsidR="00261796" w:rsidRDefault="00905738">
            <w:pPr>
              <w:jc w:val="center"/>
            </w:pPr>
            <w:r>
              <w:t>鸿达兴业</w:t>
            </w:r>
          </w:p>
        </w:tc>
        <w:tc>
          <w:tcPr>
            <w:tcW w:w="2879" w:type="dxa"/>
            <w:vAlign w:val="center"/>
          </w:tcPr>
          <w:p w:rsidR="00261796" w:rsidRDefault="00905738">
            <w:pPr>
              <w:jc w:val="right"/>
            </w:pPr>
            <w:r>
              <w:t>109,599.00</w:t>
            </w:r>
          </w:p>
        </w:tc>
        <w:tc>
          <w:tcPr>
            <w:tcW w:w="1620" w:type="dxa"/>
            <w:vAlign w:val="center"/>
          </w:tcPr>
          <w:p w:rsidR="00261796" w:rsidRDefault="00905738">
            <w:pPr>
              <w:jc w:val="right"/>
            </w:pPr>
            <w:r>
              <w:t>0.17</w:t>
            </w:r>
          </w:p>
        </w:tc>
      </w:tr>
      <w:tr w:rsidR="00261796">
        <w:tc>
          <w:tcPr>
            <w:tcW w:w="869" w:type="dxa"/>
            <w:vAlign w:val="center"/>
          </w:tcPr>
          <w:p w:rsidR="00261796" w:rsidRDefault="00905738">
            <w:pPr>
              <w:jc w:val="center"/>
            </w:pPr>
            <w:r>
              <w:t>17</w:t>
            </w:r>
          </w:p>
        </w:tc>
        <w:tc>
          <w:tcPr>
            <w:tcW w:w="1650" w:type="dxa"/>
            <w:vAlign w:val="center"/>
          </w:tcPr>
          <w:p w:rsidR="00261796" w:rsidRDefault="00905738">
            <w:pPr>
              <w:jc w:val="center"/>
            </w:pPr>
            <w:r>
              <w:t>000600</w:t>
            </w:r>
          </w:p>
        </w:tc>
        <w:tc>
          <w:tcPr>
            <w:tcW w:w="1980" w:type="dxa"/>
            <w:vAlign w:val="center"/>
          </w:tcPr>
          <w:p w:rsidR="00261796" w:rsidRDefault="00905738">
            <w:pPr>
              <w:jc w:val="center"/>
            </w:pPr>
            <w:r>
              <w:t>建投能源</w:t>
            </w:r>
          </w:p>
        </w:tc>
        <w:tc>
          <w:tcPr>
            <w:tcW w:w="2879" w:type="dxa"/>
            <w:vAlign w:val="center"/>
          </w:tcPr>
          <w:p w:rsidR="00261796" w:rsidRDefault="00905738">
            <w:pPr>
              <w:jc w:val="right"/>
            </w:pPr>
            <w:r>
              <w:t>95,492.00</w:t>
            </w:r>
          </w:p>
        </w:tc>
        <w:tc>
          <w:tcPr>
            <w:tcW w:w="1620" w:type="dxa"/>
            <w:vAlign w:val="center"/>
          </w:tcPr>
          <w:p w:rsidR="00261796" w:rsidRDefault="00905738">
            <w:pPr>
              <w:jc w:val="right"/>
            </w:pPr>
            <w:r>
              <w:t>0.15</w:t>
            </w:r>
          </w:p>
        </w:tc>
      </w:tr>
      <w:tr w:rsidR="00261796">
        <w:tc>
          <w:tcPr>
            <w:tcW w:w="869" w:type="dxa"/>
            <w:vAlign w:val="center"/>
          </w:tcPr>
          <w:p w:rsidR="00261796" w:rsidRDefault="00905738">
            <w:pPr>
              <w:jc w:val="center"/>
            </w:pPr>
            <w:r>
              <w:t>18</w:t>
            </w:r>
          </w:p>
        </w:tc>
        <w:tc>
          <w:tcPr>
            <w:tcW w:w="1650" w:type="dxa"/>
            <w:vAlign w:val="center"/>
          </w:tcPr>
          <w:p w:rsidR="00261796" w:rsidRDefault="00905738">
            <w:pPr>
              <w:jc w:val="center"/>
            </w:pPr>
            <w:r>
              <w:t>002299</w:t>
            </w:r>
          </w:p>
        </w:tc>
        <w:tc>
          <w:tcPr>
            <w:tcW w:w="1980" w:type="dxa"/>
            <w:vAlign w:val="center"/>
          </w:tcPr>
          <w:p w:rsidR="00261796" w:rsidRDefault="00905738">
            <w:pPr>
              <w:jc w:val="center"/>
            </w:pPr>
            <w:r>
              <w:t>圣农发展</w:t>
            </w:r>
          </w:p>
        </w:tc>
        <w:tc>
          <w:tcPr>
            <w:tcW w:w="2879" w:type="dxa"/>
            <w:vAlign w:val="center"/>
          </w:tcPr>
          <w:p w:rsidR="00261796" w:rsidRDefault="00905738">
            <w:pPr>
              <w:jc w:val="right"/>
            </w:pPr>
            <w:r>
              <w:t>50,589.00</w:t>
            </w:r>
          </w:p>
        </w:tc>
        <w:tc>
          <w:tcPr>
            <w:tcW w:w="1620" w:type="dxa"/>
            <w:vAlign w:val="center"/>
          </w:tcPr>
          <w:p w:rsidR="00261796" w:rsidRDefault="00905738">
            <w:pPr>
              <w:jc w:val="right"/>
            </w:pPr>
            <w:r>
              <w:t>0.08</w:t>
            </w:r>
          </w:p>
        </w:tc>
      </w:tr>
      <w:tr w:rsidR="00261796">
        <w:tc>
          <w:tcPr>
            <w:tcW w:w="869" w:type="dxa"/>
            <w:vAlign w:val="center"/>
          </w:tcPr>
          <w:p w:rsidR="00261796" w:rsidRDefault="00905738">
            <w:pPr>
              <w:jc w:val="center"/>
            </w:pPr>
            <w:r>
              <w:t>19</w:t>
            </w:r>
          </w:p>
        </w:tc>
        <w:tc>
          <w:tcPr>
            <w:tcW w:w="1650" w:type="dxa"/>
            <w:vAlign w:val="center"/>
          </w:tcPr>
          <w:p w:rsidR="00261796" w:rsidRDefault="00905738">
            <w:pPr>
              <w:jc w:val="center"/>
            </w:pPr>
            <w:r>
              <w:t>000423</w:t>
            </w:r>
          </w:p>
        </w:tc>
        <w:tc>
          <w:tcPr>
            <w:tcW w:w="1980" w:type="dxa"/>
            <w:vAlign w:val="center"/>
          </w:tcPr>
          <w:p w:rsidR="00261796" w:rsidRDefault="00905738">
            <w:pPr>
              <w:jc w:val="center"/>
            </w:pPr>
            <w:r>
              <w:t>东阿阿胶</w:t>
            </w:r>
          </w:p>
        </w:tc>
        <w:tc>
          <w:tcPr>
            <w:tcW w:w="2879" w:type="dxa"/>
            <w:vAlign w:val="center"/>
          </w:tcPr>
          <w:p w:rsidR="00261796" w:rsidRDefault="00905738">
            <w:pPr>
              <w:jc w:val="right"/>
            </w:pPr>
            <w:r>
              <w:t>42,840.00</w:t>
            </w:r>
          </w:p>
        </w:tc>
        <w:tc>
          <w:tcPr>
            <w:tcW w:w="1620" w:type="dxa"/>
            <w:vAlign w:val="center"/>
          </w:tcPr>
          <w:p w:rsidR="00261796" w:rsidRDefault="00905738">
            <w:pPr>
              <w:jc w:val="right"/>
            </w:pPr>
            <w:r>
              <w:t>0.07</w:t>
            </w:r>
          </w:p>
        </w:tc>
      </w:tr>
      <w:tr w:rsidR="00261796">
        <w:tc>
          <w:tcPr>
            <w:tcW w:w="869" w:type="dxa"/>
            <w:vAlign w:val="center"/>
          </w:tcPr>
          <w:p w:rsidR="00261796" w:rsidRDefault="00905738">
            <w:pPr>
              <w:jc w:val="center"/>
            </w:pPr>
            <w:r>
              <w:t>20</w:t>
            </w:r>
          </w:p>
        </w:tc>
        <w:tc>
          <w:tcPr>
            <w:tcW w:w="1650" w:type="dxa"/>
            <w:vAlign w:val="center"/>
          </w:tcPr>
          <w:p w:rsidR="00261796" w:rsidRDefault="00905738">
            <w:pPr>
              <w:jc w:val="center"/>
            </w:pPr>
            <w:r>
              <w:t>000012</w:t>
            </w:r>
          </w:p>
        </w:tc>
        <w:tc>
          <w:tcPr>
            <w:tcW w:w="1980" w:type="dxa"/>
            <w:vAlign w:val="center"/>
          </w:tcPr>
          <w:p w:rsidR="00261796" w:rsidRDefault="00905738">
            <w:pPr>
              <w:jc w:val="center"/>
            </w:pPr>
            <w:r>
              <w:t>南玻</w:t>
            </w:r>
            <w:r>
              <w:t>A</w:t>
            </w:r>
          </w:p>
        </w:tc>
        <w:tc>
          <w:tcPr>
            <w:tcW w:w="2879" w:type="dxa"/>
            <w:vAlign w:val="center"/>
          </w:tcPr>
          <w:p w:rsidR="00261796" w:rsidRDefault="00905738">
            <w:pPr>
              <w:jc w:val="right"/>
            </w:pPr>
            <w:r>
              <w:t>19,227.00</w:t>
            </w:r>
          </w:p>
        </w:tc>
        <w:tc>
          <w:tcPr>
            <w:tcW w:w="1620" w:type="dxa"/>
            <w:vAlign w:val="center"/>
          </w:tcPr>
          <w:p w:rsidR="00261796" w:rsidRDefault="00905738">
            <w:pPr>
              <w:jc w:val="right"/>
            </w:pPr>
            <w:r>
              <w:t>0.03</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本期累计卖出金额</w:t>
      </w:r>
      <w:r w:rsidRPr="005C672D">
        <w:rPr>
          <w:kern w:val="0"/>
          <w:sz w:val="24"/>
        </w:rPr>
        <w:t>”</w:t>
      </w:r>
      <w:r w:rsidRPr="005C672D">
        <w:rPr>
          <w:kern w:val="0"/>
          <w:sz w:val="24"/>
        </w:rPr>
        <w:t>按卖出成交金额（成交单价乘以成交数量）填列，不考虑相关交易费用。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6,602,443.00</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4,966,922.00</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w:t>
      </w:r>
      <w:r w:rsidRPr="005C672D">
        <w:rPr>
          <w:kern w:val="0"/>
          <w:sz w:val="24"/>
        </w:rPr>
        <w:t>“</w:t>
      </w:r>
      <w:r w:rsidRPr="005C672D">
        <w:rPr>
          <w:kern w:val="0"/>
          <w:sz w:val="24"/>
        </w:rPr>
        <w:t>买入股票成本</w:t>
      </w:r>
      <w:r w:rsidRPr="005C672D">
        <w:rPr>
          <w:kern w:val="0"/>
          <w:sz w:val="24"/>
        </w:rPr>
        <w:t>”</w:t>
      </w:r>
      <w:r w:rsidRPr="005C672D">
        <w:rPr>
          <w:kern w:val="0"/>
          <w:sz w:val="24"/>
        </w:rPr>
        <w:t>或</w:t>
      </w:r>
      <w:r w:rsidRPr="005C672D">
        <w:rPr>
          <w:kern w:val="0"/>
          <w:sz w:val="24"/>
        </w:rPr>
        <w:t>“</w:t>
      </w:r>
      <w:r w:rsidRPr="005C672D">
        <w:rPr>
          <w:kern w:val="0"/>
          <w:sz w:val="24"/>
        </w:rPr>
        <w:t>卖出股票收入</w:t>
      </w:r>
      <w:r w:rsidRPr="005C672D">
        <w:rPr>
          <w:kern w:val="0"/>
          <w:sz w:val="24"/>
        </w:rPr>
        <w:t>”</w:t>
      </w:r>
      <w:r w:rsidRPr="005C672D">
        <w:rPr>
          <w:kern w:val="0"/>
          <w:sz w:val="24"/>
        </w:rPr>
        <w:t>均按买卖成交金额（成交单价乘以成交数量）填列，不考虑相关交易费用。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6" w:name="_Toc331410106"/>
      <w:bookmarkStart w:id="67" w:name="_Toc234814104"/>
      <w:r w:rsidRPr="005C672D">
        <w:rPr>
          <w:rFonts w:ascii="Times New Roman" w:hAnsi="Times New Roman"/>
          <w:kern w:val="0"/>
          <w:szCs w:val="24"/>
        </w:rPr>
        <w:lastRenderedPageBreak/>
        <w:t xml:space="preserve">7.5 </w:t>
      </w:r>
      <w:r w:rsidRPr="005C672D">
        <w:rPr>
          <w:rFonts w:ascii="Times New Roman" w:hAnsi="Times New Roman"/>
          <w:kern w:val="0"/>
          <w:szCs w:val="24"/>
        </w:rPr>
        <w:t>期末按债券品种分类的债券投资组合</w:t>
      </w:r>
      <w:bookmarkEnd w:id="66"/>
      <w:bookmarkEnd w:id="67"/>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8" w:name="_Toc331410107"/>
      <w:r w:rsidRPr="005C672D">
        <w:rPr>
          <w:rFonts w:ascii="Times New Roman" w:hAnsi="Times New Roman"/>
          <w:kern w:val="0"/>
          <w:szCs w:val="24"/>
        </w:rPr>
        <w:t>7.6</w:t>
      </w:r>
      <w:bookmarkStart w:id="69"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8"/>
      <w:bookmarkEnd w:id="69"/>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0"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70"/>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71"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71"/>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2"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2"/>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3"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3"/>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409.09</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225.06</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lastRenderedPageBreak/>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634.15</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BF6A3F" w:rsidRPr="005C672D" w:rsidRDefault="00BF6A3F" w:rsidP="00AC6DDA">
      <w:pPr>
        <w:autoSpaceDE w:val="0"/>
        <w:autoSpaceDN w:val="0"/>
        <w:adjustRightInd w:val="0"/>
        <w:spacing w:before="29" w:line="288" w:lineRule="auto"/>
        <w:jc w:val="left"/>
        <w:rPr>
          <w:b/>
          <w:color w:val="000000"/>
          <w:sz w:val="24"/>
        </w:rPr>
      </w:pPr>
      <w:r w:rsidRPr="005C672D">
        <w:rPr>
          <w:b/>
          <w:color w:val="000000"/>
          <w:sz w:val="24"/>
        </w:rPr>
        <w:t xml:space="preserve">7.12.5.1 </w:t>
      </w:r>
      <w:r w:rsidRPr="005C672D">
        <w:rPr>
          <w:b/>
          <w:color w:val="000000"/>
          <w:sz w:val="24"/>
        </w:rPr>
        <w:t>期末指数投资前十名股票中存在流通受限情况的说明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277FEB" w:rsidRPr="005C672D" w:rsidRDefault="00277FEB" w:rsidP="00AC6DDA">
      <w:pPr>
        <w:pStyle w:val="af6"/>
        <w:spacing w:before="29" w:beforeAutospacing="0" w:after="0" w:afterAutospacing="0" w:line="288" w:lineRule="auto"/>
        <w:rPr>
          <w:rFonts w:ascii="Times New Roman" w:hAnsi="Times New Roman"/>
          <w:color w:val="000000"/>
        </w:rPr>
      </w:pPr>
      <w:r w:rsidRPr="005C672D">
        <w:rPr>
          <w:rFonts w:ascii="Times New Roman" w:hAnsi="Times New Roman"/>
          <w:b/>
          <w:color w:val="000000"/>
          <w:kern w:val="2"/>
        </w:rPr>
        <w:t>7.12.5</w:t>
      </w:r>
      <w:r w:rsidRPr="005C672D">
        <w:rPr>
          <w:rFonts w:ascii="Times New Roman" w:hAnsi="Times New Roman"/>
          <w:b/>
          <w:color w:val="000000"/>
        </w:rPr>
        <w:t xml:space="preserve">.2 </w:t>
      </w:r>
      <w:r w:rsidRPr="005C672D">
        <w:rPr>
          <w:rFonts w:ascii="Times New Roman" w:hAnsi="Times New Roman"/>
          <w:b/>
          <w:color w:val="000000"/>
        </w:rPr>
        <w:t>期末积极投资前五名股票中存在流通受限情况的说明</w:t>
      </w:r>
    </w:p>
    <w:p w:rsidR="00277FEB" w:rsidRPr="005C672D" w:rsidRDefault="00277FEB" w:rsidP="00AC6DDA">
      <w:pPr>
        <w:tabs>
          <w:tab w:val="left" w:pos="426"/>
        </w:tabs>
        <w:spacing w:before="29" w:line="288" w:lineRule="auto"/>
        <w:jc w:val="left"/>
        <w:rPr>
          <w:kern w:val="0"/>
          <w:sz w:val="24"/>
        </w:rPr>
      </w:pPr>
      <w:r w:rsidRPr="005C672D">
        <w:rPr>
          <w:kern w:val="0"/>
          <w:sz w:val="24"/>
        </w:rPr>
        <w:t>本基金本报告期末未持有积极投资的股票。</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AC6DDA">
      <w:pPr>
        <w:spacing w:before="29" w:line="288" w:lineRule="auto"/>
        <w:ind w:firstLineChars="200" w:firstLine="480"/>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95029A">
      <w:pPr>
        <w:pStyle w:val="1"/>
        <w:keepNext/>
        <w:keepLines/>
        <w:widowControl w:val="0"/>
        <w:spacing w:beforeLines="100" w:before="312" w:afterLines="100" w:after="312" w:line="288" w:lineRule="auto"/>
        <w:jc w:val="center"/>
        <w:rPr>
          <w:b/>
          <w:bCs/>
          <w:szCs w:val="24"/>
          <w:lang w:val="en-US"/>
        </w:rPr>
      </w:pPr>
      <w:bookmarkStart w:id="74" w:name="_Toc331410111"/>
      <w:bookmarkStart w:id="75" w:name="_Toc225500050"/>
      <w:r w:rsidRPr="005C672D">
        <w:rPr>
          <w:b/>
          <w:bCs/>
          <w:szCs w:val="24"/>
          <w:lang w:val="en-US"/>
        </w:rPr>
        <w:t xml:space="preserve">8  </w:t>
      </w:r>
      <w:r w:rsidR="001548F9" w:rsidRPr="005C672D">
        <w:rPr>
          <w:b/>
          <w:bCs/>
          <w:szCs w:val="24"/>
          <w:lang w:val="en-US"/>
        </w:rPr>
        <w:t>基金份额持有人信息</w:t>
      </w:r>
      <w:bookmarkEnd w:id="74"/>
      <w:bookmarkEnd w:id="75"/>
    </w:p>
    <w:p w:rsidR="001548F9" w:rsidRPr="005C672D" w:rsidRDefault="001548F9" w:rsidP="00AC6DDA">
      <w:pPr>
        <w:pStyle w:val="20"/>
        <w:spacing w:before="29" w:after="0" w:line="288" w:lineRule="auto"/>
        <w:rPr>
          <w:rFonts w:ascii="Times New Roman" w:hAnsi="Times New Roman"/>
          <w:kern w:val="0"/>
          <w:szCs w:val="24"/>
        </w:rPr>
      </w:pPr>
      <w:bookmarkStart w:id="76" w:name="_Toc331410112"/>
      <w:bookmarkStart w:id="77"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6"/>
      <w:bookmarkEnd w:id="77"/>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5000" w:type="pct"/>
        <w:jc w:val="center"/>
        <w:tblLook w:val="00A0" w:firstRow="1" w:lastRow="0" w:firstColumn="1" w:lastColumn="0" w:noHBand="0" w:noVBand="0"/>
      </w:tblPr>
      <w:tblGrid>
        <w:gridCol w:w="694"/>
        <w:gridCol w:w="1176"/>
        <w:gridCol w:w="1596"/>
        <w:gridCol w:w="956"/>
        <w:gridCol w:w="1476"/>
        <w:gridCol w:w="836"/>
        <w:gridCol w:w="1596"/>
        <w:gridCol w:w="956"/>
      </w:tblGrid>
      <w:tr w:rsidR="00905738" w:rsidRPr="005C672D" w:rsidTr="00905738">
        <w:trPr>
          <w:jc w:val="center"/>
        </w:trPr>
        <w:tc>
          <w:tcPr>
            <w:tcW w:w="631" w:type="pct"/>
            <w:vMerge w:val="restart"/>
            <w:tcBorders>
              <w:top w:val="single" w:sz="8" w:space="0" w:color="000000"/>
              <w:left w:val="single" w:sz="8" w:space="0" w:color="000000"/>
              <w:bottom w:val="single" w:sz="8" w:space="0" w:color="000000"/>
              <w:right w:val="single" w:sz="8" w:space="0" w:color="000000"/>
            </w:tcBorders>
            <w:vAlign w:val="center"/>
            <w:hideMark/>
          </w:tcPr>
          <w:p w:rsidR="00261796" w:rsidRDefault="00905738">
            <w:pPr>
              <w:jc w:val="center"/>
            </w:pPr>
            <w:r>
              <w:t>持有人户数</w:t>
            </w:r>
            <w:r>
              <w:t>(</w:t>
            </w:r>
            <w:r>
              <w:t>户</w:t>
            </w:r>
            <w:r>
              <w:t>)</w:t>
            </w:r>
          </w:p>
        </w:tc>
        <w:tc>
          <w:tcPr>
            <w:tcW w:w="528"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3351" w:type="pct"/>
            <w:gridSpan w:val="6"/>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905738" w:rsidRPr="005C672D" w:rsidTr="0090573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1796" w:rsidRDefault="00261796">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027"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038"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c>
          <w:tcPr>
            <w:tcW w:w="1286" w:type="pct"/>
            <w:gridSpan w:val="2"/>
            <w:tcBorders>
              <w:top w:val="single" w:sz="8" w:space="0" w:color="000000"/>
              <w:left w:val="single" w:sz="8" w:space="0" w:color="000000"/>
              <w:bottom w:val="single" w:sz="4" w:space="0" w:color="auto"/>
              <w:right w:val="single" w:sz="8" w:space="0" w:color="000000"/>
            </w:tcBorders>
            <w:hideMark/>
          </w:tcPr>
          <w:p w:rsidR="00852F8B" w:rsidRPr="005C672D" w:rsidRDefault="00852F8B" w:rsidP="0033423B">
            <w:pPr>
              <w:spacing w:before="29" w:line="288" w:lineRule="auto"/>
              <w:jc w:val="center"/>
              <w:rPr>
                <w:sz w:val="24"/>
              </w:rPr>
            </w:pPr>
            <w:r w:rsidRPr="005C672D">
              <w:rPr>
                <w:sz w:val="24"/>
              </w:rPr>
              <w:t>交银施罗德深证</w:t>
            </w:r>
            <w:r w:rsidRPr="005C672D">
              <w:rPr>
                <w:sz w:val="24"/>
              </w:rPr>
              <w:t>300</w:t>
            </w:r>
            <w:r w:rsidRPr="005C672D">
              <w:rPr>
                <w:sz w:val="24"/>
              </w:rPr>
              <w:t>价值交易型开放式指数证券投资基金联接基金</w:t>
            </w:r>
          </w:p>
        </w:tc>
      </w:tr>
      <w:tr w:rsidR="00905738" w:rsidRPr="005C672D" w:rsidTr="0090573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61796" w:rsidRDefault="00261796">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581"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05"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905738" w:rsidRPr="005C672D" w:rsidTr="00905738">
        <w:trPr>
          <w:jc w:val="center"/>
        </w:trPr>
        <w:tc>
          <w:tcPr>
            <w:tcW w:w="631" w:type="pct"/>
            <w:tcBorders>
              <w:top w:val="single" w:sz="8" w:space="0" w:color="000000"/>
              <w:left w:val="single" w:sz="8" w:space="0" w:color="000000"/>
              <w:bottom w:val="single" w:sz="8" w:space="0" w:color="000000"/>
              <w:right w:val="single" w:sz="8" w:space="0" w:color="000000"/>
            </w:tcBorders>
            <w:vAlign w:val="center"/>
            <w:hideMark/>
          </w:tcPr>
          <w:p w:rsidR="00261796" w:rsidRDefault="00905738">
            <w:pPr>
              <w:jc w:val="center"/>
            </w:pPr>
            <w:r>
              <w:rPr>
                <w:bCs/>
                <w:color w:val="000000"/>
                <w:sz w:val="24"/>
              </w:rPr>
              <w:t>415</w:t>
            </w:r>
          </w:p>
        </w:tc>
        <w:tc>
          <w:tcPr>
            <w:tcW w:w="528"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92,360.71</w:t>
            </w:r>
          </w:p>
        </w:tc>
        <w:tc>
          <w:tcPr>
            <w:tcW w:w="45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35,802,500.00</w:t>
            </w:r>
          </w:p>
        </w:tc>
        <w:tc>
          <w:tcPr>
            <w:tcW w:w="576"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93.41%</w:t>
            </w:r>
          </w:p>
        </w:tc>
        <w:tc>
          <w:tcPr>
            <w:tcW w:w="457"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2,527,193.00</w:t>
            </w:r>
          </w:p>
        </w:tc>
        <w:tc>
          <w:tcPr>
            <w:tcW w:w="581"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6.59%</w:t>
            </w:r>
          </w:p>
        </w:tc>
        <w:tc>
          <w:tcPr>
            <w:tcW w:w="581"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35,802,500.00</w:t>
            </w:r>
          </w:p>
        </w:tc>
        <w:tc>
          <w:tcPr>
            <w:tcW w:w="705" w:type="pct"/>
            <w:tcBorders>
              <w:top w:val="single" w:sz="4" w:space="0" w:color="auto"/>
              <w:left w:val="single" w:sz="4" w:space="0" w:color="auto"/>
              <w:bottom w:val="single" w:sz="4" w:space="0" w:color="auto"/>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93.41%</w:t>
            </w:r>
          </w:p>
        </w:tc>
      </w:tr>
    </w:tbl>
    <w:p w:rsidR="00852F8B" w:rsidRPr="005C672D" w:rsidRDefault="00852F8B"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szCs w:val="24"/>
        </w:rPr>
      </w:pPr>
      <w:r w:rsidRPr="005C672D">
        <w:rPr>
          <w:rFonts w:ascii="Times New Roman" w:hAnsi="Times New Roman"/>
          <w:kern w:val="0"/>
          <w:szCs w:val="24"/>
        </w:rPr>
        <w:t xml:space="preserve">8.2 </w:t>
      </w:r>
      <w:r w:rsidRPr="005C672D">
        <w:rPr>
          <w:rFonts w:ascii="Times New Roman" w:hAnsi="Times New Roman"/>
          <w:szCs w:val="24"/>
        </w:rPr>
        <w:t>期末上市基金前十名持有人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1142"/>
        <w:gridCol w:w="2665"/>
        <w:gridCol w:w="2361"/>
        <w:gridCol w:w="3118"/>
      </w:tblGrid>
      <w:tr w:rsidR="009E036A" w:rsidTr="009E036A">
        <w:trPr>
          <w:trHeight w:val="634"/>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序号</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持有人名称</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Default="009E036A" w:rsidP="00FC7899">
            <w:pPr>
              <w:spacing w:before="29" w:line="288" w:lineRule="auto"/>
              <w:jc w:val="center"/>
              <w:rPr>
                <w:sz w:val="24"/>
              </w:rPr>
            </w:pPr>
            <w:r w:rsidRPr="00E0163D">
              <w:rPr>
                <w:rFonts w:hint="eastAsia"/>
                <w:sz w:val="24"/>
              </w:rPr>
              <w:t>持有份额（份）</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Default="009E036A" w:rsidP="00FC7899">
            <w:pPr>
              <w:spacing w:before="29" w:line="288" w:lineRule="auto"/>
              <w:jc w:val="center"/>
              <w:rPr>
                <w:sz w:val="24"/>
              </w:rPr>
            </w:pPr>
            <w:r w:rsidRPr="00E0163D">
              <w:rPr>
                <w:rFonts w:hint="eastAsia"/>
                <w:sz w:val="24"/>
              </w:rPr>
              <w:t>占上市总份额比例</w:t>
            </w:r>
            <w:r w:rsidRPr="00E0163D">
              <w:rPr>
                <w:sz w:val="24"/>
              </w:rPr>
              <w:t>(%)</w:t>
            </w:r>
          </w:p>
        </w:tc>
      </w:tr>
      <w:tr w:rsidR="009E036A" w:rsidTr="00FC7899">
        <w:trPr>
          <w:trHeight w:val="388"/>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lastRenderedPageBreak/>
              <w:t>1</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石绍伟</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295,300.00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0.77%</w:t>
            </w:r>
          </w:p>
        </w:tc>
      </w:tr>
      <w:tr w:rsidR="009E036A" w:rsidTr="00FC7899">
        <w:trPr>
          <w:trHeight w:val="308"/>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2</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潘菲</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210,800.00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0.55%</w:t>
            </w:r>
          </w:p>
        </w:tc>
      </w:tr>
      <w:tr w:rsidR="009E036A" w:rsidTr="00FC7899">
        <w:trPr>
          <w:trHeight w:val="450"/>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3</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王欣欣</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96,827.00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0.25%</w:t>
            </w:r>
          </w:p>
        </w:tc>
      </w:tr>
      <w:tr w:rsidR="009E036A" w:rsidTr="00FC7899">
        <w:trPr>
          <w:trHeight w:val="166"/>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4</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王银生</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83,900.00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0.22%</w:t>
            </w:r>
          </w:p>
        </w:tc>
      </w:tr>
      <w:tr w:rsidR="009E036A" w:rsidTr="00FC7899">
        <w:trPr>
          <w:trHeight w:val="240"/>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5</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周国民</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83,068.00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0.22%</w:t>
            </w:r>
          </w:p>
        </w:tc>
      </w:tr>
      <w:tr w:rsidR="009E036A" w:rsidTr="00FC7899">
        <w:trPr>
          <w:trHeight w:val="320"/>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6</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金淦波</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72,726.00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0.19%</w:t>
            </w:r>
          </w:p>
        </w:tc>
      </w:tr>
      <w:tr w:rsidR="009E036A" w:rsidTr="00FC7899">
        <w:trPr>
          <w:trHeight w:val="115"/>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7</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余兴华</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70,600.00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0.18%</w:t>
            </w:r>
          </w:p>
        </w:tc>
      </w:tr>
      <w:tr w:rsidR="009E036A" w:rsidTr="00FC7899">
        <w:trPr>
          <w:trHeight w:val="195"/>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8</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陈旭东</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70,500.00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0.18%</w:t>
            </w:r>
          </w:p>
        </w:tc>
      </w:tr>
      <w:tr w:rsidR="009E036A" w:rsidTr="00FC7899">
        <w:trPr>
          <w:trHeight w:val="431"/>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9</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梁瑷</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66,000.00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0.17%</w:t>
            </w:r>
          </w:p>
        </w:tc>
      </w:tr>
      <w:tr w:rsidR="009E036A" w:rsidTr="00FC7899">
        <w:trPr>
          <w:trHeight w:val="22"/>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10</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阙俊玲</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60,300.00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0.16%</w:t>
            </w:r>
          </w:p>
        </w:tc>
      </w:tr>
      <w:tr w:rsidR="009E036A" w:rsidTr="00FC7899">
        <w:trPr>
          <w:trHeight w:val="1298"/>
        </w:trPr>
        <w:tc>
          <w:tcPr>
            <w:tcW w:w="61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11</w:t>
            </w:r>
          </w:p>
        </w:tc>
        <w:tc>
          <w:tcPr>
            <w:tcW w:w="1435"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rFonts w:hint="eastAsia"/>
                <w:sz w:val="24"/>
              </w:rPr>
              <w:t>中国农业银行－交银施罗德深证</w:t>
            </w:r>
            <w:r w:rsidRPr="00E0163D">
              <w:rPr>
                <w:sz w:val="24"/>
              </w:rPr>
              <w:t>300</w:t>
            </w:r>
            <w:r w:rsidRPr="00E0163D">
              <w:rPr>
                <w:rFonts w:hint="eastAsia"/>
                <w:sz w:val="24"/>
              </w:rPr>
              <w:t>价值交易型开放式指数证券资基金联接基金</w:t>
            </w:r>
          </w:p>
        </w:tc>
        <w:tc>
          <w:tcPr>
            <w:tcW w:w="1271"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35,802,500.00</w:t>
            </w:r>
          </w:p>
        </w:tc>
        <w:tc>
          <w:tcPr>
            <w:tcW w:w="1679" w:type="pct"/>
            <w:tcBorders>
              <w:top w:val="single" w:sz="4" w:space="0" w:color="auto"/>
              <w:left w:val="single" w:sz="4" w:space="0" w:color="auto"/>
              <w:bottom w:val="single" w:sz="4" w:space="0" w:color="auto"/>
              <w:right w:val="single" w:sz="4" w:space="0" w:color="auto"/>
            </w:tcBorders>
            <w:vAlign w:val="center"/>
          </w:tcPr>
          <w:p w:rsidR="009E036A" w:rsidRPr="00E0163D" w:rsidRDefault="009E036A" w:rsidP="00FC7899">
            <w:pPr>
              <w:spacing w:before="29" w:line="288" w:lineRule="auto"/>
              <w:jc w:val="center"/>
              <w:rPr>
                <w:sz w:val="24"/>
              </w:rPr>
            </w:pPr>
            <w:r w:rsidRPr="00E0163D">
              <w:rPr>
                <w:sz w:val="24"/>
              </w:rPr>
              <w:t>93.41%</w:t>
            </w:r>
          </w:p>
        </w:tc>
      </w:tr>
    </w:tbl>
    <w:p w:rsidR="006942C3" w:rsidRPr="005C672D" w:rsidRDefault="006942C3" w:rsidP="00AC6DDA">
      <w:pPr>
        <w:tabs>
          <w:tab w:val="left" w:pos="426"/>
        </w:tabs>
        <w:spacing w:before="29" w:line="288" w:lineRule="auto"/>
        <w:jc w:val="left"/>
        <w:rPr>
          <w:kern w:val="0"/>
          <w:sz w:val="24"/>
        </w:rPr>
      </w:pPr>
      <w:bookmarkStart w:id="78" w:name="_GoBack"/>
      <w:bookmarkEnd w:id="78"/>
      <w:r w:rsidRPr="005C672D">
        <w:rPr>
          <w:kern w:val="0"/>
          <w:sz w:val="24"/>
        </w:rPr>
        <w:t>注：持有人为场内持有人。</w:t>
      </w:r>
    </w:p>
    <w:p w:rsidR="004D1BA8" w:rsidRPr="005C672D" w:rsidRDefault="004D1BA8"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9" w:name="_Toc331410113"/>
      <w:r w:rsidRPr="005C672D">
        <w:rPr>
          <w:rFonts w:ascii="Times New Roman" w:hAnsi="Times New Roman"/>
          <w:kern w:val="0"/>
          <w:szCs w:val="24"/>
        </w:rPr>
        <w:t xml:space="preserve">8.3 </w:t>
      </w:r>
      <w:r w:rsidRPr="005C672D">
        <w:rPr>
          <w:rFonts w:ascii="Times New Roman" w:hAnsi="Times New Roman"/>
          <w:kern w:val="0"/>
          <w:szCs w:val="24"/>
        </w:rPr>
        <w:t>期末基金管理人的从业人员持有本基金的情况</w:t>
      </w:r>
      <w:bookmarkEnd w:id="7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905738" w:rsidP="00AC6DDA">
            <w:pPr>
              <w:widowControl/>
              <w:spacing w:before="29" w:line="288" w:lineRule="auto"/>
              <w:jc w:val="right"/>
              <w:rPr>
                <w:color w:val="000000"/>
                <w:kern w:val="0"/>
                <w:sz w:val="24"/>
              </w:rPr>
            </w:pPr>
            <w:r w:rsidRPr="005C672D">
              <w:rPr>
                <w:color w:val="000000"/>
                <w:kern w:val="0"/>
                <w:sz w:val="24"/>
              </w:rPr>
              <w:t>-</w:t>
            </w:r>
          </w:p>
        </w:tc>
        <w:tc>
          <w:tcPr>
            <w:tcW w:w="2160"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8.4</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80" w:name="_Toc331410115"/>
      <w:bookmarkStart w:id="81" w:name="_Toc225500053"/>
      <w:r w:rsidRPr="005C672D">
        <w:rPr>
          <w:b/>
          <w:bCs/>
          <w:szCs w:val="24"/>
          <w:lang w:val="en-US"/>
        </w:rPr>
        <w:lastRenderedPageBreak/>
        <w:t>9</w:t>
      </w:r>
      <w:r w:rsidRPr="005C672D">
        <w:rPr>
          <w:b/>
          <w:bCs/>
          <w:szCs w:val="24"/>
          <w:lang w:val="en-US"/>
        </w:rPr>
        <w:t>开放式基金份额变动</w:t>
      </w:r>
      <w:bookmarkEnd w:id="80"/>
      <w:bookmarkEnd w:id="81"/>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2011</w:t>
            </w:r>
            <w:r w:rsidRPr="005C672D">
              <w:rPr>
                <w:sz w:val="24"/>
              </w:rPr>
              <w:t>年</w:t>
            </w:r>
            <w:r w:rsidRPr="005C672D">
              <w:rPr>
                <w:sz w:val="24"/>
              </w:rPr>
              <w:t>9</w:t>
            </w:r>
            <w:r w:rsidRPr="005C672D">
              <w:rPr>
                <w:sz w:val="24"/>
              </w:rPr>
              <w:t>月</w:t>
            </w:r>
            <w:r w:rsidRPr="005C672D">
              <w:rPr>
                <w:sz w:val="24"/>
              </w:rPr>
              <w:t>22</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332,329,693 </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本报告期期初基金份额总额</w:t>
            </w:r>
          </w:p>
        </w:tc>
        <w:tc>
          <w:tcPr>
            <w:tcW w:w="2194" w:type="pct"/>
          </w:tcPr>
          <w:p w:rsidR="001548F9" w:rsidRPr="005C672D" w:rsidRDefault="001548F9" w:rsidP="00AC6DDA">
            <w:pPr>
              <w:spacing w:before="29" w:line="288" w:lineRule="auto"/>
              <w:jc w:val="right"/>
              <w:rPr>
                <w:sz w:val="24"/>
              </w:rPr>
            </w:pPr>
            <w:r w:rsidRPr="005C672D">
              <w:rPr>
                <w:sz w:val="24"/>
              </w:rPr>
              <w:t>34,329,693</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14,000,000</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本报告期</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10,000,000</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本报告期</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38,329,693</w:t>
            </w:r>
          </w:p>
        </w:tc>
      </w:tr>
    </w:tbl>
    <w:p w:rsidR="00BB4E44" w:rsidRPr="005C672D" w:rsidRDefault="00BB4E44"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82" w:name="_Toc331410116"/>
      <w:bookmarkStart w:id="83" w:name="_Toc225500054"/>
      <w:r w:rsidRPr="005C672D">
        <w:rPr>
          <w:b/>
          <w:bCs/>
          <w:szCs w:val="24"/>
          <w:lang w:val="en-US"/>
        </w:rPr>
        <w:t xml:space="preserve">10  </w:t>
      </w:r>
      <w:r w:rsidRPr="005C672D">
        <w:rPr>
          <w:b/>
          <w:bCs/>
          <w:szCs w:val="24"/>
          <w:lang w:val="en-US"/>
        </w:rPr>
        <w:t>重大事件揭示</w:t>
      </w:r>
      <w:bookmarkEnd w:id="82"/>
      <w:bookmarkEnd w:id="83"/>
    </w:p>
    <w:p w:rsidR="0095029A" w:rsidRPr="00690ED2" w:rsidRDefault="0095029A" w:rsidP="0095029A">
      <w:pPr>
        <w:pStyle w:val="20"/>
        <w:spacing w:before="29" w:after="0" w:line="288" w:lineRule="auto"/>
        <w:rPr>
          <w:rFonts w:ascii="Times New Roman" w:hAnsi="Times New Roman"/>
          <w:kern w:val="0"/>
          <w:szCs w:val="24"/>
        </w:rPr>
      </w:pPr>
      <w:bookmarkStart w:id="84" w:name="_Toc374438161"/>
      <w:bookmarkStart w:id="85" w:name="_Toc361324894"/>
      <w:bookmarkStart w:id="86" w:name="OLE_LINK179"/>
      <w:bookmarkStart w:id="87" w:name="OLE_LINK178"/>
      <w:bookmarkStart w:id="88" w:name="OLE_LINK174"/>
      <w:bookmarkStart w:id="89" w:name="OLE_LINK165"/>
      <w:bookmarkStart w:id="90" w:name="OLE_LINK145"/>
      <w:bookmarkStart w:id="91" w:name="OLE_LINK135"/>
      <w:bookmarkStart w:id="92" w:name="OLE_LINK84"/>
      <w:bookmarkStart w:id="93" w:name="OLE_LINK75"/>
      <w:bookmarkStart w:id="94" w:name="OLE_LINK59"/>
      <w:bookmarkStart w:id="95" w:name="OLE_LINK34"/>
      <w:bookmarkStart w:id="96" w:name="OLE_LINK33"/>
      <w:bookmarkStart w:id="97" w:name="OLE_LINK28"/>
      <w:bookmarkStart w:id="98" w:name="OLE_LINK170"/>
      <w:bookmarkStart w:id="99" w:name="OLE_LINK159"/>
      <w:bookmarkStart w:id="100" w:name="OLE_LINK143"/>
      <w:bookmarkStart w:id="101" w:name="OLE_LINK130"/>
      <w:bookmarkStart w:id="102" w:name="OLE_LINK102"/>
      <w:bookmarkStart w:id="103" w:name="OLE_LINK101"/>
      <w:bookmarkStart w:id="104" w:name="OLE_LINK72"/>
      <w:bookmarkStart w:id="105" w:name="OLE_LINK50"/>
      <w:bookmarkStart w:id="106"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4"/>
      <w:bookmarkEnd w:id="85"/>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7" w:name="_Toc374438162"/>
      <w:bookmarkStart w:id="108"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7"/>
      <w:bookmarkEnd w:id="108"/>
    </w:p>
    <w:p w:rsidR="00261796" w:rsidRDefault="00905738">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9" w:name="_Toc374438163"/>
      <w:bookmarkStart w:id="110"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9"/>
      <w:bookmarkEnd w:id="110"/>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1" w:name="_Toc374438164"/>
      <w:bookmarkStart w:id="112"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11"/>
      <w:bookmarkEnd w:id="112"/>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3" w:name="_Toc409100103"/>
      <w:bookmarkStart w:id="114"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3"/>
      <w:bookmarkEnd w:id="114"/>
    </w:p>
    <w:p w:rsidR="0095029A" w:rsidRPr="00690ED2" w:rsidRDefault="0095029A" w:rsidP="0095029A">
      <w:pPr>
        <w:tabs>
          <w:tab w:val="left" w:pos="426"/>
        </w:tabs>
        <w:spacing w:before="29" w:line="288" w:lineRule="auto"/>
        <w:jc w:val="left"/>
        <w:rPr>
          <w:kern w:val="0"/>
          <w:sz w:val="24"/>
        </w:rPr>
      </w:pPr>
      <w:bookmarkStart w:id="115" w:name="OLE_LINK3"/>
      <w:r w:rsidRPr="00690ED2">
        <w:rPr>
          <w:kern w:val="0"/>
          <w:sz w:val="24"/>
        </w:rPr>
        <w:t>本基金自基金合同生效日起聘请普华永道中天会计师事务所</w:t>
      </w:r>
      <w:r w:rsidRPr="00690ED2">
        <w:rPr>
          <w:kern w:val="0"/>
          <w:sz w:val="24"/>
        </w:rPr>
        <w:t xml:space="preserve"> (</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6" w:name="_Toc361324899"/>
      <w:bookmarkStart w:id="117" w:name="_Toc409100467"/>
      <w:bookmarkStart w:id="118" w:name="_Toc409100104"/>
      <w:bookmarkEnd w:id="115"/>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6"/>
      <w:bookmarkEnd w:id="117"/>
      <w:bookmarkEnd w:id="118"/>
    </w:p>
    <w:p w:rsidR="00261796" w:rsidRDefault="00905738">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261796" w:rsidRDefault="00905738">
      <w:pPr>
        <w:tabs>
          <w:tab w:val="left" w:pos="426"/>
        </w:tabs>
        <w:spacing w:before="29" w:line="288" w:lineRule="auto"/>
        <w:jc w:val="left"/>
        <w:rPr>
          <w:kern w:val="0"/>
          <w:sz w:val="24"/>
        </w:rPr>
      </w:pPr>
      <w:r>
        <w:rPr>
          <w:kern w:val="0"/>
          <w:sz w:val="24"/>
        </w:rPr>
        <w:t>基金管理人及其高级管理人员本报告期内未受监管部门稽查或处罚。</w:t>
      </w:r>
    </w:p>
    <w:p w:rsidR="00261796" w:rsidRDefault="00905738">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9" w:name="_Toc409100105"/>
      <w:bookmarkStart w:id="120" w:name="_Toc409100468"/>
      <w:bookmarkStart w:id="121"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9"/>
      <w:bookmarkEnd w:id="120"/>
      <w:bookmarkEnd w:id="121"/>
    </w:p>
    <w:p w:rsidR="0095029A" w:rsidRPr="00690ED2" w:rsidRDefault="0095029A" w:rsidP="0095029A">
      <w:pPr>
        <w:tabs>
          <w:tab w:val="left" w:pos="426"/>
        </w:tabs>
        <w:spacing w:before="29" w:line="288" w:lineRule="auto"/>
        <w:jc w:val="left"/>
        <w:rPr>
          <w:b/>
          <w:kern w:val="0"/>
          <w:sz w:val="24"/>
        </w:rPr>
      </w:pPr>
      <w:bookmarkStart w:id="122" w:name="_Toc249760070"/>
      <w:r w:rsidRPr="00690ED2">
        <w:rPr>
          <w:b/>
          <w:kern w:val="0"/>
          <w:sz w:val="24"/>
        </w:rPr>
        <w:t>10.8.1</w:t>
      </w:r>
      <w:r w:rsidRPr="00690ED2">
        <w:rPr>
          <w:rFonts w:hint="eastAsia"/>
          <w:b/>
          <w:kern w:val="0"/>
          <w:sz w:val="24"/>
        </w:rPr>
        <w:t>基金租用证券公司交易单元进行股票投资及佣金支付情况</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22"/>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3"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261796">
        <w:tc>
          <w:tcPr>
            <w:tcW w:w="1559" w:type="dxa"/>
            <w:vAlign w:val="center"/>
          </w:tcPr>
          <w:p w:rsidR="00261796" w:rsidRDefault="00905738">
            <w:pPr>
              <w:jc w:val="center"/>
            </w:pPr>
            <w:r>
              <w:rPr>
                <w:color w:val="000000"/>
                <w:sz w:val="24"/>
              </w:rPr>
              <w:t>中国银河证券股份有限公司</w:t>
            </w:r>
          </w:p>
        </w:tc>
        <w:tc>
          <w:tcPr>
            <w:tcW w:w="779" w:type="dxa"/>
            <w:vAlign w:val="center"/>
          </w:tcPr>
          <w:p w:rsidR="00261796" w:rsidRDefault="00905738">
            <w:pPr>
              <w:jc w:val="center"/>
            </w:pPr>
            <w:r>
              <w:rPr>
                <w:color w:val="000000"/>
                <w:sz w:val="24"/>
              </w:rPr>
              <w:t>2</w:t>
            </w:r>
          </w:p>
        </w:tc>
        <w:tc>
          <w:tcPr>
            <w:tcW w:w="1800" w:type="dxa"/>
            <w:vAlign w:val="center"/>
          </w:tcPr>
          <w:p w:rsidR="00261796" w:rsidRDefault="00905738">
            <w:pPr>
              <w:jc w:val="right"/>
            </w:pPr>
            <w:r>
              <w:rPr>
                <w:color w:val="000000"/>
                <w:sz w:val="24"/>
              </w:rPr>
              <w:t>11,569,365.00</w:t>
            </w:r>
          </w:p>
        </w:tc>
        <w:tc>
          <w:tcPr>
            <w:tcW w:w="1080" w:type="dxa"/>
            <w:vAlign w:val="center"/>
          </w:tcPr>
          <w:p w:rsidR="00261796" w:rsidRDefault="00905738">
            <w:pPr>
              <w:jc w:val="right"/>
            </w:pPr>
            <w:r>
              <w:rPr>
                <w:color w:val="000000"/>
                <w:sz w:val="24"/>
              </w:rPr>
              <w:t>100.00%</w:t>
            </w:r>
          </w:p>
        </w:tc>
        <w:tc>
          <w:tcPr>
            <w:tcW w:w="1620" w:type="dxa"/>
            <w:vAlign w:val="center"/>
          </w:tcPr>
          <w:p w:rsidR="00261796" w:rsidRDefault="00905738">
            <w:pPr>
              <w:jc w:val="right"/>
            </w:pPr>
            <w:r>
              <w:rPr>
                <w:color w:val="000000"/>
                <w:sz w:val="24"/>
              </w:rPr>
              <w:t>10,774.57</w:t>
            </w:r>
          </w:p>
        </w:tc>
        <w:tc>
          <w:tcPr>
            <w:tcW w:w="1080" w:type="dxa"/>
            <w:vAlign w:val="center"/>
          </w:tcPr>
          <w:p w:rsidR="00261796" w:rsidRDefault="00905738">
            <w:pPr>
              <w:jc w:val="right"/>
            </w:pPr>
            <w:r>
              <w:rPr>
                <w:color w:val="000000"/>
                <w:sz w:val="24"/>
              </w:rPr>
              <w:t>100.00%</w:t>
            </w:r>
          </w:p>
        </w:tc>
        <w:tc>
          <w:tcPr>
            <w:tcW w:w="1080" w:type="dxa"/>
            <w:vAlign w:val="center"/>
          </w:tcPr>
          <w:p w:rsidR="00261796" w:rsidRDefault="00905738">
            <w:pPr>
              <w:jc w:val="left"/>
            </w:pPr>
            <w:r>
              <w:rPr>
                <w:color w:val="000000"/>
                <w:sz w:val="24"/>
              </w:rPr>
              <w:t>-</w:t>
            </w:r>
          </w:p>
        </w:tc>
      </w:tr>
      <w:tr w:rsidR="00261796">
        <w:tc>
          <w:tcPr>
            <w:tcW w:w="1559" w:type="dxa"/>
            <w:vAlign w:val="center"/>
          </w:tcPr>
          <w:p w:rsidR="00261796" w:rsidRDefault="00905738">
            <w:pPr>
              <w:jc w:val="center"/>
            </w:pPr>
            <w:r>
              <w:rPr>
                <w:color w:val="000000"/>
                <w:sz w:val="24"/>
              </w:rPr>
              <w:t>海通证券股份有限公司</w:t>
            </w:r>
          </w:p>
        </w:tc>
        <w:tc>
          <w:tcPr>
            <w:tcW w:w="779" w:type="dxa"/>
            <w:vAlign w:val="center"/>
          </w:tcPr>
          <w:p w:rsidR="00261796" w:rsidRDefault="00905738">
            <w:pPr>
              <w:jc w:val="center"/>
            </w:pPr>
            <w:r>
              <w:rPr>
                <w:color w:val="000000"/>
                <w:sz w:val="24"/>
              </w:rPr>
              <w:t>1</w:t>
            </w:r>
          </w:p>
        </w:tc>
        <w:tc>
          <w:tcPr>
            <w:tcW w:w="1800" w:type="dxa"/>
            <w:vAlign w:val="center"/>
          </w:tcPr>
          <w:p w:rsidR="00261796" w:rsidRDefault="00905738">
            <w:pPr>
              <w:jc w:val="right"/>
            </w:pPr>
            <w:r>
              <w:rPr>
                <w:color w:val="000000"/>
                <w:sz w:val="24"/>
              </w:rPr>
              <w:t>-</w:t>
            </w:r>
          </w:p>
        </w:tc>
        <w:tc>
          <w:tcPr>
            <w:tcW w:w="1080" w:type="dxa"/>
            <w:vAlign w:val="center"/>
          </w:tcPr>
          <w:p w:rsidR="00261796" w:rsidRDefault="00905738">
            <w:pPr>
              <w:jc w:val="right"/>
            </w:pPr>
            <w:r>
              <w:rPr>
                <w:color w:val="000000"/>
                <w:sz w:val="24"/>
              </w:rPr>
              <w:t>-</w:t>
            </w:r>
          </w:p>
        </w:tc>
        <w:tc>
          <w:tcPr>
            <w:tcW w:w="1620" w:type="dxa"/>
            <w:vAlign w:val="center"/>
          </w:tcPr>
          <w:p w:rsidR="00261796" w:rsidRDefault="00905738">
            <w:pPr>
              <w:jc w:val="right"/>
            </w:pPr>
            <w:r>
              <w:rPr>
                <w:color w:val="000000"/>
                <w:sz w:val="24"/>
              </w:rPr>
              <w:t>-</w:t>
            </w:r>
          </w:p>
        </w:tc>
        <w:tc>
          <w:tcPr>
            <w:tcW w:w="1080" w:type="dxa"/>
            <w:vAlign w:val="center"/>
          </w:tcPr>
          <w:p w:rsidR="00261796" w:rsidRDefault="00905738">
            <w:pPr>
              <w:jc w:val="right"/>
            </w:pPr>
            <w:r>
              <w:rPr>
                <w:color w:val="000000"/>
                <w:sz w:val="24"/>
              </w:rPr>
              <w:t>-</w:t>
            </w:r>
          </w:p>
        </w:tc>
        <w:tc>
          <w:tcPr>
            <w:tcW w:w="1080" w:type="dxa"/>
            <w:vAlign w:val="center"/>
          </w:tcPr>
          <w:p w:rsidR="00261796" w:rsidRDefault="00905738">
            <w:pPr>
              <w:jc w:val="left"/>
            </w:pPr>
            <w:r>
              <w:rPr>
                <w:color w:val="000000"/>
                <w:sz w:val="24"/>
              </w:rPr>
              <w:t>-</w:t>
            </w:r>
          </w:p>
        </w:tc>
      </w:tr>
    </w:tbl>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4" w:name="OLE_LINK177"/>
      <w:bookmarkStart w:id="125" w:name="OLE_LINK176"/>
      <w:bookmarkStart w:id="126" w:name="OLE_LINK175"/>
      <w:bookmarkStart w:id="127" w:name="OLE_LINK156"/>
      <w:bookmarkStart w:id="128" w:name="OLE_LINK146"/>
      <w:bookmarkStart w:id="129" w:name="OLE_LINK108"/>
      <w:bookmarkStart w:id="130" w:name="OLE_LINK37"/>
      <w:bookmarkStart w:id="131" w:name="OLE_LINK36"/>
      <w:bookmarkStart w:id="132" w:name="OLE_LINK35"/>
      <w:bookmarkStart w:id="133" w:name="OLE_LINK32"/>
      <w:bookmarkStart w:id="134" w:name="OLE_LINK31"/>
      <w:bookmarkStart w:id="135" w:name="OLE_LINK30"/>
      <w:bookmarkStart w:id="136" w:name="OLE_LINK29"/>
      <w:bookmarkStart w:id="137" w:name="_Toc249707408"/>
      <w:bookmarkEnd w:id="123"/>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1548F9" w:rsidRPr="005C672D" w:rsidRDefault="001548F9" w:rsidP="00AC6DDA">
      <w:pPr>
        <w:spacing w:before="29" w:line="288" w:lineRule="auto"/>
        <w:ind w:firstLine="420"/>
        <w:jc w:val="right"/>
        <w:rPr>
          <w:color w:val="000000"/>
          <w:sz w:val="24"/>
        </w:rPr>
      </w:pPr>
      <w:r w:rsidRPr="005C672D">
        <w:rPr>
          <w:sz w:val="24"/>
        </w:rPr>
        <w:t>金额单位</w:t>
      </w:r>
      <w:r w:rsidRPr="005C672D">
        <w:rPr>
          <w:color w:val="000000"/>
          <w:kern w:val="0"/>
          <w:sz w:val="24"/>
        </w:rPr>
        <w:t>：</w:t>
      </w:r>
      <w:r w:rsidRPr="005C672D">
        <w:rPr>
          <w:color w:val="000000"/>
          <w:kern w:val="0"/>
          <w:sz w:val="24"/>
          <w:lang w:val="zh-CN"/>
        </w:rPr>
        <w:t>人民币元</w:t>
      </w:r>
      <w:bookmarkEnd w:id="1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FD7A40" w:rsidRPr="005C672D" w:rsidTr="00D04382">
        <w:tc>
          <w:tcPr>
            <w:tcW w:w="1559" w:type="dxa"/>
            <w:vMerge w:val="restart"/>
            <w:vAlign w:val="center"/>
          </w:tcPr>
          <w:p w:rsidR="00FD7A40" w:rsidRPr="005C672D" w:rsidRDefault="00FD7A40" w:rsidP="00AC6DDA">
            <w:pPr>
              <w:spacing w:before="29" w:line="288" w:lineRule="auto"/>
              <w:jc w:val="center"/>
              <w:rPr>
                <w:color w:val="000000"/>
                <w:kern w:val="0"/>
                <w:sz w:val="24"/>
              </w:rPr>
            </w:pPr>
            <w:bookmarkStart w:id="138" w:name="_Toc331410125"/>
            <w:r w:rsidRPr="005C672D">
              <w:rPr>
                <w:color w:val="000000"/>
                <w:sz w:val="24"/>
              </w:rPr>
              <w:t>券商名称</w:t>
            </w:r>
          </w:p>
        </w:tc>
        <w:tc>
          <w:tcPr>
            <w:tcW w:w="2399"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债券交易</w:t>
            </w:r>
          </w:p>
        </w:tc>
        <w:tc>
          <w:tcPr>
            <w:tcW w:w="234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回购交易</w:t>
            </w:r>
          </w:p>
        </w:tc>
        <w:tc>
          <w:tcPr>
            <w:tcW w:w="2700" w:type="dxa"/>
            <w:gridSpan w:val="2"/>
            <w:vAlign w:val="center"/>
          </w:tcPr>
          <w:p w:rsidR="00FD7A40" w:rsidRPr="005C672D" w:rsidRDefault="00FD7A40" w:rsidP="00AC6DDA">
            <w:pPr>
              <w:spacing w:before="29" w:line="288" w:lineRule="auto"/>
              <w:jc w:val="center"/>
              <w:rPr>
                <w:color w:val="000000"/>
                <w:sz w:val="24"/>
              </w:rPr>
            </w:pPr>
            <w:r w:rsidRPr="005C672D">
              <w:rPr>
                <w:color w:val="000000"/>
                <w:sz w:val="24"/>
              </w:rPr>
              <w:t>权证交易</w:t>
            </w:r>
          </w:p>
        </w:tc>
      </w:tr>
      <w:tr w:rsidR="00FD7A40" w:rsidRPr="005C672D" w:rsidTr="00D04382">
        <w:tc>
          <w:tcPr>
            <w:tcW w:w="1559" w:type="dxa"/>
            <w:vMerge/>
            <w:vAlign w:val="center"/>
          </w:tcPr>
          <w:p w:rsidR="00FD7A40" w:rsidRPr="005C672D" w:rsidRDefault="00FD7A40" w:rsidP="00AC6DDA">
            <w:pPr>
              <w:widowControl/>
              <w:spacing w:before="29" w:line="288" w:lineRule="auto"/>
              <w:jc w:val="left"/>
              <w:rPr>
                <w:color w:val="000000"/>
                <w:kern w:val="0"/>
                <w:sz w:val="24"/>
              </w:rPr>
            </w:pPr>
          </w:p>
        </w:tc>
        <w:tc>
          <w:tcPr>
            <w:tcW w:w="1319"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080"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占当期债券成交总额的比例</w:t>
            </w:r>
          </w:p>
        </w:tc>
        <w:tc>
          <w:tcPr>
            <w:tcW w:w="1143"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197"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占当期回购成交总额的比例</w:t>
            </w:r>
          </w:p>
        </w:tc>
        <w:tc>
          <w:tcPr>
            <w:tcW w:w="1497" w:type="dxa"/>
            <w:vAlign w:val="center"/>
          </w:tcPr>
          <w:p w:rsidR="00FD7A40" w:rsidRPr="005C672D" w:rsidRDefault="00FD7A40" w:rsidP="00AC6DDA">
            <w:pPr>
              <w:spacing w:before="29" w:line="288" w:lineRule="auto"/>
              <w:jc w:val="center"/>
              <w:rPr>
                <w:color w:val="000000"/>
                <w:sz w:val="24"/>
              </w:rPr>
            </w:pPr>
            <w:r w:rsidRPr="005C672D">
              <w:rPr>
                <w:color w:val="000000"/>
                <w:sz w:val="24"/>
              </w:rPr>
              <w:t>成交金额</w:t>
            </w:r>
          </w:p>
        </w:tc>
        <w:tc>
          <w:tcPr>
            <w:tcW w:w="1203" w:type="dxa"/>
            <w:vAlign w:val="center"/>
          </w:tcPr>
          <w:p w:rsidR="00FD7A40" w:rsidRPr="005C672D" w:rsidRDefault="00FD7A40" w:rsidP="00BA6FAB">
            <w:pPr>
              <w:spacing w:before="29" w:line="288" w:lineRule="auto"/>
              <w:jc w:val="center"/>
              <w:rPr>
                <w:color w:val="000000"/>
                <w:sz w:val="24"/>
              </w:rPr>
            </w:pPr>
            <w:r w:rsidRPr="005C672D">
              <w:rPr>
                <w:color w:val="000000"/>
                <w:sz w:val="24"/>
              </w:rPr>
              <w:t>占当期权证成交总额的比例</w:t>
            </w:r>
          </w:p>
        </w:tc>
      </w:tr>
      <w:tr w:rsidR="00261796">
        <w:tc>
          <w:tcPr>
            <w:tcW w:w="1559" w:type="dxa"/>
            <w:vAlign w:val="center"/>
          </w:tcPr>
          <w:p w:rsidR="00261796" w:rsidRDefault="00905738">
            <w:pPr>
              <w:jc w:val="left"/>
            </w:pPr>
            <w:r>
              <w:rPr>
                <w:color w:val="000000"/>
                <w:sz w:val="24"/>
              </w:rPr>
              <w:t>中国银河证券股份有限公司</w:t>
            </w:r>
          </w:p>
        </w:tc>
        <w:tc>
          <w:tcPr>
            <w:tcW w:w="1319" w:type="dxa"/>
            <w:vAlign w:val="center"/>
          </w:tcPr>
          <w:p w:rsidR="00261796" w:rsidRDefault="00905738">
            <w:pPr>
              <w:jc w:val="right"/>
            </w:pPr>
            <w:r>
              <w:rPr>
                <w:color w:val="000000"/>
                <w:sz w:val="24"/>
              </w:rPr>
              <w:t>289,037.95</w:t>
            </w:r>
          </w:p>
        </w:tc>
        <w:tc>
          <w:tcPr>
            <w:tcW w:w="1080" w:type="dxa"/>
            <w:vAlign w:val="center"/>
          </w:tcPr>
          <w:p w:rsidR="00261796" w:rsidRDefault="00905738">
            <w:pPr>
              <w:jc w:val="right"/>
            </w:pPr>
            <w:r>
              <w:rPr>
                <w:color w:val="000000"/>
                <w:sz w:val="24"/>
              </w:rPr>
              <w:t>100.00%</w:t>
            </w:r>
          </w:p>
        </w:tc>
        <w:tc>
          <w:tcPr>
            <w:tcW w:w="1143" w:type="dxa"/>
            <w:vAlign w:val="center"/>
          </w:tcPr>
          <w:p w:rsidR="00261796" w:rsidRDefault="00905738">
            <w:pPr>
              <w:jc w:val="right"/>
            </w:pPr>
            <w:r>
              <w:rPr>
                <w:color w:val="000000"/>
                <w:sz w:val="24"/>
              </w:rPr>
              <w:t>-</w:t>
            </w:r>
          </w:p>
        </w:tc>
        <w:tc>
          <w:tcPr>
            <w:tcW w:w="1197" w:type="dxa"/>
            <w:vAlign w:val="center"/>
          </w:tcPr>
          <w:p w:rsidR="00261796" w:rsidRDefault="00905738">
            <w:pPr>
              <w:jc w:val="right"/>
            </w:pPr>
            <w:r>
              <w:rPr>
                <w:color w:val="000000"/>
                <w:sz w:val="24"/>
              </w:rPr>
              <w:t>-</w:t>
            </w:r>
          </w:p>
        </w:tc>
        <w:tc>
          <w:tcPr>
            <w:tcW w:w="1497" w:type="dxa"/>
            <w:vAlign w:val="center"/>
          </w:tcPr>
          <w:p w:rsidR="00261796" w:rsidRDefault="00905738">
            <w:pPr>
              <w:jc w:val="right"/>
            </w:pPr>
            <w:r>
              <w:rPr>
                <w:color w:val="000000"/>
                <w:sz w:val="24"/>
              </w:rPr>
              <w:t>-</w:t>
            </w:r>
          </w:p>
        </w:tc>
        <w:tc>
          <w:tcPr>
            <w:tcW w:w="1203" w:type="dxa"/>
            <w:vAlign w:val="center"/>
          </w:tcPr>
          <w:p w:rsidR="00261796" w:rsidRDefault="00905738">
            <w:pPr>
              <w:jc w:val="right"/>
            </w:pPr>
            <w:r>
              <w:rPr>
                <w:color w:val="000000"/>
                <w:sz w:val="24"/>
              </w:rPr>
              <w:t>-</w:t>
            </w:r>
          </w:p>
        </w:tc>
      </w:tr>
      <w:tr w:rsidR="00D04382">
        <w:tc>
          <w:tcPr>
            <w:tcW w:w="1559" w:type="dxa"/>
            <w:vAlign w:val="center"/>
          </w:tcPr>
          <w:p w:rsidR="00D04382" w:rsidRDefault="00D04382" w:rsidP="00D04382">
            <w:pPr>
              <w:jc w:val="left"/>
            </w:pPr>
            <w:r>
              <w:rPr>
                <w:rFonts w:eastAsiaTheme="minorEastAsia"/>
                <w:sz w:val="24"/>
              </w:rPr>
              <w:t>海通证券股份有限公司</w:t>
            </w:r>
          </w:p>
        </w:tc>
        <w:tc>
          <w:tcPr>
            <w:tcW w:w="1319" w:type="dxa"/>
            <w:vAlign w:val="center"/>
          </w:tcPr>
          <w:p w:rsidR="00D04382" w:rsidRDefault="00D04382" w:rsidP="00D04382">
            <w:pPr>
              <w:jc w:val="right"/>
            </w:pPr>
            <w:r>
              <w:rPr>
                <w:rFonts w:eastAsiaTheme="minorEastAsia"/>
                <w:sz w:val="24"/>
              </w:rPr>
              <w:t>-</w:t>
            </w:r>
          </w:p>
        </w:tc>
        <w:tc>
          <w:tcPr>
            <w:tcW w:w="1080" w:type="dxa"/>
            <w:vAlign w:val="center"/>
          </w:tcPr>
          <w:p w:rsidR="00D04382" w:rsidRDefault="00D04382" w:rsidP="00D04382">
            <w:pPr>
              <w:jc w:val="right"/>
            </w:pPr>
            <w:r>
              <w:rPr>
                <w:rFonts w:eastAsiaTheme="minorEastAsia"/>
                <w:sz w:val="24"/>
              </w:rPr>
              <w:t>-</w:t>
            </w:r>
          </w:p>
        </w:tc>
        <w:tc>
          <w:tcPr>
            <w:tcW w:w="1143" w:type="dxa"/>
            <w:vAlign w:val="center"/>
          </w:tcPr>
          <w:p w:rsidR="00D04382" w:rsidRDefault="00D04382" w:rsidP="00D04382">
            <w:pPr>
              <w:jc w:val="right"/>
            </w:pPr>
            <w:r>
              <w:rPr>
                <w:rFonts w:eastAsiaTheme="minorEastAsia"/>
                <w:sz w:val="24"/>
              </w:rPr>
              <w:t>-</w:t>
            </w:r>
          </w:p>
        </w:tc>
        <w:tc>
          <w:tcPr>
            <w:tcW w:w="1197" w:type="dxa"/>
            <w:vAlign w:val="center"/>
          </w:tcPr>
          <w:p w:rsidR="00D04382" w:rsidRDefault="00D04382" w:rsidP="00D04382">
            <w:pPr>
              <w:jc w:val="right"/>
            </w:pPr>
            <w:r>
              <w:rPr>
                <w:rFonts w:eastAsiaTheme="minorEastAsia"/>
                <w:sz w:val="24"/>
              </w:rPr>
              <w:t>-</w:t>
            </w:r>
          </w:p>
        </w:tc>
        <w:tc>
          <w:tcPr>
            <w:tcW w:w="1497" w:type="dxa"/>
            <w:vAlign w:val="center"/>
          </w:tcPr>
          <w:p w:rsidR="00D04382" w:rsidRDefault="00D04382" w:rsidP="00D04382">
            <w:pPr>
              <w:jc w:val="right"/>
            </w:pPr>
            <w:r>
              <w:rPr>
                <w:rFonts w:eastAsiaTheme="minorEastAsia"/>
                <w:sz w:val="24"/>
              </w:rPr>
              <w:t>-</w:t>
            </w:r>
          </w:p>
        </w:tc>
        <w:tc>
          <w:tcPr>
            <w:tcW w:w="1203" w:type="dxa"/>
            <w:vAlign w:val="center"/>
          </w:tcPr>
          <w:p w:rsidR="00D04382" w:rsidRDefault="00D04382" w:rsidP="00D04382">
            <w:pPr>
              <w:jc w:val="right"/>
            </w:pPr>
            <w:r>
              <w:rPr>
                <w:rFonts w:eastAsiaTheme="minorEastAsia"/>
                <w:sz w:val="24"/>
              </w:rPr>
              <w:t>-</w:t>
            </w:r>
          </w:p>
        </w:tc>
      </w:tr>
    </w:tbl>
    <w:p w:rsidR="00FD7A40" w:rsidRPr="005C672D" w:rsidRDefault="00FD7A40" w:rsidP="00AC6DDA">
      <w:pPr>
        <w:autoSpaceDE w:val="0"/>
        <w:autoSpaceDN w:val="0"/>
        <w:adjustRightInd w:val="0"/>
        <w:spacing w:before="29" w:line="288" w:lineRule="auto"/>
        <w:jc w:val="left"/>
        <w:rPr>
          <w:color w:val="000000"/>
          <w:sz w:val="24"/>
        </w:rPr>
      </w:pPr>
    </w:p>
    <w:p w:rsidR="00261796" w:rsidRDefault="00905738">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、报告期内，本基金交易单元未发生变化；</w:t>
      </w:r>
    </w:p>
    <w:p w:rsidR="00261796" w:rsidRDefault="00905738">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w:t>
      </w:r>
      <w:r>
        <w:rPr>
          <w:color w:val="000000"/>
          <w:sz w:val="24"/>
        </w:rPr>
        <w:lastRenderedPageBreak/>
        <w:t>和有效性）和券商协作表现评价等四个方面；</w:t>
      </w:r>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 xml:space="preserve">    3</w:t>
      </w:r>
      <w:r w:rsidRPr="005C672D">
        <w:rPr>
          <w:color w:val="000000"/>
          <w:sz w:val="24"/>
        </w:rPr>
        <w:t>、租用证券公司交易单元的程序：首先根据租用证券公司交易单元的选择标准进行综合评价，然后根据评价选择基金交易单元。研究部提交方案，并上报公司批准。</w:t>
      </w:r>
    </w:p>
    <w:p w:rsidR="00CB75C2" w:rsidRPr="005C672D" w:rsidRDefault="00CB75C2" w:rsidP="00AC6DDA">
      <w:pPr>
        <w:autoSpaceDE w:val="0"/>
        <w:autoSpaceDN w:val="0"/>
        <w:adjustRightInd w:val="0"/>
        <w:spacing w:before="29" w:line="288" w:lineRule="auto"/>
        <w:jc w:val="left"/>
        <w:rPr>
          <w:color w:val="000000"/>
          <w:sz w:val="24"/>
        </w:rPr>
      </w:pPr>
    </w:p>
    <w:bookmarkEnd w:id="138"/>
    <w:p w:rsidR="005547A0" w:rsidRPr="00646A7D" w:rsidRDefault="005547A0" w:rsidP="0095029A">
      <w:pPr>
        <w:pStyle w:val="1"/>
        <w:keepNext/>
        <w:keepLines/>
        <w:widowControl w:val="0"/>
        <w:spacing w:beforeLines="100" w:before="312" w:afterLines="100" w:after="312" w:line="360" w:lineRule="auto"/>
        <w:jc w:val="center"/>
        <w:rPr>
          <w:rFonts w:eastAsiaTheme="minorEastAsia"/>
          <w:b/>
          <w:bCs/>
          <w:sz w:val="21"/>
          <w:szCs w:val="21"/>
          <w:lang w:val="en-US"/>
        </w:rPr>
      </w:pP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547A0" w:rsidRPr="004F0662" w:rsidTr="00B86999">
        <w:tc>
          <w:tcPr>
            <w:tcW w:w="993" w:type="dxa"/>
            <w:vMerge w:val="restart"/>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547A0" w:rsidRPr="004F0662" w:rsidTr="00B86999">
        <w:tc>
          <w:tcPr>
            <w:tcW w:w="993" w:type="dxa"/>
            <w:vMerge/>
            <w:vAlign w:val="center"/>
          </w:tcPr>
          <w:p w:rsidR="005547A0" w:rsidRPr="004F0662" w:rsidRDefault="005547A0" w:rsidP="00B86999">
            <w:pPr>
              <w:autoSpaceDE w:val="0"/>
              <w:autoSpaceDN w:val="0"/>
              <w:adjustRightInd w:val="0"/>
              <w:jc w:val="center"/>
              <w:rPr>
                <w:rFonts w:ascii="宋体" w:hAnsi="宋体"/>
                <w:b/>
                <w:bCs/>
                <w:color w:val="000000"/>
                <w:kern w:val="0"/>
                <w:szCs w:val="21"/>
              </w:rPr>
            </w:pPr>
          </w:p>
        </w:tc>
        <w:tc>
          <w:tcPr>
            <w:tcW w:w="992"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547A0" w:rsidRPr="004F0662" w:rsidRDefault="005547A0" w:rsidP="00B86999">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547A0" w:rsidRPr="004F0662" w:rsidRDefault="005547A0" w:rsidP="00B86999">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261796">
        <w:tc>
          <w:tcPr>
            <w:tcW w:w="993" w:type="dxa"/>
            <w:vMerge w:val="restart"/>
          </w:tcPr>
          <w:p w:rsidR="00261796" w:rsidRDefault="00261796"/>
          <w:p w:rsidR="00261796" w:rsidRDefault="00905738">
            <w:r>
              <w:rPr>
                <w:rFonts w:ascii="宋体" w:hAnsi="宋体" w:hint="eastAsia"/>
                <w:kern w:val="0"/>
                <w:szCs w:val="21"/>
              </w:rPr>
              <w:t>交银施罗德深证300价值交易型开放式指数证券投资基金联接基金</w:t>
            </w:r>
          </w:p>
        </w:tc>
        <w:tc>
          <w:tcPr>
            <w:tcW w:w="992" w:type="dxa"/>
            <w:vAlign w:val="center"/>
          </w:tcPr>
          <w:p w:rsidR="00261796" w:rsidRDefault="00905738">
            <w:pPr>
              <w:jc w:val="center"/>
            </w:pPr>
            <w:r>
              <w:rPr>
                <w:rFonts w:ascii="宋体" w:hAnsi="宋体"/>
                <w:bCs/>
                <w:color w:val="000000"/>
                <w:kern w:val="0"/>
                <w:szCs w:val="21"/>
              </w:rPr>
              <w:t>1</w:t>
            </w:r>
          </w:p>
        </w:tc>
        <w:tc>
          <w:tcPr>
            <w:tcW w:w="1843" w:type="dxa"/>
            <w:vAlign w:val="center"/>
          </w:tcPr>
          <w:p w:rsidR="00261796" w:rsidRDefault="00905738">
            <w:pPr>
              <w:jc w:val="center"/>
            </w:pPr>
            <w:r>
              <w:rPr>
                <w:rFonts w:ascii="宋体" w:hAnsi="宋体"/>
                <w:bCs/>
                <w:color w:val="000000"/>
                <w:kern w:val="0"/>
                <w:szCs w:val="21"/>
              </w:rPr>
              <w:t>2018/1/1-2018/6/30</w:t>
            </w:r>
          </w:p>
        </w:tc>
        <w:tc>
          <w:tcPr>
            <w:tcW w:w="851" w:type="dxa"/>
            <w:vAlign w:val="center"/>
          </w:tcPr>
          <w:p w:rsidR="00261796" w:rsidRDefault="00905738">
            <w:pPr>
              <w:jc w:val="center"/>
            </w:pPr>
            <w:r>
              <w:rPr>
                <w:rFonts w:ascii="宋体" w:hAnsi="宋体"/>
                <w:bCs/>
                <w:color w:val="000000"/>
                <w:kern w:val="0"/>
                <w:szCs w:val="21"/>
              </w:rPr>
              <w:t>31,802,500.00</w:t>
            </w:r>
          </w:p>
        </w:tc>
        <w:tc>
          <w:tcPr>
            <w:tcW w:w="850" w:type="dxa"/>
            <w:vAlign w:val="center"/>
          </w:tcPr>
          <w:p w:rsidR="00261796" w:rsidRDefault="00905738">
            <w:pPr>
              <w:jc w:val="center"/>
            </w:pPr>
            <w:r>
              <w:rPr>
                <w:rFonts w:ascii="宋体" w:hAnsi="宋体"/>
                <w:bCs/>
                <w:color w:val="000000"/>
                <w:kern w:val="0"/>
                <w:szCs w:val="21"/>
              </w:rPr>
              <w:t>13,000,000.00</w:t>
            </w:r>
          </w:p>
        </w:tc>
        <w:tc>
          <w:tcPr>
            <w:tcW w:w="1134" w:type="dxa"/>
            <w:vAlign w:val="center"/>
          </w:tcPr>
          <w:p w:rsidR="00261796" w:rsidRDefault="00905738">
            <w:pPr>
              <w:jc w:val="center"/>
            </w:pPr>
            <w:r>
              <w:rPr>
                <w:rFonts w:ascii="宋体" w:hAnsi="宋体"/>
                <w:bCs/>
                <w:color w:val="000000"/>
                <w:kern w:val="0"/>
                <w:szCs w:val="21"/>
              </w:rPr>
              <w:t>9,000,000.00</w:t>
            </w:r>
          </w:p>
        </w:tc>
        <w:tc>
          <w:tcPr>
            <w:tcW w:w="1419" w:type="dxa"/>
            <w:vAlign w:val="center"/>
          </w:tcPr>
          <w:p w:rsidR="00261796" w:rsidRDefault="00905738">
            <w:pPr>
              <w:jc w:val="center"/>
            </w:pPr>
            <w:r>
              <w:rPr>
                <w:rFonts w:ascii="宋体" w:hAnsi="宋体"/>
                <w:bCs/>
                <w:color w:val="000000"/>
                <w:kern w:val="0"/>
                <w:szCs w:val="21"/>
              </w:rPr>
              <w:t>35,802,500.00</w:t>
            </w:r>
          </w:p>
        </w:tc>
        <w:tc>
          <w:tcPr>
            <w:tcW w:w="1130" w:type="dxa"/>
            <w:vAlign w:val="center"/>
          </w:tcPr>
          <w:p w:rsidR="00261796" w:rsidRDefault="00905738">
            <w:pPr>
              <w:jc w:val="center"/>
            </w:pPr>
            <w:r>
              <w:rPr>
                <w:rFonts w:ascii="宋体" w:hAnsi="宋体"/>
                <w:bCs/>
                <w:color w:val="000000"/>
                <w:kern w:val="0"/>
                <w:szCs w:val="21"/>
              </w:rPr>
              <w:t>93.41%</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547A0" w:rsidRPr="004F0662" w:rsidTr="00B86999">
        <w:tc>
          <w:tcPr>
            <w:tcW w:w="9212" w:type="dxa"/>
            <w:gridSpan w:val="8"/>
            <w:vAlign w:val="center"/>
          </w:tcPr>
          <w:p w:rsidR="005547A0" w:rsidRPr="004F0662" w:rsidRDefault="005547A0" w:rsidP="00B86999">
            <w:pPr>
              <w:autoSpaceDE w:val="0"/>
              <w:autoSpaceDN w:val="0"/>
              <w:adjustRightInd w:val="0"/>
              <w:jc w:val="left"/>
              <w:rPr>
                <w:rFonts w:ascii="宋体" w:hAnsi="宋体"/>
                <w:kern w:val="0"/>
                <w:szCs w:val="21"/>
              </w:rPr>
            </w:pPr>
            <w:r w:rsidRPr="004F0662">
              <w:rPr>
                <w:rFonts w:ascii="宋体" w:hAnsi="宋体" w:hint="eastAsia"/>
                <w:kern w:val="0"/>
                <w:szCs w:val="21"/>
              </w:rPr>
              <w:t>本基金是交银施罗德深证300价值交易型开放式指数证券投资基金联接基金的目标ETF。交银施罗德深证300价值交易型开放式指数证券投资基金联接基金遵循指数化投资理念，以目标ETF为主要投资对象，正常情况下投资于目标ETF的资产比例不低于基金资产净值的90%。本基金本报告期内除上述联接基金外未出现单一投资者持有基金份额比例超过基金总份额20%的情况。</w:t>
            </w:r>
          </w:p>
        </w:tc>
      </w:tr>
    </w:tbl>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261796" w:rsidRDefault="00905738">
      <w:pPr>
        <w:spacing w:line="360" w:lineRule="auto"/>
        <w:ind w:firstLineChars="200" w:firstLine="420"/>
        <w:rPr>
          <w:rFonts w:ascii="宋体" w:hAnsi="宋体"/>
          <w:color w:val="000000"/>
          <w:szCs w:val="21"/>
        </w:rPr>
      </w:pPr>
      <w:r>
        <w:rPr>
          <w:rFonts w:ascii="宋体" w:hAnsi="宋体"/>
          <w:color w:val="000000"/>
          <w:szCs w:val="21"/>
        </w:rPr>
        <w:t xml:space="preserve">1、本基金管理人依据国家税收法律、法规、规章及税收规范性文件的规定，对管理的基金产品运营过程中产生的应税收入，计提及缴纳增值税及附加税费，该部分税费由基金资产承担。详情请见有关公告。 </w:t>
      </w:r>
    </w:p>
    <w:p w:rsidR="005547A0" w:rsidRPr="00FD25AA" w:rsidRDefault="005547A0" w:rsidP="005547A0">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欲知详情请查阅本基金管理人于2018年3月22日发布的有关公告及法律文件。</w:t>
      </w:r>
    </w:p>
    <w:p w:rsidR="001548F9" w:rsidRPr="005C672D"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62" w:rsidRDefault="00E50662">
      <w:r>
        <w:separator/>
      </w:r>
    </w:p>
  </w:endnote>
  <w:endnote w:type="continuationSeparator" w:id="0">
    <w:p w:rsidR="00E50662" w:rsidRDefault="00E5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EB57AA"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EB57AA">
      <w:rPr>
        <w:kern w:val="0"/>
        <w:szCs w:val="21"/>
      </w:rPr>
      <w:fldChar w:fldCharType="begin"/>
    </w:r>
    <w:r>
      <w:rPr>
        <w:kern w:val="0"/>
        <w:szCs w:val="21"/>
      </w:rPr>
      <w:instrText xml:space="preserve"> PAGE </w:instrText>
    </w:r>
    <w:r w:rsidR="00EB57AA">
      <w:rPr>
        <w:kern w:val="0"/>
        <w:szCs w:val="21"/>
      </w:rPr>
      <w:fldChar w:fldCharType="separate"/>
    </w:r>
    <w:r w:rsidR="009E036A">
      <w:rPr>
        <w:noProof/>
        <w:kern w:val="0"/>
        <w:szCs w:val="21"/>
      </w:rPr>
      <w:t>27</w:t>
    </w:r>
    <w:r w:rsidR="00EB57AA">
      <w:rPr>
        <w:kern w:val="0"/>
        <w:szCs w:val="21"/>
      </w:rPr>
      <w:fldChar w:fldCharType="end"/>
    </w:r>
    <w:r>
      <w:rPr>
        <w:rFonts w:hint="eastAsia"/>
        <w:kern w:val="0"/>
        <w:szCs w:val="21"/>
      </w:rPr>
      <w:t>页共</w:t>
    </w:r>
    <w:r w:rsidR="00EB57AA">
      <w:rPr>
        <w:kern w:val="0"/>
        <w:szCs w:val="21"/>
      </w:rPr>
      <w:fldChar w:fldCharType="begin"/>
    </w:r>
    <w:r>
      <w:rPr>
        <w:kern w:val="0"/>
        <w:szCs w:val="21"/>
      </w:rPr>
      <w:instrText xml:space="preserve"> NUMPAGES </w:instrText>
    </w:r>
    <w:r w:rsidR="00EB57AA">
      <w:rPr>
        <w:kern w:val="0"/>
        <w:szCs w:val="21"/>
      </w:rPr>
      <w:fldChar w:fldCharType="separate"/>
    </w:r>
    <w:r w:rsidR="009E036A">
      <w:rPr>
        <w:noProof/>
        <w:kern w:val="0"/>
        <w:szCs w:val="21"/>
      </w:rPr>
      <w:t>30</w:t>
    </w:r>
    <w:r w:rsidR="00EB57AA">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62" w:rsidRDefault="00E50662">
      <w:r>
        <w:separator/>
      </w:r>
    </w:p>
  </w:footnote>
  <w:footnote w:type="continuationSeparator" w:id="0">
    <w:p w:rsidR="00E50662" w:rsidRDefault="00E50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深证</w:t>
    </w:r>
    <w:r w:rsidRPr="003B6CAA">
      <w:t>300</w:t>
    </w:r>
    <w:r w:rsidRPr="003B6CAA">
      <w:t>价值交易型开放式指数证券投资基金</w:t>
    </w:r>
    <w:r w:rsidRPr="003B6CAA">
      <w:t>2018</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796"/>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5738"/>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36A"/>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966"/>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0B"/>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16B4"/>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15EC"/>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382"/>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1CB8"/>
    <w:rsid w:val="00DA21CF"/>
    <w:rsid w:val="00DA23EB"/>
    <w:rsid w:val="00DA25ED"/>
    <w:rsid w:val="00DA2DE3"/>
    <w:rsid w:val="00DA3633"/>
    <w:rsid w:val="00DA36C8"/>
    <w:rsid w:val="00DA400B"/>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0662"/>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5B5C3A-1100-4A86-A6B0-5AE7274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D05C-912D-4EB6-9943-BBC9237E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30</Pages>
  <Words>3214</Words>
  <Characters>18320</Characters>
  <Application>Microsoft Office Word</Application>
  <DocSecurity>0</DocSecurity>
  <Lines>152</Lines>
  <Paragraphs>42</Paragraphs>
  <ScaleCrop>false</ScaleCrop>
  <Company/>
  <LinksUpToDate>false</LinksUpToDate>
  <CharactersWithSpaces>21492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1254</cp:revision>
  <cp:lastPrinted>2007-07-19T00:46:00Z</cp:lastPrinted>
  <dcterms:created xsi:type="dcterms:W3CDTF">2013-08-19T07:44:00Z</dcterms:created>
  <dcterms:modified xsi:type="dcterms:W3CDTF">2018-08-23T10:04:00Z</dcterms:modified>
</cp:coreProperties>
</file>