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交银施罗德信用添利债券证券投资基金（</w:t>
      </w:r>
      <w:r w:rsidRPr="005C672D">
        <w:rPr>
          <w:b/>
          <w:sz w:val="36"/>
          <w:szCs w:val="36"/>
        </w:rPr>
        <w:t>LOF</w:t>
      </w:r>
      <w:r w:rsidRPr="005C672D">
        <w:rPr>
          <w:b/>
          <w:sz w:val="36"/>
          <w:szCs w:val="36"/>
        </w:rPr>
        <w:t>）</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交银信用添利债券（</w:t>
            </w:r>
            <w:r w:rsidRPr="005C672D">
              <w:rPr>
                <w:sz w:val="24"/>
              </w:rPr>
              <w:t>LOF</w:t>
            </w:r>
            <w:r w:rsidRPr="005C672D">
              <w:rPr>
                <w:sz w:val="24"/>
              </w:rPr>
              <w:t>）</w:t>
            </w:r>
          </w:p>
        </w:tc>
      </w:tr>
      <w:tr w:rsidR="005914A2" w:rsidRPr="005C672D" w:rsidTr="005914A2">
        <w:tc>
          <w:tcPr>
            <w:tcW w:w="3607" w:type="dxa"/>
          </w:tcPr>
          <w:p w:rsidR="005914A2" w:rsidRPr="005C672D" w:rsidRDefault="005914A2" w:rsidP="00DB5718">
            <w:pPr>
              <w:spacing w:before="29" w:line="288" w:lineRule="auto"/>
              <w:jc w:val="left"/>
              <w:rPr>
                <w:szCs w:val="21"/>
              </w:rPr>
            </w:pPr>
            <w:r w:rsidRPr="005C672D">
              <w:rPr>
                <w:sz w:val="24"/>
              </w:rPr>
              <w:t>场内简称</w:t>
            </w:r>
          </w:p>
        </w:tc>
        <w:tc>
          <w:tcPr>
            <w:tcW w:w="5391" w:type="dxa"/>
            <w:gridSpan w:val="2"/>
            <w:vAlign w:val="center"/>
          </w:tcPr>
          <w:p w:rsidR="005914A2" w:rsidRPr="005C672D" w:rsidRDefault="005914A2" w:rsidP="00DB5718">
            <w:pPr>
              <w:spacing w:before="29" w:line="288" w:lineRule="auto"/>
              <w:jc w:val="center"/>
              <w:rPr>
                <w:sz w:val="24"/>
              </w:rPr>
            </w:pPr>
            <w:r w:rsidRPr="005C672D">
              <w:rPr>
                <w:sz w:val="24"/>
              </w:rPr>
              <w:t>交银添利</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164902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164902(</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164903(</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上市契约型开放式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134,397,717.83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4</w:t>
            </w:r>
            <w:r w:rsidRPr="005C672D">
              <w:rPr>
                <w:sz w:val="24"/>
              </w:rPr>
              <w:t>月</w:t>
            </w:r>
            <w:r w:rsidRPr="005C672D">
              <w:rPr>
                <w:sz w:val="24"/>
              </w:rPr>
              <w:t>20</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注：根据本基金《基金合同》及《招募说明书》的相关规定，本基金在基金合同生效之日起三年</w:t>
      </w:r>
      <w:r w:rsidRPr="005C672D">
        <w:rPr>
          <w:kern w:val="0"/>
          <w:sz w:val="24"/>
        </w:rPr>
        <w:t>(</w:t>
      </w:r>
      <w:r w:rsidRPr="005C672D">
        <w:rPr>
          <w:kern w:val="0"/>
          <w:sz w:val="24"/>
        </w:rPr>
        <w:t>含三年</w:t>
      </w:r>
      <w:r w:rsidRPr="005C672D">
        <w:rPr>
          <w:kern w:val="0"/>
          <w:sz w:val="24"/>
        </w:rPr>
        <w:t>)</w:t>
      </w:r>
      <w:r w:rsidRPr="005C672D">
        <w:rPr>
          <w:kern w:val="0"/>
          <w:sz w:val="24"/>
        </w:rPr>
        <w:t>的期间内，采取封闭式运作，在深圳证券交易所上市交易，封闭期结束后转为上市开放式基金（</w:t>
      </w:r>
      <w:r w:rsidRPr="005C672D">
        <w:rPr>
          <w:kern w:val="0"/>
          <w:sz w:val="24"/>
        </w:rPr>
        <w:t>LOF</w:t>
      </w:r>
      <w:r w:rsidRPr="005C672D">
        <w:rPr>
          <w:kern w:val="0"/>
          <w:sz w:val="24"/>
        </w:rPr>
        <w:t>）。本基金封闭期自</w:t>
      </w:r>
      <w:r w:rsidRPr="005C672D">
        <w:rPr>
          <w:kern w:val="0"/>
          <w:sz w:val="24"/>
        </w:rPr>
        <w:t>2011</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w:t>
      </w:r>
      <w:r w:rsidRPr="005C672D">
        <w:rPr>
          <w:kern w:val="0"/>
          <w:sz w:val="24"/>
        </w:rPr>
        <w:t>(</w:t>
      </w:r>
      <w:r w:rsidRPr="005C672D">
        <w:rPr>
          <w:kern w:val="0"/>
          <w:sz w:val="24"/>
        </w:rPr>
        <w:t>基金合同生效日</w:t>
      </w:r>
      <w:r w:rsidRPr="005C672D">
        <w:rPr>
          <w:kern w:val="0"/>
          <w:sz w:val="24"/>
        </w:rPr>
        <w:t>)</w:t>
      </w:r>
      <w:r w:rsidRPr="005C672D">
        <w:rPr>
          <w:kern w:val="0"/>
          <w:sz w:val="24"/>
        </w:rPr>
        <w:t>起至</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27</w:t>
      </w:r>
      <w:r w:rsidRPr="005C672D">
        <w:rPr>
          <w:kern w:val="0"/>
          <w:sz w:val="24"/>
        </w:rPr>
        <w:t>日止，自</w:t>
      </w:r>
      <w:r w:rsidRPr="005C672D">
        <w:rPr>
          <w:kern w:val="0"/>
          <w:sz w:val="24"/>
        </w:rPr>
        <w:t>2014</w:t>
      </w:r>
      <w:r w:rsidRPr="005C672D">
        <w:rPr>
          <w:kern w:val="0"/>
          <w:sz w:val="24"/>
        </w:rPr>
        <w:t>年</w:t>
      </w:r>
      <w:r w:rsidRPr="005C672D">
        <w:rPr>
          <w:kern w:val="0"/>
          <w:sz w:val="24"/>
        </w:rPr>
        <w:t>1</w:t>
      </w:r>
      <w:r w:rsidRPr="005C672D">
        <w:rPr>
          <w:kern w:val="0"/>
          <w:sz w:val="24"/>
        </w:rPr>
        <w:t>月</w:t>
      </w:r>
      <w:r w:rsidRPr="005C672D">
        <w:rPr>
          <w:kern w:val="0"/>
          <w:sz w:val="24"/>
        </w:rPr>
        <w:t>28</w:t>
      </w:r>
      <w:r w:rsidRPr="005C672D">
        <w:rPr>
          <w:kern w:val="0"/>
          <w:sz w:val="24"/>
        </w:rPr>
        <w:t>日起基金运作方式转为</w:t>
      </w:r>
      <w:r w:rsidRPr="005C672D">
        <w:rPr>
          <w:kern w:val="0"/>
          <w:sz w:val="24"/>
        </w:rPr>
        <w:t>“</w:t>
      </w:r>
      <w:r w:rsidRPr="005C672D">
        <w:rPr>
          <w:kern w:val="0"/>
          <w:sz w:val="24"/>
        </w:rPr>
        <w:t>上市契约型开放式</w:t>
      </w:r>
      <w:r w:rsidRPr="005C672D">
        <w:rPr>
          <w:kern w:val="0"/>
          <w:sz w:val="24"/>
        </w:rPr>
        <w:t>”</w:t>
      </w:r>
      <w:r w:rsidRPr="005C672D">
        <w:rPr>
          <w:kern w:val="0"/>
          <w:sz w:val="24"/>
        </w:rPr>
        <w:t>，并于同日起开放本基金的申购、赎回业务。本基金在募集期仅开通前端基金份额的认购，转为上市开放式基金（</w:t>
      </w:r>
      <w:r w:rsidRPr="005C672D">
        <w:rPr>
          <w:kern w:val="0"/>
          <w:sz w:val="24"/>
        </w:rPr>
        <w:t>LOF</w:t>
      </w:r>
      <w:r w:rsidRPr="005C672D">
        <w:rPr>
          <w:kern w:val="0"/>
          <w:sz w:val="24"/>
        </w:rPr>
        <w:t>）后同时开通前端基金份额和后端基金份额的申购和赎回。</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w:t>
            </w:r>
            <w:r w:rsidRPr="005C672D">
              <w:rPr>
                <w:sz w:val="24"/>
              </w:rPr>
              <w:lastRenderedPageBreak/>
              <w:t>征保持不变前提下的基金资产增值最大化。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lastRenderedPageBreak/>
              <w:t>业绩比较基准</w:t>
            </w:r>
          </w:p>
        </w:tc>
        <w:tc>
          <w:tcPr>
            <w:tcW w:w="6873" w:type="dxa"/>
            <w:vAlign w:val="center"/>
          </w:tcPr>
          <w:p w:rsidR="001548F9" w:rsidRPr="005C672D" w:rsidRDefault="001548F9" w:rsidP="00AC6DDA">
            <w:pPr>
              <w:spacing w:before="29" w:line="288" w:lineRule="auto"/>
              <w:rPr>
                <w:sz w:val="24"/>
              </w:rPr>
            </w:pPr>
            <w:r w:rsidRPr="005C672D">
              <w:rPr>
                <w:sz w:val="24"/>
              </w:rPr>
              <w:t>80%×</w:t>
            </w:r>
            <w:r w:rsidRPr="005C672D">
              <w:rPr>
                <w:sz w:val="24"/>
              </w:rPr>
              <w:t>中债企业债总全价指数收益率</w:t>
            </w:r>
            <w:r w:rsidRPr="005C672D">
              <w:rPr>
                <w:sz w:val="24"/>
              </w:rPr>
              <w:t>+20%×</w:t>
            </w:r>
            <w:r w:rsidRPr="005C672D">
              <w:rPr>
                <w:sz w:val="24"/>
              </w:rPr>
              <w:t>中债国债总全价指数收益率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本基金是一只债券型基金，属于证券投资基金中中等风险的品种，其长期平均的预期收益和风险高于货币市场基金，低于混合型基金和股票型基金。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3,449,420.02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5,804,225.67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0.0397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2.75%</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lastRenderedPageBreak/>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190,779,070.19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1.420</w:t>
            </w:r>
          </w:p>
        </w:tc>
      </w:tr>
    </w:tbl>
    <w:bookmarkEnd w:id="13"/>
    <w:bookmarkEnd w:id="14"/>
    <w:p w:rsidR="000C0699" w:rsidRDefault="0081685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0C0699">
        <w:tc>
          <w:tcPr>
            <w:tcW w:w="1497" w:type="dxa"/>
            <w:vAlign w:val="center"/>
          </w:tcPr>
          <w:p w:rsidR="000C0699" w:rsidRDefault="00816858">
            <w:pPr>
              <w:jc w:val="left"/>
            </w:pPr>
            <w:r>
              <w:rPr>
                <w:color w:val="000000"/>
                <w:sz w:val="24"/>
              </w:rPr>
              <w:t>过去一个月</w:t>
            </w:r>
          </w:p>
        </w:tc>
        <w:tc>
          <w:tcPr>
            <w:tcW w:w="1251" w:type="dxa"/>
            <w:vAlign w:val="center"/>
          </w:tcPr>
          <w:p w:rsidR="000C0699" w:rsidRDefault="00816858">
            <w:pPr>
              <w:jc w:val="center"/>
            </w:pPr>
            <w:r>
              <w:rPr>
                <w:color w:val="000000"/>
                <w:sz w:val="24"/>
              </w:rPr>
              <w:t>0.28%</w:t>
            </w:r>
          </w:p>
        </w:tc>
        <w:tc>
          <w:tcPr>
            <w:tcW w:w="1250" w:type="dxa"/>
            <w:vAlign w:val="center"/>
          </w:tcPr>
          <w:p w:rsidR="000C0699" w:rsidRDefault="00816858">
            <w:pPr>
              <w:jc w:val="center"/>
            </w:pPr>
            <w:r>
              <w:rPr>
                <w:color w:val="000000"/>
                <w:sz w:val="24"/>
              </w:rPr>
              <w:t>0.07%</w:t>
            </w:r>
          </w:p>
        </w:tc>
        <w:tc>
          <w:tcPr>
            <w:tcW w:w="1250" w:type="dxa"/>
            <w:vAlign w:val="center"/>
          </w:tcPr>
          <w:p w:rsidR="000C0699" w:rsidRDefault="00816858">
            <w:pPr>
              <w:jc w:val="center"/>
            </w:pPr>
            <w:r>
              <w:rPr>
                <w:color w:val="000000"/>
                <w:sz w:val="24"/>
              </w:rPr>
              <w:t>-0.05%</w:t>
            </w:r>
          </w:p>
        </w:tc>
        <w:tc>
          <w:tcPr>
            <w:tcW w:w="1250" w:type="dxa"/>
            <w:vAlign w:val="center"/>
          </w:tcPr>
          <w:p w:rsidR="000C0699" w:rsidRDefault="00816858">
            <w:pPr>
              <w:jc w:val="center"/>
            </w:pPr>
            <w:r>
              <w:rPr>
                <w:color w:val="000000"/>
                <w:sz w:val="24"/>
              </w:rPr>
              <w:t>0.04%</w:t>
            </w:r>
          </w:p>
        </w:tc>
        <w:tc>
          <w:tcPr>
            <w:tcW w:w="1250" w:type="dxa"/>
            <w:vAlign w:val="center"/>
          </w:tcPr>
          <w:p w:rsidR="000C0699" w:rsidRDefault="00816858">
            <w:pPr>
              <w:jc w:val="center"/>
            </w:pPr>
            <w:r>
              <w:rPr>
                <w:color w:val="000000"/>
                <w:sz w:val="24"/>
              </w:rPr>
              <w:t>0.33%</w:t>
            </w:r>
          </w:p>
        </w:tc>
        <w:tc>
          <w:tcPr>
            <w:tcW w:w="1250" w:type="dxa"/>
            <w:vAlign w:val="center"/>
          </w:tcPr>
          <w:p w:rsidR="000C0699" w:rsidRDefault="00816858">
            <w:pPr>
              <w:jc w:val="center"/>
            </w:pPr>
            <w:r>
              <w:rPr>
                <w:color w:val="000000"/>
                <w:sz w:val="24"/>
              </w:rPr>
              <w:t>0.03%</w:t>
            </w:r>
          </w:p>
        </w:tc>
      </w:tr>
      <w:tr w:rsidR="000C0699">
        <w:tc>
          <w:tcPr>
            <w:tcW w:w="1497" w:type="dxa"/>
            <w:vAlign w:val="center"/>
          </w:tcPr>
          <w:p w:rsidR="000C0699" w:rsidRDefault="00816858">
            <w:pPr>
              <w:jc w:val="left"/>
            </w:pPr>
            <w:r>
              <w:rPr>
                <w:color w:val="000000"/>
                <w:sz w:val="24"/>
              </w:rPr>
              <w:t>过去三个月</w:t>
            </w:r>
          </w:p>
        </w:tc>
        <w:tc>
          <w:tcPr>
            <w:tcW w:w="1251" w:type="dxa"/>
            <w:vAlign w:val="center"/>
          </w:tcPr>
          <w:p w:rsidR="000C0699" w:rsidRDefault="00816858">
            <w:pPr>
              <w:jc w:val="center"/>
            </w:pPr>
            <w:r>
              <w:rPr>
                <w:color w:val="000000"/>
                <w:sz w:val="24"/>
              </w:rPr>
              <w:t>0.64%</w:t>
            </w:r>
          </w:p>
        </w:tc>
        <w:tc>
          <w:tcPr>
            <w:tcW w:w="1250" w:type="dxa"/>
            <w:vAlign w:val="center"/>
          </w:tcPr>
          <w:p w:rsidR="000C0699" w:rsidRDefault="00816858">
            <w:pPr>
              <w:jc w:val="center"/>
            </w:pPr>
            <w:r>
              <w:rPr>
                <w:color w:val="000000"/>
                <w:sz w:val="24"/>
              </w:rPr>
              <w:t>0.10%</w:t>
            </w:r>
          </w:p>
        </w:tc>
        <w:tc>
          <w:tcPr>
            <w:tcW w:w="1250" w:type="dxa"/>
            <w:vAlign w:val="center"/>
          </w:tcPr>
          <w:p w:rsidR="000C0699" w:rsidRDefault="00816858">
            <w:pPr>
              <w:jc w:val="center"/>
            </w:pPr>
            <w:r>
              <w:rPr>
                <w:color w:val="000000"/>
                <w:sz w:val="24"/>
              </w:rPr>
              <w:t>-0.06%</w:t>
            </w:r>
          </w:p>
        </w:tc>
        <w:tc>
          <w:tcPr>
            <w:tcW w:w="1250" w:type="dxa"/>
            <w:vAlign w:val="center"/>
          </w:tcPr>
          <w:p w:rsidR="000C0699" w:rsidRDefault="00816858">
            <w:pPr>
              <w:jc w:val="center"/>
            </w:pPr>
            <w:r>
              <w:rPr>
                <w:color w:val="000000"/>
                <w:sz w:val="24"/>
              </w:rPr>
              <w:t>0.08%</w:t>
            </w:r>
          </w:p>
        </w:tc>
        <w:tc>
          <w:tcPr>
            <w:tcW w:w="1250" w:type="dxa"/>
            <w:vAlign w:val="center"/>
          </w:tcPr>
          <w:p w:rsidR="000C0699" w:rsidRDefault="00816858">
            <w:pPr>
              <w:jc w:val="center"/>
            </w:pPr>
            <w:r>
              <w:rPr>
                <w:color w:val="000000"/>
                <w:sz w:val="24"/>
              </w:rPr>
              <w:t>0.70%</w:t>
            </w:r>
          </w:p>
        </w:tc>
        <w:tc>
          <w:tcPr>
            <w:tcW w:w="1250" w:type="dxa"/>
            <w:vAlign w:val="center"/>
          </w:tcPr>
          <w:p w:rsidR="000C0699" w:rsidRDefault="00816858">
            <w:pPr>
              <w:jc w:val="center"/>
            </w:pPr>
            <w:r>
              <w:rPr>
                <w:color w:val="000000"/>
                <w:sz w:val="24"/>
              </w:rPr>
              <w:t>0.02%</w:t>
            </w:r>
          </w:p>
        </w:tc>
      </w:tr>
      <w:tr w:rsidR="000C0699">
        <w:tc>
          <w:tcPr>
            <w:tcW w:w="1497" w:type="dxa"/>
            <w:vAlign w:val="center"/>
          </w:tcPr>
          <w:p w:rsidR="000C0699" w:rsidRDefault="00816858">
            <w:pPr>
              <w:jc w:val="left"/>
            </w:pPr>
            <w:r>
              <w:rPr>
                <w:color w:val="000000"/>
                <w:sz w:val="24"/>
              </w:rPr>
              <w:t>过去六个月</w:t>
            </w:r>
          </w:p>
        </w:tc>
        <w:tc>
          <w:tcPr>
            <w:tcW w:w="1251" w:type="dxa"/>
            <w:vAlign w:val="center"/>
          </w:tcPr>
          <w:p w:rsidR="000C0699" w:rsidRDefault="00816858">
            <w:pPr>
              <w:jc w:val="center"/>
            </w:pPr>
            <w:r>
              <w:rPr>
                <w:color w:val="000000"/>
                <w:sz w:val="24"/>
              </w:rPr>
              <w:t>2.75%</w:t>
            </w:r>
          </w:p>
        </w:tc>
        <w:tc>
          <w:tcPr>
            <w:tcW w:w="1250" w:type="dxa"/>
            <w:vAlign w:val="center"/>
          </w:tcPr>
          <w:p w:rsidR="000C0699" w:rsidRDefault="00816858">
            <w:pPr>
              <w:jc w:val="center"/>
            </w:pPr>
            <w:r>
              <w:rPr>
                <w:color w:val="000000"/>
                <w:sz w:val="24"/>
              </w:rPr>
              <w:t>0.11%</w:t>
            </w:r>
          </w:p>
        </w:tc>
        <w:tc>
          <w:tcPr>
            <w:tcW w:w="1250" w:type="dxa"/>
            <w:vAlign w:val="center"/>
          </w:tcPr>
          <w:p w:rsidR="000C0699" w:rsidRDefault="00816858">
            <w:pPr>
              <w:jc w:val="center"/>
            </w:pPr>
            <w:r>
              <w:rPr>
                <w:color w:val="000000"/>
                <w:sz w:val="24"/>
              </w:rPr>
              <w:t>0.54%</w:t>
            </w:r>
          </w:p>
        </w:tc>
        <w:tc>
          <w:tcPr>
            <w:tcW w:w="1250" w:type="dxa"/>
            <w:vAlign w:val="center"/>
          </w:tcPr>
          <w:p w:rsidR="000C0699" w:rsidRDefault="00816858">
            <w:pPr>
              <w:jc w:val="center"/>
            </w:pPr>
            <w:r>
              <w:rPr>
                <w:color w:val="000000"/>
                <w:sz w:val="24"/>
              </w:rPr>
              <w:t>0.06%</w:t>
            </w:r>
          </w:p>
        </w:tc>
        <w:tc>
          <w:tcPr>
            <w:tcW w:w="1250" w:type="dxa"/>
            <w:vAlign w:val="center"/>
          </w:tcPr>
          <w:p w:rsidR="000C0699" w:rsidRDefault="00816858">
            <w:pPr>
              <w:jc w:val="center"/>
            </w:pPr>
            <w:r>
              <w:rPr>
                <w:color w:val="000000"/>
                <w:sz w:val="24"/>
              </w:rPr>
              <w:t>2.21%</w:t>
            </w:r>
          </w:p>
        </w:tc>
        <w:tc>
          <w:tcPr>
            <w:tcW w:w="1250" w:type="dxa"/>
            <w:vAlign w:val="center"/>
          </w:tcPr>
          <w:p w:rsidR="000C0699" w:rsidRDefault="00816858">
            <w:pPr>
              <w:jc w:val="center"/>
            </w:pPr>
            <w:r>
              <w:rPr>
                <w:color w:val="000000"/>
                <w:sz w:val="24"/>
              </w:rPr>
              <w:t>0.05%</w:t>
            </w:r>
          </w:p>
        </w:tc>
      </w:tr>
      <w:tr w:rsidR="000C0699">
        <w:tc>
          <w:tcPr>
            <w:tcW w:w="1497" w:type="dxa"/>
            <w:vAlign w:val="center"/>
          </w:tcPr>
          <w:p w:rsidR="000C0699" w:rsidRDefault="00816858">
            <w:pPr>
              <w:jc w:val="left"/>
            </w:pPr>
            <w:r>
              <w:rPr>
                <w:color w:val="000000"/>
                <w:sz w:val="24"/>
              </w:rPr>
              <w:t>过去一年</w:t>
            </w:r>
          </w:p>
        </w:tc>
        <w:tc>
          <w:tcPr>
            <w:tcW w:w="1251" w:type="dxa"/>
            <w:vAlign w:val="center"/>
          </w:tcPr>
          <w:p w:rsidR="000C0699" w:rsidRDefault="00816858">
            <w:pPr>
              <w:jc w:val="center"/>
            </w:pPr>
            <w:r>
              <w:rPr>
                <w:color w:val="000000"/>
                <w:sz w:val="24"/>
              </w:rPr>
              <w:t>3.65%</w:t>
            </w:r>
          </w:p>
        </w:tc>
        <w:tc>
          <w:tcPr>
            <w:tcW w:w="1250" w:type="dxa"/>
            <w:vAlign w:val="center"/>
          </w:tcPr>
          <w:p w:rsidR="000C0699" w:rsidRDefault="00816858">
            <w:pPr>
              <w:jc w:val="center"/>
            </w:pPr>
            <w:r>
              <w:rPr>
                <w:color w:val="000000"/>
                <w:sz w:val="24"/>
              </w:rPr>
              <w:t>0.09%</w:t>
            </w:r>
          </w:p>
        </w:tc>
        <w:tc>
          <w:tcPr>
            <w:tcW w:w="1250" w:type="dxa"/>
            <w:vAlign w:val="center"/>
          </w:tcPr>
          <w:p w:rsidR="000C0699" w:rsidRDefault="00816858">
            <w:pPr>
              <w:jc w:val="center"/>
            </w:pPr>
            <w:r>
              <w:rPr>
                <w:color w:val="000000"/>
                <w:sz w:val="24"/>
              </w:rPr>
              <w:t>-2.44%</w:t>
            </w:r>
          </w:p>
        </w:tc>
        <w:tc>
          <w:tcPr>
            <w:tcW w:w="1250" w:type="dxa"/>
            <w:vAlign w:val="center"/>
          </w:tcPr>
          <w:p w:rsidR="000C0699" w:rsidRDefault="00816858">
            <w:pPr>
              <w:jc w:val="center"/>
            </w:pPr>
            <w:r>
              <w:rPr>
                <w:color w:val="000000"/>
                <w:sz w:val="24"/>
              </w:rPr>
              <w:t>0.06%</w:t>
            </w:r>
          </w:p>
        </w:tc>
        <w:tc>
          <w:tcPr>
            <w:tcW w:w="1250" w:type="dxa"/>
            <w:vAlign w:val="center"/>
          </w:tcPr>
          <w:p w:rsidR="000C0699" w:rsidRDefault="00816858">
            <w:pPr>
              <w:jc w:val="center"/>
            </w:pPr>
            <w:r>
              <w:rPr>
                <w:color w:val="000000"/>
                <w:sz w:val="24"/>
              </w:rPr>
              <w:t>6.09%</w:t>
            </w:r>
          </w:p>
        </w:tc>
        <w:tc>
          <w:tcPr>
            <w:tcW w:w="1250" w:type="dxa"/>
            <w:vAlign w:val="center"/>
          </w:tcPr>
          <w:p w:rsidR="000C0699" w:rsidRDefault="00816858">
            <w:pPr>
              <w:jc w:val="center"/>
            </w:pPr>
            <w:r>
              <w:rPr>
                <w:color w:val="000000"/>
                <w:sz w:val="24"/>
              </w:rPr>
              <w:t>0.03%</w:t>
            </w:r>
          </w:p>
        </w:tc>
      </w:tr>
      <w:tr w:rsidR="000C0699">
        <w:tc>
          <w:tcPr>
            <w:tcW w:w="1497" w:type="dxa"/>
            <w:vAlign w:val="center"/>
          </w:tcPr>
          <w:p w:rsidR="000C0699" w:rsidRDefault="00816858">
            <w:pPr>
              <w:jc w:val="left"/>
            </w:pPr>
            <w:r>
              <w:rPr>
                <w:color w:val="000000"/>
                <w:sz w:val="24"/>
              </w:rPr>
              <w:t>过去三年</w:t>
            </w:r>
          </w:p>
        </w:tc>
        <w:tc>
          <w:tcPr>
            <w:tcW w:w="1251" w:type="dxa"/>
            <w:vAlign w:val="center"/>
          </w:tcPr>
          <w:p w:rsidR="000C0699" w:rsidRDefault="00816858">
            <w:pPr>
              <w:jc w:val="center"/>
            </w:pPr>
            <w:r>
              <w:rPr>
                <w:color w:val="000000"/>
                <w:sz w:val="24"/>
              </w:rPr>
              <w:t>12.34%</w:t>
            </w:r>
          </w:p>
        </w:tc>
        <w:tc>
          <w:tcPr>
            <w:tcW w:w="1250" w:type="dxa"/>
            <w:vAlign w:val="center"/>
          </w:tcPr>
          <w:p w:rsidR="000C0699" w:rsidRDefault="00816858">
            <w:pPr>
              <w:jc w:val="center"/>
            </w:pPr>
            <w:r>
              <w:rPr>
                <w:color w:val="000000"/>
                <w:sz w:val="24"/>
              </w:rPr>
              <w:t>0.10%</w:t>
            </w:r>
          </w:p>
        </w:tc>
        <w:tc>
          <w:tcPr>
            <w:tcW w:w="1250" w:type="dxa"/>
            <w:vAlign w:val="center"/>
          </w:tcPr>
          <w:p w:rsidR="000C0699" w:rsidRDefault="00816858">
            <w:pPr>
              <w:jc w:val="center"/>
            </w:pPr>
            <w:r>
              <w:rPr>
                <w:color w:val="000000"/>
                <w:sz w:val="24"/>
              </w:rPr>
              <w:t>-12.87%</w:t>
            </w:r>
          </w:p>
        </w:tc>
        <w:tc>
          <w:tcPr>
            <w:tcW w:w="1250" w:type="dxa"/>
            <w:vAlign w:val="center"/>
          </w:tcPr>
          <w:p w:rsidR="000C0699" w:rsidRDefault="00816858">
            <w:pPr>
              <w:jc w:val="center"/>
            </w:pPr>
            <w:r>
              <w:rPr>
                <w:color w:val="000000"/>
                <w:sz w:val="24"/>
              </w:rPr>
              <w:t>0.09%</w:t>
            </w:r>
          </w:p>
        </w:tc>
        <w:tc>
          <w:tcPr>
            <w:tcW w:w="1250" w:type="dxa"/>
            <w:vAlign w:val="center"/>
          </w:tcPr>
          <w:p w:rsidR="000C0699" w:rsidRDefault="00816858">
            <w:pPr>
              <w:jc w:val="center"/>
            </w:pPr>
            <w:r>
              <w:rPr>
                <w:color w:val="000000"/>
                <w:sz w:val="24"/>
              </w:rPr>
              <w:t>25.21%</w:t>
            </w:r>
          </w:p>
        </w:tc>
        <w:tc>
          <w:tcPr>
            <w:tcW w:w="1250" w:type="dxa"/>
            <w:vAlign w:val="center"/>
          </w:tcPr>
          <w:p w:rsidR="000C0699" w:rsidRDefault="00816858">
            <w:pPr>
              <w:jc w:val="center"/>
            </w:pPr>
            <w:r>
              <w:rPr>
                <w:color w:val="000000"/>
                <w:sz w:val="24"/>
              </w:rPr>
              <w:t>0.01%</w:t>
            </w:r>
          </w:p>
        </w:tc>
      </w:tr>
      <w:tr w:rsidR="000C0699">
        <w:tc>
          <w:tcPr>
            <w:tcW w:w="1497" w:type="dxa"/>
            <w:vAlign w:val="center"/>
          </w:tcPr>
          <w:p w:rsidR="000C0699" w:rsidRDefault="00816858">
            <w:pPr>
              <w:jc w:val="left"/>
            </w:pPr>
            <w:r>
              <w:rPr>
                <w:color w:val="000000"/>
                <w:sz w:val="24"/>
              </w:rPr>
              <w:t>自基金合同生效起至今</w:t>
            </w:r>
          </w:p>
        </w:tc>
        <w:tc>
          <w:tcPr>
            <w:tcW w:w="1251" w:type="dxa"/>
            <w:vAlign w:val="center"/>
          </w:tcPr>
          <w:p w:rsidR="000C0699" w:rsidRDefault="00816858">
            <w:pPr>
              <w:jc w:val="center"/>
            </w:pPr>
            <w:r>
              <w:rPr>
                <w:color w:val="000000"/>
                <w:sz w:val="24"/>
              </w:rPr>
              <w:t>57.78%</w:t>
            </w:r>
          </w:p>
        </w:tc>
        <w:tc>
          <w:tcPr>
            <w:tcW w:w="1250" w:type="dxa"/>
            <w:vAlign w:val="center"/>
          </w:tcPr>
          <w:p w:rsidR="000C0699" w:rsidRDefault="00816858">
            <w:pPr>
              <w:jc w:val="center"/>
            </w:pPr>
            <w:r>
              <w:rPr>
                <w:color w:val="000000"/>
                <w:sz w:val="24"/>
              </w:rPr>
              <w:t>0.25%</w:t>
            </w:r>
          </w:p>
        </w:tc>
        <w:tc>
          <w:tcPr>
            <w:tcW w:w="1250" w:type="dxa"/>
            <w:vAlign w:val="center"/>
          </w:tcPr>
          <w:p w:rsidR="000C0699" w:rsidRDefault="00816858">
            <w:pPr>
              <w:jc w:val="center"/>
            </w:pPr>
            <w:r>
              <w:rPr>
                <w:color w:val="000000"/>
                <w:sz w:val="24"/>
              </w:rPr>
              <w:t>-8.48%</w:t>
            </w:r>
          </w:p>
        </w:tc>
        <w:tc>
          <w:tcPr>
            <w:tcW w:w="1250" w:type="dxa"/>
            <w:vAlign w:val="center"/>
          </w:tcPr>
          <w:p w:rsidR="000C0699" w:rsidRDefault="00816858">
            <w:pPr>
              <w:jc w:val="center"/>
            </w:pPr>
            <w:r>
              <w:rPr>
                <w:color w:val="000000"/>
                <w:sz w:val="24"/>
              </w:rPr>
              <w:t>0.10%</w:t>
            </w:r>
          </w:p>
        </w:tc>
        <w:tc>
          <w:tcPr>
            <w:tcW w:w="1250" w:type="dxa"/>
            <w:vAlign w:val="center"/>
          </w:tcPr>
          <w:p w:rsidR="000C0699" w:rsidRDefault="00816858">
            <w:pPr>
              <w:jc w:val="center"/>
            </w:pPr>
            <w:r>
              <w:rPr>
                <w:color w:val="000000"/>
                <w:sz w:val="24"/>
              </w:rPr>
              <w:t>66.26%</w:t>
            </w:r>
          </w:p>
        </w:tc>
        <w:tc>
          <w:tcPr>
            <w:tcW w:w="1250" w:type="dxa"/>
            <w:vAlign w:val="center"/>
          </w:tcPr>
          <w:p w:rsidR="000C0699" w:rsidRDefault="00816858">
            <w:pPr>
              <w:jc w:val="center"/>
            </w:pPr>
            <w:r>
              <w:rPr>
                <w:color w:val="000000"/>
                <w:sz w:val="24"/>
              </w:rPr>
              <w:t>0.15%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80%×</w:t>
      </w:r>
      <w:r w:rsidRPr="005C672D">
        <w:rPr>
          <w:kern w:val="0"/>
          <w:sz w:val="24"/>
        </w:rPr>
        <w:t>中债企业债总全价指数收益率</w:t>
      </w:r>
      <w:r w:rsidRPr="005C672D">
        <w:rPr>
          <w:kern w:val="0"/>
          <w:sz w:val="24"/>
        </w:rPr>
        <w:t>+20%×</w:t>
      </w:r>
      <w:r w:rsidRPr="005C672D">
        <w:rPr>
          <w:kern w:val="0"/>
          <w:sz w:val="24"/>
        </w:rPr>
        <w:t>中债国债总全价指数收益率，每日进行再平衡过程。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1</w:t>
      </w:r>
      <w:r w:rsidR="001548F9" w:rsidRPr="005C672D">
        <w:rPr>
          <w:rFonts w:ascii="Times New Roman" w:hAnsi="Times New Roman"/>
          <w:sz w:val="24"/>
          <w:szCs w:val="24"/>
        </w:rPr>
        <w:t>月</w:t>
      </w:r>
      <w:r w:rsidR="001548F9" w:rsidRPr="005C672D">
        <w:rPr>
          <w:rFonts w:ascii="Times New Roman" w:hAnsi="Times New Roman"/>
          <w:sz w:val="24"/>
          <w:szCs w:val="24"/>
        </w:rPr>
        <w:t>27</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0C0699" w:rsidRDefault="0081685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0C0699">
        <w:tc>
          <w:tcPr>
            <w:tcW w:w="1033" w:type="dxa"/>
            <w:vAlign w:val="center"/>
          </w:tcPr>
          <w:p w:rsidR="000C0699" w:rsidRDefault="00816858">
            <w:pPr>
              <w:jc w:val="center"/>
            </w:pPr>
            <w:r>
              <w:rPr>
                <w:color w:val="000000"/>
                <w:sz w:val="24"/>
              </w:rPr>
              <w:t>唐赟</w:t>
            </w:r>
          </w:p>
        </w:tc>
        <w:tc>
          <w:tcPr>
            <w:tcW w:w="1416" w:type="dxa"/>
            <w:vAlign w:val="center"/>
          </w:tcPr>
          <w:p w:rsidR="000C0699" w:rsidRDefault="00816858">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126" w:type="dxa"/>
            <w:vAlign w:val="center"/>
          </w:tcPr>
          <w:p w:rsidR="000C0699" w:rsidRDefault="00816858">
            <w:pPr>
              <w:jc w:val="center"/>
            </w:pPr>
            <w:r>
              <w:rPr>
                <w:color w:val="000000"/>
                <w:sz w:val="24"/>
              </w:rPr>
              <w:t>2015-08-04</w:t>
            </w:r>
          </w:p>
        </w:tc>
        <w:tc>
          <w:tcPr>
            <w:tcW w:w="1192" w:type="dxa"/>
            <w:vAlign w:val="center"/>
          </w:tcPr>
          <w:p w:rsidR="000C0699" w:rsidRDefault="00816858">
            <w:pPr>
              <w:jc w:val="center"/>
            </w:pPr>
            <w:r>
              <w:rPr>
                <w:color w:val="000000"/>
                <w:sz w:val="24"/>
              </w:rPr>
              <w:t>-</w:t>
            </w:r>
          </w:p>
        </w:tc>
        <w:tc>
          <w:tcPr>
            <w:tcW w:w="1169" w:type="dxa"/>
            <w:vAlign w:val="center"/>
          </w:tcPr>
          <w:p w:rsidR="000C0699" w:rsidRDefault="00816858">
            <w:pPr>
              <w:jc w:val="center"/>
            </w:pPr>
            <w:r>
              <w:rPr>
                <w:color w:val="000000"/>
                <w:sz w:val="24"/>
              </w:rPr>
              <w:t>6</w:t>
            </w:r>
            <w:r>
              <w:rPr>
                <w:color w:val="000000"/>
                <w:sz w:val="24"/>
              </w:rPr>
              <w:t>年</w:t>
            </w:r>
          </w:p>
        </w:tc>
        <w:tc>
          <w:tcPr>
            <w:tcW w:w="3062" w:type="dxa"/>
            <w:vAlign w:val="center"/>
          </w:tcPr>
          <w:p w:rsidR="000C0699" w:rsidRDefault="00816858">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bl>
    <w:p w:rsidR="000C0699" w:rsidRDefault="0081685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C0699" w:rsidRDefault="0081685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r w:rsidRPr="005C672D">
        <w:rPr>
          <w:kern w:val="0"/>
          <w:sz w:val="24"/>
        </w:rPr>
        <w:t xml:space="preserve"> </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0C0699" w:rsidRDefault="0081685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0C0699" w:rsidRDefault="0081685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0699" w:rsidRDefault="0081685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0699" w:rsidRDefault="0081685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0C0699" w:rsidRDefault="00816858">
      <w:pPr>
        <w:spacing w:before="29" w:line="288" w:lineRule="auto"/>
        <w:ind w:firstLineChars="200" w:firstLine="480"/>
        <w:rPr>
          <w:color w:val="000000"/>
          <w:sz w:val="24"/>
        </w:rPr>
      </w:pPr>
      <w:r>
        <w:rPr>
          <w:color w:val="000000"/>
          <w:sz w:val="24"/>
        </w:rPr>
        <w:t>今年以来经济呈现出明显的</w:t>
      </w:r>
      <w:r>
        <w:rPr>
          <w:color w:val="000000"/>
          <w:sz w:val="24"/>
        </w:rPr>
        <w:t>“</w:t>
      </w:r>
      <w:r>
        <w:rPr>
          <w:color w:val="000000"/>
          <w:sz w:val="24"/>
        </w:rPr>
        <w:t>宽货币、紧信用</w:t>
      </w:r>
      <w:r>
        <w:rPr>
          <w:color w:val="000000"/>
          <w:sz w:val="24"/>
        </w:rPr>
        <w:t>”</w:t>
      </w:r>
      <w:r>
        <w:rPr>
          <w:color w:val="000000"/>
          <w:sz w:val="24"/>
        </w:rPr>
        <w:t>格局，推动债券收益率明显下行。年初以来央行连续两次降准，资金维持宽松，货币政策转向得到确认。随着资管新规落地，去杠杆进程从金融去杠杆转向实体去杠杆，表外融资压缩，更多的融资转向表内，但表内信贷受制于额度和银行资本金的约束，使得整体的社会信用收缩。经济的</w:t>
      </w:r>
      <w:r>
        <w:rPr>
          <w:color w:val="000000"/>
          <w:sz w:val="24"/>
        </w:rPr>
        <w:t>“</w:t>
      </w:r>
      <w:r>
        <w:rPr>
          <w:color w:val="000000"/>
          <w:sz w:val="24"/>
        </w:rPr>
        <w:t>宽货币</w:t>
      </w:r>
      <w:r>
        <w:rPr>
          <w:color w:val="000000"/>
          <w:sz w:val="24"/>
        </w:rPr>
        <w:t>”</w:t>
      </w:r>
      <w:r>
        <w:rPr>
          <w:color w:val="000000"/>
          <w:sz w:val="24"/>
        </w:rPr>
        <w:t>叠加</w:t>
      </w:r>
      <w:r>
        <w:rPr>
          <w:color w:val="000000"/>
          <w:sz w:val="24"/>
        </w:rPr>
        <w:t>“</w:t>
      </w:r>
      <w:r>
        <w:rPr>
          <w:color w:val="000000"/>
          <w:sz w:val="24"/>
        </w:rPr>
        <w:t>紧信用</w:t>
      </w:r>
      <w:r>
        <w:rPr>
          <w:color w:val="000000"/>
          <w:sz w:val="24"/>
        </w:rPr>
        <w:t>”</w:t>
      </w:r>
      <w:r>
        <w:rPr>
          <w:color w:val="000000"/>
          <w:sz w:val="24"/>
        </w:rPr>
        <w:t>的组合，对债市形成支撑。上半年预期之外的因素在于贸易格局的恶化，贸易战的持续发酵引发市场对于全球和中国经济的进一步担忧，成为推动收益率下行的重要助攻。</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报告期内，本基金年初进行了组合调仓操作，从较短的组合久期转换成中性债券久期，把握了收益率下行带来的资本利得机会。同时，组合配置一定的转债仓位，优选个券，波段操作，为组合增强收益。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0C0699" w:rsidRDefault="00816858">
      <w:pPr>
        <w:spacing w:before="29" w:line="288" w:lineRule="auto"/>
        <w:ind w:firstLineChars="200" w:firstLine="480"/>
        <w:rPr>
          <w:color w:val="000000"/>
          <w:sz w:val="24"/>
        </w:rPr>
      </w:pPr>
      <w:r>
        <w:rPr>
          <w:color w:val="000000"/>
          <w:sz w:val="24"/>
        </w:rPr>
        <w:t>展望下半年，我们判断债市可能在波折中缓慢下行。货币政策偏宽松的基调在短期内不会发生改变，尤其是在去杠杆进程深入推进，经济下行风险不确定的情况下，我们认为货币政策仍将保持较为宽松的基调。社会信用紧缩引起的信用风险事件频发已经引</w:t>
      </w:r>
      <w:r>
        <w:rPr>
          <w:color w:val="000000"/>
          <w:sz w:val="24"/>
        </w:rPr>
        <w:lastRenderedPageBreak/>
        <w:t>起各方面的重视，我们认为信用的扩张需要企业经济效益改善或经济主体进一步加杠杆，但目前我们认为二者的空间较为有限，信用重新扩张道阻且长。政策组合上，财政政策空间有限，货币政策虽然宽松但对货币供给施加的影响较为有限，</w:t>
      </w:r>
      <w:r>
        <w:rPr>
          <w:color w:val="000000"/>
          <w:sz w:val="24"/>
        </w:rPr>
        <w:t>“</w:t>
      </w:r>
      <w:r>
        <w:rPr>
          <w:color w:val="000000"/>
          <w:sz w:val="24"/>
        </w:rPr>
        <w:t>紧信用</w:t>
      </w:r>
      <w:r>
        <w:rPr>
          <w:color w:val="000000"/>
          <w:sz w:val="24"/>
        </w:rPr>
        <w:t>”</w:t>
      </w:r>
      <w:r>
        <w:rPr>
          <w:color w:val="000000"/>
          <w:sz w:val="24"/>
        </w:rPr>
        <w:t>格局的化解尚需时间。在上半年收益率已经大幅下行的情况下，我们认为收益率仍将缓慢下行。我们关注资管新规实施过程中细则的落地及审慎评判经济环境。同时我们也关注贸易格局的进展和全球经济走势的推进。</w:t>
      </w:r>
    </w:p>
    <w:p w:rsidR="001548F9" w:rsidRPr="005C672D" w:rsidRDefault="001548F9" w:rsidP="00AC6DDA">
      <w:pPr>
        <w:spacing w:before="29" w:line="288" w:lineRule="auto"/>
        <w:ind w:firstLineChars="200" w:firstLine="480"/>
        <w:rPr>
          <w:color w:val="000000"/>
          <w:sz w:val="24"/>
        </w:rPr>
      </w:pPr>
      <w:r w:rsidRPr="005C672D">
        <w:rPr>
          <w:color w:val="000000"/>
          <w:sz w:val="24"/>
        </w:rPr>
        <w:t>下半年操作上我们或将保持当前中性偏高的组合久期，计划以中高等级的信用债为底仓，择机进行利率债的波段操作，以期增强组合收益。可转债方面，权益市场表现低迷，下半年我们认为转债缺乏系统性机会，我们将在控制转债仓位的前提下，关注新兴行业转债个券，灵活操作尽力为组合增强收益。</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0C0699" w:rsidRDefault="0081685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C0699" w:rsidRDefault="0081685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会计主体：交银施罗德信用添利债券证券投资基金（</w:t>
      </w:r>
      <w:r w:rsidRPr="005C672D">
        <w:rPr>
          <w:color w:val="000000"/>
          <w:sz w:val="24"/>
        </w:rPr>
        <w:t>LOF</w:t>
      </w:r>
      <w:r w:rsidRPr="005C672D">
        <w:rPr>
          <w:color w:val="000000"/>
          <w:sz w:val="24"/>
        </w:rPr>
        <w:t>）</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3,497,423.20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471,173.91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1,314,301.03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2,557,159.29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39,464.77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32,827.97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229,487,093.00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210,987,324.00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1,158,873.00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228,328,220.00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210,987,324.00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33,269,609.63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3,171,534.93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4,996,489.02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27,466.83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757.00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270,806,893.39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228,045,731.19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44,059,784.91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35,036,234.23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8,832,799.66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60,392.31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6,629.60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95,890.96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102,999.82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31,963.68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34,333.28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1,715.09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5,029.38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591,056.08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570,143.97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1,990.76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-8,200.87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148,795.18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110,049.71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80,027,823.20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23,453,784.55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134,397,717.83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148,092,622.26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56,381,352.36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56,499,324.38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190,779,070.19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204,591,946.64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270,806,893.39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228,045,731.19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1.420</w:t>
      </w:r>
      <w:r w:rsidR="006C5149" w:rsidRPr="005C672D">
        <w:rPr>
          <w:kern w:val="0"/>
          <w:sz w:val="24"/>
        </w:rPr>
        <w:t>元，基金份额总额</w:t>
      </w:r>
      <w:r w:rsidR="006C5149" w:rsidRPr="005C672D">
        <w:rPr>
          <w:kern w:val="0"/>
          <w:sz w:val="24"/>
        </w:rPr>
        <w:t>134,397,717.83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7,163,509.22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5,094,173.57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4,401,240.77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4,557,453.20</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35,921.11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40,981.38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4,315,579.99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4,501,296.53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49,739.67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15,175.29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387,289.88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206,097.13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-6,242.28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387,289.88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212,339.41</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2,354,805.65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312,041.04</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20,172.92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18,582.20</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1,359,283.55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1,527,788.53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611,618.87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614,495.31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203,872.96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204,831.79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16,949.29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11,453.26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337,219.35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550,340.70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337,219.35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550,340.70</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14,794.62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174,828.46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146,667.47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5,804,225.67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3,566,385.04</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5,804,225.67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3,566,385.04</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交银施罗德信用添利债券证券投资基金（</w:t>
      </w:r>
      <w:r w:rsidRPr="005C672D">
        <w:rPr>
          <w:kern w:val="0"/>
          <w:sz w:val="24"/>
        </w:rPr>
        <w:t>LOF</w:t>
      </w:r>
      <w:r w:rsidRPr="005C672D">
        <w:rPr>
          <w:kern w:val="0"/>
          <w:sz w:val="24"/>
        </w:rPr>
        <w:t>）</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148,092,622.26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56,499,324.38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204,591,946.64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5,804,225.67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5,804,225.67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-13,694,904.43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-5,922,197.69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-19,617,102.12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37,459,764.44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14,933,503.91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52,393,268.35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-51,154,668.87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-20,855,701.60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-72,010,370.47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w:t>
            </w:r>
            <w:r w:rsidRPr="005C672D">
              <w:rPr>
                <w:color w:val="000000"/>
                <w:sz w:val="24"/>
              </w:rPr>
              <w:lastRenderedPageBreak/>
              <w:t>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134,397,717.83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56,381,352.36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190,779,070.19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155,437,827.99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54,339,310.44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209,777,138.43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3,566,385.04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3,566,385.04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37,475,840.90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13,526,877.03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51,002,717.93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99,844,078.08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35,681,902.91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135,525,980.99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-62,368,237.18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-22,155,025.88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-84,523,263.06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192,913,668.89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71,432,572.51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264,346,241.40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0C0699" w:rsidRDefault="00816858">
      <w:pPr>
        <w:spacing w:before="29" w:line="288" w:lineRule="auto"/>
        <w:ind w:firstLineChars="200" w:firstLine="480"/>
        <w:rPr>
          <w:color w:val="000000"/>
          <w:sz w:val="24"/>
        </w:rPr>
      </w:pPr>
      <w:r>
        <w:rPr>
          <w:color w:val="000000"/>
          <w:sz w:val="24"/>
        </w:rPr>
        <w:t>交银施罗德信用添利债券证券投资基金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是由交银施罗德信用添利债券证券投资基金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根据《交银施罗德信用添利债券证券投资基金基金合同》的有关规定变更运作模式后而来。原基金经中国证券监督管理委员会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1601</w:t>
      </w:r>
      <w:r>
        <w:rPr>
          <w:color w:val="000000"/>
          <w:sz w:val="24"/>
        </w:rPr>
        <w:t>号《关于核准交银施罗德信用添利债券证券投资基金募集的批复》核准，由交银施罗德基金管理有限公司依照《中华人民共和</w:t>
      </w:r>
      <w:r>
        <w:rPr>
          <w:color w:val="000000"/>
          <w:sz w:val="24"/>
        </w:rPr>
        <w:lastRenderedPageBreak/>
        <w:t>国证券投资基金法》和《交银施罗德信用添利债券证券投资基金基金合同》负责公开募集。本基金为契约型基金，本基金在基金合同生效之日起三年</w:t>
      </w:r>
      <w:r>
        <w:rPr>
          <w:color w:val="000000"/>
          <w:sz w:val="24"/>
        </w:rPr>
        <w:t>(</w:t>
      </w:r>
      <w:r>
        <w:rPr>
          <w:color w:val="000000"/>
          <w:sz w:val="24"/>
        </w:rPr>
        <w:t>含三年</w:t>
      </w:r>
      <w:r>
        <w:rPr>
          <w:color w:val="000000"/>
          <w:sz w:val="24"/>
        </w:rPr>
        <w:t>)</w:t>
      </w:r>
      <w:r>
        <w:rPr>
          <w:color w:val="000000"/>
          <w:sz w:val="24"/>
        </w:rPr>
        <w:t>的期间</w:t>
      </w:r>
      <w:r>
        <w:rPr>
          <w:color w:val="000000"/>
          <w:sz w:val="24"/>
        </w:rPr>
        <w:t>(</w:t>
      </w:r>
      <w:r>
        <w:rPr>
          <w:color w:val="000000"/>
          <w:sz w:val="24"/>
        </w:rPr>
        <w:t>即自</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w:t>
      </w:r>
      <w:r>
        <w:rPr>
          <w:color w:val="000000"/>
          <w:sz w:val="24"/>
        </w:rPr>
        <w:t>(</w:t>
      </w:r>
      <w:r>
        <w:rPr>
          <w:color w:val="000000"/>
          <w:sz w:val="24"/>
        </w:rPr>
        <w:t>基金合同生效日</w:t>
      </w:r>
      <w:r>
        <w:rPr>
          <w:color w:val="000000"/>
          <w:sz w:val="24"/>
        </w:rPr>
        <w:t>)</w:t>
      </w:r>
      <w:r>
        <w:rPr>
          <w:color w:val="000000"/>
          <w:sz w:val="24"/>
        </w:rPr>
        <w:t>起至</w:t>
      </w:r>
      <w:r>
        <w:rPr>
          <w:color w:val="000000"/>
          <w:sz w:val="24"/>
        </w:rPr>
        <w:t>2014</w:t>
      </w:r>
      <w:r>
        <w:rPr>
          <w:color w:val="000000"/>
          <w:sz w:val="24"/>
        </w:rPr>
        <w:t>年</w:t>
      </w:r>
      <w:r>
        <w:rPr>
          <w:color w:val="000000"/>
          <w:sz w:val="24"/>
        </w:rPr>
        <w:t>1</w:t>
      </w:r>
      <w:r>
        <w:rPr>
          <w:color w:val="000000"/>
          <w:sz w:val="24"/>
        </w:rPr>
        <w:t>月</w:t>
      </w:r>
      <w:r>
        <w:rPr>
          <w:color w:val="000000"/>
          <w:sz w:val="24"/>
        </w:rPr>
        <w:t>27</w:t>
      </w:r>
      <w:r>
        <w:rPr>
          <w:color w:val="000000"/>
          <w:sz w:val="24"/>
        </w:rPr>
        <w:t>日止的期间</w:t>
      </w:r>
      <w:r>
        <w:rPr>
          <w:color w:val="000000"/>
          <w:sz w:val="24"/>
        </w:rPr>
        <w:t>)</w:t>
      </w:r>
      <w:r>
        <w:rPr>
          <w:color w:val="000000"/>
          <w:sz w:val="24"/>
        </w:rPr>
        <w:t>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，在深圳证券交易所上市交易，封闭期满后转为上市开放式基金</w:t>
      </w:r>
      <w:r>
        <w:rPr>
          <w:color w:val="000000"/>
          <w:sz w:val="24"/>
        </w:rPr>
        <w:t>(LOF)</w:t>
      </w:r>
      <w:r>
        <w:rPr>
          <w:color w:val="000000"/>
          <w:sz w:val="24"/>
        </w:rPr>
        <w:t>。原基金首次设立募集不包括认购资金利息共募集资本人民币</w:t>
      </w:r>
      <w:r>
        <w:rPr>
          <w:color w:val="000000"/>
          <w:sz w:val="24"/>
        </w:rPr>
        <w:t>1,894,760,542.88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13</w:t>
      </w:r>
      <w:r>
        <w:rPr>
          <w:color w:val="000000"/>
          <w:sz w:val="24"/>
        </w:rPr>
        <w:t>号验资报告予以验证。经向中国证监会备案，《交银施罗德信用添利债券证券投资基金基金合同》于</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日正式生效，基金合同生效日的基金份额总额为</w:t>
      </w:r>
      <w:r>
        <w:rPr>
          <w:color w:val="000000"/>
          <w:sz w:val="24"/>
        </w:rPr>
        <w:t>1,895,085,749.23</w:t>
      </w:r>
      <w:r>
        <w:rPr>
          <w:color w:val="000000"/>
          <w:sz w:val="24"/>
        </w:rPr>
        <w:t>份，其中认购资金利息折合</w:t>
      </w:r>
      <w:r>
        <w:rPr>
          <w:color w:val="000000"/>
          <w:sz w:val="24"/>
        </w:rPr>
        <w:t>325,206.35</w:t>
      </w:r>
      <w:r>
        <w:rPr>
          <w:color w:val="000000"/>
          <w:sz w:val="24"/>
        </w:rPr>
        <w:t>份。本基金的基金管理人为交银施罗德基金管理有限公司，基金托管人为中国农业银行股份有限公司。</w:t>
      </w:r>
    </w:p>
    <w:p w:rsidR="000C0699" w:rsidRDefault="00816858">
      <w:pPr>
        <w:spacing w:before="29" w:line="288" w:lineRule="auto"/>
        <w:ind w:firstLineChars="200" w:firstLine="480"/>
        <w:rPr>
          <w:color w:val="000000"/>
          <w:sz w:val="24"/>
        </w:rPr>
      </w:pPr>
      <w:r>
        <w:rPr>
          <w:color w:val="000000"/>
          <w:sz w:val="24"/>
        </w:rPr>
        <w:t>根据《交银施罗德信用添利债券证券投资基金基金合同》和《交银施罗德基金管理有限公司关于交银施罗德信用添利债券证券投资基金转为上市开放式（</w:t>
      </w:r>
      <w:r>
        <w:rPr>
          <w:color w:val="000000"/>
          <w:sz w:val="24"/>
        </w:rPr>
        <w:t>LOF</w:t>
      </w:r>
      <w:r>
        <w:rPr>
          <w:color w:val="000000"/>
          <w:sz w:val="24"/>
        </w:rPr>
        <w:t>）运作暨开放日常申购、赎回业务并参与部分代销机构前端申购费率优惠活动的公告》的有关规定，本基金自</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日起基金运作方式转为</w:t>
      </w:r>
      <w:r>
        <w:rPr>
          <w:color w:val="000000"/>
          <w:sz w:val="24"/>
        </w:rPr>
        <w:t>“</w:t>
      </w:r>
      <w:r>
        <w:rPr>
          <w:color w:val="000000"/>
          <w:sz w:val="24"/>
        </w:rPr>
        <w:t>上市契约型开放式</w:t>
      </w:r>
      <w:r>
        <w:rPr>
          <w:color w:val="000000"/>
          <w:sz w:val="24"/>
        </w:rPr>
        <w:t>”</w:t>
      </w:r>
      <w:r>
        <w:rPr>
          <w:color w:val="000000"/>
          <w:sz w:val="24"/>
        </w:rPr>
        <w:t>，并于同日起开放本基金的申购、赎回业务。本基金转为上市开放式基金</w:t>
      </w:r>
      <w:r>
        <w:rPr>
          <w:color w:val="000000"/>
          <w:sz w:val="24"/>
        </w:rPr>
        <w:t>(LOF)</w:t>
      </w:r>
      <w:r>
        <w:rPr>
          <w:color w:val="000000"/>
          <w:sz w:val="24"/>
        </w:rPr>
        <w:t>后同时开通前端基金份额和后端基金份额的申购和赎回。</w:t>
      </w:r>
    </w:p>
    <w:p w:rsidR="000C0699" w:rsidRDefault="00816858">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117</w:t>
      </w:r>
      <w:r>
        <w:rPr>
          <w:color w:val="000000"/>
          <w:sz w:val="24"/>
        </w:rPr>
        <w:t>号文审核同意，原基金</w:t>
      </w:r>
      <w:r>
        <w:rPr>
          <w:color w:val="000000"/>
          <w:sz w:val="24"/>
        </w:rPr>
        <w:t>211,820,433.00</w:t>
      </w:r>
      <w:r>
        <w:rPr>
          <w:color w:val="000000"/>
          <w:sz w:val="24"/>
        </w:rPr>
        <w:t>份基金份额于</w:t>
      </w:r>
      <w:r>
        <w:rPr>
          <w:color w:val="000000"/>
          <w:sz w:val="24"/>
        </w:rPr>
        <w:t>2011</w:t>
      </w:r>
      <w:r>
        <w:rPr>
          <w:color w:val="000000"/>
          <w:sz w:val="24"/>
        </w:rPr>
        <w:t>年</w:t>
      </w:r>
      <w:r>
        <w:rPr>
          <w:color w:val="000000"/>
          <w:sz w:val="24"/>
        </w:rPr>
        <w:t>4</w:t>
      </w:r>
      <w:r>
        <w:rPr>
          <w:color w:val="000000"/>
          <w:sz w:val="24"/>
        </w:rPr>
        <w:t>月</w:t>
      </w:r>
      <w:r>
        <w:rPr>
          <w:color w:val="000000"/>
          <w:sz w:val="24"/>
        </w:rPr>
        <w:t>20</w:t>
      </w:r>
      <w:r>
        <w:rPr>
          <w:color w:val="000000"/>
          <w:sz w:val="24"/>
        </w:rPr>
        <w:t>日在深交所挂牌交易。未上市交易的基金份额托管在场外，基金份额持有人可通过跨系统转托管业务将其转至深交所场内后即可上市流通。本基金变更为上市开放式基金</w:t>
      </w:r>
      <w:r>
        <w:rPr>
          <w:color w:val="000000"/>
          <w:sz w:val="24"/>
        </w:rPr>
        <w:t>(LOF)</w:t>
      </w:r>
      <w:r>
        <w:rPr>
          <w:color w:val="000000"/>
          <w:sz w:val="24"/>
        </w:rPr>
        <w:t>后，上市交易的基金份额仍然登记在证券登记系统中并仍将在深圳证券交易所上市交易，未上市交易的份额仍然登记在基金登记系统中，其中前端收费模式的未上市交易的基金份额可通过跨系统转托管转入场内上市交易。</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信用添利债券证券投资基金基金合同》的有关规定，本基金的投资范围为具有良好流动性的金融工具，主要投资于固定收益类资产，包括国债、金融债、央行票据、地方政府债、企业债、公司债、短期融资券、可转换债券及可分离转债、资产支持证券、次级债和债券回购等金融工具。本基金可同时投资于股票、权证等权益类产品以及法律法规或中国证监会允许基金投资的其他金融工具。本基金不直接从二级市场买入股票、权证等权益类金融工具，但可以参与一级市场股票首次公开发行或新股增发，并可持有因所持可转换公司债券转股形成的股票、因持有股票被派发的权证、因投资于分离交易可转债而产生的权证。本基金对债券等固定收益类资产的投资比例不低于基金资产的</w:t>
      </w:r>
      <w:r w:rsidRPr="005C672D">
        <w:rPr>
          <w:color w:val="000000"/>
          <w:sz w:val="24"/>
        </w:rPr>
        <w:t>80%</w:t>
      </w:r>
      <w:r w:rsidRPr="005C672D">
        <w:rPr>
          <w:color w:val="000000"/>
          <w:sz w:val="24"/>
        </w:rPr>
        <w:t>，其中对信用债券的投资比例不低于固定收益类资产的</w:t>
      </w:r>
      <w:r w:rsidRPr="005C672D">
        <w:rPr>
          <w:color w:val="000000"/>
          <w:sz w:val="24"/>
        </w:rPr>
        <w:t>80%</w:t>
      </w:r>
      <w:r w:rsidRPr="005C672D">
        <w:rPr>
          <w:color w:val="000000"/>
          <w:sz w:val="24"/>
        </w:rPr>
        <w:t>；对股票、权证等非固定收益类资产的投资比例不高于基金资产的</w:t>
      </w:r>
      <w:r w:rsidRPr="005C672D">
        <w:rPr>
          <w:color w:val="000000"/>
          <w:sz w:val="24"/>
        </w:rPr>
        <w:t>20%</w:t>
      </w:r>
      <w:r w:rsidRPr="005C672D">
        <w:rPr>
          <w:color w:val="000000"/>
          <w:sz w:val="24"/>
        </w:rPr>
        <w:t>；其中现金及到期日在一年以内的政府债券的投资比例合计不低于基金资产净值的</w:t>
      </w:r>
      <w:r w:rsidRPr="005C672D">
        <w:rPr>
          <w:color w:val="000000"/>
          <w:sz w:val="24"/>
        </w:rPr>
        <w:t>5%</w:t>
      </w:r>
      <w:r w:rsidRPr="005C672D">
        <w:rPr>
          <w:color w:val="000000"/>
          <w:sz w:val="24"/>
        </w:rPr>
        <w:t>。本基金的业绩比较基准为：</w:t>
      </w:r>
      <w:r w:rsidRPr="005C672D">
        <w:rPr>
          <w:color w:val="000000"/>
          <w:sz w:val="24"/>
        </w:rPr>
        <w:t>80%×</w:t>
      </w:r>
      <w:r w:rsidRPr="005C672D">
        <w:rPr>
          <w:color w:val="000000"/>
          <w:sz w:val="24"/>
        </w:rPr>
        <w:t>中债企业债总全价指数收益率</w:t>
      </w:r>
      <w:r w:rsidRPr="005C672D">
        <w:rPr>
          <w:color w:val="000000"/>
          <w:sz w:val="24"/>
        </w:rPr>
        <w:t>+20%×</w:t>
      </w:r>
      <w:r w:rsidRPr="005C672D">
        <w:rPr>
          <w:color w:val="000000"/>
          <w:sz w:val="24"/>
        </w:rPr>
        <w:t>中债国债总全价指数收益率。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颁布的《证券投资基金会计核算业务指引》、《交银施罗德信用添利债券证券投资基金基金合同》和在财务报表附注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0C0699" w:rsidRDefault="00816858">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w:t>
      </w:r>
      <w:r>
        <w:rPr>
          <w:color w:val="000000"/>
          <w:sz w:val="24"/>
        </w:rPr>
        <w:t xml:space="preserve"> </w:t>
      </w:r>
      <w:r>
        <w:rPr>
          <w:color w:val="000000"/>
          <w:sz w:val="24"/>
        </w:rPr>
        <w:t>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w:t>
      </w:r>
      <w:r>
        <w:rPr>
          <w:color w:val="000000"/>
          <w:sz w:val="24"/>
        </w:rPr>
        <w:lastRenderedPageBreak/>
        <w:t>规和实务操作，主要税项列示如下：</w:t>
      </w:r>
    </w:p>
    <w:p w:rsidR="000C0699" w:rsidRDefault="000C0699">
      <w:pPr>
        <w:spacing w:before="29" w:line="288" w:lineRule="auto"/>
        <w:ind w:firstLineChars="200" w:firstLine="480"/>
        <w:rPr>
          <w:color w:val="000000"/>
          <w:sz w:val="24"/>
        </w:rPr>
      </w:pPr>
    </w:p>
    <w:p w:rsidR="000C0699" w:rsidRDefault="0081685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0C0699" w:rsidRDefault="000C0699">
      <w:pPr>
        <w:spacing w:before="29" w:line="288" w:lineRule="auto"/>
        <w:ind w:firstLineChars="200" w:firstLine="480"/>
        <w:rPr>
          <w:color w:val="000000"/>
          <w:sz w:val="24"/>
        </w:rPr>
      </w:pPr>
    </w:p>
    <w:p w:rsidR="000C0699" w:rsidRDefault="00816858">
      <w:pPr>
        <w:spacing w:before="29" w:line="288" w:lineRule="auto"/>
        <w:ind w:firstLineChars="200" w:firstLine="480"/>
        <w:rPr>
          <w:color w:val="000000"/>
          <w:sz w:val="24"/>
        </w:rPr>
      </w:pPr>
      <w:r>
        <w:rPr>
          <w:color w:val="000000"/>
          <w:sz w:val="24"/>
        </w:rPr>
        <w:t>对证券投资基金管理人运用基金买卖股票、</w:t>
      </w:r>
      <w:r>
        <w:rPr>
          <w:color w:val="000000"/>
          <w:sz w:val="24"/>
        </w:rPr>
        <w:t xml:space="preserve"> </w:t>
      </w:r>
      <w:r>
        <w:rPr>
          <w:color w:val="000000"/>
          <w:sz w:val="24"/>
        </w:rPr>
        <w:t>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0C0699" w:rsidRDefault="000C0699">
      <w:pPr>
        <w:spacing w:before="29" w:line="288" w:lineRule="auto"/>
        <w:ind w:firstLineChars="200" w:firstLine="480"/>
        <w:rPr>
          <w:color w:val="000000"/>
          <w:sz w:val="24"/>
        </w:rPr>
      </w:pPr>
    </w:p>
    <w:p w:rsidR="000C0699" w:rsidRDefault="0081685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w:t>
      </w:r>
      <w:r>
        <w:rPr>
          <w:color w:val="000000"/>
          <w:sz w:val="24"/>
        </w:rPr>
        <w:t xml:space="preserve"> </w:t>
      </w:r>
      <w:r>
        <w:rPr>
          <w:color w:val="000000"/>
          <w:sz w:val="24"/>
        </w:rPr>
        <w:t>债券的差价收入，股票的股息、红利收入，</w:t>
      </w:r>
      <w:r>
        <w:rPr>
          <w:color w:val="000000"/>
          <w:sz w:val="24"/>
        </w:rPr>
        <w:t xml:space="preserve"> </w:t>
      </w:r>
      <w:r>
        <w:rPr>
          <w:color w:val="000000"/>
          <w:sz w:val="24"/>
        </w:rPr>
        <w:t>债券的利息收入及其他收入，暂不征收企业所得税。</w:t>
      </w:r>
    </w:p>
    <w:p w:rsidR="000C0699" w:rsidRDefault="000C0699">
      <w:pPr>
        <w:spacing w:before="29" w:line="288" w:lineRule="auto"/>
        <w:ind w:firstLineChars="200" w:firstLine="480"/>
        <w:rPr>
          <w:color w:val="000000"/>
          <w:sz w:val="24"/>
        </w:rPr>
      </w:pPr>
    </w:p>
    <w:p w:rsidR="000C0699" w:rsidRDefault="0081685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C0699" w:rsidRDefault="00816858">
      <w:pPr>
        <w:spacing w:before="29" w:line="288" w:lineRule="auto"/>
        <w:ind w:firstLineChars="200" w:firstLine="480"/>
        <w:rPr>
          <w:color w:val="000000"/>
          <w:sz w:val="24"/>
        </w:rPr>
      </w:pPr>
      <w:r>
        <w:rPr>
          <w:color w:val="000000"/>
          <w:sz w:val="24"/>
        </w:rPr>
        <w:t xml:space="preserve"> </w:t>
      </w:r>
    </w:p>
    <w:p w:rsidR="000C0699" w:rsidRDefault="00816858">
      <w:pPr>
        <w:spacing w:before="29" w:line="288" w:lineRule="auto"/>
        <w:ind w:firstLineChars="200" w:firstLine="480"/>
        <w:rPr>
          <w:color w:val="000000"/>
          <w:sz w:val="24"/>
        </w:rPr>
      </w:pPr>
      <w:r>
        <w:rPr>
          <w:color w:val="000000"/>
          <w:sz w:val="24"/>
        </w:rPr>
        <w:t>(4)</w:t>
      </w:r>
      <w:r>
        <w:rPr>
          <w:color w:val="000000"/>
          <w:sz w:val="24"/>
        </w:rPr>
        <w:tab/>
      </w:r>
      <w:r>
        <w:rPr>
          <w:color w:val="000000"/>
          <w:sz w:val="24"/>
        </w:rPr>
        <w:t>基金卖出股票按</w:t>
      </w:r>
      <w:r>
        <w:rPr>
          <w:color w:val="000000"/>
          <w:sz w:val="24"/>
        </w:rPr>
        <w:t>0.1%</w:t>
      </w:r>
      <w:r>
        <w:rPr>
          <w:color w:val="000000"/>
          <w:sz w:val="24"/>
        </w:rPr>
        <w:t>的税率缴纳股票交易印花税，买入股票不征收股票交易印花税。</w:t>
      </w:r>
      <w:r>
        <w:rPr>
          <w:color w:val="000000"/>
          <w:sz w:val="24"/>
        </w:rPr>
        <w:t xml:space="preserve"> </w:t>
      </w:r>
    </w:p>
    <w:p w:rsidR="000C0699" w:rsidRDefault="000C0699">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0C0699">
        <w:tc>
          <w:tcPr>
            <w:tcW w:w="5219" w:type="dxa"/>
            <w:vAlign w:val="center"/>
          </w:tcPr>
          <w:p w:rsidR="000C0699" w:rsidRDefault="00816858">
            <w:pPr>
              <w:jc w:val="left"/>
            </w:pPr>
            <w:r>
              <w:rPr>
                <w:color w:val="000000"/>
                <w:sz w:val="24"/>
              </w:rPr>
              <w:t>交银施罗德基金管理有限公司</w:t>
            </w:r>
            <w:r>
              <w:rPr>
                <w:color w:val="000000"/>
                <w:sz w:val="24"/>
              </w:rPr>
              <w:t xml:space="preserve"> (“</w:t>
            </w:r>
            <w:r>
              <w:rPr>
                <w:color w:val="000000"/>
                <w:sz w:val="24"/>
              </w:rPr>
              <w:t>交银施罗德基</w:t>
            </w:r>
            <w:r>
              <w:rPr>
                <w:color w:val="000000"/>
                <w:sz w:val="24"/>
              </w:rPr>
              <w:lastRenderedPageBreak/>
              <w:t>金公司</w:t>
            </w:r>
            <w:r>
              <w:rPr>
                <w:color w:val="000000"/>
                <w:sz w:val="24"/>
              </w:rPr>
              <w:t>”)</w:t>
            </w:r>
          </w:p>
        </w:tc>
        <w:tc>
          <w:tcPr>
            <w:tcW w:w="3779" w:type="dxa"/>
            <w:vAlign w:val="center"/>
          </w:tcPr>
          <w:p w:rsidR="000C0699" w:rsidRDefault="00816858">
            <w:pPr>
              <w:jc w:val="left"/>
            </w:pPr>
            <w:r>
              <w:rPr>
                <w:color w:val="000000"/>
                <w:sz w:val="24"/>
              </w:rPr>
              <w:lastRenderedPageBreak/>
              <w:t>基金管理人、基金销售机构</w:t>
            </w:r>
          </w:p>
        </w:tc>
      </w:tr>
      <w:tr w:rsidR="000C0699">
        <w:tc>
          <w:tcPr>
            <w:tcW w:w="5219" w:type="dxa"/>
            <w:vAlign w:val="center"/>
          </w:tcPr>
          <w:p w:rsidR="000C0699" w:rsidRDefault="00816858">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C0699" w:rsidRDefault="00816858">
            <w:pPr>
              <w:jc w:val="left"/>
            </w:pPr>
            <w:r>
              <w:rPr>
                <w:color w:val="000000"/>
                <w:sz w:val="24"/>
              </w:rPr>
              <w:t>基金托管人、基金销售机构</w:t>
            </w:r>
          </w:p>
        </w:tc>
      </w:tr>
      <w:tr w:rsidR="000C0699">
        <w:tc>
          <w:tcPr>
            <w:tcW w:w="5219" w:type="dxa"/>
            <w:vAlign w:val="center"/>
          </w:tcPr>
          <w:p w:rsidR="000C0699" w:rsidRDefault="0081685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C0699" w:rsidRDefault="00816858">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611,618.87</w:t>
            </w:r>
          </w:p>
        </w:tc>
        <w:tc>
          <w:tcPr>
            <w:tcW w:w="2657" w:type="dxa"/>
            <w:vAlign w:val="center"/>
          </w:tcPr>
          <w:p w:rsidR="001548F9" w:rsidRPr="005C672D" w:rsidRDefault="001548F9" w:rsidP="00AC6DDA">
            <w:pPr>
              <w:spacing w:before="29" w:line="288" w:lineRule="auto"/>
              <w:jc w:val="right"/>
              <w:rPr>
                <w:sz w:val="24"/>
              </w:rPr>
            </w:pPr>
            <w:r w:rsidRPr="005C672D">
              <w:rPr>
                <w:sz w:val="24"/>
              </w:rPr>
              <w:t>614,495.31</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47,259.97</w:t>
            </w:r>
          </w:p>
        </w:tc>
        <w:tc>
          <w:tcPr>
            <w:tcW w:w="2657" w:type="dxa"/>
            <w:vAlign w:val="center"/>
          </w:tcPr>
          <w:p w:rsidR="001548F9" w:rsidRPr="005C672D" w:rsidRDefault="001548F9" w:rsidP="00AC6DDA">
            <w:pPr>
              <w:spacing w:before="29" w:line="288" w:lineRule="auto"/>
              <w:jc w:val="right"/>
              <w:rPr>
                <w:sz w:val="24"/>
              </w:rPr>
            </w:pPr>
            <w:r w:rsidRPr="005C672D">
              <w:rPr>
                <w:sz w:val="24"/>
              </w:rPr>
              <w:t>70,119.59</w:t>
            </w:r>
          </w:p>
        </w:tc>
      </w:tr>
    </w:tbl>
    <w:p w:rsidR="000C0699" w:rsidRDefault="0081685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×0.60%÷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203,872.96</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204,831.79</w:t>
            </w:r>
          </w:p>
        </w:tc>
      </w:tr>
    </w:tbl>
    <w:p w:rsidR="000C0699" w:rsidRDefault="0081685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c>
          <w:tcPr>
            <w:tcW w:w="2970" w:type="dxa"/>
            <w:vAlign w:val="center"/>
          </w:tcPr>
          <w:p w:rsidR="001548F9" w:rsidRPr="005C672D" w:rsidRDefault="001548F9" w:rsidP="00AC6DDA">
            <w:pPr>
              <w:spacing w:before="29" w:line="288" w:lineRule="auto"/>
              <w:jc w:val="right"/>
              <w:rPr>
                <w:sz w:val="24"/>
              </w:rPr>
            </w:pPr>
            <w:r w:rsidRPr="005C672D">
              <w:rPr>
                <w:sz w:val="24"/>
              </w:rPr>
              <w:t>73,528,676.47</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54.71%</w:t>
            </w:r>
          </w:p>
        </w:tc>
        <w:tc>
          <w:tcPr>
            <w:tcW w:w="2970" w:type="dxa"/>
            <w:vAlign w:val="center"/>
          </w:tcPr>
          <w:p w:rsidR="001548F9" w:rsidRPr="005C672D" w:rsidRDefault="001548F9" w:rsidP="00AC6DDA">
            <w:pPr>
              <w:spacing w:before="29" w:line="288" w:lineRule="auto"/>
              <w:jc w:val="right"/>
              <w:rPr>
                <w:sz w:val="24"/>
              </w:rPr>
            </w:pPr>
            <w:r w:rsidRPr="005C672D">
              <w:rPr>
                <w:sz w:val="24"/>
              </w:rPr>
              <w:t>38.11%</w:t>
            </w:r>
          </w:p>
        </w:tc>
      </w:tr>
    </w:tbl>
    <w:p w:rsidR="000C0699" w:rsidRDefault="008168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C0699" w:rsidRDefault="0081685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0C0699">
        <w:tc>
          <w:tcPr>
            <w:tcW w:w="2171" w:type="dxa"/>
            <w:vAlign w:val="center"/>
          </w:tcPr>
          <w:p w:rsidR="000C0699" w:rsidRDefault="00816858">
            <w:pPr>
              <w:jc w:val="left"/>
            </w:pPr>
            <w:r>
              <w:rPr>
                <w:sz w:val="24"/>
              </w:rPr>
              <w:t>中国农业银行股份有限公司</w:t>
            </w:r>
          </w:p>
        </w:tc>
        <w:tc>
          <w:tcPr>
            <w:tcW w:w="2023" w:type="dxa"/>
            <w:vAlign w:val="center"/>
          </w:tcPr>
          <w:p w:rsidR="000C0699" w:rsidRDefault="00816858">
            <w:pPr>
              <w:jc w:val="right"/>
            </w:pPr>
            <w:r>
              <w:rPr>
                <w:sz w:val="24"/>
              </w:rPr>
              <w:t>3,497,423.20</w:t>
            </w:r>
          </w:p>
        </w:tc>
        <w:tc>
          <w:tcPr>
            <w:tcW w:w="1772" w:type="dxa"/>
            <w:vAlign w:val="center"/>
          </w:tcPr>
          <w:p w:rsidR="000C0699" w:rsidRDefault="00816858">
            <w:pPr>
              <w:jc w:val="right"/>
            </w:pPr>
            <w:r>
              <w:rPr>
                <w:sz w:val="24"/>
              </w:rPr>
              <w:t>13,500.03</w:t>
            </w:r>
          </w:p>
        </w:tc>
        <w:tc>
          <w:tcPr>
            <w:tcW w:w="1412" w:type="dxa"/>
            <w:vAlign w:val="center"/>
          </w:tcPr>
          <w:p w:rsidR="000C0699" w:rsidRDefault="00816858">
            <w:pPr>
              <w:jc w:val="right"/>
            </w:pPr>
            <w:r>
              <w:rPr>
                <w:sz w:val="24"/>
              </w:rPr>
              <w:t>6,077,368.57</w:t>
            </w:r>
          </w:p>
        </w:tc>
        <w:tc>
          <w:tcPr>
            <w:tcW w:w="1807" w:type="dxa"/>
            <w:vAlign w:val="center"/>
          </w:tcPr>
          <w:p w:rsidR="000C0699" w:rsidRDefault="00816858">
            <w:pPr>
              <w:jc w:val="right"/>
            </w:pPr>
            <w:r>
              <w:rPr>
                <w:sz w:val="24"/>
              </w:rPr>
              <w:t>21,896.91</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872345">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rPr>
          <w:b/>
          <w:bCs/>
          <w:color w:val="000000"/>
          <w:sz w:val="24"/>
        </w:rPr>
      </w:pPr>
      <w:r w:rsidRPr="005C672D">
        <w:rPr>
          <w:b/>
          <w:bCs/>
          <w:color w:val="000000"/>
          <w:kern w:val="0"/>
          <w:sz w:val="24"/>
        </w:rPr>
        <w:t xml:space="preserve">6.4.9.3.1 </w:t>
      </w:r>
      <w:r w:rsidRPr="005C672D">
        <w:rPr>
          <w:b/>
          <w:bCs/>
          <w:color w:val="000000"/>
          <w:sz w:val="24"/>
        </w:rPr>
        <w:t>银行间市场债券正回购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日止，本基金从事银行间市场债券正回购交易形成的卖出回购证券款余额</w:t>
      </w:r>
      <w:r w:rsidRPr="005C672D">
        <w:rPr>
          <w:color w:val="000000"/>
          <w:sz w:val="24"/>
        </w:rPr>
        <w:t>10,059,784.91</w:t>
      </w:r>
      <w:r w:rsidRPr="005C672D">
        <w:rPr>
          <w:color w:val="000000"/>
          <w:sz w:val="24"/>
        </w:rPr>
        <w:t>元，是以如下债券作为抵押：</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5C672D" w:rsidTr="00C17210">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债券代码</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债券名称</w:t>
            </w:r>
          </w:p>
        </w:tc>
        <w:tc>
          <w:tcPr>
            <w:tcW w:w="1500" w:type="dxa"/>
            <w:vAlign w:val="center"/>
          </w:tcPr>
          <w:p w:rsidR="001548F9" w:rsidRPr="005C672D" w:rsidRDefault="001548F9" w:rsidP="00AC6DDA">
            <w:pPr>
              <w:spacing w:before="29" w:line="288" w:lineRule="auto"/>
              <w:jc w:val="center"/>
              <w:rPr>
                <w:color w:val="000000"/>
                <w:sz w:val="24"/>
              </w:rPr>
            </w:pPr>
            <w:r w:rsidRPr="005C672D">
              <w:rPr>
                <w:color w:val="000000"/>
                <w:sz w:val="24"/>
              </w:rPr>
              <w:t>回购到期日</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1440" w:type="dxa"/>
            <w:vAlign w:val="center"/>
          </w:tcPr>
          <w:p w:rsidR="001548F9" w:rsidRPr="005C672D" w:rsidRDefault="001548F9" w:rsidP="00AC6DDA">
            <w:pPr>
              <w:spacing w:before="29" w:line="288" w:lineRule="auto"/>
              <w:jc w:val="center"/>
              <w:rPr>
                <w:color w:val="000000"/>
                <w:sz w:val="24"/>
              </w:rPr>
            </w:pPr>
            <w:r w:rsidRPr="005C672D">
              <w:rPr>
                <w:color w:val="000000"/>
                <w:sz w:val="24"/>
              </w:rPr>
              <w:t>数量（张）</w:t>
            </w:r>
          </w:p>
        </w:tc>
        <w:tc>
          <w:tcPr>
            <w:tcW w:w="1836"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期末估值总额</w:t>
            </w:r>
          </w:p>
        </w:tc>
      </w:tr>
      <w:tr w:rsidR="000C0699">
        <w:tc>
          <w:tcPr>
            <w:tcW w:w="1500" w:type="dxa"/>
            <w:vAlign w:val="center"/>
          </w:tcPr>
          <w:p w:rsidR="000C0699" w:rsidRDefault="00816858">
            <w:pPr>
              <w:jc w:val="center"/>
            </w:pPr>
            <w:r>
              <w:rPr>
                <w:color w:val="000000"/>
                <w:kern w:val="0"/>
                <w:sz w:val="24"/>
              </w:rPr>
              <w:t>101654057</w:t>
            </w:r>
          </w:p>
        </w:tc>
        <w:tc>
          <w:tcPr>
            <w:tcW w:w="1500" w:type="dxa"/>
            <w:vAlign w:val="center"/>
          </w:tcPr>
          <w:p w:rsidR="000C0699" w:rsidRDefault="00816858">
            <w:pPr>
              <w:jc w:val="center"/>
            </w:pPr>
            <w:r>
              <w:rPr>
                <w:color w:val="000000"/>
                <w:kern w:val="0"/>
                <w:sz w:val="24"/>
              </w:rPr>
              <w:t>16</w:t>
            </w:r>
            <w:r>
              <w:rPr>
                <w:color w:val="000000"/>
                <w:kern w:val="0"/>
                <w:sz w:val="24"/>
              </w:rPr>
              <w:t>沪国际</w:t>
            </w:r>
            <w:r>
              <w:rPr>
                <w:color w:val="000000"/>
                <w:kern w:val="0"/>
                <w:sz w:val="24"/>
              </w:rPr>
              <w:t>MTN001</w:t>
            </w:r>
          </w:p>
        </w:tc>
        <w:tc>
          <w:tcPr>
            <w:tcW w:w="1500" w:type="dxa"/>
            <w:vAlign w:val="center"/>
          </w:tcPr>
          <w:p w:rsidR="000C0699" w:rsidRDefault="00816858">
            <w:pPr>
              <w:jc w:val="center"/>
            </w:pPr>
            <w:r>
              <w:rPr>
                <w:color w:val="000000"/>
                <w:kern w:val="0"/>
                <w:sz w:val="24"/>
              </w:rPr>
              <w:t>2018-07-06</w:t>
            </w:r>
          </w:p>
        </w:tc>
        <w:tc>
          <w:tcPr>
            <w:tcW w:w="1260" w:type="dxa"/>
            <w:vAlign w:val="center"/>
          </w:tcPr>
          <w:p w:rsidR="000C0699" w:rsidRDefault="00816858">
            <w:pPr>
              <w:jc w:val="right"/>
            </w:pPr>
            <w:r>
              <w:rPr>
                <w:color w:val="000000"/>
                <w:kern w:val="0"/>
                <w:sz w:val="24"/>
              </w:rPr>
              <w:t>99.06</w:t>
            </w:r>
          </w:p>
        </w:tc>
        <w:tc>
          <w:tcPr>
            <w:tcW w:w="1440" w:type="dxa"/>
            <w:vAlign w:val="center"/>
          </w:tcPr>
          <w:p w:rsidR="000C0699" w:rsidRDefault="00816858">
            <w:pPr>
              <w:jc w:val="right"/>
            </w:pPr>
            <w:r>
              <w:rPr>
                <w:color w:val="000000"/>
                <w:kern w:val="0"/>
                <w:sz w:val="24"/>
              </w:rPr>
              <w:t>100,000</w:t>
            </w:r>
          </w:p>
        </w:tc>
        <w:tc>
          <w:tcPr>
            <w:tcW w:w="1836" w:type="dxa"/>
            <w:vAlign w:val="center"/>
          </w:tcPr>
          <w:p w:rsidR="000C0699" w:rsidRDefault="00816858">
            <w:pPr>
              <w:jc w:val="right"/>
            </w:pPr>
            <w:r>
              <w:rPr>
                <w:color w:val="000000"/>
                <w:kern w:val="0"/>
                <w:sz w:val="24"/>
              </w:rPr>
              <w:t>9,906,000.00</w:t>
            </w:r>
          </w:p>
        </w:tc>
      </w:tr>
      <w:tr w:rsidR="000C0699">
        <w:tc>
          <w:tcPr>
            <w:tcW w:w="1500" w:type="dxa"/>
            <w:vAlign w:val="center"/>
          </w:tcPr>
          <w:p w:rsidR="000C0699" w:rsidRDefault="00816858">
            <w:pPr>
              <w:jc w:val="center"/>
            </w:pPr>
            <w:r>
              <w:rPr>
                <w:color w:val="000000"/>
                <w:kern w:val="0"/>
                <w:sz w:val="24"/>
              </w:rPr>
              <w:t>101354013</w:t>
            </w:r>
          </w:p>
        </w:tc>
        <w:tc>
          <w:tcPr>
            <w:tcW w:w="1500" w:type="dxa"/>
            <w:vAlign w:val="center"/>
          </w:tcPr>
          <w:p w:rsidR="000C0699" w:rsidRDefault="00816858">
            <w:pPr>
              <w:jc w:val="center"/>
            </w:pPr>
            <w:r>
              <w:rPr>
                <w:color w:val="000000"/>
                <w:kern w:val="0"/>
                <w:sz w:val="24"/>
              </w:rPr>
              <w:t>13</w:t>
            </w:r>
            <w:r>
              <w:rPr>
                <w:color w:val="000000"/>
                <w:kern w:val="0"/>
                <w:sz w:val="24"/>
              </w:rPr>
              <w:t>浙能源</w:t>
            </w:r>
            <w:r>
              <w:rPr>
                <w:color w:val="000000"/>
                <w:kern w:val="0"/>
                <w:sz w:val="24"/>
              </w:rPr>
              <w:t>MTN002</w:t>
            </w:r>
          </w:p>
        </w:tc>
        <w:tc>
          <w:tcPr>
            <w:tcW w:w="1500" w:type="dxa"/>
            <w:vAlign w:val="center"/>
          </w:tcPr>
          <w:p w:rsidR="000C0699" w:rsidRDefault="00816858">
            <w:pPr>
              <w:jc w:val="center"/>
            </w:pPr>
            <w:r>
              <w:rPr>
                <w:color w:val="000000"/>
                <w:kern w:val="0"/>
                <w:sz w:val="24"/>
              </w:rPr>
              <w:t>2018-07-06</w:t>
            </w:r>
          </w:p>
        </w:tc>
        <w:tc>
          <w:tcPr>
            <w:tcW w:w="1260" w:type="dxa"/>
            <w:vAlign w:val="center"/>
          </w:tcPr>
          <w:p w:rsidR="000C0699" w:rsidRDefault="00816858">
            <w:pPr>
              <w:jc w:val="right"/>
            </w:pPr>
            <w:r>
              <w:rPr>
                <w:color w:val="000000"/>
                <w:kern w:val="0"/>
                <w:sz w:val="24"/>
              </w:rPr>
              <w:t>103.10</w:t>
            </w:r>
          </w:p>
        </w:tc>
        <w:tc>
          <w:tcPr>
            <w:tcW w:w="1440" w:type="dxa"/>
            <w:vAlign w:val="center"/>
          </w:tcPr>
          <w:p w:rsidR="000C0699" w:rsidRDefault="00816858">
            <w:pPr>
              <w:jc w:val="right"/>
            </w:pPr>
            <w:r>
              <w:rPr>
                <w:color w:val="000000"/>
                <w:kern w:val="0"/>
                <w:sz w:val="24"/>
              </w:rPr>
              <w:t>8,000</w:t>
            </w:r>
          </w:p>
        </w:tc>
        <w:tc>
          <w:tcPr>
            <w:tcW w:w="1836" w:type="dxa"/>
            <w:vAlign w:val="center"/>
          </w:tcPr>
          <w:p w:rsidR="000C0699" w:rsidRDefault="00816858">
            <w:pPr>
              <w:jc w:val="right"/>
            </w:pPr>
            <w:r>
              <w:rPr>
                <w:color w:val="000000"/>
                <w:kern w:val="0"/>
                <w:sz w:val="24"/>
              </w:rPr>
              <w:t>824,800.00</w:t>
            </w:r>
          </w:p>
        </w:tc>
      </w:tr>
      <w:tr w:rsidR="001548F9" w:rsidRPr="005C672D" w:rsidTr="00C17210">
        <w:tc>
          <w:tcPr>
            <w:tcW w:w="1500" w:type="dxa"/>
            <w:vAlign w:val="center"/>
          </w:tcPr>
          <w:p w:rsidR="001548F9" w:rsidRPr="005C672D" w:rsidRDefault="001548F9" w:rsidP="00AC6DDA">
            <w:pPr>
              <w:spacing w:before="29" w:line="288" w:lineRule="auto"/>
              <w:rPr>
                <w:color w:val="000000"/>
                <w:kern w:val="0"/>
                <w:sz w:val="24"/>
              </w:rPr>
            </w:pPr>
            <w:r w:rsidRPr="005C672D">
              <w:rPr>
                <w:sz w:val="24"/>
              </w:rPr>
              <w:t>合计</w:t>
            </w: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5C672D" w:rsidRDefault="001548F9" w:rsidP="00AC6DDA">
            <w:pPr>
              <w:spacing w:before="29" w:line="288" w:lineRule="auto"/>
              <w:jc w:val="right"/>
              <w:rPr>
                <w:sz w:val="24"/>
              </w:rPr>
            </w:pPr>
            <w:r w:rsidRPr="005C672D">
              <w:rPr>
                <w:sz w:val="24"/>
              </w:rPr>
              <w:t>108,000</w:t>
            </w:r>
          </w:p>
        </w:tc>
        <w:tc>
          <w:tcPr>
            <w:tcW w:w="1836" w:type="dxa"/>
            <w:vAlign w:val="center"/>
          </w:tcPr>
          <w:p w:rsidR="001548F9" w:rsidRPr="005C672D" w:rsidRDefault="001548F9" w:rsidP="00AC6DDA">
            <w:pPr>
              <w:spacing w:before="29" w:line="288" w:lineRule="auto"/>
              <w:jc w:val="right"/>
              <w:rPr>
                <w:sz w:val="24"/>
              </w:rPr>
            </w:pPr>
            <w:r w:rsidRPr="005C672D">
              <w:rPr>
                <w:sz w:val="24"/>
              </w:rPr>
              <w:t>10,730,800.00</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6.4.9.3.2 </w:t>
      </w:r>
      <w:r w:rsidRPr="005C672D">
        <w:rPr>
          <w:b/>
          <w:bCs/>
          <w:color w:val="000000"/>
          <w:sz w:val="24"/>
        </w:rPr>
        <w:t>交易所市场债券正回购</w:t>
      </w:r>
    </w:p>
    <w:p w:rsidR="001548F9" w:rsidRPr="005C672D" w:rsidRDefault="001548F9" w:rsidP="00AC6DDA">
      <w:pPr>
        <w:spacing w:before="29" w:line="288" w:lineRule="auto"/>
        <w:ind w:firstLineChars="200" w:firstLine="480"/>
        <w:rPr>
          <w:color w:val="000000"/>
          <w:sz w:val="24"/>
        </w:rPr>
      </w:pPr>
      <w:r w:rsidRPr="005C672D">
        <w:rPr>
          <w:color w:val="000000"/>
          <w:sz w:val="24"/>
        </w:rPr>
        <w:t>截至本报告期末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日止，本基金从事证券交易所债券正回购交易形成的卖出回购证券款余额</w:t>
      </w:r>
      <w:r w:rsidRPr="005C672D">
        <w:rPr>
          <w:color w:val="000000"/>
          <w:sz w:val="24"/>
        </w:rPr>
        <w:t>34,000,000.00</w:t>
      </w:r>
      <w:r w:rsidRPr="005C672D">
        <w:rPr>
          <w:color w:val="000000"/>
          <w:sz w:val="24"/>
        </w:rPr>
        <w:t>元，于</w:t>
      </w:r>
      <w:r w:rsidRPr="005C672D">
        <w:rPr>
          <w:color w:val="000000"/>
          <w:sz w:val="24"/>
        </w:rPr>
        <w:t>2018</w:t>
      </w:r>
      <w:r w:rsidRPr="005C672D">
        <w:rPr>
          <w:color w:val="000000"/>
          <w:sz w:val="24"/>
        </w:rPr>
        <w:t>年</w:t>
      </w:r>
      <w:r w:rsidRPr="005C672D">
        <w:rPr>
          <w:color w:val="000000"/>
          <w:sz w:val="24"/>
        </w:rPr>
        <w:t>7</w:t>
      </w:r>
      <w:r w:rsidRPr="005C672D">
        <w:rPr>
          <w:color w:val="000000"/>
          <w:sz w:val="24"/>
        </w:rPr>
        <w:t>月</w:t>
      </w:r>
      <w:r w:rsidRPr="005C672D">
        <w:rPr>
          <w:color w:val="000000"/>
          <w:sz w:val="24"/>
        </w:rPr>
        <w:t>2</w:t>
      </w:r>
      <w:r w:rsidRPr="005C672D">
        <w:rPr>
          <w:color w:val="000000"/>
          <w:sz w:val="24"/>
        </w:rPr>
        <w:t>日到期。该类交易要求本基金转入质押库的债券，按证券交易所规定的比例折算为标准券后，不低于债券回购交易的余额。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lastRenderedPageBreak/>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1,158,873.00</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0.43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1,158,873.00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0.43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228,328,220.00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84.31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228,328,220.00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84.31</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4,811,724.23</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36,508,076.16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13.48</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270,806,893.39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1,158,873.00</w:t>
            </w:r>
          </w:p>
        </w:tc>
        <w:tc>
          <w:tcPr>
            <w:tcW w:w="2160" w:type="dxa"/>
            <w:vAlign w:val="center"/>
          </w:tcPr>
          <w:p w:rsidR="001548F9" w:rsidRPr="005C672D" w:rsidRDefault="001548F9" w:rsidP="00AC6DDA">
            <w:pPr>
              <w:spacing w:before="29" w:line="288" w:lineRule="auto"/>
              <w:jc w:val="right"/>
              <w:rPr>
                <w:sz w:val="24"/>
              </w:rPr>
            </w:pPr>
            <w:r w:rsidRPr="005C672D">
              <w:rPr>
                <w:sz w:val="24"/>
              </w:rPr>
              <w:t>0.61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1,158,873.00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0.61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0C0699">
        <w:tc>
          <w:tcPr>
            <w:tcW w:w="862" w:type="dxa"/>
            <w:vAlign w:val="center"/>
          </w:tcPr>
          <w:p w:rsidR="000C0699" w:rsidRDefault="00816858">
            <w:pPr>
              <w:jc w:val="center"/>
            </w:pPr>
            <w:r>
              <w:rPr>
                <w:color w:val="000000"/>
                <w:sz w:val="24"/>
              </w:rPr>
              <w:t>1</w:t>
            </w:r>
          </w:p>
        </w:tc>
        <w:tc>
          <w:tcPr>
            <w:tcW w:w="1346" w:type="dxa"/>
            <w:vAlign w:val="center"/>
          </w:tcPr>
          <w:p w:rsidR="000C0699" w:rsidRDefault="00816858">
            <w:pPr>
              <w:jc w:val="center"/>
            </w:pPr>
            <w:r>
              <w:rPr>
                <w:color w:val="000000"/>
                <w:sz w:val="24"/>
              </w:rPr>
              <w:t>600845</w:t>
            </w:r>
          </w:p>
        </w:tc>
        <w:tc>
          <w:tcPr>
            <w:tcW w:w="1795" w:type="dxa"/>
            <w:vAlign w:val="center"/>
          </w:tcPr>
          <w:p w:rsidR="000C0699" w:rsidRDefault="00816858">
            <w:pPr>
              <w:jc w:val="center"/>
            </w:pPr>
            <w:r>
              <w:rPr>
                <w:color w:val="000000"/>
                <w:sz w:val="24"/>
              </w:rPr>
              <w:t>宝信软件</w:t>
            </w:r>
          </w:p>
        </w:tc>
        <w:tc>
          <w:tcPr>
            <w:tcW w:w="1681" w:type="dxa"/>
            <w:vAlign w:val="center"/>
          </w:tcPr>
          <w:p w:rsidR="000C0699" w:rsidRDefault="00816858">
            <w:pPr>
              <w:jc w:val="right"/>
            </w:pPr>
            <w:r>
              <w:rPr>
                <w:color w:val="000000"/>
                <w:sz w:val="24"/>
              </w:rPr>
              <w:t>43,980</w:t>
            </w:r>
          </w:p>
        </w:tc>
        <w:tc>
          <w:tcPr>
            <w:tcW w:w="1795" w:type="dxa"/>
            <w:vAlign w:val="center"/>
          </w:tcPr>
          <w:p w:rsidR="000C0699" w:rsidRDefault="00816858">
            <w:pPr>
              <w:jc w:val="right"/>
            </w:pPr>
            <w:r>
              <w:rPr>
                <w:color w:val="000000"/>
                <w:sz w:val="24"/>
              </w:rPr>
              <w:t>1,158,873.00</w:t>
            </w:r>
          </w:p>
        </w:tc>
        <w:tc>
          <w:tcPr>
            <w:tcW w:w="1519" w:type="dxa"/>
            <w:vAlign w:val="center"/>
          </w:tcPr>
          <w:p w:rsidR="000C0699" w:rsidRDefault="00816858">
            <w:pPr>
              <w:jc w:val="right"/>
            </w:pPr>
            <w:r>
              <w:rPr>
                <w:color w:val="000000"/>
                <w:sz w:val="24"/>
              </w:rPr>
              <w:t>0.61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0C0699">
        <w:tc>
          <w:tcPr>
            <w:tcW w:w="869" w:type="dxa"/>
            <w:vAlign w:val="center"/>
          </w:tcPr>
          <w:p w:rsidR="000C0699" w:rsidRDefault="00816858">
            <w:pPr>
              <w:jc w:val="center"/>
            </w:pPr>
            <w:r>
              <w:rPr>
                <w:sz w:val="24"/>
              </w:rPr>
              <w:lastRenderedPageBreak/>
              <w:t>1</w:t>
            </w:r>
          </w:p>
        </w:tc>
        <w:tc>
          <w:tcPr>
            <w:tcW w:w="1650" w:type="dxa"/>
            <w:vAlign w:val="center"/>
          </w:tcPr>
          <w:p w:rsidR="000C0699" w:rsidRDefault="00816858">
            <w:pPr>
              <w:jc w:val="center"/>
            </w:pPr>
            <w:r>
              <w:rPr>
                <w:sz w:val="24"/>
              </w:rPr>
              <w:t>600845</w:t>
            </w:r>
          </w:p>
        </w:tc>
        <w:tc>
          <w:tcPr>
            <w:tcW w:w="1980" w:type="dxa"/>
            <w:vAlign w:val="center"/>
          </w:tcPr>
          <w:p w:rsidR="000C0699" w:rsidRDefault="00816858">
            <w:pPr>
              <w:jc w:val="center"/>
            </w:pPr>
            <w:r>
              <w:rPr>
                <w:sz w:val="24"/>
              </w:rPr>
              <w:t>宝信软件</w:t>
            </w:r>
          </w:p>
        </w:tc>
        <w:tc>
          <w:tcPr>
            <w:tcW w:w="2879" w:type="dxa"/>
            <w:vAlign w:val="center"/>
          </w:tcPr>
          <w:p w:rsidR="000C0699" w:rsidRDefault="00816858">
            <w:pPr>
              <w:jc w:val="right"/>
            </w:pPr>
            <w:r>
              <w:rPr>
                <w:sz w:val="24"/>
              </w:rPr>
              <w:t>1,066,515.00</w:t>
            </w:r>
          </w:p>
        </w:tc>
        <w:tc>
          <w:tcPr>
            <w:tcW w:w="1620" w:type="dxa"/>
            <w:vAlign w:val="center"/>
          </w:tcPr>
          <w:p w:rsidR="000C0699" w:rsidRDefault="00816858">
            <w:pPr>
              <w:jc w:val="right"/>
            </w:pPr>
            <w:r>
              <w:rPr>
                <w:sz w:val="24"/>
              </w:rPr>
              <w:t>0.52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0C0699" w:rsidRDefault="00816858">
      <w:pPr>
        <w:tabs>
          <w:tab w:val="left" w:pos="426"/>
        </w:tabs>
        <w:spacing w:before="29" w:line="288" w:lineRule="auto"/>
        <w:jc w:val="left"/>
        <w:rPr>
          <w:kern w:val="0"/>
          <w:sz w:val="24"/>
        </w:rPr>
      </w:pPr>
      <w:r>
        <w:rPr>
          <w:kern w:val="0"/>
          <w:sz w:val="24"/>
        </w:rPr>
        <w:t>1</w:t>
      </w:r>
      <w:r>
        <w:rPr>
          <w:kern w:val="0"/>
          <w:sz w:val="24"/>
        </w:rPr>
        <w:t>、本基金本报告期内未卖出股票。</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1,066,515.00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41,499,000.00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21.75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41,499,000.00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21.75</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93,783,000.00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49.16</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88,750,000.00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46.52</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4,296,220.00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2.25</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228,328,220.00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119.68</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w:t>
            </w:r>
            <w:r w:rsidRPr="005C672D">
              <w:rPr>
                <w:color w:val="000000"/>
                <w:sz w:val="24"/>
              </w:rPr>
              <w:lastRenderedPageBreak/>
              <w:t>值比例</w:t>
            </w:r>
            <w:r w:rsidR="001D2D5F" w:rsidRPr="005C672D">
              <w:rPr>
                <w:sz w:val="24"/>
              </w:rPr>
              <w:t>（％）</w:t>
            </w:r>
          </w:p>
        </w:tc>
      </w:tr>
      <w:tr w:rsidR="000C0699">
        <w:tc>
          <w:tcPr>
            <w:tcW w:w="1320" w:type="dxa"/>
            <w:vAlign w:val="center"/>
          </w:tcPr>
          <w:p w:rsidR="000C0699" w:rsidRDefault="00816858">
            <w:pPr>
              <w:jc w:val="center"/>
            </w:pPr>
            <w:r>
              <w:rPr>
                <w:color w:val="000000"/>
                <w:sz w:val="24"/>
              </w:rPr>
              <w:lastRenderedPageBreak/>
              <w:t>1</w:t>
            </w:r>
          </w:p>
        </w:tc>
        <w:tc>
          <w:tcPr>
            <w:tcW w:w="1382" w:type="dxa"/>
            <w:vAlign w:val="center"/>
          </w:tcPr>
          <w:p w:rsidR="000C0699" w:rsidRDefault="00816858">
            <w:pPr>
              <w:jc w:val="center"/>
            </w:pPr>
            <w:r>
              <w:rPr>
                <w:color w:val="000000"/>
                <w:sz w:val="24"/>
              </w:rPr>
              <w:t>180205</w:t>
            </w:r>
          </w:p>
        </w:tc>
        <w:tc>
          <w:tcPr>
            <w:tcW w:w="1353" w:type="dxa"/>
            <w:vAlign w:val="center"/>
          </w:tcPr>
          <w:p w:rsidR="000C0699" w:rsidRDefault="00816858">
            <w:pPr>
              <w:jc w:val="center"/>
            </w:pPr>
            <w:r>
              <w:rPr>
                <w:color w:val="000000"/>
                <w:sz w:val="24"/>
              </w:rPr>
              <w:t>18</w:t>
            </w:r>
            <w:r>
              <w:rPr>
                <w:color w:val="000000"/>
                <w:sz w:val="24"/>
              </w:rPr>
              <w:t>国开</w:t>
            </w:r>
            <w:r>
              <w:rPr>
                <w:color w:val="000000"/>
                <w:sz w:val="24"/>
              </w:rPr>
              <w:t>05</w:t>
            </w:r>
          </w:p>
        </w:tc>
        <w:tc>
          <w:tcPr>
            <w:tcW w:w="1505" w:type="dxa"/>
            <w:vAlign w:val="center"/>
          </w:tcPr>
          <w:p w:rsidR="000C0699" w:rsidRDefault="00816858">
            <w:pPr>
              <w:jc w:val="right"/>
            </w:pPr>
            <w:r>
              <w:rPr>
                <w:color w:val="000000"/>
                <w:sz w:val="24"/>
              </w:rPr>
              <w:t>300,000</w:t>
            </w:r>
          </w:p>
        </w:tc>
        <w:tc>
          <w:tcPr>
            <w:tcW w:w="1737" w:type="dxa"/>
            <w:vAlign w:val="center"/>
          </w:tcPr>
          <w:p w:rsidR="000C0699" w:rsidRDefault="00816858">
            <w:pPr>
              <w:jc w:val="right"/>
            </w:pPr>
            <w:r>
              <w:rPr>
                <w:color w:val="000000"/>
                <w:sz w:val="24"/>
              </w:rPr>
              <w:t>31,461,000.00</w:t>
            </w:r>
          </w:p>
        </w:tc>
        <w:tc>
          <w:tcPr>
            <w:tcW w:w="1701" w:type="dxa"/>
            <w:vAlign w:val="center"/>
          </w:tcPr>
          <w:p w:rsidR="000C0699" w:rsidRDefault="00816858">
            <w:pPr>
              <w:jc w:val="right"/>
            </w:pPr>
            <w:r>
              <w:rPr>
                <w:color w:val="000000"/>
                <w:sz w:val="24"/>
              </w:rPr>
              <w:t>16.49</w:t>
            </w:r>
          </w:p>
        </w:tc>
      </w:tr>
      <w:tr w:rsidR="000C0699">
        <w:tc>
          <w:tcPr>
            <w:tcW w:w="1320" w:type="dxa"/>
            <w:vAlign w:val="center"/>
          </w:tcPr>
          <w:p w:rsidR="000C0699" w:rsidRDefault="00816858">
            <w:pPr>
              <w:jc w:val="center"/>
            </w:pPr>
            <w:r>
              <w:rPr>
                <w:color w:val="000000"/>
                <w:sz w:val="24"/>
              </w:rPr>
              <w:t>2</w:t>
            </w:r>
          </w:p>
        </w:tc>
        <w:tc>
          <w:tcPr>
            <w:tcW w:w="1382" w:type="dxa"/>
            <w:vAlign w:val="center"/>
          </w:tcPr>
          <w:p w:rsidR="000C0699" w:rsidRDefault="00816858">
            <w:pPr>
              <w:jc w:val="center"/>
            </w:pPr>
            <w:r>
              <w:rPr>
                <w:color w:val="000000"/>
                <w:sz w:val="24"/>
              </w:rPr>
              <w:t>101354013</w:t>
            </w:r>
          </w:p>
        </w:tc>
        <w:tc>
          <w:tcPr>
            <w:tcW w:w="1353" w:type="dxa"/>
            <w:vAlign w:val="center"/>
          </w:tcPr>
          <w:p w:rsidR="000C0699" w:rsidRDefault="00816858">
            <w:pPr>
              <w:jc w:val="center"/>
            </w:pPr>
            <w:r>
              <w:rPr>
                <w:color w:val="000000"/>
                <w:sz w:val="24"/>
              </w:rPr>
              <w:t>13</w:t>
            </w:r>
            <w:r>
              <w:rPr>
                <w:color w:val="000000"/>
                <w:sz w:val="24"/>
              </w:rPr>
              <w:t>浙能源</w:t>
            </w:r>
            <w:r>
              <w:rPr>
                <w:color w:val="000000"/>
                <w:sz w:val="24"/>
              </w:rPr>
              <w:t>MTN002</w:t>
            </w:r>
          </w:p>
        </w:tc>
        <w:tc>
          <w:tcPr>
            <w:tcW w:w="1505" w:type="dxa"/>
            <w:vAlign w:val="center"/>
          </w:tcPr>
          <w:p w:rsidR="000C0699" w:rsidRDefault="00816858">
            <w:pPr>
              <w:jc w:val="right"/>
            </w:pPr>
            <w:r>
              <w:rPr>
                <w:color w:val="000000"/>
                <w:sz w:val="24"/>
              </w:rPr>
              <w:t>100,000</w:t>
            </w:r>
          </w:p>
        </w:tc>
        <w:tc>
          <w:tcPr>
            <w:tcW w:w="1737" w:type="dxa"/>
            <w:vAlign w:val="center"/>
          </w:tcPr>
          <w:p w:rsidR="000C0699" w:rsidRDefault="00816858">
            <w:pPr>
              <w:jc w:val="right"/>
            </w:pPr>
            <w:r>
              <w:rPr>
                <w:color w:val="000000"/>
                <w:sz w:val="24"/>
              </w:rPr>
              <w:t>10,310,000.00</w:t>
            </w:r>
          </w:p>
        </w:tc>
        <w:tc>
          <w:tcPr>
            <w:tcW w:w="1701" w:type="dxa"/>
            <w:vAlign w:val="center"/>
          </w:tcPr>
          <w:p w:rsidR="000C0699" w:rsidRDefault="00816858">
            <w:pPr>
              <w:jc w:val="right"/>
            </w:pPr>
            <w:r>
              <w:rPr>
                <w:color w:val="000000"/>
                <w:sz w:val="24"/>
              </w:rPr>
              <w:t>5.40</w:t>
            </w:r>
          </w:p>
        </w:tc>
      </w:tr>
      <w:tr w:rsidR="000C0699">
        <w:tc>
          <w:tcPr>
            <w:tcW w:w="1320" w:type="dxa"/>
            <w:vAlign w:val="center"/>
          </w:tcPr>
          <w:p w:rsidR="000C0699" w:rsidRDefault="00816858">
            <w:pPr>
              <w:jc w:val="center"/>
            </w:pPr>
            <w:r>
              <w:rPr>
                <w:color w:val="000000"/>
                <w:sz w:val="24"/>
              </w:rPr>
              <w:t>3</w:t>
            </w:r>
          </w:p>
        </w:tc>
        <w:tc>
          <w:tcPr>
            <w:tcW w:w="1382" w:type="dxa"/>
            <w:vAlign w:val="center"/>
          </w:tcPr>
          <w:p w:rsidR="000C0699" w:rsidRDefault="00816858">
            <w:pPr>
              <w:jc w:val="center"/>
            </w:pPr>
            <w:r>
              <w:rPr>
                <w:color w:val="000000"/>
                <w:sz w:val="24"/>
              </w:rPr>
              <w:t>018005</w:t>
            </w:r>
          </w:p>
        </w:tc>
        <w:tc>
          <w:tcPr>
            <w:tcW w:w="1353" w:type="dxa"/>
            <w:vAlign w:val="center"/>
          </w:tcPr>
          <w:p w:rsidR="000C0699" w:rsidRDefault="00816858">
            <w:pPr>
              <w:jc w:val="center"/>
            </w:pPr>
            <w:r>
              <w:rPr>
                <w:color w:val="000000"/>
                <w:sz w:val="24"/>
              </w:rPr>
              <w:t>国开</w:t>
            </w:r>
            <w:r>
              <w:rPr>
                <w:color w:val="000000"/>
                <w:sz w:val="24"/>
              </w:rPr>
              <w:t>1701</w:t>
            </w:r>
          </w:p>
        </w:tc>
        <w:tc>
          <w:tcPr>
            <w:tcW w:w="1505" w:type="dxa"/>
            <w:vAlign w:val="center"/>
          </w:tcPr>
          <w:p w:rsidR="000C0699" w:rsidRDefault="00816858">
            <w:pPr>
              <w:jc w:val="right"/>
            </w:pPr>
            <w:r>
              <w:rPr>
                <w:color w:val="000000"/>
                <w:sz w:val="24"/>
              </w:rPr>
              <w:t>100,000</w:t>
            </w:r>
          </w:p>
        </w:tc>
        <w:tc>
          <w:tcPr>
            <w:tcW w:w="1737" w:type="dxa"/>
            <w:vAlign w:val="center"/>
          </w:tcPr>
          <w:p w:rsidR="000C0699" w:rsidRDefault="00816858">
            <w:pPr>
              <w:jc w:val="right"/>
            </w:pPr>
            <w:r>
              <w:rPr>
                <w:color w:val="000000"/>
                <w:sz w:val="24"/>
              </w:rPr>
              <w:t>10,038,000.00</w:t>
            </w:r>
          </w:p>
        </w:tc>
        <w:tc>
          <w:tcPr>
            <w:tcW w:w="1701" w:type="dxa"/>
            <w:vAlign w:val="center"/>
          </w:tcPr>
          <w:p w:rsidR="000C0699" w:rsidRDefault="00816858">
            <w:pPr>
              <w:jc w:val="right"/>
            </w:pPr>
            <w:r>
              <w:rPr>
                <w:color w:val="000000"/>
                <w:sz w:val="24"/>
              </w:rPr>
              <w:t>5.26</w:t>
            </w:r>
          </w:p>
        </w:tc>
      </w:tr>
      <w:tr w:rsidR="000C0699">
        <w:tc>
          <w:tcPr>
            <w:tcW w:w="1320" w:type="dxa"/>
            <w:vAlign w:val="center"/>
          </w:tcPr>
          <w:p w:rsidR="000C0699" w:rsidRDefault="00816858">
            <w:pPr>
              <w:jc w:val="center"/>
            </w:pPr>
            <w:r>
              <w:rPr>
                <w:color w:val="000000"/>
                <w:sz w:val="24"/>
              </w:rPr>
              <w:t>4</w:t>
            </w:r>
          </w:p>
        </w:tc>
        <w:tc>
          <w:tcPr>
            <w:tcW w:w="1382" w:type="dxa"/>
            <w:vAlign w:val="center"/>
          </w:tcPr>
          <w:p w:rsidR="000C0699" w:rsidRDefault="00816858">
            <w:pPr>
              <w:jc w:val="center"/>
            </w:pPr>
            <w:r>
              <w:rPr>
                <w:color w:val="000000"/>
                <w:sz w:val="24"/>
              </w:rPr>
              <w:t>101752020</w:t>
            </w:r>
          </w:p>
        </w:tc>
        <w:tc>
          <w:tcPr>
            <w:tcW w:w="1353" w:type="dxa"/>
            <w:vAlign w:val="center"/>
          </w:tcPr>
          <w:p w:rsidR="000C0699" w:rsidRDefault="00816858">
            <w:pPr>
              <w:jc w:val="center"/>
            </w:pPr>
            <w:r>
              <w:rPr>
                <w:color w:val="000000"/>
                <w:sz w:val="24"/>
              </w:rPr>
              <w:t>17</w:t>
            </w:r>
            <w:r>
              <w:rPr>
                <w:color w:val="000000"/>
                <w:sz w:val="24"/>
              </w:rPr>
              <w:t>华发实业</w:t>
            </w:r>
            <w:r>
              <w:rPr>
                <w:color w:val="000000"/>
                <w:sz w:val="24"/>
              </w:rPr>
              <w:t>MTN001</w:t>
            </w:r>
          </w:p>
        </w:tc>
        <w:tc>
          <w:tcPr>
            <w:tcW w:w="1505" w:type="dxa"/>
            <w:vAlign w:val="center"/>
          </w:tcPr>
          <w:p w:rsidR="000C0699" w:rsidRDefault="00816858">
            <w:pPr>
              <w:jc w:val="right"/>
            </w:pPr>
            <w:r>
              <w:rPr>
                <w:color w:val="000000"/>
                <w:sz w:val="24"/>
              </w:rPr>
              <w:t>100,000</w:t>
            </w:r>
          </w:p>
        </w:tc>
        <w:tc>
          <w:tcPr>
            <w:tcW w:w="1737" w:type="dxa"/>
            <w:vAlign w:val="center"/>
          </w:tcPr>
          <w:p w:rsidR="000C0699" w:rsidRDefault="00816858">
            <w:pPr>
              <w:jc w:val="right"/>
            </w:pPr>
            <w:r>
              <w:rPr>
                <w:color w:val="000000"/>
                <w:sz w:val="24"/>
              </w:rPr>
              <w:t>10,019,000.00</w:t>
            </w:r>
          </w:p>
        </w:tc>
        <w:tc>
          <w:tcPr>
            <w:tcW w:w="1701" w:type="dxa"/>
            <w:vAlign w:val="center"/>
          </w:tcPr>
          <w:p w:rsidR="000C0699" w:rsidRDefault="00816858">
            <w:pPr>
              <w:jc w:val="right"/>
            </w:pPr>
            <w:r>
              <w:rPr>
                <w:color w:val="000000"/>
                <w:sz w:val="24"/>
              </w:rPr>
              <w:t>5.25</w:t>
            </w:r>
          </w:p>
        </w:tc>
      </w:tr>
      <w:tr w:rsidR="000C0699">
        <w:tc>
          <w:tcPr>
            <w:tcW w:w="1320" w:type="dxa"/>
            <w:vAlign w:val="center"/>
          </w:tcPr>
          <w:p w:rsidR="000C0699" w:rsidRDefault="00816858">
            <w:pPr>
              <w:jc w:val="center"/>
            </w:pPr>
            <w:r>
              <w:rPr>
                <w:color w:val="000000"/>
                <w:sz w:val="24"/>
              </w:rPr>
              <w:t>5</w:t>
            </w:r>
          </w:p>
        </w:tc>
        <w:tc>
          <w:tcPr>
            <w:tcW w:w="1382" w:type="dxa"/>
            <w:vAlign w:val="center"/>
          </w:tcPr>
          <w:p w:rsidR="000C0699" w:rsidRDefault="00816858">
            <w:pPr>
              <w:jc w:val="center"/>
            </w:pPr>
            <w:r>
              <w:rPr>
                <w:color w:val="000000"/>
                <w:sz w:val="24"/>
              </w:rPr>
              <w:t>101800603</w:t>
            </w:r>
          </w:p>
        </w:tc>
        <w:tc>
          <w:tcPr>
            <w:tcW w:w="1353" w:type="dxa"/>
            <w:vAlign w:val="center"/>
          </w:tcPr>
          <w:p w:rsidR="000C0699" w:rsidRDefault="00816858">
            <w:pPr>
              <w:jc w:val="center"/>
            </w:pPr>
            <w:r>
              <w:rPr>
                <w:color w:val="000000"/>
                <w:sz w:val="24"/>
              </w:rPr>
              <w:t>18</w:t>
            </w:r>
            <w:r>
              <w:rPr>
                <w:color w:val="000000"/>
                <w:sz w:val="24"/>
              </w:rPr>
              <w:t>首开集团</w:t>
            </w:r>
            <w:r>
              <w:rPr>
                <w:color w:val="000000"/>
                <w:sz w:val="24"/>
              </w:rPr>
              <w:t>MTN001</w:t>
            </w:r>
          </w:p>
        </w:tc>
        <w:tc>
          <w:tcPr>
            <w:tcW w:w="1505" w:type="dxa"/>
            <w:vAlign w:val="center"/>
          </w:tcPr>
          <w:p w:rsidR="000C0699" w:rsidRDefault="00816858">
            <w:pPr>
              <w:jc w:val="right"/>
            </w:pPr>
            <w:r>
              <w:rPr>
                <w:color w:val="000000"/>
                <w:sz w:val="24"/>
              </w:rPr>
              <w:t>100,000</w:t>
            </w:r>
          </w:p>
        </w:tc>
        <w:tc>
          <w:tcPr>
            <w:tcW w:w="1737" w:type="dxa"/>
            <w:vAlign w:val="center"/>
          </w:tcPr>
          <w:p w:rsidR="000C0699" w:rsidRDefault="00816858">
            <w:pPr>
              <w:jc w:val="right"/>
            </w:pPr>
            <w:r>
              <w:rPr>
                <w:color w:val="000000"/>
                <w:sz w:val="24"/>
              </w:rPr>
              <w:t>9,990,000.00</w:t>
            </w:r>
          </w:p>
        </w:tc>
        <w:tc>
          <w:tcPr>
            <w:tcW w:w="1701" w:type="dxa"/>
            <w:vAlign w:val="center"/>
          </w:tcPr>
          <w:p w:rsidR="000C0699" w:rsidRDefault="00816858">
            <w:pPr>
              <w:jc w:val="right"/>
            </w:pPr>
            <w:r>
              <w:rPr>
                <w:color w:val="000000"/>
                <w:sz w:val="24"/>
              </w:rPr>
              <w:t>5.24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39,464.77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33,269,609.63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3,171,534.93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27,466.83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36,508,076.16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0C0699">
        <w:tc>
          <w:tcPr>
            <w:tcW w:w="1911" w:type="dxa"/>
            <w:vAlign w:val="center"/>
          </w:tcPr>
          <w:p w:rsidR="000C0699" w:rsidRDefault="00816858">
            <w:pPr>
              <w:jc w:val="center"/>
            </w:pPr>
            <w:r>
              <w:rPr>
                <w:color w:val="000000"/>
                <w:sz w:val="24"/>
              </w:rPr>
              <w:t>1</w:t>
            </w:r>
          </w:p>
        </w:tc>
        <w:tc>
          <w:tcPr>
            <w:tcW w:w="1828" w:type="dxa"/>
            <w:vAlign w:val="center"/>
          </w:tcPr>
          <w:p w:rsidR="000C0699" w:rsidRDefault="00816858">
            <w:pPr>
              <w:jc w:val="center"/>
            </w:pPr>
            <w:r>
              <w:rPr>
                <w:color w:val="000000"/>
                <w:sz w:val="24"/>
              </w:rPr>
              <w:t>110039</w:t>
            </w:r>
          </w:p>
        </w:tc>
        <w:tc>
          <w:tcPr>
            <w:tcW w:w="1752" w:type="dxa"/>
            <w:vAlign w:val="center"/>
          </w:tcPr>
          <w:p w:rsidR="000C0699" w:rsidRDefault="00816858">
            <w:pPr>
              <w:jc w:val="center"/>
            </w:pPr>
            <w:r>
              <w:rPr>
                <w:color w:val="000000"/>
                <w:sz w:val="24"/>
              </w:rPr>
              <w:t>宝信转债</w:t>
            </w:r>
          </w:p>
        </w:tc>
        <w:tc>
          <w:tcPr>
            <w:tcW w:w="1794" w:type="dxa"/>
            <w:vAlign w:val="center"/>
          </w:tcPr>
          <w:p w:rsidR="000C0699" w:rsidRDefault="00816858">
            <w:pPr>
              <w:jc w:val="right"/>
            </w:pPr>
            <w:r>
              <w:rPr>
                <w:color w:val="000000"/>
                <w:sz w:val="24"/>
              </w:rPr>
              <w:t>1,152,240.00</w:t>
            </w:r>
          </w:p>
        </w:tc>
        <w:tc>
          <w:tcPr>
            <w:tcW w:w="1713" w:type="dxa"/>
            <w:vAlign w:val="center"/>
          </w:tcPr>
          <w:p w:rsidR="000C0699" w:rsidRDefault="00816858">
            <w:pPr>
              <w:jc w:val="right"/>
            </w:pPr>
            <w:r>
              <w:rPr>
                <w:color w:val="000000"/>
                <w:sz w:val="24"/>
              </w:rPr>
              <w:t>0.60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注：宝信转债在</w:t>
      </w:r>
      <w:r w:rsidRPr="005C672D">
        <w:rPr>
          <w:kern w:val="0"/>
          <w:sz w:val="24"/>
        </w:rPr>
        <w:t>2018</w:t>
      </w:r>
      <w:r w:rsidRPr="005C672D">
        <w:rPr>
          <w:kern w:val="0"/>
          <w:sz w:val="24"/>
        </w:rPr>
        <w:t>年</w:t>
      </w:r>
      <w:r w:rsidRPr="005C672D">
        <w:rPr>
          <w:kern w:val="0"/>
          <w:sz w:val="24"/>
        </w:rPr>
        <w:t>7</w:t>
      </w:r>
      <w:r w:rsidRPr="005C672D">
        <w:rPr>
          <w:kern w:val="0"/>
          <w:sz w:val="24"/>
        </w:rPr>
        <w:t>月</w:t>
      </w:r>
      <w:r w:rsidRPr="005C672D">
        <w:rPr>
          <w:kern w:val="0"/>
          <w:sz w:val="24"/>
        </w:rPr>
        <w:t>6</w:t>
      </w:r>
      <w:r w:rsidRPr="005C672D">
        <w:rPr>
          <w:kern w:val="0"/>
          <w:sz w:val="24"/>
        </w:rPr>
        <w:t>日之前都处于转股期。</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5"/>
        <w:gridCol w:w="1341"/>
        <w:gridCol w:w="1708"/>
        <w:gridCol w:w="1489"/>
        <w:gridCol w:w="1596"/>
        <w:gridCol w:w="1507"/>
      </w:tblGrid>
      <w:tr w:rsidR="00872345" w:rsidRPr="005C672D" w:rsidTr="0087234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C0699" w:rsidRDefault="0081685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872345" w:rsidRPr="005C672D" w:rsidTr="0087234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C0699" w:rsidRDefault="000C069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872345" w:rsidRPr="005C672D" w:rsidTr="0087234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C0699" w:rsidRDefault="000C069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872345" w:rsidRPr="005C672D" w:rsidTr="0087234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C0699" w:rsidRDefault="00816858">
            <w:pPr>
              <w:jc w:val="center"/>
            </w:pPr>
            <w:r>
              <w:rPr>
                <w:bCs/>
                <w:color w:val="000000"/>
                <w:sz w:val="24"/>
              </w:rPr>
              <w:t>4,463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30,113.76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100,626,011.57</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74.87%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33,771,706.26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25.13%</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lastRenderedPageBreak/>
        <w:t xml:space="preserve">8.2 </w:t>
      </w:r>
      <w:r w:rsidRPr="005C672D">
        <w:rPr>
          <w:rFonts w:ascii="Times New Roman" w:hAnsi="Times New Roman"/>
          <w:szCs w:val="24"/>
        </w:rPr>
        <w:t>期末上市基金前十名持有人</w:t>
      </w:r>
    </w:p>
    <w:tbl>
      <w:tblPr>
        <w:tblW w:w="0" w:type="dxa"/>
        <w:tblInd w:w="108" w:type="dxa"/>
        <w:tblCellMar>
          <w:left w:w="0" w:type="dxa"/>
          <w:right w:w="0" w:type="dxa"/>
        </w:tblCellMar>
        <w:tblLook w:val="04A0" w:firstRow="1" w:lastRow="0" w:firstColumn="1" w:lastColumn="0" w:noHBand="0" w:noVBand="1"/>
      </w:tblPr>
      <w:tblGrid>
        <w:gridCol w:w="1109"/>
        <w:gridCol w:w="2590"/>
        <w:gridCol w:w="2293"/>
        <w:gridCol w:w="3030"/>
      </w:tblGrid>
      <w:tr w:rsidR="00252714" w:rsidTr="00252714">
        <w:trPr>
          <w:trHeight w:val="1298"/>
        </w:trPr>
        <w:tc>
          <w:tcPr>
            <w:tcW w:w="1109"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spacing w:before="29" w:line="288" w:lineRule="auto"/>
              <w:jc w:val="center"/>
              <w:rPr>
                <w:kern w:val="0"/>
                <w:sz w:val="24"/>
              </w:rPr>
            </w:pPr>
            <w:r>
              <w:rPr>
                <w:rFonts w:ascii="宋体" w:hAnsi="宋体" w:hint="eastAsia"/>
                <w:sz w:val="24"/>
              </w:rPr>
              <w:t>序号</w:t>
            </w:r>
          </w:p>
        </w:tc>
        <w:tc>
          <w:tcPr>
            <w:tcW w:w="259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spacing w:before="29" w:line="288" w:lineRule="auto"/>
              <w:jc w:val="center"/>
              <w:rPr>
                <w:rFonts w:ascii="Calibri" w:hAnsi="Calibri" w:cs="宋体"/>
                <w:sz w:val="24"/>
              </w:rPr>
            </w:pPr>
            <w:r>
              <w:rPr>
                <w:rFonts w:ascii="宋体" w:hAnsi="宋体" w:hint="eastAsia"/>
                <w:sz w:val="24"/>
              </w:rPr>
              <w:t>持有人名称</w:t>
            </w:r>
          </w:p>
        </w:tc>
        <w:tc>
          <w:tcPr>
            <w:tcW w:w="229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spacing w:before="29" w:line="288" w:lineRule="auto"/>
              <w:jc w:val="center"/>
              <w:rPr>
                <w:sz w:val="24"/>
              </w:rPr>
            </w:pPr>
            <w:r>
              <w:rPr>
                <w:rFonts w:ascii="宋体" w:hAnsi="宋体" w:hint="eastAsia"/>
                <w:sz w:val="24"/>
              </w:rPr>
              <w:t>持有份额（份）</w:t>
            </w:r>
          </w:p>
        </w:tc>
        <w:tc>
          <w:tcPr>
            <w:tcW w:w="303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spacing w:before="29" w:line="288" w:lineRule="auto"/>
              <w:jc w:val="center"/>
              <w:rPr>
                <w:sz w:val="24"/>
              </w:rPr>
            </w:pPr>
            <w:r>
              <w:rPr>
                <w:rFonts w:ascii="宋体" w:hAnsi="宋体" w:hint="eastAsia"/>
                <w:sz w:val="24"/>
              </w:rPr>
              <w:t>占上市总份额比例</w:t>
            </w:r>
            <w:r>
              <w:rPr>
                <w:color w:val="000000"/>
                <w:sz w:val="24"/>
              </w:rPr>
              <w:t>(%)</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rPr>
                <w:szCs w:val="21"/>
              </w:rPr>
            </w:pPr>
            <w:r>
              <w:rPr>
                <w:color w:val="000000"/>
                <w:sz w:val="24"/>
              </w:rPr>
              <w:t>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中国铁路成都局集团有限公司企业年金计划－中国建设银行股份有限公司</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1,000,000.00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46.26%</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2</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中国能源建设集团有限公司企业年金计划－中国银行股份有限公司</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757,026.00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35.02%</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3</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王方</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61,300.00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2.84%</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4</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高德荣</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60,000.00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2.78%</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5</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韦红云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49,900.00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2.31%</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6</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马学丰</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24,853.00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1.15%</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7</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许丽珍</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23,000.00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1.06%</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8</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张蓉</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20,000.00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0.93%</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9</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陈玉惠</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19,891.00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0.92%</w:t>
            </w:r>
          </w:p>
        </w:tc>
      </w:tr>
      <w:tr w:rsidR="00252714" w:rsidTr="00252714">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center"/>
            </w:pPr>
            <w:r>
              <w:rPr>
                <w:color w:val="000000"/>
                <w:sz w:val="24"/>
              </w:rPr>
              <w:t>10</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left"/>
            </w:pPr>
            <w:r>
              <w:rPr>
                <w:rFonts w:ascii="宋体" w:hAnsi="宋体" w:hint="eastAsia"/>
                <w:color w:val="000000"/>
                <w:sz w:val="24"/>
              </w:rPr>
              <w:t>谢心达</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14,862.00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252714" w:rsidRDefault="00252714">
            <w:pPr>
              <w:jc w:val="right"/>
            </w:pPr>
            <w:r>
              <w:rPr>
                <w:color w:val="000000"/>
                <w:sz w:val="24"/>
              </w:rPr>
              <w:t>0.69%</w:t>
            </w:r>
          </w:p>
        </w:tc>
      </w:tr>
    </w:tbl>
    <w:p w:rsidR="006942C3" w:rsidRPr="005C672D" w:rsidRDefault="006942C3" w:rsidP="00AC6DDA">
      <w:pPr>
        <w:tabs>
          <w:tab w:val="left" w:pos="426"/>
        </w:tabs>
        <w:spacing w:before="29" w:line="288" w:lineRule="auto"/>
        <w:jc w:val="left"/>
        <w:rPr>
          <w:kern w:val="0"/>
          <w:sz w:val="24"/>
        </w:rPr>
      </w:pPr>
      <w:bookmarkStart w:id="76" w:name="_GoBack"/>
      <w:bookmarkEnd w:id="76"/>
      <w:r w:rsidRPr="005C672D">
        <w:rPr>
          <w:kern w:val="0"/>
          <w:sz w:val="24"/>
        </w:rPr>
        <w:t>注：持有人为场内持有人。</w:t>
      </w:r>
    </w:p>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8.3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49,688.31</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0.04%</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0~10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1</w:t>
            </w:r>
            <w:r w:rsidRPr="005C672D">
              <w:rPr>
                <w:sz w:val="24"/>
              </w:rPr>
              <w:t>月</w:t>
            </w:r>
            <w:r w:rsidRPr="005C672D">
              <w:rPr>
                <w:sz w:val="24"/>
              </w:rPr>
              <w:t>27</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1,895,085,749.23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148,092,622.26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37,459,764.44</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51,154,668.87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134,397,717.83</w:t>
            </w:r>
          </w:p>
        </w:tc>
      </w:tr>
    </w:tbl>
    <w:p w:rsidR="000C0699" w:rsidRDefault="0081685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CA0A1D"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CA0A1D" w:rsidP="0095029A">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5"/>
      <w:bookmarkEnd w:id="106"/>
    </w:p>
    <w:p w:rsidR="000C0699" w:rsidRDefault="00816858">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lastRenderedPageBreak/>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0C0699" w:rsidRDefault="00816858">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C0699" w:rsidRDefault="00816858">
      <w:pPr>
        <w:tabs>
          <w:tab w:val="left" w:pos="426"/>
        </w:tabs>
        <w:spacing w:before="29" w:line="288" w:lineRule="auto"/>
        <w:jc w:val="left"/>
        <w:rPr>
          <w:kern w:val="0"/>
          <w:sz w:val="24"/>
        </w:rPr>
      </w:pPr>
      <w:r>
        <w:rPr>
          <w:kern w:val="0"/>
          <w:sz w:val="24"/>
        </w:rPr>
        <w:t>基金管理人及其高级管理人员本报告期内未受监管部门稽查或处罚。</w:t>
      </w:r>
    </w:p>
    <w:p w:rsidR="000C0699" w:rsidRDefault="00816858">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0C0699">
        <w:tc>
          <w:tcPr>
            <w:tcW w:w="1559" w:type="dxa"/>
            <w:vAlign w:val="center"/>
          </w:tcPr>
          <w:p w:rsidR="000C0699" w:rsidRDefault="00816858">
            <w:pPr>
              <w:jc w:val="center"/>
            </w:pPr>
            <w:r>
              <w:rPr>
                <w:color w:val="000000"/>
                <w:sz w:val="24"/>
              </w:rPr>
              <w:t>招商证券股份有限公司</w:t>
            </w:r>
          </w:p>
        </w:tc>
        <w:tc>
          <w:tcPr>
            <w:tcW w:w="779" w:type="dxa"/>
            <w:vAlign w:val="center"/>
          </w:tcPr>
          <w:p w:rsidR="000C0699" w:rsidRDefault="00816858">
            <w:pPr>
              <w:jc w:val="center"/>
            </w:pPr>
            <w:r>
              <w:rPr>
                <w:color w:val="000000"/>
                <w:sz w:val="24"/>
              </w:rPr>
              <w:t>1</w:t>
            </w:r>
          </w:p>
        </w:tc>
        <w:tc>
          <w:tcPr>
            <w:tcW w:w="180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62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080" w:type="dxa"/>
            <w:vAlign w:val="center"/>
          </w:tcPr>
          <w:p w:rsidR="000C0699" w:rsidRDefault="00816858">
            <w:pPr>
              <w:jc w:val="left"/>
            </w:pPr>
            <w:r>
              <w:rPr>
                <w:color w:val="000000"/>
                <w:sz w:val="24"/>
              </w:rPr>
              <w:t>-</w:t>
            </w:r>
          </w:p>
        </w:tc>
      </w:tr>
      <w:tr w:rsidR="000C0699">
        <w:tc>
          <w:tcPr>
            <w:tcW w:w="1559" w:type="dxa"/>
            <w:vAlign w:val="center"/>
          </w:tcPr>
          <w:p w:rsidR="000C0699" w:rsidRDefault="00816858">
            <w:pPr>
              <w:jc w:val="center"/>
            </w:pPr>
            <w:r>
              <w:rPr>
                <w:color w:val="000000"/>
                <w:sz w:val="24"/>
              </w:rPr>
              <w:t>光大证券股份有限公司</w:t>
            </w:r>
          </w:p>
        </w:tc>
        <w:tc>
          <w:tcPr>
            <w:tcW w:w="779" w:type="dxa"/>
            <w:vAlign w:val="center"/>
          </w:tcPr>
          <w:p w:rsidR="000C0699" w:rsidRDefault="00816858">
            <w:pPr>
              <w:jc w:val="center"/>
            </w:pPr>
            <w:r>
              <w:rPr>
                <w:color w:val="000000"/>
                <w:sz w:val="24"/>
              </w:rPr>
              <w:t>1</w:t>
            </w:r>
          </w:p>
        </w:tc>
        <w:tc>
          <w:tcPr>
            <w:tcW w:w="180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62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080" w:type="dxa"/>
            <w:vAlign w:val="center"/>
          </w:tcPr>
          <w:p w:rsidR="000C0699" w:rsidRDefault="00816858">
            <w:pPr>
              <w:jc w:val="left"/>
            </w:pPr>
            <w:r>
              <w:rPr>
                <w:color w:val="000000"/>
                <w:sz w:val="24"/>
              </w:rPr>
              <w:t>-</w:t>
            </w:r>
          </w:p>
        </w:tc>
      </w:tr>
      <w:tr w:rsidR="000C0699">
        <w:tc>
          <w:tcPr>
            <w:tcW w:w="1559" w:type="dxa"/>
            <w:vAlign w:val="center"/>
          </w:tcPr>
          <w:p w:rsidR="000C0699" w:rsidRDefault="00816858">
            <w:pPr>
              <w:jc w:val="center"/>
            </w:pPr>
            <w:r>
              <w:rPr>
                <w:color w:val="000000"/>
                <w:sz w:val="24"/>
              </w:rPr>
              <w:t>西部证券股份有限公司</w:t>
            </w:r>
          </w:p>
        </w:tc>
        <w:tc>
          <w:tcPr>
            <w:tcW w:w="779" w:type="dxa"/>
            <w:vAlign w:val="center"/>
          </w:tcPr>
          <w:p w:rsidR="000C0699" w:rsidRDefault="00816858">
            <w:pPr>
              <w:jc w:val="center"/>
            </w:pPr>
            <w:r>
              <w:rPr>
                <w:color w:val="000000"/>
                <w:sz w:val="24"/>
              </w:rPr>
              <w:t>1</w:t>
            </w:r>
          </w:p>
        </w:tc>
        <w:tc>
          <w:tcPr>
            <w:tcW w:w="180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62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080" w:type="dxa"/>
            <w:vAlign w:val="center"/>
          </w:tcPr>
          <w:p w:rsidR="000C0699" w:rsidRDefault="00816858">
            <w:pPr>
              <w:jc w:val="left"/>
            </w:pPr>
            <w:r>
              <w:rPr>
                <w:color w:val="000000"/>
                <w:sz w:val="24"/>
              </w:rPr>
              <w:t>-</w:t>
            </w:r>
          </w:p>
        </w:tc>
      </w:tr>
      <w:tr w:rsidR="000C0699">
        <w:tc>
          <w:tcPr>
            <w:tcW w:w="1559" w:type="dxa"/>
            <w:vAlign w:val="center"/>
          </w:tcPr>
          <w:p w:rsidR="000C0699" w:rsidRDefault="00816858">
            <w:pPr>
              <w:jc w:val="center"/>
            </w:pPr>
            <w:r>
              <w:rPr>
                <w:color w:val="000000"/>
                <w:sz w:val="24"/>
              </w:rPr>
              <w:t>长江证券股份有限公司</w:t>
            </w:r>
          </w:p>
        </w:tc>
        <w:tc>
          <w:tcPr>
            <w:tcW w:w="779" w:type="dxa"/>
            <w:vAlign w:val="center"/>
          </w:tcPr>
          <w:p w:rsidR="000C0699" w:rsidRDefault="00816858">
            <w:pPr>
              <w:jc w:val="center"/>
            </w:pPr>
            <w:r>
              <w:rPr>
                <w:color w:val="000000"/>
                <w:sz w:val="24"/>
              </w:rPr>
              <w:t>1</w:t>
            </w:r>
          </w:p>
        </w:tc>
        <w:tc>
          <w:tcPr>
            <w:tcW w:w="180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620" w:type="dxa"/>
            <w:vAlign w:val="center"/>
          </w:tcPr>
          <w:p w:rsidR="000C0699" w:rsidRDefault="00816858">
            <w:pPr>
              <w:jc w:val="right"/>
            </w:pPr>
            <w:r>
              <w:rPr>
                <w:color w:val="000000"/>
                <w:sz w:val="24"/>
              </w:rPr>
              <w:t>-</w:t>
            </w:r>
          </w:p>
        </w:tc>
        <w:tc>
          <w:tcPr>
            <w:tcW w:w="1080" w:type="dxa"/>
            <w:vAlign w:val="center"/>
          </w:tcPr>
          <w:p w:rsidR="000C0699" w:rsidRDefault="00816858">
            <w:pPr>
              <w:jc w:val="right"/>
            </w:pPr>
            <w:r>
              <w:rPr>
                <w:color w:val="000000"/>
                <w:sz w:val="24"/>
              </w:rPr>
              <w:t>-</w:t>
            </w:r>
          </w:p>
        </w:tc>
        <w:tc>
          <w:tcPr>
            <w:tcW w:w="1080" w:type="dxa"/>
            <w:vAlign w:val="center"/>
          </w:tcPr>
          <w:p w:rsidR="000C0699" w:rsidRDefault="00816858">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94"/>
        <w:gridCol w:w="1716"/>
        <w:gridCol w:w="956"/>
        <w:gridCol w:w="1896"/>
        <w:gridCol w:w="965"/>
        <w:gridCol w:w="1331"/>
        <w:gridCol w:w="1028"/>
      </w:tblGrid>
      <w:tr w:rsidR="00FD7A40" w:rsidRPr="005C672D" w:rsidTr="00174229">
        <w:tc>
          <w:tcPr>
            <w:tcW w:w="866" w:type="pct"/>
            <w:vMerge w:val="restart"/>
            <w:vAlign w:val="center"/>
          </w:tcPr>
          <w:p w:rsidR="00FD7A40" w:rsidRPr="005C672D" w:rsidRDefault="00FD7A40" w:rsidP="00AC6DDA">
            <w:pPr>
              <w:spacing w:before="29" w:line="288" w:lineRule="auto"/>
              <w:jc w:val="center"/>
              <w:rPr>
                <w:color w:val="000000"/>
                <w:kern w:val="0"/>
                <w:sz w:val="24"/>
              </w:rPr>
            </w:pPr>
            <w:bookmarkStart w:id="136" w:name="_Toc331410125"/>
            <w:r w:rsidRPr="005C672D">
              <w:rPr>
                <w:color w:val="000000"/>
                <w:sz w:val="24"/>
              </w:rPr>
              <w:t>券商名称</w:t>
            </w:r>
          </w:p>
        </w:tc>
        <w:tc>
          <w:tcPr>
            <w:tcW w:w="1333"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1300"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1500" w:type="pct"/>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174229">
        <w:tc>
          <w:tcPr>
            <w:tcW w:w="866" w:type="pct"/>
            <w:vMerge/>
            <w:vAlign w:val="center"/>
          </w:tcPr>
          <w:p w:rsidR="00FD7A40" w:rsidRPr="005C672D" w:rsidRDefault="00FD7A40" w:rsidP="00AC6DDA">
            <w:pPr>
              <w:widowControl/>
              <w:spacing w:before="29" w:line="288" w:lineRule="auto"/>
              <w:jc w:val="left"/>
              <w:rPr>
                <w:color w:val="000000"/>
                <w:kern w:val="0"/>
                <w:sz w:val="24"/>
              </w:rPr>
            </w:pPr>
          </w:p>
        </w:tc>
        <w:tc>
          <w:tcPr>
            <w:tcW w:w="733"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00"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635"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65"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832" w:type="pct"/>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668" w:type="pct"/>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0C0699" w:rsidTr="00174229">
        <w:tc>
          <w:tcPr>
            <w:tcW w:w="866" w:type="pct"/>
            <w:vAlign w:val="center"/>
          </w:tcPr>
          <w:p w:rsidR="000C0699" w:rsidRDefault="00816858">
            <w:pPr>
              <w:jc w:val="left"/>
            </w:pPr>
            <w:r>
              <w:rPr>
                <w:color w:val="000000"/>
                <w:sz w:val="24"/>
              </w:rPr>
              <w:t>招商证券股份有限公司</w:t>
            </w:r>
          </w:p>
        </w:tc>
        <w:tc>
          <w:tcPr>
            <w:tcW w:w="733" w:type="pct"/>
            <w:vAlign w:val="center"/>
          </w:tcPr>
          <w:p w:rsidR="000C0699" w:rsidRDefault="00816858">
            <w:pPr>
              <w:jc w:val="right"/>
            </w:pPr>
            <w:r>
              <w:rPr>
                <w:color w:val="000000"/>
                <w:sz w:val="24"/>
              </w:rPr>
              <w:t>425,308,778.25</w:t>
            </w:r>
          </w:p>
        </w:tc>
        <w:tc>
          <w:tcPr>
            <w:tcW w:w="600" w:type="pct"/>
            <w:vAlign w:val="center"/>
          </w:tcPr>
          <w:p w:rsidR="000C0699" w:rsidRDefault="00816858">
            <w:pPr>
              <w:jc w:val="right"/>
            </w:pPr>
            <w:r>
              <w:rPr>
                <w:color w:val="000000"/>
                <w:sz w:val="24"/>
              </w:rPr>
              <w:t>59.91%</w:t>
            </w:r>
          </w:p>
        </w:tc>
        <w:tc>
          <w:tcPr>
            <w:tcW w:w="635" w:type="pct"/>
            <w:vAlign w:val="center"/>
          </w:tcPr>
          <w:p w:rsidR="000C0699" w:rsidRDefault="00816858">
            <w:pPr>
              <w:jc w:val="right"/>
            </w:pPr>
            <w:r>
              <w:rPr>
                <w:color w:val="000000"/>
                <w:sz w:val="24"/>
              </w:rPr>
              <w:t>2,081,900,000.00</w:t>
            </w:r>
          </w:p>
        </w:tc>
        <w:tc>
          <w:tcPr>
            <w:tcW w:w="665" w:type="pct"/>
            <w:vAlign w:val="center"/>
          </w:tcPr>
          <w:p w:rsidR="000C0699" w:rsidRDefault="00816858">
            <w:pPr>
              <w:jc w:val="right"/>
            </w:pPr>
            <w:r>
              <w:rPr>
                <w:color w:val="000000"/>
                <w:sz w:val="24"/>
              </w:rPr>
              <w:t>82.59%</w:t>
            </w:r>
          </w:p>
        </w:tc>
        <w:tc>
          <w:tcPr>
            <w:tcW w:w="832" w:type="pct"/>
            <w:vAlign w:val="center"/>
          </w:tcPr>
          <w:p w:rsidR="000C0699" w:rsidRDefault="00816858">
            <w:pPr>
              <w:jc w:val="right"/>
            </w:pPr>
            <w:r>
              <w:rPr>
                <w:color w:val="000000"/>
                <w:sz w:val="24"/>
              </w:rPr>
              <w:t>-</w:t>
            </w:r>
          </w:p>
        </w:tc>
        <w:tc>
          <w:tcPr>
            <w:tcW w:w="668" w:type="pct"/>
            <w:vAlign w:val="center"/>
          </w:tcPr>
          <w:p w:rsidR="000C0699" w:rsidRDefault="00816858">
            <w:pPr>
              <w:jc w:val="right"/>
            </w:pPr>
            <w:r>
              <w:rPr>
                <w:color w:val="000000"/>
                <w:sz w:val="24"/>
              </w:rPr>
              <w:t>-</w:t>
            </w:r>
          </w:p>
        </w:tc>
      </w:tr>
      <w:tr w:rsidR="000C0699" w:rsidTr="00174229">
        <w:tc>
          <w:tcPr>
            <w:tcW w:w="866" w:type="pct"/>
            <w:vAlign w:val="center"/>
          </w:tcPr>
          <w:p w:rsidR="000C0699" w:rsidRDefault="00816858">
            <w:pPr>
              <w:jc w:val="left"/>
            </w:pPr>
            <w:r>
              <w:rPr>
                <w:color w:val="000000"/>
                <w:sz w:val="24"/>
              </w:rPr>
              <w:t>光大证券</w:t>
            </w:r>
            <w:r>
              <w:rPr>
                <w:color w:val="000000"/>
                <w:sz w:val="24"/>
              </w:rPr>
              <w:lastRenderedPageBreak/>
              <w:t>股份有限公司</w:t>
            </w:r>
          </w:p>
        </w:tc>
        <w:tc>
          <w:tcPr>
            <w:tcW w:w="733" w:type="pct"/>
            <w:vAlign w:val="center"/>
          </w:tcPr>
          <w:p w:rsidR="000C0699" w:rsidRDefault="00816858">
            <w:pPr>
              <w:jc w:val="right"/>
            </w:pPr>
            <w:r>
              <w:rPr>
                <w:color w:val="000000"/>
                <w:sz w:val="24"/>
              </w:rPr>
              <w:lastRenderedPageBreak/>
              <w:t>284,627,466.07</w:t>
            </w:r>
          </w:p>
        </w:tc>
        <w:tc>
          <w:tcPr>
            <w:tcW w:w="600" w:type="pct"/>
            <w:vAlign w:val="center"/>
          </w:tcPr>
          <w:p w:rsidR="000C0699" w:rsidRDefault="00816858">
            <w:pPr>
              <w:jc w:val="right"/>
            </w:pPr>
            <w:r>
              <w:rPr>
                <w:color w:val="000000"/>
                <w:sz w:val="24"/>
              </w:rPr>
              <w:t>40.09%</w:t>
            </w:r>
          </w:p>
        </w:tc>
        <w:tc>
          <w:tcPr>
            <w:tcW w:w="635" w:type="pct"/>
            <w:vAlign w:val="center"/>
          </w:tcPr>
          <w:p w:rsidR="000C0699" w:rsidRDefault="00816858">
            <w:pPr>
              <w:jc w:val="right"/>
            </w:pPr>
            <w:r>
              <w:rPr>
                <w:color w:val="000000"/>
                <w:sz w:val="24"/>
              </w:rPr>
              <w:t>438,900,000.00</w:t>
            </w:r>
          </w:p>
        </w:tc>
        <w:tc>
          <w:tcPr>
            <w:tcW w:w="665" w:type="pct"/>
            <w:vAlign w:val="center"/>
          </w:tcPr>
          <w:p w:rsidR="000C0699" w:rsidRDefault="00816858">
            <w:pPr>
              <w:jc w:val="right"/>
            </w:pPr>
            <w:r>
              <w:rPr>
                <w:color w:val="000000"/>
                <w:sz w:val="24"/>
              </w:rPr>
              <w:t>17.41%</w:t>
            </w:r>
          </w:p>
        </w:tc>
        <w:tc>
          <w:tcPr>
            <w:tcW w:w="832" w:type="pct"/>
            <w:vAlign w:val="center"/>
          </w:tcPr>
          <w:p w:rsidR="000C0699" w:rsidRDefault="00816858">
            <w:pPr>
              <w:jc w:val="right"/>
            </w:pPr>
            <w:r>
              <w:rPr>
                <w:color w:val="000000"/>
                <w:sz w:val="24"/>
              </w:rPr>
              <w:t>-</w:t>
            </w:r>
          </w:p>
        </w:tc>
        <w:tc>
          <w:tcPr>
            <w:tcW w:w="668" w:type="pct"/>
            <w:vAlign w:val="center"/>
          </w:tcPr>
          <w:p w:rsidR="000C0699" w:rsidRDefault="00816858">
            <w:pPr>
              <w:jc w:val="right"/>
            </w:pPr>
            <w:r>
              <w:rPr>
                <w:color w:val="000000"/>
                <w:sz w:val="24"/>
              </w:rPr>
              <w:t>-</w:t>
            </w:r>
          </w:p>
        </w:tc>
      </w:tr>
      <w:tr w:rsidR="004078C3" w:rsidTr="00174229">
        <w:tc>
          <w:tcPr>
            <w:tcW w:w="866" w:type="pct"/>
            <w:vAlign w:val="center"/>
          </w:tcPr>
          <w:p w:rsidR="004078C3" w:rsidRPr="00557BE3" w:rsidRDefault="004078C3" w:rsidP="004078C3">
            <w:pPr>
              <w:jc w:val="left"/>
            </w:pPr>
            <w:r w:rsidRPr="00557BE3">
              <w:rPr>
                <w:rFonts w:eastAsiaTheme="minorEastAsia"/>
                <w:sz w:val="24"/>
              </w:rPr>
              <w:t>西部证券股份有限公司</w:t>
            </w:r>
          </w:p>
        </w:tc>
        <w:tc>
          <w:tcPr>
            <w:tcW w:w="733" w:type="pct"/>
            <w:vAlign w:val="center"/>
          </w:tcPr>
          <w:p w:rsidR="004078C3" w:rsidRPr="00557BE3" w:rsidRDefault="004078C3" w:rsidP="004078C3">
            <w:pPr>
              <w:jc w:val="right"/>
            </w:pPr>
            <w:r w:rsidRPr="00557BE3">
              <w:rPr>
                <w:rFonts w:eastAsiaTheme="minorEastAsia"/>
                <w:sz w:val="24"/>
              </w:rPr>
              <w:t>-</w:t>
            </w:r>
          </w:p>
        </w:tc>
        <w:tc>
          <w:tcPr>
            <w:tcW w:w="600" w:type="pct"/>
            <w:vAlign w:val="center"/>
          </w:tcPr>
          <w:p w:rsidR="004078C3" w:rsidRPr="00557BE3" w:rsidRDefault="004078C3" w:rsidP="004078C3">
            <w:pPr>
              <w:jc w:val="right"/>
            </w:pPr>
            <w:r w:rsidRPr="00557BE3">
              <w:rPr>
                <w:rFonts w:eastAsiaTheme="minorEastAsia"/>
                <w:sz w:val="24"/>
              </w:rPr>
              <w:t>-</w:t>
            </w:r>
          </w:p>
        </w:tc>
        <w:tc>
          <w:tcPr>
            <w:tcW w:w="635" w:type="pct"/>
            <w:vAlign w:val="center"/>
          </w:tcPr>
          <w:p w:rsidR="004078C3" w:rsidRPr="00557BE3" w:rsidRDefault="004078C3" w:rsidP="004078C3">
            <w:pPr>
              <w:jc w:val="right"/>
            </w:pPr>
            <w:r w:rsidRPr="00557BE3">
              <w:rPr>
                <w:rFonts w:eastAsiaTheme="minorEastAsia"/>
                <w:sz w:val="24"/>
              </w:rPr>
              <w:t>-</w:t>
            </w:r>
          </w:p>
        </w:tc>
        <w:tc>
          <w:tcPr>
            <w:tcW w:w="665" w:type="pct"/>
            <w:vAlign w:val="center"/>
          </w:tcPr>
          <w:p w:rsidR="004078C3" w:rsidRPr="00557BE3" w:rsidRDefault="004078C3" w:rsidP="004078C3">
            <w:pPr>
              <w:jc w:val="right"/>
            </w:pPr>
            <w:r w:rsidRPr="00557BE3">
              <w:rPr>
                <w:rFonts w:eastAsiaTheme="minorEastAsia"/>
                <w:sz w:val="24"/>
              </w:rPr>
              <w:t>-</w:t>
            </w:r>
          </w:p>
        </w:tc>
        <w:tc>
          <w:tcPr>
            <w:tcW w:w="832" w:type="pct"/>
            <w:vAlign w:val="center"/>
          </w:tcPr>
          <w:p w:rsidR="004078C3" w:rsidRPr="00557BE3" w:rsidRDefault="004078C3" w:rsidP="004078C3">
            <w:pPr>
              <w:jc w:val="right"/>
            </w:pPr>
            <w:r w:rsidRPr="00557BE3">
              <w:rPr>
                <w:rFonts w:eastAsiaTheme="minorEastAsia"/>
                <w:sz w:val="24"/>
              </w:rPr>
              <w:t>-</w:t>
            </w:r>
          </w:p>
        </w:tc>
        <w:tc>
          <w:tcPr>
            <w:tcW w:w="668" w:type="pct"/>
            <w:vAlign w:val="center"/>
          </w:tcPr>
          <w:p w:rsidR="004078C3" w:rsidRPr="00557BE3" w:rsidRDefault="004078C3" w:rsidP="004078C3">
            <w:pPr>
              <w:jc w:val="right"/>
            </w:pPr>
            <w:r w:rsidRPr="00557BE3">
              <w:rPr>
                <w:rFonts w:eastAsiaTheme="minorEastAsia"/>
                <w:sz w:val="24"/>
              </w:rPr>
              <w:t>-</w:t>
            </w:r>
          </w:p>
        </w:tc>
      </w:tr>
      <w:tr w:rsidR="004078C3" w:rsidTr="00174229">
        <w:tc>
          <w:tcPr>
            <w:tcW w:w="866" w:type="pct"/>
            <w:vAlign w:val="center"/>
          </w:tcPr>
          <w:p w:rsidR="004078C3" w:rsidRPr="00557BE3" w:rsidRDefault="004078C3" w:rsidP="004078C3">
            <w:pPr>
              <w:jc w:val="left"/>
            </w:pPr>
            <w:r w:rsidRPr="00557BE3">
              <w:rPr>
                <w:rFonts w:eastAsiaTheme="minorEastAsia"/>
                <w:sz w:val="24"/>
              </w:rPr>
              <w:t>长江证券股份有限公司</w:t>
            </w:r>
          </w:p>
        </w:tc>
        <w:tc>
          <w:tcPr>
            <w:tcW w:w="733" w:type="pct"/>
            <w:vAlign w:val="center"/>
          </w:tcPr>
          <w:p w:rsidR="004078C3" w:rsidRPr="00557BE3" w:rsidRDefault="004078C3" w:rsidP="004078C3">
            <w:pPr>
              <w:jc w:val="right"/>
            </w:pPr>
            <w:r w:rsidRPr="00557BE3">
              <w:rPr>
                <w:rFonts w:eastAsiaTheme="minorEastAsia"/>
                <w:sz w:val="24"/>
              </w:rPr>
              <w:t>-</w:t>
            </w:r>
          </w:p>
        </w:tc>
        <w:tc>
          <w:tcPr>
            <w:tcW w:w="600" w:type="pct"/>
            <w:vAlign w:val="center"/>
          </w:tcPr>
          <w:p w:rsidR="004078C3" w:rsidRPr="00557BE3" w:rsidRDefault="004078C3" w:rsidP="004078C3">
            <w:pPr>
              <w:jc w:val="right"/>
            </w:pPr>
            <w:r w:rsidRPr="00557BE3">
              <w:rPr>
                <w:rFonts w:eastAsiaTheme="minorEastAsia"/>
                <w:sz w:val="24"/>
              </w:rPr>
              <w:t>-</w:t>
            </w:r>
          </w:p>
        </w:tc>
        <w:tc>
          <w:tcPr>
            <w:tcW w:w="635" w:type="pct"/>
            <w:vAlign w:val="center"/>
          </w:tcPr>
          <w:p w:rsidR="004078C3" w:rsidRPr="00557BE3" w:rsidRDefault="004078C3" w:rsidP="004078C3">
            <w:pPr>
              <w:jc w:val="right"/>
            </w:pPr>
            <w:r w:rsidRPr="00557BE3">
              <w:rPr>
                <w:rFonts w:eastAsiaTheme="minorEastAsia"/>
                <w:sz w:val="24"/>
              </w:rPr>
              <w:t>-</w:t>
            </w:r>
          </w:p>
        </w:tc>
        <w:tc>
          <w:tcPr>
            <w:tcW w:w="665" w:type="pct"/>
            <w:vAlign w:val="center"/>
          </w:tcPr>
          <w:p w:rsidR="004078C3" w:rsidRPr="00557BE3" w:rsidRDefault="004078C3" w:rsidP="004078C3">
            <w:pPr>
              <w:jc w:val="right"/>
            </w:pPr>
            <w:r w:rsidRPr="00557BE3">
              <w:rPr>
                <w:rFonts w:eastAsiaTheme="minorEastAsia"/>
                <w:sz w:val="24"/>
              </w:rPr>
              <w:t>-</w:t>
            </w:r>
          </w:p>
        </w:tc>
        <w:tc>
          <w:tcPr>
            <w:tcW w:w="832" w:type="pct"/>
            <w:vAlign w:val="center"/>
          </w:tcPr>
          <w:p w:rsidR="004078C3" w:rsidRPr="00557BE3" w:rsidRDefault="004078C3" w:rsidP="004078C3">
            <w:pPr>
              <w:jc w:val="right"/>
            </w:pPr>
            <w:r w:rsidRPr="00557BE3">
              <w:rPr>
                <w:rFonts w:eastAsiaTheme="minorEastAsia"/>
                <w:sz w:val="24"/>
              </w:rPr>
              <w:t>-</w:t>
            </w:r>
          </w:p>
        </w:tc>
        <w:tc>
          <w:tcPr>
            <w:tcW w:w="668" w:type="pct"/>
            <w:vAlign w:val="center"/>
          </w:tcPr>
          <w:p w:rsidR="004078C3" w:rsidRPr="00557BE3" w:rsidRDefault="004078C3" w:rsidP="004078C3">
            <w:pPr>
              <w:jc w:val="right"/>
            </w:pPr>
            <w:r w:rsidRPr="00557BE3">
              <w:rPr>
                <w:rFonts w:eastAsiaTheme="minorEastAsia"/>
                <w:sz w:val="24"/>
              </w:rPr>
              <w:t>-</w:t>
            </w:r>
          </w:p>
        </w:tc>
      </w:tr>
    </w:tbl>
    <w:p w:rsidR="000C0699" w:rsidRDefault="0081685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、报告期内，本基金新增加交易单元为西部证券股份有限公司，其它交易单元未发生变化；</w:t>
      </w:r>
    </w:p>
    <w:p w:rsidR="000C0699" w:rsidRDefault="0081685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C0699">
        <w:tc>
          <w:tcPr>
            <w:tcW w:w="993" w:type="dxa"/>
            <w:vMerge w:val="restart"/>
          </w:tcPr>
          <w:p w:rsidR="000C0699" w:rsidRDefault="000C0699"/>
          <w:p w:rsidR="000C0699" w:rsidRDefault="00816858">
            <w:r>
              <w:rPr>
                <w:rFonts w:ascii="宋体" w:hAnsi="宋体" w:hint="eastAsia"/>
                <w:bCs/>
                <w:color w:val="000000"/>
                <w:kern w:val="0"/>
                <w:szCs w:val="21"/>
              </w:rPr>
              <w:t>机构</w:t>
            </w:r>
          </w:p>
        </w:tc>
        <w:tc>
          <w:tcPr>
            <w:tcW w:w="992" w:type="dxa"/>
            <w:vAlign w:val="center"/>
          </w:tcPr>
          <w:p w:rsidR="000C0699" w:rsidRDefault="00816858">
            <w:pPr>
              <w:jc w:val="center"/>
            </w:pPr>
            <w:r>
              <w:rPr>
                <w:rFonts w:ascii="宋体" w:hAnsi="宋体"/>
                <w:color w:val="000000"/>
                <w:kern w:val="0"/>
                <w:szCs w:val="21"/>
              </w:rPr>
              <w:t>1</w:t>
            </w:r>
          </w:p>
        </w:tc>
        <w:tc>
          <w:tcPr>
            <w:tcW w:w="1843" w:type="dxa"/>
            <w:vAlign w:val="center"/>
          </w:tcPr>
          <w:p w:rsidR="000C0699" w:rsidRDefault="00816858">
            <w:pPr>
              <w:jc w:val="center"/>
            </w:pPr>
            <w:r>
              <w:rPr>
                <w:rFonts w:ascii="宋体" w:hAnsi="宋体"/>
                <w:color w:val="000000"/>
                <w:kern w:val="0"/>
                <w:szCs w:val="21"/>
              </w:rPr>
              <w:t>2018/1/1-2018/6/30</w:t>
            </w:r>
          </w:p>
        </w:tc>
        <w:tc>
          <w:tcPr>
            <w:tcW w:w="851" w:type="dxa"/>
            <w:vAlign w:val="center"/>
          </w:tcPr>
          <w:p w:rsidR="000C0699" w:rsidRDefault="00816858">
            <w:pPr>
              <w:jc w:val="center"/>
            </w:pPr>
            <w:r>
              <w:rPr>
                <w:rFonts w:ascii="宋体" w:hAnsi="宋体"/>
                <w:color w:val="000000"/>
                <w:kern w:val="0"/>
                <w:szCs w:val="21"/>
              </w:rPr>
              <w:t>73,528,676.47</w:t>
            </w:r>
          </w:p>
        </w:tc>
        <w:tc>
          <w:tcPr>
            <w:tcW w:w="850" w:type="dxa"/>
            <w:vAlign w:val="center"/>
          </w:tcPr>
          <w:p w:rsidR="000C0699" w:rsidRDefault="00816858">
            <w:pPr>
              <w:jc w:val="center"/>
            </w:pPr>
            <w:r>
              <w:rPr>
                <w:rFonts w:ascii="宋体" w:hAnsi="宋体"/>
                <w:color w:val="000000"/>
                <w:kern w:val="0"/>
                <w:szCs w:val="21"/>
              </w:rPr>
              <w:t>-</w:t>
            </w:r>
          </w:p>
        </w:tc>
        <w:tc>
          <w:tcPr>
            <w:tcW w:w="1134" w:type="dxa"/>
            <w:vAlign w:val="center"/>
          </w:tcPr>
          <w:p w:rsidR="000C0699" w:rsidRDefault="00816858">
            <w:pPr>
              <w:jc w:val="center"/>
            </w:pPr>
            <w:r>
              <w:rPr>
                <w:rFonts w:ascii="宋体" w:hAnsi="宋体"/>
                <w:color w:val="000000"/>
                <w:kern w:val="0"/>
                <w:szCs w:val="21"/>
              </w:rPr>
              <w:t>-</w:t>
            </w:r>
          </w:p>
        </w:tc>
        <w:tc>
          <w:tcPr>
            <w:tcW w:w="1419" w:type="dxa"/>
            <w:vAlign w:val="center"/>
          </w:tcPr>
          <w:p w:rsidR="000C0699" w:rsidRDefault="00816858">
            <w:pPr>
              <w:jc w:val="center"/>
            </w:pPr>
            <w:r>
              <w:rPr>
                <w:rFonts w:ascii="宋体" w:hAnsi="宋体"/>
                <w:color w:val="000000"/>
                <w:kern w:val="0"/>
                <w:szCs w:val="21"/>
              </w:rPr>
              <w:t>73,528,676.47</w:t>
            </w:r>
          </w:p>
        </w:tc>
        <w:tc>
          <w:tcPr>
            <w:tcW w:w="1130" w:type="dxa"/>
            <w:vAlign w:val="center"/>
          </w:tcPr>
          <w:p w:rsidR="000C0699" w:rsidRDefault="00816858">
            <w:pPr>
              <w:jc w:val="center"/>
            </w:pPr>
            <w:r>
              <w:rPr>
                <w:rFonts w:ascii="宋体" w:hAnsi="宋体"/>
                <w:color w:val="000000"/>
                <w:kern w:val="0"/>
                <w:szCs w:val="21"/>
              </w:rPr>
              <w:t>54.71%</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0C0699" w:rsidRDefault="0081685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w:t>
      </w:r>
      <w:r w:rsidRPr="004F0662">
        <w:rPr>
          <w:rFonts w:ascii="宋体" w:hAnsi="宋体"/>
          <w:color w:val="000000"/>
          <w:szCs w:val="21"/>
        </w:rPr>
        <w:lastRenderedPageBreak/>
        <w:t>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CC" w:rsidRDefault="00BB4CCC">
      <w:r>
        <w:separator/>
      </w:r>
    </w:p>
  </w:endnote>
  <w:endnote w:type="continuationSeparator" w:id="0">
    <w:p w:rsidR="00BB4CCC" w:rsidRDefault="00BB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52714">
      <w:rPr>
        <w:noProof/>
        <w:kern w:val="0"/>
        <w:szCs w:val="21"/>
      </w:rPr>
      <w:t>25</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252714">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CC" w:rsidRDefault="00BB4CCC">
      <w:r>
        <w:separator/>
      </w:r>
    </w:p>
  </w:footnote>
  <w:footnote w:type="continuationSeparator" w:id="0">
    <w:p w:rsidR="00BB4CCC" w:rsidRDefault="00BB4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交银施罗德信用添利债券证券投资基金（</w:t>
    </w:r>
    <w:r w:rsidRPr="003B6CAA">
      <w:t>LOF</w:t>
    </w:r>
    <w:r w:rsidRPr="003B6CAA">
      <w:t>）</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699"/>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229"/>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714"/>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8C3"/>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6858"/>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345"/>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CCC"/>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0A1D"/>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0F3"/>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470293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B4C8C-928C-48D4-8F42-89B8A383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30</Pages>
  <Words>3221</Words>
  <Characters>18363</Characters>
  <Application>Microsoft Office Word</Application>
  <DocSecurity>0</DocSecurity>
  <Lines>153</Lines>
  <Paragraphs>43</Paragraphs>
  <ScaleCrop>false</ScaleCrop>
  <Company/>
  <LinksUpToDate>false</LinksUpToDate>
  <CharactersWithSpaces>21541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1252</cp:revision>
  <cp:lastPrinted>2007-07-19T00:46:00Z</cp:lastPrinted>
  <dcterms:created xsi:type="dcterms:W3CDTF">2013-08-19T07:44:00Z</dcterms:created>
  <dcterms:modified xsi:type="dcterms:W3CDTF">2018-08-23T10:05:00Z</dcterms:modified>
</cp:coreProperties>
</file>