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交银施罗德品质升级混合型证券投资基金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C788A" w:rsidRDefault="00FD6D1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C788A" w:rsidRDefault="00FD6D13">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C788A" w:rsidRDefault="00FD6D1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C788A" w:rsidRDefault="00FD6D1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C788A" w:rsidRDefault="00FD6D13">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交银品质升级混合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005004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005004</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2</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1,794,034,603.00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本基金在有效控制投资风险的前提下，聚焦居民生活品质升级的方向和趋势，通过把握消费成长领域的投资机会，力争为基金份额持有人获得超越业绩比较基准的收益。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lastRenderedPageBreak/>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D6D13" w:rsidRPr="00414345" w:rsidTr="00CF0347">
        <w:trPr>
          <w:jc w:val="center"/>
        </w:trPr>
        <w:tc>
          <w:tcPr>
            <w:tcW w:w="3607"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5261"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FD6D13" w:rsidRPr="00414345" w:rsidTr="00CF0347">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13,760,675.34</w:t>
            </w:r>
          </w:p>
        </w:tc>
      </w:tr>
      <w:tr w:rsidR="00FD6D13" w:rsidRPr="00414345" w:rsidTr="00CF0347">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44,510,193.27</w:t>
            </w:r>
          </w:p>
        </w:tc>
      </w:tr>
      <w:tr w:rsidR="00FD6D13" w:rsidRPr="00414345" w:rsidTr="00CF0347">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0.0212</w:t>
            </w:r>
          </w:p>
        </w:tc>
      </w:tr>
      <w:tr w:rsidR="00FD6D13" w:rsidRPr="00414345" w:rsidTr="00CF0347">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1,757,715,906.11</w:t>
            </w:r>
          </w:p>
        </w:tc>
      </w:tr>
      <w:tr w:rsidR="00FD6D13" w:rsidRPr="00414345" w:rsidTr="00CF0347">
        <w:trPr>
          <w:trHeight w:val="158"/>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0.9798</w:t>
            </w:r>
          </w:p>
        </w:tc>
      </w:tr>
    </w:tbl>
    <w:p w:rsidR="00CF0347" w:rsidRPr="00CF0347" w:rsidRDefault="00CF0347" w:rsidP="00CF0347">
      <w:pPr>
        <w:autoSpaceDE w:val="0"/>
        <w:autoSpaceDN w:val="0"/>
        <w:adjustRightInd w:val="0"/>
        <w:spacing w:before="29" w:line="288" w:lineRule="auto"/>
        <w:jc w:val="left"/>
        <w:rPr>
          <w:color w:val="000000"/>
          <w:kern w:val="0"/>
          <w:sz w:val="24"/>
          <w:szCs w:val="24"/>
        </w:rPr>
      </w:pPr>
      <w:r w:rsidRPr="00CF0347">
        <w:rPr>
          <w:rFonts w:hint="eastAsia"/>
          <w:color w:val="000000"/>
          <w:kern w:val="0"/>
          <w:sz w:val="24"/>
          <w:szCs w:val="24"/>
        </w:rPr>
        <w:t>注：</w:t>
      </w:r>
      <w:r w:rsidRPr="00CF0347">
        <w:rPr>
          <w:rFonts w:hint="eastAsia"/>
          <w:color w:val="000000"/>
          <w:kern w:val="0"/>
          <w:sz w:val="24"/>
          <w:szCs w:val="24"/>
        </w:rPr>
        <w:t>1</w:t>
      </w:r>
      <w:r w:rsidRPr="00CF0347">
        <w:rPr>
          <w:rFonts w:hint="eastAsia"/>
          <w:color w:val="000000"/>
          <w:kern w:val="0"/>
          <w:sz w:val="24"/>
          <w:szCs w:val="24"/>
        </w:rPr>
        <w:t>、上述基金业绩指标不包括持有人认购或交易基金的各项费用，计入费用后的实际收益水平要低于所列数字；</w:t>
      </w:r>
      <w:r w:rsidRPr="00CF0347">
        <w:rPr>
          <w:rFonts w:hint="eastAsia"/>
          <w:color w:val="000000"/>
          <w:kern w:val="0"/>
          <w:sz w:val="24"/>
          <w:szCs w:val="24"/>
        </w:rPr>
        <w:t xml:space="preserve"> </w:t>
      </w:r>
    </w:p>
    <w:p w:rsidR="004061AC" w:rsidRDefault="00CF0347" w:rsidP="00CF0347">
      <w:pPr>
        <w:autoSpaceDE w:val="0"/>
        <w:autoSpaceDN w:val="0"/>
        <w:adjustRightInd w:val="0"/>
        <w:spacing w:before="29" w:line="288" w:lineRule="auto"/>
        <w:jc w:val="left"/>
        <w:rPr>
          <w:color w:val="000000"/>
          <w:kern w:val="0"/>
          <w:sz w:val="24"/>
          <w:szCs w:val="24"/>
        </w:rPr>
      </w:pPr>
      <w:r w:rsidRPr="00CF0347">
        <w:rPr>
          <w:rFonts w:hint="eastAsia"/>
          <w:color w:val="000000"/>
          <w:kern w:val="0"/>
          <w:sz w:val="24"/>
          <w:szCs w:val="24"/>
        </w:rPr>
        <w:t xml:space="preserve">    2</w:t>
      </w:r>
      <w:r w:rsidRPr="00CF0347">
        <w:rPr>
          <w:rFonts w:hint="eastAsia"/>
          <w:color w:val="000000"/>
          <w:kern w:val="0"/>
          <w:sz w:val="24"/>
          <w:szCs w:val="24"/>
        </w:rPr>
        <w:t>、本期已实现收益指基金本期利息收入、投资收益、其他收入（不含公允价值变动收益）扣除相关费用后的余额，本期利润为本期已实现收益加上本期公允价值变动收益。</w:t>
      </w:r>
    </w:p>
    <w:p w:rsidR="00CF0347" w:rsidRPr="00414345" w:rsidRDefault="00CF0347"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C788A">
        <w:trPr>
          <w:jc w:val="center"/>
        </w:trPr>
        <w:tc>
          <w:tcPr>
            <w:tcW w:w="1701" w:type="dxa"/>
            <w:vAlign w:val="center"/>
          </w:tcPr>
          <w:p w:rsidR="00BC788A" w:rsidRDefault="00FD6D13">
            <w:pPr>
              <w:jc w:val="left"/>
            </w:pPr>
            <w:r>
              <w:rPr>
                <w:color w:val="000000"/>
                <w:sz w:val="24"/>
                <w:szCs w:val="24"/>
              </w:rPr>
              <w:t>过去三个月</w:t>
            </w:r>
          </w:p>
        </w:tc>
        <w:tc>
          <w:tcPr>
            <w:tcW w:w="1045" w:type="dxa"/>
            <w:vAlign w:val="center"/>
          </w:tcPr>
          <w:p w:rsidR="00BC788A" w:rsidRDefault="00FD6D13">
            <w:pPr>
              <w:jc w:val="center"/>
            </w:pPr>
            <w:r>
              <w:rPr>
                <w:color w:val="000000"/>
                <w:sz w:val="24"/>
                <w:szCs w:val="24"/>
              </w:rPr>
              <w:t>1.02%</w:t>
            </w:r>
          </w:p>
        </w:tc>
        <w:tc>
          <w:tcPr>
            <w:tcW w:w="1344" w:type="dxa"/>
            <w:vAlign w:val="center"/>
          </w:tcPr>
          <w:p w:rsidR="00BC788A" w:rsidRDefault="00FD6D13">
            <w:pPr>
              <w:jc w:val="center"/>
            </w:pPr>
            <w:r>
              <w:rPr>
                <w:color w:val="000000"/>
                <w:sz w:val="24"/>
                <w:szCs w:val="24"/>
              </w:rPr>
              <w:t>1.15%</w:t>
            </w:r>
          </w:p>
        </w:tc>
        <w:tc>
          <w:tcPr>
            <w:tcW w:w="1194" w:type="dxa"/>
            <w:vAlign w:val="center"/>
          </w:tcPr>
          <w:p w:rsidR="00BC788A" w:rsidRDefault="00FD6D13">
            <w:pPr>
              <w:jc w:val="center"/>
            </w:pPr>
            <w:r>
              <w:rPr>
                <w:color w:val="000000"/>
                <w:sz w:val="24"/>
                <w:szCs w:val="24"/>
              </w:rPr>
              <w:t>-5.26%</w:t>
            </w:r>
          </w:p>
        </w:tc>
        <w:tc>
          <w:tcPr>
            <w:tcW w:w="1492" w:type="dxa"/>
            <w:vAlign w:val="center"/>
          </w:tcPr>
          <w:p w:rsidR="00BC788A" w:rsidRDefault="00FD6D13">
            <w:pPr>
              <w:jc w:val="center"/>
            </w:pPr>
            <w:r>
              <w:rPr>
                <w:color w:val="000000"/>
                <w:sz w:val="24"/>
                <w:szCs w:val="24"/>
              </w:rPr>
              <w:t>0.68%</w:t>
            </w:r>
          </w:p>
        </w:tc>
        <w:tc>
          <w:tcPr>
            <w:tcW w:w="1194" w:type="dxa"/>
            <w:vAlign w:val="center"/>
          </w:tcPr>
          <w:p w:rsidR="00BC788A" w:rsidRDefault="00FD6D13">
            <w:pPr>
              <w:jc w:val="center"/>
            </w:pPr>
            <w:r>
              <w:rPr>
                <w:color w:val="000000"/>
                <w:sz w:val="24"/>
                <w:szCs w:val="24"/>
              </w:rPr>
              <w:t>6.28%</w:t>
            </w:r>
          </w:p>
        </w:tc>
        <w:tc>
          <w:tcPr>
            <w:tcW w:w="898" w:type="dxa"/>
            <w:vAlign w:val="center"/>
          </w:tcPr>
          <w:p w:rsidR="00BC788A" w:rsidRDefault="00FD6D13">
            <w:pPr>
              <w:jc w:val="center"/>
            </w:pPr>
            <w:r>
              <w:rPr>
                <w:color w:val="000000"/>
                <w:sz w:val="24"/>
                <w:szCs w:val="24"/>
              </w:rPr>
              <w:t>0.47%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交银施罗德品质升级混合型证券投资基金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2018</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8</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日，本基金尚处于建仓期。</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C788A">
        <w:trPr>
          <w:jc w:val="center"/>
        </w:trPr>
        <w:tc>
          <w:tcPr>
            <w:tcW w:w="846" w:type="dxa"/>
            <w:vAlign w:val="center"/>
          </w:tcPr>
          <w:p w:rsidR="00BC788A" w:rsidRDefault="00FD6D13">
            <w:pPr>
              <w:jc w:val="center"/>
            </w:pPr>
            <w:r>
              <w:rPr>
                <w:color w:val="000000"/>
                <w:sz w:val="24"/>
                <w:szCs w:val="24"/>
              </w:rPr>
              <w:t>韩威俊</w:t>
            </w:r>
          </w:p>
        </w:tc>
        <w:tc>
          <w:tcPr>
            <w:tcW w:w="845" w:type="dxa"/>
            <w:vAlign w:val="center"/>
          </w:tcPr>
          <w:p w:rsidR="00BC788A" w:rsidRDefault="00FD6D13">
            <w:pPr>
              <w:jc w:val="center"/>
            </w:pPr>
            <w:r>
              <w:rPr>
                <w:color w:val="000000"/>
                <w:sz w:val="24"/>
                <w:szCs w:val="24"/>
              </w:rPr>
              <w:t>交银趋势混合、交银策略回报灵活配置混合、交银股息优化混合、交银品质升级混合的基金经理</w:t>
            </w:r>
          </w:p>
        </w:tc>
        <w:tc>
          <w:tcPr>
            <w:tcW w:w="1549" w:type="dxa"/>
            <w:vAlign w:val="center"/>
          </w:tcPr>
          <w:p w:rsidR="00BC788A" w:rsidRDefault="00FD6D13">
            <w:pPr>
              <w:jc w:val="center"/>
            </w:pPr>
            <w:r>
              <w:rPr>
                <w:color w:val="000000"/>
                <w:sz w:val="24"/>
                <w:szCs w:val="24"/>
              </w:rPr>
              <w:t>2018-02-08</w:t>
            </w:r>
          </w:p>
        </w:tc>
        <w:tc>
          <w:tcPr>
            <w:tcW w:w="1548" w:type="dxa"/>
            <w:vAlign w:val="center"/>
          </w:tcPr>
          <w:p w:rsidR="00BC788A" w:rsidRDefault="00FD6D13">
            <w:pPr>
              <w:jc w:val="center"/>
            </w:pPr>
            <w:r>
              <w:rPr>
                <w:color w:val="000000"/>
                <w:sz w:val="24"/>
                <w:szCs w:val="24"/>
              </w:rPr>
              <w:t>-</w:t>
            </w:r>
          </w:p>
        </w:tc>
        <w:tc>
          <w:tcPr>
            <w:tcW w:w="1407" w:type="dxa"/>
            <w:vAlign w:val="center"/>
          </w:tcPr>
          <w:p w:rsidR="00BC788A" w:rsidRDefault="00FD6D13">
            <w:pPr>
              <w:jc w:val="center"/>
            </w:pPr>
            <w:r>
              <w:rPr>
                <w:color w:val="000000"/>
                <w:sz w:val="24"/>
                <w:szCs w:val="24"/>
              </w:rPr>
              <w:t>12</w:t>
            </w:r>
            <w:r>
              <w:rPr>
                <w:color w:val="000000"/>
                <w:sz w:val="24"/>
                <w:szCs w:val="24"/>
              </w:rPr>
              <w:t>年</w:t>
            </w:r>
          </w:p>
        </w:tc>
        <w:tc>
          <w:tcPr>
            <w:tcW w:w="2673" w:type="dxa"/>
            <w:vAlign w:val="center"/>
          </w:tcPr>
          <w:p w:rsidR="00BC788A" w:rsidRDefault="00FD6D13">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C788A" w:rsidRDefault="00FD6D1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C788A" w:rsidRDefault="00FD6D1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C788A" w:rsidRDefault="00FD6D1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C788A" w:rsidRDefault="00FD6D13">
      <w:pPr>
        <w:spacing w:before="29" w:line="288" w:lineRule="auto"/>
        <w:ind w:firstLineChars="200" w:firstLine="480"/>
        <w:rPr>
          <w:color w:val="000000"/>
          <w:sz w:val="24"/>
          <w:szCs w:val="24"/>
        </w:rPr>
      </w:pPr>
      <w:r>
        <w:rPr>
          <w:color w:val="000000"/>
          <w:sz w:val="24"/>
          <w:szCs w:val="24"/>
        </w:rPr>
        <w:t>回顾</w:t>
      </w:r>
      <w:r>
        <w:rPr>
          <w:color w:val="000000"/>
          <w:sz w:val="24"/>
          <w:szCs w:val="24"/>
        </w:rPr>
        <w:t>2018</w:t>
      </w:r>
      <w:r>
        <w:rPr>
          <w:color w:val="000000"/>
          <w:sz w:val="24"/>
          <w:szCs w:val="24"/>
        </w:rPr>
        <w:t>年二季度，国际经济形势特别复杂，贸易战、人民币汇率波动以及</w:t>
      </w:r>
      <w:r>
        <w:rPr>
          <w:color w:val="000000"/>
          <w:sz w:val="24"/>
          <w:szCs w:val="24"/>
        </w:rPr>
        <w:t>CDR</w:t>
      </w:r>
      <w:r>
        <w:rPr>
          <w:color w:val="000000"/>
          <w:sz w:val="24"/>
          <w:szCs w:val="24"/>
        </w:rPr>
        <w:t>等各种影响导致市场流动性进一步收紧。虽然中国纳入</w:t>
      </w:r>
      <w:r>
        <w:rPr>
          <w:color w:val="000000"/>
          <w:sz w:val="24"/>
          <w:szCs w:val="24"/>
        </w:rPr>
        <w:t>MSCI</w:t>
      </w:r>
      <w:r>
        <w:rPr>
          <w:color w:val="000000"/>
          <w:sz w:val="24"/>
          <w:szCs w:val="24"/>
        </w:rPr>
        <w:t>的带动白马蓝筹在五月份表现较好，但六月份因为资金流出，导致整个市场赚钱效应较为疲弱。</w:t>
      </w:r>
    </w:p>
    <w:p w:rsidR="00BC788A" w:rsidRDefault="00FD6D13">
      <w:pPr>
        <w:spacing w:before="29" w:line="288" w:lineRule="auto"/>
        <w:ind w:firstLineChars="200" w:firstLine="480"/>
        <w:rPr>
          <w:color w:val="000000"/>
          <w:sz w:val="24"/>
          <w:szCs w:val="24"/>
        </w:rPr>
      </w:pPr>
      <w:r>
        <w:rPr>
          <w:color w:val="000000"/>
          <w:sz w:val="24"/>
          <w:szCs w:val="24"/>
        </w:rPr>
        <w:t>本基金在二季度基本上完成了建仓任务，主要还是以消费板块为同心圆持仓结构，配置业绩和现金流较为确定的个股为主。</w:t>
      </w:r>
    </w:p>
    <w:p w:rsidR="00BC788A" w:rsidRDefault="00FD6D13">
      <w:pPr>
        <w:spacing w:before="29" w:line="288" w:lineRule="auto"/>
        <w:ind w:firstLineChars="200" w:firstLine="480"/>
        <w:rPr>
          <w:color w:val="000000"/>
          <w:sz w:val="24"/>
          <w:szCs w:val="24"/>
        </w:rPr>
      </w:pPr>
      <w:r>
        <w:rPr>
          <w:color w:val="000000"/>
          <w:sz w:val="24"/>
          <w:szCs w:val="24"/>
        </w:rPr>
        <w:t>展望</w:t>
      </w:r>
      <w:r>
        <w:rPr>
          <w:color w:val="000000"/>
          <w:sz w:val="24"/>
          <w:szCs w:val="24"/>
        </w:rPr>
        <w:t>2018</w:t>
      </w:r>
      <w:r>
        <w:rPr>
          <w:color w:val="000000"/>
          <w:sz w:val="24"/>
          <w:szCs w:val="24"/>
        </w:rPr>
        <w:t>年三季度，在高油价、高信用风险的背景下，整个市场的流动性和风险偏好很难出现系统性上升，市场将继续出现小区间震荡的趋势，除非流动性出现明显放松，否则市场很难出现系统性上涨。</w:t>
      </w:r>
      <w:r>
        <w:rPr>
          <w:color w:val="000000"/>
          <w:sz w:val="24"/>
          <w:szCs w:val="24"/>
        </w:rPr>
        <w:t>2017</w:t>
      </w:r>
      <w:r>
        <w:rPr>
          <w:color w:val="000000"/>
          <w:sz w:val="24"/>
          <w:szCs w:val="24"/>
        </w:rPr>
        <w:t>年由于整个白马蓝筹表现较好，市场上绝对收益策略产品的仓位相对较高，我们预计这类产品后续仍然将继续降低仓位比例，而在此震荡环境中相对收益策略产品的风险偏好也很难出现明显上升，市场对于业绩确定性、现金流确定性和投资风险的要求会越来越高。市场上除了主题投资以外，每个板块内部个股表现的分化将更加明显，二季度增长较快的公司有望进一步跑赢市场。</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希望通过自下而上的分析，选择继续持有业绩和现金流持续好转的个股，特别是对二季度增速快于一季度，三季度增速可能快于二季度的个股做重点配置。此外，部分小市值成长股在经过两年估值消化以后，具备了一定的吸引力，本基金考虑后续重点配置能有边际变化的消费品公司。</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0.9798</w:t>
      </w:r>
      <w:r w:rsidRPr="00414345">
        <w:rPr>
          <w:color w:val="000000"/>
          <w:sz w:val="24"/>
          <w:szCs w:val="24"/>
        </w:rPr>
        <w:t>元，本报告期份额净值增长率为</w:t>
      </w:r>
      <w:r w:rsidRPr="00414345">
        <w:rPr>
          <w:color w:val="000000"/>
          <w:sz w:val="24"/>
          <w:szCs w:val="24"/>
        </w:rPr>
        <w:t>1.02%</w:t>
      </w:r>
      <w:r w:rsidRPr="00414345">
        <w:rPr>
          <w:color w:val="000000"/>
          <w:sz w:val="24"/>
          <w:szCs w:val="24"/>
        </w:rPr>
        <w:t>，同期业绩比较基准增长率为</w:t>
      </w:r>
      <w:r w:rsidRPr="00414345">
        <w:rPr>
          <w:color w:val="000000"/>
          <w:sz w:val="24"/>
          <w:szCs w:val="24"/>
        </w:rPr>
        <w:t>-5.26%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1,511,942,631.67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84.04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1,511,942,631.67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84.04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66,500,153.25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3.70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215,908,191.90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12.00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4,649,195.47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0.26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1,799,000,172.29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37,610,199.00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1,126,911,706.01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71,559.85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78,088,890.00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7,818,000.00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37,542,649.00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104,718,720.00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93,728,733.12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862,551.66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24,589,623.03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1,511,942,631.67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86.02</w:t>
            </w:r>
          </w:p>
        </w:tc>
      </w:tr>
    </w:tbl>
    <w:p w:rsidR="00FD6D13" w:rsidRPr="008A409E" w:rsidRDefault="00FD6D13" w:rsidP="00FD6D13">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D6D13" w:rsidRDefault="00FD6D13" w:rsidP="00FD6D13">
      <w:pPr>
        <w:spacing w:before="29" w:line="360" w:lineRule="auto"/>
        <w:ind w:left="17"/>
        <w:rPr>
          <w:color w:val="000000"/>
          <w:sz w:val="24"/>
        </w:rPr>
      </w:pPr>
      <w:r w:rsidRPr="00FF0BBF">
        <w:rPr>
          <w:color w:val="000000"/>
          <w:sz w:val="24"/>
        </w:rPr>
        <w:t>本基金本报告期末未持有通过港股通投资的股票。</w:t>
      </w:r>
    </w:p>
    <w:p w:rsidR="00FD6D13" w:rsidRPr="00FD6D13" w:rsidRDefault="00FD6D13"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C788A">
        <w:trPr>
          <w:jc w:val="center"/>
        </w:trPr>
        <w:tc>
          <w:tcPr>
            <w:tcW w:w="855" w:type="dxa"/>
            <w:vAlign w:val="center"/>
          </w:tcPr>
          <w:p w:rsidR="00BC788A" w:rsidRDefault="00FD6D13">
            <w:pPr>
              <w:jc w:val="center"/>
            </w:pPr>
            <w:r>
              <w:rPr>
                <w:color w:val="000000"/>
                <w:sz w:val="24"/>
                <w:szCs w:val="24"/>
              </w:rPr>
              <w:t>1</w:t>
            </w:r>
          </w:p>
        </w:tc>
        <w:tc>
          <w:tcPr>
            <w:tcW w:w="1334" w:type="dxa"/>
            <w:vAlign w:val="center"/>
          </w:tcPr>
          <w:p w:rsidR="00BC788A" w:rsidRDefault="00FD6D13">
            <w:pPr>
              <w:jc w:val="center"/>
            </w:pPr>
            <w:r>
              <w:rPr>
                <w:color w:val="000000"/>
                <w:sz w:val="24"/>
                <w:szCs w:val="24"/>
              </w:rPr>
              <w:t>600887</w:t>
            </w:r>
          </w:p>
        </w:tc>
        <w:tc>
          <w:tcPr>
            <w:tcW w:w="1777" w:type="dxa"/>
            <w:vAlign w:val="center"/>
          </w:tcPr>
          <w:p w:rsidR="00BC788A" w:rsidRDefault="00FD6D13">
            <w:pPr>
              <w:jc w:val="center"/>
            </w:pPr>
            <w:r>
              <w:rPr>
                <w:color w:val="000000"/>
                <w:sz w:val="24"/>
                <w:szCs w:val="24"/>
              </w:rPr>
              <w:t>伊利股份</w:t>
            </w:r>
          </w:p>
        </w:tc>
        <w:tc>
          <w:tcPr>
            <w:tcW w:w="1334" w:type="dxa"/>
            <w:vAlign w:val="center"/>
          </w:tcPr>
          <w:p w:rsidR="00BC788A" w:rsidRDefault="00FD6D13">
            <w:pPr>
              <w:jc w:val="right"/>
            </w:pPr>
            <w:r>
              <w:rPr>
                <w:color w:val="000000"/>
                <w:sz w:val="24"/>
                <w:szCs w:val="24"/>
              </w:rPr>
              <w:t>5,660,600</w:t>
            </w:r>
          </w:p>
        </w:tc>
        <w:tc>
          <w:tcPr>
            <w:tcW w:w="1924" w:type="dxa"/>
            <w:vAlign w:val="center"/>
          </w:tcPr>
          <w:p w:rsidR="00BC788A" w:rsidRDefault="00FD6D13">
            <w:pPr>
              <w:jc w:val="right"/>
            </w:pPr>
            <w:r>
              <w:rPr>
                <w:color w:val="000000"/>
                <w:sz w:val="24"/>
                <w:szCs w:val="24"/>
              </w:rPr>
              <w:t>157,930,740.00</w:t>
            </w:r>
          </w:p>
        </w:tc>
        <w:tc>
          <w:tcPr>
            <w:tcW w:w="1644" w:type="dxa"/>
            <w:vAlign w:val="center"/>
          </w:tcPr>
          <w:p w:rsidR="00BC788A" w:rsidRDefault="00FD6D13">
            <w:pPr>
              <w:jc w:val="right"/>
            </w:pPr>
            <w:r>
              <w:rPr>
                <w:color w:val="000000"/>
                <w:sz w:val="24"/>
                <w:szCs w:val="24"/>
              </w:rPr>
              <w:t>8.98</w:t>
            </w:r>
          </w:p>
        </w:tc>
      </w:tr>
      <w:tr w:rsidR="00BC788A">
        <w:trPr>
          <w:jc w:val="center"/>
        </w:trPr>
        <w:tc>
          <w:tcPr>
            <w:tcW w:w="855" w:type="dxa"/>
            <w:vAlign w:val="center"/>
          </w:tcPr>
          <w:p w:rsidR="00BC788A" w:rsidRDefault="00FD6D13">
            <w:pPr>
              <w:jc w:val="center"/>
            </w:pPr>
            <w:r>
              <w:rPr>
                <w:color w:val="000000"/>
                <w:sz w:val="24"/>
                <w:szCs w:val="24"/>
              </w:rPr>
              <w:t>2</w:t>
            </w:r>
          </w:p>
        </w:tc>
        <w:tc>
          <w:tcPr>
            <w:tcW w:w="1334" w:type="dxa"/>
            <w:vAlign w:val="center"/>
          </w:tcPr>
          <w:p w:rsidR="00BC788A" w:rsidRDefault="00FD6D13">
            <w:pPr>
              <w:jc w:val="center"/>
            </w:pPr>
            <w:r>
              <w:rPr>
                <w:color w:val="000000"/>
                <w:sz w:val="24"/>
                <w:szCs w:val="24"/>
              </w:rPr>
              <w:t>600519</w:t>
            </w:r>
          </w:p>
        </w:tc>
        <w:tc>
          <w:tcPr>
            <w:tcW w:w="1777" w:type="dxa"/>
            <w:vAlign w:val="center"/>
          </w:tcPr>
          <w:p w:rsidR="00BC788A" w:rsidRDefault="00FD6D13">
            <w:pPr>
              <w:jc w:val="center"/>
            </w:pPr>
            <w:r>
              <w:rPr>
                <w:color w:val="000000"/>
                <w:sz w:val="24"/>
                <w:szCs w:val="24"/>
              </w:rPr>
              <w:t>贵州茅台</w:t>
            </w:r>
          </w:p>
        </w:tc>
        <w:tc>
          <w:tcPr>
            <w:tcW w:w="1334" w:type="dxa"/>
            <w:vAlign w:val="center"/>
          </w:tcPr>
          <w:p w:rsidR="00BC788A" w:rsidRDefault="00FD6D13">
            <w:pPr>
              <w:jc w:val="right"/>
            </w:pPr>
            <w:r>
              <w:rPr>
                <w:color w:val="000000"/>
                <w:sz w:val="24"/>
                <w:szCs w:val="24"/>
              </w:rPr>
              <w:t>212,090</w:t>
            </w:r>
          </w:p>
        </w:tc>
        <w:tc>
          <w:tcPr>
            <w:tcW w:w="1924" w:type="dxa"/>
            <w:vAlign w:val="center"/>
          </w:tcPr>
          <w:p w:rsidR="00BC788A" w:rsidRDefault="00FD6D13">
            <w:pPr>
              <w:jc w:val="right"/>
            </w:pPr>
            <w:r>
              <w:rPr>
                <w:color w:val="000000"/>
                <w:sz w:val="24"/>
                <w:szCs w:val="24"/>
              </w:rPr>
              <w:t>155,135,351.40</w:t>
            </w:r>
          </w:p>
        </w:tc>
        <w:tc>
          <w:tcPr>
            <w:tcW w:w="1644" w:type="dxa"/>
            <w:vAlign w:val="center"/>
          </w:tcPr>
          <w:p w:rsidR="00BC788A" w:rsidRDefault="00FD6D13">
            <w:pPr>
              <w:jc w:val="right"/>
            </w:pPr>
            <w:r>
              <w:rPr>
                <w:color w:val="000000"/>
                <w:sz w:val="24"/>
                <w:szCs w:val="24"/>
              </w:rPr>
              <w:t>8.83</w:t>
            </w:r>
          </w:p>
        </w:tc>
      </w:tr>
      <w:tr w:rsidR="00BC788A">
        <w:trPr>
          <w:jc w:val="center"/>
        </w:trPr>
        <w:tc>
          <w:tcPr>
            <w:tcW w:w="855" w:type="dxa"/>
            <w:vAlign w:val="center"/>
          </w:tcPr>
          <w:p w:rsidR="00BC788A" w:rsidRDefault="00FD6D13">
            <w:pPr>
              <w:jc w:val="center"/>
            </w:pPr>
            <w:r>
              <w:rPr>
                <w:color w:val="000000"/>
                <w:sz w:val="24"/>
                <w:szCs w:val="24"/>
              </w:rPr>
              <w:t>3</w:t>
            </w:r>
          </w:p>
        </w:tc>
        <w:tc>
          <w:tcPr>
            <w:tcW w:w="1334" w:type="dxa"/>
            <w:vAlign w:val="center"/>
          </w:tcPr>
          <w:p w:rsidR="00BC788A" w:rsidRDefault="00FD6D13">
            <w:pPr>
              <w:jc w:val="center"/>
            </w:pPr>
            <w:r>
              <w:rPr>
                <w:color w:val="000000"/>
                <w:sz w:val="24"/>
                <w:szCs w:val="24"/>
              </w:rPr>
              <w:t>000858</w:t>
            </w:r>
          </w:p>
        </w:tc>
        <w:tc>
          <w:tcPr>
            <w:tcW w:w="1777" w:type="dxa"/>
            <w:vAlign w:val="center"/>
          </w:tcPr>
          <w:p w:rsidR="00BC788A" w:rsidRDefault="00FD6D13">
            <w:pPr>
              <w:jc w:val="center"/>
            </w:pPr>
            <w:r>
              <w:rPr>
                <w:color w:val="000000"/>
                <w:sz w:val="24"/>
                <w:szCs w:val="24"/>
              </w:rPr>
              <w:t>五粮液</w:t>
            </w:r>
          </w:p>
        </w:tc>
        <w:tc>
          <w:tcPr>
            <w:tcW w:w="1334" w:type="dxa"/>
            <w:vAlign w:val="center"/>
          </w:tcPr>
          <w:p w:rsidR="00BC788A" w:rsidRDefault="00FD6D13">
            <w:pPr>
              <w:jc w:val="right"/>
            </w:pPr>
            <w:r>
              <w:rPr>
                <w:color w:val="000000"/>
                <w:sz w:val="24"/>
                <w:szCs w:val="24"/>
              </w:rPr>
              <w:t>1,922,474</w:t>
            </w:r>
          </w:p>
        </w:tc>
        <w:tc>
          <w:tcPr>
            <w:tcW w:w="1924" w:type="dxa"/>
            <w:vAlign w:val="center"/>
          </w:tcPr>
          <w:p w:rsidR="00BC788A" w:rsidRDefault="00FD6D13">
            <w:pPr>
              <w:jc w:val="right"/>
            </w:pPr>
            <w:r>
              <w:rPr>
                <w:color w:val="000000"/>
                <w:sz w:val="24"/>
                <w:szCs w:val="24"/>
              </w:rPr>
              <w:t>146,108,024.00</w:t>
            </w:r>
          </w:p>
        </w:tc>
        <w:tc>
          <w:tcPr>
            <w:tcW w:w="1644" w:type="dxa"/>
            <w:vAlign w:val="center"/>
          </w:tcPr>
          <w:p w:rsidR="00BC788A" w:rsidRDefault="00FD6D13">
            <w:pPr>
              <w:jc w:val="right"/>
            </w:pPr>
            <w:r>
              <w:rPr>
                <w:color w:val="000000"/>
                <w:sz w:val="24"/>
                <w:szCs w:val="24"/>
              </w:rPr>
              <w:t>8.31</w:t>
            </w:r>
          </w:p>
        </w:tc>
      </w:tr>
      <w:tr w:rsidR="00BC788A">
        <w:trPr>
          <w:jc w:val="center"/>
        </w:trPr>
        <w:tc>
          <w:tcPr>
            <w:tcW w:w="855" w:type="dxa"/>
            <w:vAlign w:val="center"/>
          </w:tcPr>
          <w:p w:rsidR="00BC788A" w:rsidRDefault="00FD6D13">
            <w:pPr>
              <w:jc w:val="center"/>
            </w:pPr>
            <w:r>
              <w:rPr>
                <w:color w:val="000000"/>
                <w:sz w:val="24"/>
                <w:szCs w:val="24"/>
              </w:rPr>
              <w:t>4</w:t>
            </w:r>
          </w:p>
        </w:tc>
        <w:tc>
          <w:tcPr>
            <w:tcW w:w="1334" w:type="dxa"/>
            <w:vAlign w:val="center"/>
          </w:tcPr>
          <w:p w:rsidR="00BC788A" w:rsidRDefault="00FD6D13">
            <w:pPr>
              <w:jc w:val="center"/>
            </w:pPr>
            <w:r>
              <w:rPr>
                <w:color w:val="000000"/>
                <w:sz w:val="24"/>
                <w:szCs w:val="24"/>
              </w:rPr>
              <w:t>002304</w:t>
            </w:r>
          </w:p>
        </w:tc>
        <w:tc>
          <w:tcPr>
            <w:tcW w:w="1777" w:type="dxa"/>
            <w:vAlign w:val="center"/>
          </w:tcPr>
          <w:p w:rsidR="00BC788A" w:rsidRDefault="00FD6D13">
            <w:pPr>
              <w:jc w:val="center"/>
            </w:pPr>
            <w:r>
              <w:rPr>
                <w:color w:val="000000"/>
                <w:sz w:val="24"/>
                <w:szCs w:val="24"/>
              </w:rPr>
              <w:t>洋河股份</w:t>
            </w:r>
          </w:p>
        </w:tc>
        <w:tc>
          <w:tcPr>
            <w:tcW w:w="1334" w:type="dxa"/>
            <w:vAlign w:val="center"/>
          </w:tcPr>
          <w:p w:rsidR="00BC788A" w:rsidRDefault="00FD6D13">
            <w:pPr>
              <w:jc w:val="right"/>
            </w:pPr>
            <w:r>
              <w:rPr>
                <w:color w:val="000000"/>
                <w:sz w:val="24"/>
                <w:szCs w:val="24"/>
              </w:rPr>
              <w:t>1,104,453</w:t>
            </w:r>
          </w:p>
        </w:tc>
        <w:tc>
          <w:tcPr>
            <w:tcW w:w="1924" w:type="dxa"/>
            <w:vAlign w:val="center"/>
          </w:tcPr>
          <w:p w:rsidR="00BC788A" w:rsidRDefault="00FD6D13">
            <w:pPr>
              <w:jc w:val="right"/>
            </w:pPr>
            <w:r>
              <w:rPr>
                <w:color w:val="000000"/>
                <w:sz w:val="24"/>
                <w:szCs w:val="24"/>
              </w:rPr>
              <w:t>145,346,014.80</w:t>
            </w:r>
          </w:p>
        </w:tc>
        <w:tc>
          <w:tcPr>
            <w:tcW w:w="1644" w:type="dxa"/>
            <w:vAlign w:val="center"/>
          </w:tcPr>
          <w:p w:rsidR="00BC788A" w:rsidRDefault="00FD6D13">
            <w:pPr>
              <w:jc w:val="right"/>
            </w:pPr>
            <w:r>
              <w:rPr>
                <w:color w:val="000000"/>
                <w:sz w:val="24"/>
                <w:szCs w:val="24"/>
              </w:rPr>
              <w:t>8.27</w:t>
            </w:r>
          </w:p>
        </w:tc>
      </w:tr>
      <w:tr w:rsidR="00BC788A">
        <w:trPr>
          <w:jc w:val="center"/>
        </w:trPr>
        <w:tc>
          <w:tcPr>
            <w:tcW w:w="855" w:type="dxa"/>
            <w:vAlign w:val="center"/>
          </w:tcPr>
          <w:p w:rsidR="00BC788A" w:rsidRDefault="00FD6D13">
            <w:pPr>
              <w:jc w:val="center"/>
            </w:pPr>
            <w:r>
              <w:rPr>
                <w:color w:val="000000"/>
                <w:sz w:val="24"/>
                <w:szCs w:val="24"/>
              </w:rPr>
              <w:t>5</w:t>
            </w:r>
          </w:p>
        </w:tc>
        <w:tc>
          <w:tcPr>
            <w:tcW w:w="1334" w:type="dxa"/>
            <w:vAlign w:val="center"/>
          </w:tcPr>
          <w:p w:rsidR="00BC788A" w:rsidRDefault="00FD6D13">
            <w:pPr>
              <w:jc w:val="center"/>
            </w:pPr>
            <w:r>
              <w:rPr>
                <w:color w:val="000000"/>
                <w:sz w:val="24"/>
                <w:szCs w:val="24"/>
              </w:rPr>
              <w:t>603808</w:t>
            </w:r>
          </w:p>
        </w:tc>
        <w:tc>
          <w:tcPr>
            <w:tcW w:w="1777" w:type="dxa"/>
            <w:vAlign w:val="center"/>
          </w:tcPr>
          <w:p w:rsidR="00BC788A" w:rsidRDefault="00FD6D13">
            <w:pPr>
              <w:jc w:val="center"/>
            </w:pPr>
            <w:r>
              <w:rPr>
                <w:color w:val="000000"/>
                <w:sz w:val="24"/>
                <w:szCs w:val="24"/>
              </w:rPr>
              <w:t>歌力思</w:t>
            </w:r>
          </w:p>
        </w:tc>
        <w:tc>
          <w:tcPr>
            <w:tcW w:w="1334" w:type="dxa"/>
            <w:vAlign w:val="center"/>
          </w:tcPr>
          <w:p w:rsidR="00BC788A" w:rsidRDefault="00FD6D13">
            <w:pPr>
              <w:jc w:val="right"/>
            </w:pPr>
            <w:r>
              <w:rPr>
                <w:color w:val="000000"/>
                <w:sz w:val="24"/>
                <w:szCs w:val="24"/>
              </w:rPr>
              <w:t>6,312,536</w:t>
            </w:r>
          </w:p>
        </w:tc>
        <w:tc>
          <w:tcPr>
            <w:tcW w:w="1924" w:type="dxa"/>
            <w:vAlign w:val="center"/>
          </w:tcPr>
          <w:p w:rsidR="00BC788A" w:rsidRDefault="00FD6D13">
            <w:pPr>
              <w:jc w:val="right"/>
            </w:pPr>
            <w:r>
              <w:rPr>
                <w:color w:val="000000"/>
                <w:sz w:val="24"/>
                <w:szCs w:val="24"/>
              </w:rPr>
              <w:t>142,095,185.36</w:t>
            </w:r>
          </w:p>
        </w:tc>
        <w:tc>
          <w:tcPr>
            <w:tcW w:w="1644" w:type="dxa"/>
            <w:vAlign w:val="center"/>
          </w:tcPr>
          <w:p w:rsidR="00BC788A" w:rsidRDefault="00FD6D13">
            <w:pPr>
              <w:jc w:val="right"/>
            </w:pPr>
            <w:r>
              <w:rPr>
                <w:color w:val="000000"/>
                <w:sz w:val="24"/>
                <w:szCs w:val="24"/>
              </w:rPr>
              <w:t>8.08</w:t>
            </w:r>
          </w:p>
        </w:tc>
      </w:tr>
      <w:tr w:rsidR="00BC788A">
        <w:trPr>
          <w:jc w:val="center"/>
        </w:trPr>
        <w:tc>
          <w:tcPr>
            <w:tcW w:w="855" w:type="dxa"/>
            <w:vAlign w:val="center"/>
          </w:tcPr>
          <w:p w:rsidR="00BC788A" w:rsidRDefault="00FD6D13">
            <w:pPr>
              <w:jc w:val="center"/>
            </w:pPr>
            <w:r>
              <w:rPr>
                <w:color w:val="000000"/>
                <w:sz w:val="24"/>
                <w:szCs w:val="24"/>
              </w:rPr>
              <w:t>6</w:t>
            </w:r>
          </w:p>
        </w:tc>
        <w:tc>
          <w:tcPr>
            <w:tcW w:w="1334" w:type="dxa"/>
            <w:vAlign w:val="center"/>
          </w:tcPr>
          <w:p w:rsidR="00BC788A" w:rsidRDefault="00FD6D13">
            <w:pPr>
              <w:jc w:val="center"/>
            </w:pPr>
            <w:r>
              <w:rPr>
                <w:color w:val="000000"/>
                <w:sz w:val="24"/>
                <w:szCs w:val="24"/>
              </w:rPr>
              <w:t>002027</w:t>
            </w:r>
          </w:p>
        </w:tc>
        <w:tc>
          <w:tcPr>
            <w:tcW w:w="1777" w:type="dxa"/>
            <w:vAlign w:val="center"/>
          </w:tcPr>
          <w:p w:rsidR="00BC788A" w:rsidRDefault="00FD6D13">
            <w:pPr>
              <w:jc w:val="center"/>
            </w:pPr>
            <w:r>
              <w:rPr>
                <w:color w:val="000000"/>
                <w:sz w:val="24"/>
                <w:szCs w:val="24"/>
              </w:rPr>
              <w:t>分众传媒</w:t>
            </w:r>
          </w:p>
        </w:tc>
        <w:tc>
          <w:tcPr>
            <w:tcW w:w="1334" w:type="dxa"/>
            <w:vAlign w:val="center"/>
          </w:tcPr>
          <w:p w:rsidR="00BC788A" w:rsidRDefault="00FD6D13">
            <w:pPr>
              <w:jc w:val="right"/>
            </w:pPr>
            <w:r>
              <w:rPr>
                <w:color w:val="000000"/>
                <w:sz w:val="24"/>
                <w:szCs w:val="24"/>
              </w:rPr>
              <w:t>9,794,016</w:t>
            </w:r>
          </w:p>
        </w:tc>
        <w:tc>
          <w:tcPr>
            <w:tcW w:w="1924" w:type="dxa"/>
            <w:vAlign w:val="center"/>
          </w:tcPr>
          <w:p w:rsidR="00BC788A" w:rsidRDefault="00FD6D13">
            <w:pPr>
              <w:jc w:val="right"/>
            </w:pPr>
            <w:r>
              <w:rPr>
                <w:color w:val="000000"/>
                <w:sz w:val="24"/>
                <w:szCs w:val="24"/>
              </w:rPr>
              <w:t>93,728,733.12</w:t>
            </w:r>
          </w:p>
        </w:tc>
        <w:tc>
          <w:tcPr>
            <w:tcW w:w="1644" w:type="dxa"/>
            <w:vAlign w:val="center"/>
          </w:tcPr>
          <w:p w:rsidR="00BC788A" w:rsidRDefault="00FD6D13">
            <w:pPr>
              <w:jc w:val="right"/>
            </w:pPr>
            <w:r>
              <w:rPr>
                <w:color w:val="000000"/>
                <w:sz w:val="24"/>
                <w:szCs w:val="24"/>
              </w:rPr>
              <w:t>5.33</w:t>
            </w:r>
          </w:p>
        </w:tc>
      </w:tr>
      <w:tr w:rsidR="00BC788A">
        <w:trPr>
          <w:jc w:val="center"/>
        </w:trPr>
        <w:tc>
          <w:tcPr>
            <w:tcW w:w="855" w:type="dxa"/>
            <w:vAlign w:val="center"/>
          </w:tcPr>
          <w:p w:rsidR="00BC788A" w:rsidRDefault="00FD6D13">
            <w:pPr>
              <w:jc w:val="center"/>
            </w:pPr>
            <w:r>
              <w:rPr>
                <w:color w:val="000000"/>
                <w:sz w:val="24"/>
                <w:szCs w:val="24"/>
              </w:rPr>
              <w:t>7</w:t>
            </w:r>
          </w:p>
        </w:tc>
        <w:tc>
          <w:tcPr>
            <w:tcW w:w="1334" w:type="dxa"/>
            <w:vAlign w:val="center"/>
          </w:tcPr>
          <w:p w:rsidR="00BC788A" w:rsidRDefault="00FD6D13">
            <w:pPr>
              <w:jc w:val="center"/>
            </w:pPr>
            <w:r>
              <w:rPr>
                <w:color w:val="000000"/>
                <w:sz w:val="24"/>
                <w:szCs w:val="24"/>
              </w:rPr>
              <w:t>600559</w:t>
            </w:r>
          </w:p>
        </w:tc>
        <w:tc>
          <w:tcPr>
            <w:tcW w:w="1777" w:type="dxa"/>
            <w:vAlign w:val="center"/>
          </w:tcPr>
          <w:p w:rsidR="00BC788A" w:rsidRDefault="00FD6D13">
            <w:pPr>
              <w:jc w:val="center"/>
            </w:pPr>
            <w:r>
              <w:rPr>
                <w:color w:val="000000"/>
                <w:sz w:val="24"/>
                <w:szCs w:val="24"/>
              </w:rPr>
              <w:t>老白干酒</w:t>
            </w:r>
          </w:p>
        </w:tc>
        <w:tc>
          <w:tcPr>
            <w:tcW w:w="1334" w:type="dxa"/>
            <w:vAlign w:val="center"/>
          </w:tcPr>
          <w:p w:rsidR="00BC788A" w:rsidRDefault="00FD6D13">
            <w:pPr>
              <w:jc w:val="right"/>
            </w:pPr>
            <w:r>
              <w:rPr>
                <w:color w:val="000000"/>
                <w:sz w:val="24"/>
                <w:szCs w:val="24"/>
              </w:rPr>
              <w:t>3,074,574</w:t>
            </w:r>
          </w:p>
        </w:tc>
        <w:tc>
          <w:tcPr>
            <w:tcW w:w="1924" w:type="dxa"/>
            <w:vAlign w:val="center"/>
          </w:tcPr>
          <w:p w:rsidR="00BC788A" w:rsidRDefault="00FD6D13">
            <w:pPr>
              <w:jc w:val="right"/>
            </w:pPr>
            <w:r>
              <w:rPr>
                <w:color w:val="000000"/>
                <w:sz w:val="24"/>
                <w:szCs w:val="24"/>
              </w:rPr>
              <w:t>61,460,734.26</w:t>
            </w:r>
          </w:p>
        </w:tc>
        <w:tc>
          <w:tcPr>
            <w:tcW w:w="1644" w:type="dxa"/>
            <w:vAlign w:val="center"/>
          </w:tcPr>
          <w:p w:rsidR="00BC788A" w:rsidRDefault="00FD6D13">
            <w:pPr>
              <w:jc w:val="right"/>
            </w:pPr>
            <w:r>
              <w:rPr>
                <w:color w:val="000000"/>
                <w:sz w:val="24"/>
                <w:szCs w:val="24"/>
              </w:rPr>
              <w:t>3.50</w:t>
            </w:r>
          </w:p>
        </w:tc>
      </w:tr>
      <w:tr w:rsidR="00BC788A">
        <w:trPr>
          <w:jc w:val="center"/>
        </w:trPr>
        <w:tc>
          <w:tcPr>
            <w:tcW w:w="855" w:type="dxa"/>
            <w:vAlign w:val="center"/>
          </w:tcPr>
          <w:p w:rsidR="00BC788A" w:rsidRDefault="00FD6D13">
            <w:pPr>
              <w:jc w:val="center"/>
            </w:pPr>
            <w:r>
              <w:rPr>
                <w:color w:val="000000"/>
                <w:sz w:val="24"/>
                <w:szCs w:val="24"/>
              </w:rPr>
              <w:t>8</w:t>
            </w:r>
          </w:p>
        </w:tc>
        <w:tc>
          <w:tcPr>
            <w:tcW w:w="1334" w:type="dxa"/>
            <w:vAlign w:val="center"/>
          </w:tcPr>
          <w:p w:rsidR="00BC788A" w:rsidRDefault="00FD6D13">
            <w:pPr>
              <w:jc w:val="center"/>
            </w:pPr>
            <w:r>
              <w:rPr>
                <w:color w:val="000000"/>
                <w:sz w:val="24"/>
                <w:szCs w:val="24"/>
              </w:rPr>
              <w:t>600048</w:t>
            </w:r>
          </w:p>
        </w:tc>
        <w:tc>
          <w:tcPr>
            <w:tcW w:w="1777" w:type="dxa"/>
            <w:vAlign w:val="center"/>
          </w:tcPr>
          <w:p w:rsidR="00BC788A" w:rsidRDefault="00FD6D13">
            <w:pPr>
              <w:jc w:val="center"/>
            </w:pPr>
            <w:r>
              <w:rPr>
                <w:color w:val="000000"/>
                <w:sz w:val="24"/>
                <w:szCs w:val="24"/>
              </w:rPr>
              <w:t>保利地产</w:t>
            </w:r>
          </w:p>
        </w:tc>
        <w:tc>
          <w:tcPr>
            <w:tcW w:w="1334" w:type="dxa"/>
            <w:vAlign w:val="center"/>
          </w:tcPr>
          <w:p w:rsidR="00BC788A" w:rsidRDefault="00FD6D13">
            <w:pPr>
              <w:jc w:val="right"/>
            </w:pPr>
            <w:r>
              <w:rPr>
                <w:color w:val="000000"/>
                <w:sz w:val="24"/>
                <w:szCs w:val="24"/>
              </w:rPr>
              <w:t>5,004,000</w:t>
            </w:r>
          </w:p>
        </w:tc>
        <w:tc>
          <w:tcPr>
            <w:tcW w:w="1924" w:type="dxa"/>
            <w:vAlign w:val="center"/>
          </w:tcPr>
          <w:p w:rsidR="00BC788A" w:rsidRDefault="00FD6D13">
            <w:pPr>
              <w:jc w:val="right"/>
            </w:pPr>
            <w:r>
              <w:rPr>
                <w:color w:val="000000"/>
                <w:sz w:val="24"/>
                <w:szCs w:val="24"/>
              </w:rPr>
              <w:t>61,048,800.00</w:t>
            </w:r>
          </w:p>
        </w:tc>
        <w:tc>
          <w:tcPr>
            <w:tcW w:w="1644" w:type="dxa"/>
            <w:vAlign w:val="center"/>
          </w:tcPr>
          <w:p w:rsidR="00BC788A" w:rsidRDefault="00FD6D13">
            <w:pPr>
              <w:jc w:val="right"/>
            </w:pPr>
            <w:r>
              <w:rPr>
                <w:color w:val="000000"/>
                <w:sz w:val="24"/>
                <w:szCs w:val="24"/>
              </w:rPr>
              <w:t>3.47</w:t>
            </w:r>
          </w:p>
        </w:tc>
      </w:tr>
      <w:tr w:rsidR="00BC788A">
        <w:trPr>
          <w:jc w:val="center"/>
        </w:trPr>
        <w:tc>
          <w:tcPr>
            <w:tcW w:w="855" w:type="dxa"/>
            <w:vAlign w:val="center"/>
          </w:tcPr>
          <w:p w:rsidR="00BC788A" w:rsidRDefault="00FD6D13">
            <w:pPr>
              <w:jc w:val="center"/>
            </w:pPr>
            <w:r>
              <w:rPr>
                <w:color w:val="000000"/>
                <w:sz w:val="24"/>
                <w:szCs w:val="24"/>
              </w:rPr>
              <w:t>9</w:t>
            </w:r>
          </w:p>
        </w:tc>
        <w:tc>
          <w:tcPr>
            <w:tcW w:w="1334" w:type="dxa"/>
            <w:vAlign w:val="center"/>
          </w:tcPr>
          <w:p w:rsidR="00BC788A" w:rsidRDefault="00FD6D13">
            <w:pPr>
              <w:jc w:val="center"/>
            </w:pPr>
            <w:r>
              <w:rPr>
                <w:color w:val="000000"/>
                <w:sz w:val="24"/>
                <w:szCs w:val="24"/>
              </w:rPr>
              <w:t>000596</w:t>
            </w:r>
          </w:p>
        </w:tc>
        <w:tc>
          <w:tcPr>
            <w:tcW w:w="1777" w:type="dxa"/>
            <w:vAlign w:val="center"/>
          </w:tcPr>
          <w:p w:rsidR="00BC788A" w:rsidRDefault="00FD6D13">
            <w:pPr>
              <w:jc w:val="center"/>
            </w:pPr>
            <w:r>
              <w:rPr>
                <w:color w:val="000000"/>
                <w:sz w:val="24"/>
                <w:szCs w:val="24"/>
              </w:rPr>
              <w:t>古井贡酒</w:t>
            </w:r>
          </w:p>
        </w:tc>
        <w:tc>
          <w:tcPr>
            <w:tcW w:w="1334" w:type="dxa"/>
            <w:vAlign w:val="center"/>
          </w:tcPr>
          <w:p w:rsidR="00BC788A" w:rsidRDefault="00FD6D13">
            <w:pPr>
              <w:jc w:val="right"/>
            </w:pPr>
            <w:r>
              <w:rPr>
                <w:color w:val="000000"/>
                <w:sz w:val="24"/>
                <w:szCs w:val="24"/>
              </w:rPr>
              <w:t>650,264</w:t>
            </w:r>
          </w:p>
        </w:tc>
        <w:tc>
          <w:tcPr>
            <w:tcW w:w="1924" w:type="dxa"/>
            <w:vAlign w:val="center"/>
          </w:tcPr>
          <w:p w:rsidR="00BC788A" w:rsidRDefault="00FD6D13">
            <w:pPr>
              <w:jc w:val="right"/>
            </w:pPr>
            <w:r>
              <w:rPr>
                <w:color w:val="000000"/>
                <w:sz w:val="24"/>
                <w:szCs w:val="24"/>
              </w:rPr>
              <w:t>57,730,437.92</w:t>
            </w:r>
          </w:p>
        </w:tc>
        <w:tc>
          <w:tcPr>
            <w:tcW w:w="1644" w:type="dxa"/>
            <w:vAlign w:val="center"/>
          </w:tcPr>
          <w:p w:rsidR="00BC788A" w:rsidRDefault="00FD6D13">
            <w:pPr>
              <w:jc w:val="right"/>
            </w:pPr>
            <w:r>
              <w:rPr>
                <w:color w:val="000000"/>
                <w:sz w:val="24"/>
                <w:szCs w:val="24"/>
              </w:rPr>
              <w:t>3.28</w:t>
            </w:r>
          </w:p>
        </w:tc>
      </w:tr>
      <w:tr w:rsidR="00BC788A">
        <w:trPr>
          <w:jc w:val="center"/>
        </w:trPr>
        <w:tc>
          <w:tcPr>
            <w:tcW w:w="855" w:type="dxa"/>
            <w:vAlign w:val="center"/>
          </w:tcPr>
          <w:p w:rsidR="00BC788A" w:rsidRDefault="00FD6D13">
            <w:pPr>
              <w:jc w:val="center"/>
            </w:pPr>
            <w:r>
              <w:rPr>
                <w:color w:val="000000"/>
                <w:sz w:val="24"/>
                <w:szCs w:val="24"/>
              </w:rPr>
              <w:t>10</w:t>
            </w:r>
          </w:p>
        </w:tc>
        <w:tc>
          <w:tcPr>
            <w:tcW w:w="1334" w:type="dxa"/>
            <w:vAlign w:val="center"/>
          </w:tcPr>
          <w:p w:rsidR="00BC788A" w:rsidRDefault="00FD6D13">
            <w:pPr>
              <w:jc w:val="center"/>
            </w:pPr>
            <w:r>
              <w:rPr>
                <w:color w:val="000000"/>
                <w:sz w:val="24"/>
                <w:szCs w:val="24"/>
              </w:rPr>
              <w:t>600315</w:t>
            </w:r>
          </w:p>
        </w:tc>
        <w:tc>
          <w:tcPr>
            <w:tcW w:w="1777" w:type="dxa"/>
            <w:vAlign w:val="center"/>
          </w:tcPr>
          <w:p w:rsidR="00BC788A" w:rsidRDefault="00FD6D13">
            <w:pPr>
              <w:jc w:val="center"/>
            </w:pPr>
            <w:r>
              <w:rPr>
                <w:color w:val="000000"/>
                <w:sz w:val="24"/>
                <w:szCs w:val="24"/>
              </w:rPr>
              <w:t>上海家化</w:t>
            </w:r>
          </w:p>
        </w:tc>
        <w:tc>
          <w:tcPr>
            <w:tcW w:w="1334" w:type="dxa"/>
            <w:vAlign w:val="center"/>
          </w:tcPr>
          <w:p w:rsidR="00BC788A" w:rsidRDefault="00FD6D13">
            <w:pPr>
              <w:jc w:val="right"/>
            </w:pPr>
            <w:r>
              <w:rPr>
                <w:color w:val="000000"/>
                <w:sz w:val="24"/>
                <w:szCs w:val="24"/>
              </w:rPr>
              <w:t>1,372,099</w:t>
            </w:r>
          </w:p>
        </w:tc>
        <w:tc>
          <w:tcPr>
            <w:tcW w:w="1924" w:type="dxa"/>
            <w:vAlign w:val="center"/>
          </w:tcPr>
          <w:p w:rsidR="00BC788A" w:rsidRDefault="00FD6D13">
            <w:pPr>
              <w:jc w:val="right"/>
            </w:pPr>
            <w:r>
              <w:rPr>
                <w:color w:val="000000"/>
                <w:sz w:val="24"/>
                <w:szCs w:val="24"/>
              </w:rPr>
              <w:t>54,376,283.37</w:t>
            </w:r>
          </w:p>
        </w:tc>
        <w:tc>
          <w:tcPr>
            <w:tcW w:w="1644" w:type="dxa"/>
            <w:vAlign w:val="center"/>
          </w:tcPr>
          <w:p w:rsidR="00BC788A" w:rsidRDefault="00FD6D13">
            <w:pPr>
              <w:jc w:val="right"/>
            </w:pPr>
            <w:r>
              <w:rPr>
                <w:color w:val="000000"/>
                <w:sz w:val="24"/>
                <w:szCs w:val="24"/>
              </w:rPr>
              <w:t>3.09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Default="00A54C7D" w:rsidP="00C15CAC">
      <w:pPr>
        <w:autoSpaceDE w:val="0"/>
        <w:autoSpaceDN w:val="0"/>
        <w:adjustRightInd w:val="0"/>
        <w:spacing w:before="29" w:line="288" w:lineRule="auto"/>
        <w:jc w:val="left"/>
        <w:rPr>
          <w:rFonts w:hAnsi="宋体"/>
          <w:b/>
          <w:bCs/>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FD6D13" w:rsidRPr="00414345" w:rsidRDefault="00FD6D13" w:rsidP="00FD6D13">
      <w:pPr>
        <w:widowControl/>
        <w:spacing w:line="288" w:lineRule="auto"/>
        <w:jc w:val="left"/>
        <w:rPr>
          <w:sz w:val="24"/>
          <w:szCs w:val="24"/>
        </w:rPr>
      </w:pPr>
      <w:r w:rsidRPr="00414345">
        <w:rPr>
          <w:sz w:val="24"/>
          <w:szCs w:val="24"/>
        </w:rPr>
        <w:t>本基金本报告期末未持有贵金属。</w:t>
      </w:r>
    </w:p>
    <w:p w:rsidR="00FD6D13" w:rsidRPr="00FD6D13" w:rsidRDefault="00FD6D13"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523,141.16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3,563,983.29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86,204.99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475,866.03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4,649,195.47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9F0018" w:rsidRDefault="009F0018" w:rsidP="00C15CAC">
      <w:pPr>
        <w:autoSpaceDE w:val="0"/>
        <w:autoSpaceDN w:val="0"/>
        <w:adjustRightInd w:val="0"/>
        <w:spacing w:before="29" w:line="288" w:lineRule="auto"/>
        <w:jc w:val="left"/>
        <w:rPr>
          <w:color w:val="000000"/>
          <w:sz w:val="24"/>
          <w:szCs w:val="24"/>
        </w:rPr>
      </w:pPr>
    </w:p>
    <w:p w:rsidR="009F0018" w:rsidRPr="009F0018" w:rsidRDefault="009F0018" w:rsidP="009F0018">
      <w:pPr>
        <w:autoSpaceDE w:val="0"/>
        <w:autoSpaceDN w:val="0"/>
        <w:adjustRightInd w:val="0"/>
        <w:spacing w:before="29" w:line="288" w:lineRule="auto"/>
        <w:jc w:val="left"/>
        <w:rPr>
          <w:rFonts w:hint="eastAsia"/>
          <w:color w:val="000000"/>
          <w:sz w:val="24"/>
          <w:szCs w:val="24"/>
        </w:rPr>
      </w:pPr>
      <w:r w:rsidRPr="009F0018">
        <w:rPr>
          <w:rFonts w:hint="eastAsia"/>
          <w:color w:val="000000"/>
          <w:sz w:val="24"/>
          <w:szCs w:val="24"/>
        </w:rPr>
        <w:t>5.11.6</w:t>
      </w:r>
      <w:r w:rsidRPr="009F0018">
        <w:rPr>
          <w:rFonts w:hint="eastAsia"/>
          <w:color w:val="000000"/>
          <w:sz w:val="24"/>
          <w:szCs w:val="24"/>
        </w:rPr>
        <w:t>投资组合报告附注的其他文字描述部分</w:t>
      </w:r>
    </w:p>
    <w:p w:rsidR="009F0018" w:rsidRPr="009F0018" w:rsidRDefault="009F0018" w:rsidP="009F0018">
      <w:pPr>
        <w:autoSpaceDE w:val="0"/>
        <w:autoSpaceDN w:val="0"/>
        <w:adjustRightInd w:val="0"/>
        <w:spacing w:before="29" w:line="288" w:lineRule="auto"/>
        <w:jc w:val="left"/>
        <w:rPr>
          <w:rFonts w:hint="eastAsia"/>
          <w:color w:val="000000"/>
          <w:sz w:val="24"/>
          <w:szCs w:val="24"/>
        </w:rPr>
      </w:pPr>
      <w:r w:rsidRPr="009F0018">
        <w:rPr>
          <w:rFonts w:hint="eastAsia"/>
          <w:color w:val="000000"/>
          <w:sz w:val="24"/>
          <w:szCs w:val="24"/>
        </w:rPr>
        <w:t>由于四舍五入的原因，分项之和与合计项之间可能存在尾差。</w:t>
      </w:r>
      <w:bookmarkStart w:id="0" w:name="_GoBack"/>
      <w:bookmarkEnd w:id="0"/>
    </w:p>
    <w:p w:rsidR="002918E3" w:rsidRPr="00414345" w:rsidRDefault="002918E3" w:rsidP="00C15CAC">
      <w:pPr>
        <w:autoSpaceDE w:val="0"/>
        <w:autoSpaceDN w:val="0"/>
        <w:adjustRightInd w:val="0"/>
        <w:spacing w:before="29" w:line="288" w:lineRule="auto"/>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FD6D13" w:rsidRPr="00575270" w:rsidRDefault="00FD6D13" w:rsidP="00FD6D13">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FD6D13" w:rsidRPr="00575270" w:rsidRDefault="00FD6D13" w:rsidP="00FD6D13">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FD6D13" w:rsidRPr="00575270" w:rsidRDefault="00FD6D13" w:rsidP="00FD6D13">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FD6D13" w:rsidRPr="00575270" w:rsidRDefault="00FD6D13" w:rsidP="00FD6D13">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FD6D13" w:rsidRPr="00575270" w:rsidRDefault="00FD6D13" w:rsidP="00FD6D13">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FD6D13" w:rsidRPr="00414345" w:rsidRDefault="00C571BC" w:rsidP="00FD6D13">
      <w:pPr>
        <w:spacing w:before="29" w:line="288" w:lineRule="auto"/>
        <w:ind w:firstLineChars="200" w:firstLine="480"/>
        <w:rPr>
          <w:color w:val="000000"/>
          <w:sz w:val="24"/>
          <w:szCs w:val="24"/>
        </w:rPr>
      </w:pPr>
      <w:r w:rsidRPr="00575270">
        <w:rPr>
          <w:rFonts w:eastAsiaTheme="minorEastAsia" w:hint="eastAsia"/>
          <w:color w:val="000000" w:themeColor="text1"/>
          <w:sz w:val="24"/>
          <w:szCs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FD6D13">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2,274,384,766.78</w:t>
            </w:r>
          </w:p>
        </w:tc>
      </w:tr>
      <w:tr w:rsidR="004061AC" w:rsidRPr="00414345" w:rsidTr="00FD6D13">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25,663,975.59</w:t>
            </w:r>
          </w:p>
        </w:tc>
      </w:tr>
      <w:tr w:rsidR="004061AC" w:rsidRPr="00414345" w:rsidTr="00FD6D13">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506,014,139.37</w:t>
            </w:r>
          </w:p>
        </w:tc>
      </w:tr>
      <w:tr w:rsidR="004061AC" w:rsidRPr="00414345" w:rsidTr="00FD6D13">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FD6D13">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134"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1,794,034,603.00</w:t>
            </w:r>
          </w:p>
        </w:tc>
      </w:tr>
    </w:tbl>
    <w:p w:rsidR="00FD6D13" w:rsidRDefault="00FD6D13" w:rsidP="00FD6D1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FD6D13" w:rsidRPr="00414345" w:rsidRDefault="00FD6D13" w:rsidP="00FD6D13">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Pr="00FD6D13" w:rsidRDefault="00320E90" w:rsidP="00C15CAC">
      <w:pPr>
        <w:autoSpaceDE w:val="0"/>
        <w:autoSpaceDN w:val="0"/>
        <w:adjustRightInd w:val="0"/>
        <w:spacing w:before="29" w:line="288" w:lineRule="auto"/>
        <w:jc w:val="left"/>
        <w:rPr>
          <w:color w:val="000000"/>
          <w:sz w:val="24"/>
          <w:szCs w:val="24"/>
        </w:rPr>
      </w:pPr>
    </w:p>
    <w:p w:rsidR="00FD6D13" w:rsidRPr="00ED2620" w:rsidRDefault="00FD6D13" w:rsidP="00FD6D13">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R="00FD6D13" w:rsidRPr="00ED2620" w:rsidRDefault="00FD6D13" w:rsidP="00FD6D13">
      <w:pPr>
        <w:spacing w:line="288" w:lineRule="auto"/>
        <w:jc w:val="left"/>
        <w:rPr>
          <w:sz w:val="24"/>
          <w:szCs w:val="24"/>
        </w:rPr>
      </w:pPr>
      <w:r w:rsidRPr="00ED2620">
        <w:rPr>
          <w:b/>
          <w:sz w:val="24"/>
        </w:rPr>
        <w:t xml:space="preserve">8.1 </w:t>
      </w:r>
      <w:r w:rsidRPr="00ED2620">
        <w:rPr>
          <w:b/>
          <w:sz w:val="24"/>
        </w:rPr>
        <w:t>基金管理人持有本基金份额变动情况</w:t>
      </w:r>
    </w:p>
    <w:p w:rsidR="00FD6D13" w:rsidRDefault="00FD6D13" w:rsidP="00FD6D13">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FD6D13" w:rsidRDefault="00FD6D13" w:rsidP="00FD6D13">
      <w:pPr>
        <w:autoSpaceDE w:val="0"/>
        <w:autoSpaceDN w:val="0"/>
        <w:adjustRightInd w:val="0"/>
        <w:spacing w:before="29" w:line="288" w:lineRule="auto"/>
        <w:jc w:val="left"/>
        <w:rPr>
          <w:rFonts w:eastAsiaTheme="minorEastAsia"/>
          <w:color w:val="000000"/>
          <w:sz w:val="24"/>
        </w:rPr>
      </w:pPr>
    </w:p>
    <w:p w:rsidR="00FD6D13" w:rsidRPr="00BB5E0E" w:rsidRDefault="00FD6D13" w:rsidP="00FD6D13">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FD6D13" w:rsidRPr="00414345" w:rsidRDefault="00FD6D13" w:rsidP="00FD6D13">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FD6D13" w:rsidRPr="00FD6D13" w:rsidRDefault="00FD6D13" w:rsidP="00C15CAC">
      <w:pPr>
        <w:autoSpaceDE w:val="0"/>
        <w:autoSpaceDN w:val="0"/>
        <w:adjustRightInd w:val="0"/>
        <w:spacing w:before="29" w:line="288" w:lineRule="auto"/>
        <w:jc w:val="left"/>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FD6D13">
        <w:rPr>
          <w:rFonts w:hint="eastAsia"/>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FD6D13" w:rsidP="00C15CAC">
      <w:pPr>
        <w:autoSpaceDE w:val="0"/>
        <w:autoSpaceDN w:val="0"/>
        <w:adjustRightInd w:val="0"/>
        <w:spacing w:before="29" w:line="288" w:lineRule="auto"/>
        <w:jc w:val="left"/>
        <w:rPr>
          <w:b/>
          <w:bCs/>
          <w:color w:val="000000"/>
          <w:kern w:val="0"/>
          <w:sz w:val="24"/>
          <w:szCs w:val="24"/>
        </w:rPr>
      </w:pPr>
      <w:r>
        <w:rPr>
          <w:rFonts w:hint="eastAsia"/>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BC788A" w:rsidRDefault="00FD6D1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、中国证监会准予交银施罗德品质升级混合型证券投资基金募集注册的文件；</w:t>
      </w:r>
      <w:r>
        <w:rPr>
          <w:color w:val="000000"/>
          <w:sz w:val="24"/>
          <w:szCs w:val="24"/>
        </w:rPr>
        <w:t xml:space="preserve"> </w:t>
      </w:r>
    </w:p>
    <w:p w:rsidR="00BC788A" w:rsidRDefault="00FD6D1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、《交银施罗德品质升级混合型证券投资基金基金合同》；</w:t>
      </w:r>
      <w:r>
        <w:rPr>
          <w:color w:val="000000"/>
          <w:sz w:val="24"/>
          <w:szCs w:val="24"/>
        </w:rPr>
        <w:t xml:space="preserve"> </w:t>
      </w:r>
    </w:p>
    <w:p w:rsidR="00BC788A" w:rsidRDefault="00FD6D1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、《交银施罗德品质升级混合型证券投资基金招募说明书》；</w:t>
      </w:r>
      <w:r>
        <w:rPr>
          <w:color w:val="000000"/>
          <w:sz w:val="24"/>
          <w:szCs w:val="24"/>
        </w:rPr>
        <w:t xml:space="preserve"> </w:t>
      </w:r>
    </w:p>
    <w:p w:rsidR="00BC788A" w:rsidRDefault="00FD6D1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、《交银施罗德品质升级混合型证券投资基金托管协议》；</w:t>
      </w:r>
      <w:r>
        <w:rPr>
          <w:color w:val="000000"/>
          <w:sz w:val="24"/>
          <w:szCs w:val="24"/>
        </w:rPr>
        <w:t xml:space="preserve"> </w:t>
      </w:r>
    </w:p>
    <w:p w:rsidR="00BC788A" w:rsidRDefault="00FD6D13">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、关于申请募集注册交银施罗德品质升级混合型证券投资基金的法律意见书；</w:t>
      </w:r>
      <w:r>
        <w:rPr>
          <w:color w:val="000000"/>
          <w:sz w:val="24"/>
          <w:szCs w:val="24"/>
        </w:rPr>
        <w:t xml:space="preserve"> </w:t>
      </w:r>
    </w:p>
    <w:p w:rsidR="00BC788A" w:rsidRDefault="00FD6D1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BC788A" w:rsidRDefault="00FD6D1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、报告期内交银施罗德品质升级混合型证券投资基金在指定报刊上各项公告的原稿。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FD6D13" w:rsidP="00C15CAC">
      <w:pPr>
        <w:autoSpaceDE w:val="0"/>
        <w:autoSpaceDN w:val="0"/>
        <w:adjustRightInd w:val="0"/>
        <w:spacing w:before="29" w:line="288" w:lineRule="auto"/>
        <w:jc w:val="left"/>
        <w:rPr>
          <w:b/>
          <w:bCs/>
          <w:color w:val="000000"/>
          <w:kern w:val="0"/>
          <w:sz w:val="24"/>
          <w:szCs w:val="24"/>
        </w:rPr>
      </w:pPr>
      <w:r>
        <w:rPr>
          <w:rFonts w:hint="eastAsia"/>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FD6D13" w:rsidP="00C15CAC">
      <w:pPr>
        <w:autoSpaceDE w:val="0"/>
        <w:autoSpaceDN w:val="0"/>
        <w:adjustRightInd w:val="0"/>
        <w:spacing w:before="29" w:line="288" w:lineRule="auto"/>
        <w:jc w:val="left"/>
        <w:rPr>
          <w:b/>
          <w:bCs/>
          <w:color w:val="000000"/>
          <w:kern w:val="0"/>
          <w:sz w:val="24"/>
          <w:szCs w:val="24"/>
        </w:rPr>
      </w:pPr>
      <w:r>
        <w:rPr>
          <w:rFonts w:hint="eastAsia"/>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BC788A" w:rsidRDefault="00FD6D1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8F3" w:rsidRDefault="009538F3" w:rsidP="00876D65">
      <w:r>
        <w:separator/>
      </w:r>
    </w:p>
  </w:endnote>
  <w:endnote w:type="continuationSeparator" w:id="0">
    <w:p w:rsidR="009538F3" w:rsidRDefault="009538F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9F0018">
      <w:rPr>
        <w:noProof/>
        <w:kern w:val="0"/>
        <w:szCs w:val="21"/>
      </w:rPr>
      <w:t>9</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9F0018">
      <w:rPr>
        <w:noProof/>
        <w:kern w:val="0"/>
        <w:szCs w:val="21"/>
      </w:rPr>
      <w:t>11</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8F3" w:rsidRDefault="009538F3" w:rsidP="00876D65">
      <w:r>
        <w:separator/>
      </w:r>
    </w:p>
  </w:footnote>
  <w:footnote w:type="continuationSeparator" w:id="0">
    <w:p w:rsidR="009538F3" w:rsidRDefault="009538F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交银施罗德品质升级混合型证券投资基金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38F3"/>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0018"/>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C788A"/>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571BC"/>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347"/>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D6D13"/>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C1140-BFF2-4416-9138-7C31A94A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11</Pages>
  <Words>989</Words>
  <Characters>5641</Characters>
  <Application>Microsoft Office Word</Application>
  <DocSecurity>0</DocSecurity>
  <Lines>47</Lines>
  <Paragraphs>13</Paragraphs>
  <ScaleCrop>false</ScaleCrop>
  <Company/>
  <LinksUpToDate>false</LinksUpToDate>
  <CharactersWithSpaces>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580</cp:revision>
  <dcterms:created xsi:type="dcterms:W3CDTF">2012-10-16T06:07:00Z</dcterms:created>
  <dcterms:modified xsi:type="dcterms:W3CDTF">2018-07-17T03:20:00Z</dcterms:modified>
</cp:coreProperties>
</file>