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F0EE5" w:rsidRDefault="0009110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1,383,884,249.18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91103" w:rsidRPr="00414345" w:rsidTr="0009110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91103" w:rsidRPr="00414345" w:rsidTr="000911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56,449,612.95</w:t>
            </w:r>
          </w:p>
        </w:tc>
      </w:tr>
      <w:tr w:rsidR="00091103" w:rsidRPr="00414345" w:rsidTr="000911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50,550,203.00</w:t>
            </w:r>
          </w:p>
        </w:tc>
      </w:tr>
      <w:tr w:rsidR="00091103" w:rsidRPr="00414345" w:rsidTr="000911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0.0340</w:t>
            </w:r>
          </w:p>
        </w:tc>
      </w:tr>
      <w:tr w:rsidR="00091103" w:rsidRPr="00414345" w:rsidTr="0009110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1,510,194,263.92</w:t>
            </w:r>
          </w:p>
        </w:tc>
      </w:tr>
      <w:tr w:rsidR="00091103" w:rsidRPr="00414345" w:rsidTr="0009110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1.0913</w:t>
            </w:r>
          </w:p>
        </w:tc>
      </w:tr>
    </w:tbl>
    <w:p w:rsidR="005F0EE5" w:rsidRDefault="0009110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5F0EE5" w:rsidRDefault="00091103">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F0EE5">
        <w:trPr>
          <w:jc w:val="center"/>
        </w:trPr>
        <w:tc>
          <w:tcPr>
            <w:tcW w:w="1701" w:type="dxa"/>
            <w:vAlign w:val="center"/>
          </w:tcPr>
          <w:p w:rsidR="005F0EE5" w:rsidRDefault="00091103">
            <w:pPr>
              <w:jc w:val="left"/>
            </w:pPr>
            <w:r>
              <w:rPr>
                <w:color w:val="000000"/>
                <w:sz w:val="24"/>
                <w:szCs w:val="24"/>
              </w:rPr>
              <w:t>过去三个月</w:t>
            </w:r>
          </w:p>
        </w:tc>
        <w:tc>
          <w:tcPr>
            <w:tcW w:w="1045" w:type="dxa"/>
            <w:vAlign w:val="center"/>
          </w:tcPr>
          <w:p w:rsidR="005F0EE5" w:rsidRDefault="00091103">
            <w:pPr>
              <w:jc w:val="center"/>
            </w:pPr>
            <w:r>
              <w:rPr>
                <w:color w:val="000000"/>
                <w:sz w:val="24"/>
                <w:szCs w:val="24"/>
              </w:rPr>
              <w:t>2.71%</w:t>
            </w:r>
          </w:p>
        </w:tc>
        <w:tc>
          <w:tcPr>
            <w:tcW w:w="1344" w:type="dxa"/>
            <w:vAlign w:val="center"/>
          </w:tcPr>
          <w:p w:rsidR="005F0EE5" w:rsidRDefault="00091103">
            <w:pPr>
              <w:jc w:val="center"/>
            </w:pPr>
            <w:r>
              <w:rPr>
                <w:color w:val="000000"/>
                <w:sz w:val="24"/>
                <w:szCs w:val="24"/>
              </w:rPr>
              <w:t>1.35%</w:t>
            </w:r>
          </w:p>
        </w:tc>
        <w:tc>
          <w:tcPr>
            <w:tcW w:w="1194" w:type="dxa"/>
            <w:vAlign w:val="center"/>
          </w:tcPr>
          <w:p w:rsidR="005F0EE5" w:rsidRDefault="00091103">
            <w:pPr>
              <w:jc w:val="center"/>
            </w:pPr>
            <w:r>
              <w:rPr>
                <w:color w:val="000000"/>
                <w:sz w:val="24"/>
                <w:szCs w:val="24"/>
              </w:rPr>
              <w:t>-7.03%</w:t>
            </w:r>
          </w:p>
        </w:tc>
        <w:tc>
          <w:tcPr>
            <w:tcW w:w="1492" w:type="dxa"/>
            <w:vAlign w:val="center"/>
          </w:tcPr>
          <w:p w:rsidR="005F0EE5" w:rsidRDefault="00091103">
            <w:pPr>
              <w:jc w:val="center"/>
            </w:pPr>
            <w:r>
              <w:rPr>
                <w:color w:val="000000"/>
                <w:sz w:val="24"/>
                <w:szCs w:val="24"/>
              </w:rPr>
              <w:t>0.85%</w:t>
            </w:r>
          </w:p>
        </w:tc>
        <w:tc>
          <w:tcPr>
            <w:tcW w:w="1194" w:type="dxa"/>
            <w:vAlign w:val="center"/>
          </w:tcPr>
          <w:p w:rsidR="005F0EE5" w:rsidRDefault="00091103">
            <w:pPr>
              <w:jc w:val="center"/>
            </w:pPr>
            <w:r>
              <w:rPr>
                <w:color w:val="000000"/>
                <w:sz w:val="24"/>
                <w:szCs w:val="24"/>
              </w:rPr>
              <w:t>9.74%</w:t>
            </w:r>
          </w:p>
        </w:tc>
        <w:tc>
          <w:tcPr>
            <w:tcW w:w="898" w:type="dxa"/>
            <w:vAlign w:val="center"/>
          </w:tcPr>
          <w:p w:rsidR="005F0EE5" w:rsidRDefault="00091103">
            <w:pPr>
              <w:jc w:val="center"/>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9F3463" w:rsidRDefault="00693843" w:rsidP="00C15CAC">
      <w:pPr>
        <w:tabs>
          <w:tab w:val="left" w:pos="1800"/>
        </w:tabs>
        <w:spacing w:before="29" w:line="288" w:lineRule="auto"/>
        <w:rPr>
          <w:rFonts w:hint="eastAsia"/>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F0EE5">
        <w:trPr>
          <w:jc w:val="center"/>
        </w:trPr>
        <w:tc>
          <w:tcPr>
            <w:tcW w:w="846" w:type="dxa"/>
            <w:vAlign w:val="center"/>
          </w:tcPr>
          <w:p w:rsidR="005F0EE5" w:rsidRDefault="00091103">
            <w:pPr>
              <w:jc w:val="center"/>
            </w:pPr>
            <w:r>
              <w:rPr>
                <w:color w:val="000000"/>
                <w:sz w:val="24"/>
                <w:szCs w:val="24"/>
              </w:rPr>
              <w:t>何帅</w:t>
            </w:r>
          </w:p>
        </w:tc>
        <w:tc>
          <w:tcPr>
            <w:tcW w:w="845" w:type="dxa"/>
            <w:vAlign w:val="center"/>
          </w:tcPr>
          <w:p w:rsidR="005F0EE5" w:rsidRDefault="00091103">
            <w:pPr>
              <w:jc w:val="center"/>
            </w:pPr>
            <w:r>
              <w:rPr>
                <w:color w:val="000000"/>
                <w:sz w:val="24"/>
                <w:szCs w:val="24"/>
              </w:rPr>
              <w:t>交银优势行业混合、交银阿尔法核心混合、交银持</w:t>
            </w:r>
            <w:r>
              <w:rPr>
                <w:color w:val="000000"/>
                <w:sz w:val="24"/>
                <w:szCs w:val="24"/>
              </w:rPr>
              <w:lastRenderedPageBreak/>
              <w:t>续成长主题混合的基金经理</w:t>
            </w:r>
          </w:p>
        </w:tc>
        <w:tc>
          <w:tcPr>
            <w:tcW w:w="1549" w:type="dxa"/>
            <w:vAlign w:val="center"/>
          </w:tcPr>
          <w:p w:rsidR="005F0EE5" w:rsidRDefault="00091103">
            <w:pPr>
              <w:jc w:val="center"/>
            </w:pPr>
            <w:r>
              <w:rPr>
                <w:color w:val="000000"/>
                <w:sz w:val="24"/>
                <w:szCs w:val="24"/>
              </w:rPr>
              <w:lastRenderedPageBreak/>
              <w:t>2018-01-12</w:t>
            </w:r>
          </w:p>
        </w:tc>
        <w:tc>
          <w:tcPr>
            <w:tcW w:w="1548" w:type="dxa"/>
            <w:vAlign w:val="center"/>
          </w:tcPr>
          <w:p w:rsidR="005F0EE5" w:rsidRDefault="00091103">
            <w:pPr>
              <w:jc w:val="center"/>
            </w:pPr>
            <w:r>
              <w:rPr>
                <w:color w:val="000000"/>
                <w:sz w:val="24"/>
                <w:szCs w:val="24"/>
              </w:rPr>
              <w:t>-</w:t>
            </w:r>
          </w:p>
        </w:tc>
        <w:tc>
          <w:tcPr>
            <w:tcW w:w="1407" w:type="dxa"/>
            <w:vAlign w:val="center"/>
          </w:tcPr>
          <w:p w:rsidR="005F0EE5" w:rsidRDefault="00091103">
            <w:pPr>
              <w:jc w:val="center"/>
            </w:pPr>
            <w:r>
              <w:rPr>
                <w:color w:val="000000"/>
                <w:sz w:val="24"/>
                <w:szCs w:val="24"/>
              </w:rPr>
              <w:t>8</w:t>
            </w:r>
            <w:r>
              <w:rPr>
                <w:color w:val="000000"/>
                <w:sz w:val="24"/>
                <w:szCs w:val="24"/>
              </w:rPr>
              <w:t>年</w:t>
            </w:r>
          </w:p>
        </w:tc>
        <w:tc>
          <w:tcPr>
            <w:tcW w:w="2673" w:type="dxa"/>
            <w:vAlign w:val="center"/>
          </w:tcPr>
          <w:p w:rsidR="005F0EE5" w:rsidRDefault="00091103">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F0EE5" w:rsidRDefault="0009110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F0EE5" w:rsidRDefault="0009110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F0EE5" w:rsidRDefault="0009110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5F0EE5" w:rsidRDefault="00091103">
      <w:pPr>
        <w:spacing w:before="29" w:line="288" w:lineRule="auto"/>
        <w:ind w:firstLineChars="200" w:firstLine="480"/>
        <w:rPr>
          <w:color w:val="000000"/>
          <w:sz w:val="24"/>
          <w:szCs w:val="24"/>
        </w:rPr>
      </w:pPr>
      <w:r>
        <w:rPr>
          <w:color w:val="000000"/>
          <w:sz w:val="24"/>
          <w:szCs w:val="24"/>
        </w:rPr>
        <w:t>2018</w:t>
      </w:r>
      <w:r>
        <w:rPr>
          <w:color w:val="000000"/>
          <w:sz w:val="24"/>
          <w:szCs w:val="24"/>
        </w:rPr>
        <w:t>年二季度</w:t>
      </w:r>
      <w:r>
        <w:rPr>
          <w:color w:val="000000"/>
          <w:sz w:val="24"/>
          <w:szCs w:val="24"/>
        </w:rPr>
        <w:t>A</w:t>
      </w:r>
      <w:r>
        <w:rPr>
          <w:color w:val="000000"/>
          <w:sz w:val="24"/>
          <w:szCs w:val="24"/>
        </w:rPr>
        <w:t>股市场整体呈现下跌趋势，上证指数下跌</w:t>
      </w:r>
      <w:r>
        <w:rPr>
          <w:color w:val="000000"/>
          <w:sz w:val="24"/>
          <w:szCs w:val="24"/>
        </w:rPr>
        <w:t>10.1%</w:t>
      </w:r>
      <w:r>
        <w:rPr>
          <w:color w:val="000000"/>
          <w:sz w:val="24"/>
          <w:szCs w:val="24"/>
        </w:rPr>
        <w:t>，创业板指数下跌</w:t>
      </w:r>
      <w:r>
        <w:rPr>
          <w:color w:val="000000"/>
          <w:sz w:val="24"/>
          <w:szCs w:val="24"/>
        </w:rPr>
        <w:t>15.5%</w:t>
      </w:r>
      <w:r>
        <w:rPr>
          <w:color w:val="000000"/>
          <w:sz w:val="24"/>
          <w:szCs w:val="24"/>
        </w:rPr>
        <w:t>。市场担忧的风险因素较多，比如贸易摩擦、债务违约风险及地产调控升级等，其中医药、消费等偏防御类行业表现较好，其他行业均有明显回落。</w:t>
      </w:r>
    </w:p>
    <w:p w:rsidR="005F0EE5" w:rsidRDefault="00091103">
      <w:pPr>
        <w:spacing w:before="29" w:line="288" w:lineRule="auto"/>
        <w:ind w:firstLineChars="200" w:firstLine="480"/>
        <w:rPr>
          <w:color w:val="000000"/>
          <w:sz w:val="24"/>
          <w:szCs w:val="24"/>
        </w:rPr>
      </w:pPr>
      <w:r>
        <w:rPr>
          <w:color w:val="000000"/>
          <w:sz w:val="24"/>
          <w:szCs w:val="24"/>
        </w:rPr>
        <w:t>本基金在二季度基本完成了新基金建仓，并获得一定超额收益，主要原因是建仓布局的优质公司表现较好。</w:t>
      </w:r>
    </w:p>
    <w:p w:rsidR="005F0EE5" w:rsidRDefault="00091103">
      <w:pPr>
        <w:spacing w:before="29" w:line="288" w:lineRule="auto"/>
        <w:ind w:firstLineChars="200" w:firstLine="480"/>
        <w:rPr>
          <w:color w:val="000000"/>
          <w:sz w:val="24"/>
          <w:szCs w:val="24"/>
        </w:rPr>
      </w:pPr>
      <w:r>
        <w:rPr>
          <w:color w:val="000000"/>
          <w:sz w:val="24"/>
          <w:szCs w:val="24"/>
        </w:rPr>
        <w:t>对于经济、利率及股票市场，目前我们均持中性态度，我们预计经济整体较为稳健，而利率的阶段性上升趋势可能减缓。此轮</w:t>
      </w:r>
      <w:r>
        <w:rPr>
          <w:color w:val="000000"/>
          <w:sz w:val="24"/>
          <w:szCs w:val="24"/>
        </w:rPr>
        <w:t>A</w:t>
      </w:r>
      <w:r>
        <w:rPr>
          <w:color w:val="000000"/>
          <w:sz w:val="24"/>
          <w:szCs w:val="24"/>
        </w:rPr>
        <w:t>股市场的回落超过我们的预期，虽然目前经济环境仍较为稳健，但经济的不确定因素在加多，而市场风险偏好持续下降。在这样的市场环境下，我们认为选择优秀的公司、合理的价格买入，依然可以获得较为明显的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我们希望通过深度研究，从中长期的角度判断公司的可持续成长性及可持续的竞争力，享受从公司价值的可持续成长空间中获利，并希望能够持续以此为持有人获得超额收益。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1.0913</w:t>
      </w:r>
      <w:r w:rsidRPr="00414345">
        <w:rPr>
          <w:color w:val="000000"/>
          <w:sz w:val="24"/>
          <w:szCs w:val="24"/>
        </w:rPr>
        <w:t>元，本报告期份额净值增长率为</w:t>
      </w:r>
      <w:r w:rsidRPr="00414345">
        <w:rPr>
          <w:color w:val="000000"/>
          <w:sz w:val="24"/>
          <w:szCs w:val="24"/>
        </w:rPr>
        <w:t>2.71%</w:t>
      </w:r>
      <w:r w:rsidRPr="00414345">
        <w:rPr>
          <w:color w:val="000000"/>
          <w:sz w:val="24"/>
          <w:szCs w:val="24"/>
        </w:rPr>
        <w:t>，同期业绩比较基准增长率为</w:t>
      </w:r>
      <w:r w:rsidRPr="00414345">
        <w:rPr>
          <w:color w:val="000000"/>
          <w:sz w:val="24"/>
          <w:szCs w:val="24"/>
        </w:rPr>
        <w:t>-7.03%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1,138,353,260.09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1,138,353,260.09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299,250,349.63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92,134,691.77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2,730,759.80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1,532,469,061.29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4,633,152.00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386,990,348.06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65,668,657.39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20,262,725.00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383,260,998.19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59,704,256.68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5,470,212.00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76,790,988.54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60,549,897.40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74,869,238.84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1,138,353,260.09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75.38</w:t>
            </w:r>
          </w:p>
        </w:tc>
      </w:tr>
    </w:tbl>
    <w:p w:rsidR="009F3463" w:rsidRDefault="009F3463"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F0EE5">
        <w:trPr>
          <w:jc w:val="center"/>
        </w:trPr>
        <w:tc>
          <w:tcPr>
            <w:tcW w:w="855" w:type="dxa"/>
            <w:vAlign w:val="center"/>
          </w:tcPr>
          <w:p w:rsidR="005F0EE5" w:rsidRDefault="00091103">
            <w:pPr>
              <w:jc w:val="center"/>
            </w:pPr>
            <w:r>
              <w:rPr>
                <w:color w:val="000000"/>
                <w:sz w:val="24"/>
                <w:szCs w:val="24"/>
              </w:rPr>
              <w:t>1</w:t>
            </w:r>
          </w:p>
        </w:tc>
        <w:tc>
          <w:tcPr>
            <w:tcW w:w="1334" w:type="dxa"/>
            <w:vAlign w:val="center"/>
          </w:tcPr>
          <w:p w:rsidR="005F0EE5" w:rsidRDefault="00091103">
            <w:pPr>
              <w:jc w:val="center"/>
            </w:pPr>
            <w:r>
              <w:rPr>
                <w:color w:val="000000"/>
                <w:sz w:val="24"/>
                <w:szCs w:val="24"/>
              </w:rPr>
              <w:t>300365</w:t>
            </w:r>
          </w:p>
        </w:tc>
        <w:tc>
          <w:tcPr>
            <w:tcW w:w="1777" w:type="dxa"/>
            <w:vAlign w:val="center"/>
          </w:tcPr>
          <w:p w:rsidR="005F0EE5" w:rsidRDefault="00091103">
            <w:pPr>
              <w:jc w:val="center"/>
            </w:pPr>
            <w:r>
              <w:rPr>
                <w:color w:val="000000"/>
                <w:sz w:val="24"/>
                <w:szCs w:val="24"/>
              </w:rPr>
              <w:t>恒华科技</w:t>
            </w:r>
          </w:p>
        </w:tc>
        <w:tc>
          <w:tcPr>
            <w:tcW w:w="1334" w:type="dxa"/>
            <w:vAlign w:val="center"/>
          </w:tcPr>
          <w:p w:rsidR="005F0EE5" w:rsidRDefault="00091103">
            <w:pPr>
              <w:jc w:val="right"/>
            </w:pPr>
            <w:r>
              <w:rPr>
                <w:color w:val="000000"/>
                <w:sz w:val="24"/>
                <w:szCs w:val="24"/>
              </w:rPr>
              <w:t>5,723,349</w:t>
            </w:r>
          </w:p>
        </w:tc>
        <w:tc>
          <w:tcPr>
            <w:tcW w:w="1924" w:type="dxa"/>
            <w:vAlign w:val="center"/>
          </w:tcPr>
          <w:p w:rsidR="005F0EE5" w:rsidRDefault="00091103">
            <w:pPr>
              <w:jc w:val="right"/>
            </w:pPr>
            <w:r>
              <w:rPr>
                <w:color w:val="000000"/>
                <w:sz w:val="24"/>
                <w:szCs w:val="24"/>
              </w:rPr>
              <w:t>118,072,689.87</w:t>
            </w:r>
          </w:p>
        </w:tc>
        <w:tc>
          <w:tcPr>
            <w:tcW w:w="1644" w:type="dxa"/>
            <w:vAlign w:val="center"/>
          </w:tcPr>
          <w:p w:rsidR="005F0EE5" w:rsidRDefault="00091103">
            <w:pPr>
              <w:jc w:val="right"/>
            </w:pPr>
            <w:r>
              <w:rPr>
                <w:color w:val="000000"/>
                <w:sz w:val="24"/>
                <w:szCs w:val="24"/>
              </w:rPr>
              <w:t>7.82</w:t>
            </w:r>
          </w:p>
        </w:tc>
      </w:tr>
      <w:tr w:rsidR="005F0EE5">
        <w:trPr>
          <w:jc w:val="center"/>
        </w:trPr>
        <w:tc>
          <w:tcPr>
            <w:tcW w:w="855" w:type="dxa"/>
            <w:vAlign w:val="center"/>
          </w:tcPr>
          <w:p w:rsidR="005F0EE5" w:rsidRDefault="00091103">
            <w:pPr>
              <w:jc w:val="center"/>
            </w:pPr>
            <w:r>
              <w:rPr>
                <w:color w:val="000000"/>
                <w:sz w:val="24"/>
                <w:szCs w:val="24"/>
              </w:rPr>
              <w:t>2</w:t>
            </w:r>
          </w:p>
        </w:tc>
        <w:tc>
          <w:tcPr>
            <w:tcW w:w="1334" w:type="dxa"/>
            <w:vAlign w:val="center"/>
          </w:tcPr>
          <w:p w:rsidR="005F0EE5" w:rsidRDefault="00091103">
            <w:pPr>
              <w:jc w:val="center"/>
            </w:pPr>
            <w:r>
              <w:rPr>
                <w:color w:val="000000"/>
                <w:sz w:val="24"/>
                <w:szCs w:val="24"/>
              </w:rPr>
              <w:t>300188</w:t>
            </w:r>
          </w:p>
        </w:tc>
        <w:tc>
          <w:tcPr>
            <w:tcW w:w="1777" w:type="dxa"/>
            <w:vAlign w:val="center"/>
          </w:tcPr>
          <w:p w:rsidR="005F0EE5" w:rsidRDefault="00091103">
            <w:pPr>
              <w:jc w:val="center"/>
            </w:pPr>
            <w:r>
              <w:rPr>
                <w:color w:val="000000"/>
                <w:sz w:val="24"/>
                <w:szCs w:val="24"/>
              </w:rPr>
              <w:t>美亚柏科</w:t>
            </w:r>
          </w:p>
        </w:tc>
        <w:tc>
          <w:tcPr>
            <w:tcW w:w="1334" w:type="dxa"/>
            <w:vAlign w:val="center"/>
          </w:tcPr>
          <w:p w:rsidR="005F0EE5" w:rsidRDefault="00091103">
            <w:pPr>
              <w:jc w:val="right"/>
            </w:pPr>
            <w:r>
              <w:rPr>
                <w:color w:val="000000"/>
                <w:sz w:val="24"/>
                <w:szCs w:val="24"/>
              </w:rPr>
              <w:t>5,181,674</w:t>
            </w:r>
          </w:p>
        </w:tc>
        <w:tc>
          <w:tcPr>
            <w:tcW w:w="1924" w:type="dxa"/>
            <w:vAlign w:val="center"/>
          </w:tcPr>
          <w:p w:rsidR="005F0EE5" w:rsidRDefault="00091103">
            <w:pPr>
              <w:jc w:val="right"/>
            </w:pPr>
            <w:r>
              <w:rPr>
                <w:color w:val="000000"/>
                <w:sz w:val="24"/>
                <w:szCs w:val="24"/>
              </w:rPr>
              <w:t>94,824,634.20</w:t>
            </w:r>
          </w:p>
        </w:tc>
        <w:tc>
          <w:tcPr>
            <w:tcW w:w="1644" w:type="dxa"/>
            <w:vAlign w:val="center"/>
          </w:tcPr>
          <w:p w:rsidR="005F0EE5" w:rsidRDefault="00091103">
            <w:pPr>
              <w:jc w:val="right"/>
            </w:pPr>
            <w:r>
              <w:rPr>
                <w:color w:val="000000"/>
                <w:sz w:val="24"/>
                <w:szCs w:val="24"/>
              </w:rPr>
              <w:t>6.28</w:t>
            </w:r>
          </w:p>
        </w:tc>
      </w:tr>
      <w:tr w:rsidR="005F0EE5">
        <w:trPr>
          <w:jc w:val="center"/>
        </w:trPr>
        <w:tc>
          <w:tcPr>
            <w:tcW w:w="855" w:type="dxa"/>
            <w:vAlign w:val="center"/>
          </w:tcPr>
          <w:p w:rsidR="005F0EE5" w:rsidRDefault="00091103">
            <w:pPr>
              <w:jc w:val="center"/>
            </w:pPr>
            <w:r>
              <w:rPr>
                <w:color w:val="000000"/>
                <w:sz w:val="24"/>
                <w:szCs w:val="24"/>
              </w:rPr>
              <w:t>3</w:t>
            </w:r>
          </w:p>
        </w:tc>
        <w:tc>
          <w:tcPr>
            <w:tcW w:w="1334" w:type="dxa"/>
            <w:vAlign w:val="center"/>
          </w:tcPr>
          <w:p w:rsidR="005F0EE5" w:rsidRDefault="00091103">
            <w:pPr>
              <w:jc w:val="center"/>
            </w:pPr>
            <w:r>
              <w:rPr>
                <w:color w:val="000000"/>
                <w:sz w:val="24"/>
                <w:szCs w:val="24"/>
              </w:rPr>
              <w:t>002690</w:t>
            </w:r>
          </w:p>
        </w:tc>
        <w:tc>
          <w:tcPr>
            <w:tcW w:w="1777" w:type="dxa"/>
            <w:vAlign w:val="center"/>
          </w:tcPr>
          <w:p w:rsidR="005F0EE5" w:rsidRDefault="00091103">
            <w:pPr>
              <w:jc w:val="center"/>
            </w:pPr>
            <w:r>
              <w:rPr>
                <w:color w:val="000000"/>
                <w:sz w:val="24"/>
                <w:szCs w:val="24"/>
              </w:rPr>
              <w:t>美亚光电</w:t>
            </w:r>
          </w:p>
        </w:tc>
        <w:tc>
          <w:tcPr>
            <w:tcW w:w="1334" w:type="dxa"/>
            <w:vAlign w:val="center"/>
          </w:tcPr>
          <w:p w:rsidR="005F0EE5" w:rsidRDefault="00091103">
            <w:pPr>
              <w:jc w:val="right"/>
            </w:pPr>
            <w:r>
              <w:rPr>
                <w:color w:val="000000"/>
                <w:sz w:val="24"/>
                <w:szCs w:val="24"/>
              </w:rPr>
              <w:t>3,224,048</w:t>
            </w:r>
          </w:p>
        </w:tc>
        <w:tc>
          <w:tcPr>
            <w:tcW w:w="1924" w:type="dxa"/>
            <w:vAlign w:val="center"/>
          </w:tcPr>
          <w:p w:rsidR="005F0EE5" w:rsidRDefault="00091103">
            <w:pPr>
              <w:jc w:val="right"/>
            </w:pPr>
            <w:r>
              <w:rPr>
                <w:color w:val="000000"/>
                <w:sz w:val="24"/>
                <w:szCs w:val="24"/>
              </w:rPr>
              <w:t>76,861,304.32</w:t>
            </w:r>
          </w:p>
        </w:tc>
        <w:tc>
          <w:tcPr>
            <w:tcW w:w="1644" w:type="dxa"/>
            <w:vAlign w:val="center"/>
          </w:tcPr>
          <w:p w:rsidR="005F0EE5" w:rsidRDefault="00091103">
            <w:pPr>
              <w:jc w:val="right"/>
            </w:pPr>
            <w:r>
              <w:rPr>
                <w:color w:val="000000"/>
                <w:sz w:val="24"/>
                <w:szCs w:val="24"/>
              </w:rPr>
              <w:t>5.09</w:t>
            </w:r>
          </w:p>
        </w:tc>
      </w:tr>
      <w:tr w:rsidR="005F0EE5">
        <w:trPr>
          <w:jc w:val="center"/>
        </w:trPr>
        <w:tc>
          <w:tcPr>
            <w:tcW w:w="855" w:type="dxa"/>
            <w:vAlign w:val="center"/>
          </w:tcPr>
          <w:p w:rsidR="005F0EE5" w:rsidRDefault="00091103">
            <w:pPr>
              <w:jc w:val="center"/>
            </w:pPr>
            <w:r>
              <w:rPr>
                <w:color w:val="000000"/>
                <w:sz w:val="24"/>
                <w:szCs w:val="24"/>
              </w:rPr>
              <w:t>4</w:t>
            </w:r>
          </w:p>
        </w:tc>
        <w:tc>
          <w:tcPr>
            <w:tcW w:w="1334" w:type="dxa"/>
            <w:vAlign w:val="center"/>
          </w:tcPr>
          <w:p w:rsidR="005F0EE5" w:rsidRDefault="00091103">
            <w:pPr>
              <w:jc w:val="center"/>
            </w:pPr>
            <w:r>
              <w:rPr>
                <w:color w:val="000000"/>
                <w:sz w:val="24"/>
                <w:szCs w:val="24"/>
              </w:rPr>
              <w:t>300012</w:t>
            </w:r>
          </w:p>
        </w:tc>
        <w:tc>
          <w:tcPr>
            <w:tcW w:w="1777" w:type="dxa"/>
            <w:vAlign w:val="center"/>
          </w:tcPr>
          <w:p w:rsidR="005F0EE5" w:rsidRDefault="00091103">
            <w:pPr>
              <w:jc w:val="center"/>
            </w:pPr>
            <w:r>
              <w:rPr>
                <w:color w:val="000000"/>
                <w:sz w:val="24"/>
                <w:szCs w:val="24"/>
              </w:rPr>
              <w:t>华测检测</w:t>
            </w:r>
          </w:p>
        </w:tc>
        <w:tc>
          <w:tcPr>
            <w:tcW w:w="1334" w:type="dxa"/>
            <w:vAlign w:val="center"/>
          </w:tcPr>
          <w:p w:rsidR="005F0EE5" w:rsidRDefault="00091103">
            <w:pPr>
              <w:jc w:val="right"/>
            </w:pPr>
            <w:r>
              <w:rPr>
                <w:color w:val="000000"/>
                <w:sz w:val="24"/>
                <w:szCs w:val="24"/>
              </w:rPr>
              <w:t>13,378,221</w:t>
            </w:r>
          </w:p>
        </w:tc>
        <w:tc>
          <w:tcPr>
            <w:tcW w:w="1924" w:type="dxa"/>
            <w:vAlign w:val="center"/>
          </w:tcPr>
          <w:p w:rsidR="005F0EE5" w:rsidRDefault="00091103">
            <w:pPr>
              <w:jc w:val="right"/>
            </w:pPr>
            <w:r>
              <w:rPr>
                <w:color w:val="000000"/>
                <w:sz w:val="24"/>
                <w:szCs w:val="24"/>
              </w:rPr>
              <w:t>76,790,988.54</w:t>
            </w:r>
          </w:p>
        </w:tc>
        <w:tc>
          <w:tcPr>
            <w:tcW w:w="1644" w:type="dxa"/>
            <w:vAlign w:val="center"/>
          </w:tcPr>
          <w:p w:rsidR="005F0EE5" w:rsidRDefault="00091103">
            <w:pPr>
              <w:jc w:val="right"/>
            </w:pPr>
            <w:r>
              <w:rPr>
                <w:color w:val="000000"/>
                <w:sz w:val="24"/>
                <w:szCs w:val="24"/>
              </w:rPr>
              <w:t>5.08</w:t>
            </w:r>
          </w:p>
        </w:tc>
      </w:tr>
      <w:tr w:rsidR="005F0EE5">
        <w:trPr>
          <w:jc w:val="center"/>
        </w:trPr>
        <w:tc>
          <w:tcPr>
            <w:tcW w:w="855" w:type="dxa"/>
            <w:vAlign w:val="center"/>
          </w:tcPr>
          <w:p w:rsidR="005F0EE5" w:rsidRDefault="00091103">
            <w:pPr>
              <w:jc w:val="center"/>
            </w:pPr>
            <w:r>
              <w:rPr>
                <w:color w:val="000000"/>
                <w:sz w:val="24"/>
                <w:szCs w:val="24"/>
              </w:rPr>
              <w:t>5</w:t>
            </w:r>
          </w:p>
        </w:tc>
        <w:tc>
          <w:tcPr>
            <w:tcW w:w="1334" w:type="dxa"/>
            <w:vAlign w:val="center"/>
          </w:tcPr>
          <w:p w:rsidR="005F0EE5" w:rsidRDefault="00091103">
            <w:pPr>
              <w:jc w:val="center"/>
            </w:pPr>
            <w:r>
              <w:rPr>
                <w:color w:val="000000"/>
                <w:sz w:val="24"/>
                <w:szCs w:val="24"/>
              </w:rPr>
              <w:t>603096</w:t>
            </w:r>
          </w:p>
        </w:tc>
        <w:tc>
          <w:tcPr>
            <w:tcW w:w="1777" w:type="dxa"/>
            <w:vAlign w:val="center"/>
          </w:tcPr>
          <w:p w:rsidR="005F0EE5" w:rsidRDefault="00091103">
            <w:pPr>
              <w:jc w:val="center"/>
            </w:pPr>
            <w:r>
              <w:rPr>
                <w:color w:val="000000"/>
                <w:sz w:val="24"/>
                <w:szCs w:val="24"/>
              </w:rPr>
              <w:t>新经典</w:t>
            </w:r>
          </w:p>
        </w:tc>
        <w:tc>
          <w:tcPr>
            <w:tcW w:w="1334" w:type="dxa"/>
            <w:vAlign w:val="center"/>
          </w:tcPr>
          <w:p w:rsidR="005F0EE5" w:rsidRDefault="00091103">
            <w:pPr>
              <w:jc w:val="right"/>
            </w:pPr>
            <w:r>
              <w:rPr>
                <w:color w:val="000000"/>
                <w:sz w:val="24"/>
                <w:szCs w:val="24"/>
              </w:rPr>
              <w:t>860,378</w:t>
            </w:r>
          </w:p>
        </w:tc>
        <w:tc>
          <w:tcPr>
            <w:tcW w:w="1924" w:type="dxa"/>
            <w:vAlign w:val="center"/>
          </w:tcPr>
          <w:p w:rsidR="005F0EE5" w:rsidRDefault="00091103">
            <w:pPr>
              <w:jc w:val="right"/>
            </w:pPr>
            <w:r>
              <w:rPr>
                <w:color w:val="000000"/>
                <w:sz w:val="24"/>
                <w:szCs w:val="24"/>
              </w:rPr>
              <w:t>72,082,468.84</w:t>
            </w:r>
          </w:p>
        </w:tc>
        <w:tc>
          <w:tcPr>
            <w:tcW w:w="1644" w:type="dxa"/>
            <w:vAlign w:val="center"/>
          </w:tcPr>
          <w:p w:rsidR="005F0EE5" w:rsidRDefault="00091103">
            <w:pPr>
              <w:jc w:val="right"/>
            </w:pPr>
            <w:r>
              <w:rPr>
                <w:color w:val="000000"/>
                <w:sz w:val="24"/>
                <w:szCs w:val="24"/>
              </w:rPr>
              <w:t>4.77</w:t>
            </w:r>
          </w:p>
        </w:tc>
      </w:tr>
      <w:tr w:rsidR="005F0EE5">
        <w:trPr>
          <w:jc w:val="center"/>
        </w:trPr>
        <w:tc>
          <w:tcPr>
            <w:tcW w:w="855" w:type="dxa"/>
            <w:vAlign w:val="center"/>
          </w:tcPr>
          <w:p w:rsidR="005F0EE5" w:rsidRDefault="00091103">
            <w:pPr>
              <w:jc w:val="center"/>
            </w:pPr>
            <w:r>
              <w:rPr>
                <w:color w:val="000000"/>
                <w:sz w:val="24"/>
                <w:szCs w:val="24"/>
              </w:rPr>
              <w:t>6</w:t>
            </w:r>
          </w:p>
        </w:tc>
        <w:tc>
          <w:tcPr>
            <w:tcW w:w="1334" w:type="dxa"/>
            <w:vAlign w:val="center"/>
          </w:tcPr>
          <w:p w:rsidR="005F0EE5" w:rsidRDefault="00091103">
            <w:pPr>
              <w:jc w:val="center"/>
            </w:pPr>
            <w:r>
              <w:rPr>
                <w:color w:val="000000"/>
                <w:sz w:val="24"/>
                <w:szCs w:val="24"/>
              </w:rPr>
              <w:t>002044</w:t>
            </w:r>
          </w:p>
        </w:tc>
        <w:tc>
          <w:tcPr>
            <w:tcW w:w="1777" w:type="dxa"/>
            <w:vAlign w:val="center"/>
          </w:tcPr>
          <w:p w:rsidR="005F0EE5" w:rsidRDefault="00091103">
            <w:pPr>
              <w:jc w:val="center"/>
            </w:pPr>
            <w:r>
              <w:rPr>
                <w:color w:val="000000"/>
                <w:sz w:val="24"/>
                <w:szCs w:val="24"/>
              </w:rPr>
              <w:t>美年健康</w:t>
            </w:r>
          </w:p>
        </w:tc>
        <w:tc>
          <w:tcPr>
            <w:tcW w:w="1334" w:type="dxa"/>
            <w:vAlign w:val="center"/>
          </w:tcPr>
          <w:p w:rsidR="005F0EE5" w:rsidRDefault="00091103">
            <w:pPr>
              <w:jc w:val="right"/>
            </w:pPr>
            <w:r>
              <w:rPr>
                <w:color w:val="000000"/>
                <w:sz w:val="24"/>
                <w:szCs w:val="24"/>
              </w:rPr>
              <w:t>2,679,199</w:t>
            </w:r>
          </w:p>
        </w:tc>
        <w:tc>
          <w:tcPr>
            <w:tcW w:w="1924" w:type="dxa"/>
            <w:vAlign w:val="center"/>
          </w:tcPr>
          <w:p w:rsidR="005F0EE5" w:rsidRDefault="00091103">
            <w:pPr>
              <w:jc w:val="right"/>
            </w:pPr>
            <w:r>
              <w:rPr>
                <w:color w:val="000000"/>
                <w:sz w:val="24"/>
                <w:szCs w:val="24"/>
              </w:rPr>
              <w:t>60,549,897.40</w:t>
            </w:r>
          </w:p>
        </w:tc>
        <w:tc>
          <w:tcPr>
            <w:tcW w:w="1644" w:type="dxa"/>
            <w:vAlign w:val="center"/>
          </w:tcPr>
          <w:p w:rsidR="005F0EE5" w:rsidRDefault="00091103">
            <w:pPr>
              <w:jc w:val="right"/>
            </w:pPr>
            <w:r>
              <w:rPr>
                <w:color w:val="000000"/>
                <w:sz w:val="24"/>
                <w:szCs w:val="24"/>
              </w:rPr>
              <w:t>4.01</w:t>
            </w:r>
          </w:p>
        </w:tc>
      </w:tr>
      <w:tr w:rsidR="005F0EE5">
        <w:trPr>
          <w:jc w:val="center"/>
        </w:trPr>
        <w:tc>
          <w:tcPr>
            <w:tcW w:w="855" w:type="dxa"/>
            <w:vAlign w:val="center"/>
          </w:tcPr>
          <w:p w:rsidR="005F0EE5" w:rsidRDefault="00091103">
            <w:pPr>
              <w:jc w:val="center"/>
            </w:pPr>
            <w:r>
              <w:rPr>
                <w:color w:val="000000"/>
                <w:sz w:val="24"/>
                <w:szCs w:val="24"/>
              </w:rPr>
              <w:t>7</w:t>
            </w:r>
          </w:p>
        </w:tc>
        <w:tc>
          <w:tcPr>
            <w:tcW w:w="1334" w:type="dxa"/>
            <w:vAlign w:val="center"/>
          </w:tcPr>
          <w:p w:rsidR="005F0EE5" w:rsidRDefault="00091103">
            <w:pPr>
              <w:jc w:val="center"/>
            </w:pPr>
            <w:r>
              <w:rPr>
                <w:color w:val="000000"/>
                <w:sz w:val="24"/>
                <w:szCs w:val="24"/>
              </w:rPr>
              <w:t>000661</w:t>
            </w:r>
          </w:p>
        </w:tc>
        <w:tc>
          <w:tcPr>
            <w:tcW w:w="1777" w:type="dxa"/>
            <w:vAlign w:val="center"/>
          </w:tcPr>
          <w:p w:rsidR="005F0EE5" w:rsidRDefault="00091103">
            <w:pPr>
              <w:jc w:val="center"/>
            </w:pPr>
            <w:r>
              <w:rPr>
                <w:color w:val="000000"/>
                <w:sz w:val="24"/>
                <w:szCs w:val="24"/>
              </w:rPr>
              <w:t>长春高新</w:t>
            </w:r>
          </w:p>
        </w:tc>
        <w:tc>
          <w:tcPr>
            <w:tcW w:w="1334" w:type="dxa"/>
            <w:vAlign w:val="center"/>
          </w:tcPr>
          <w:p w:rsidR="005F0EE5" w:rsidRDefault="00091103">
            <w:pPr>
              <w:jc w:val="right"/>
            </w:pPr>
            <w:r>
              <w:rPr>
                <w:color w:val="000000"/>
                <w:sz w:val="24"/>
                <w:szCs w:val="24"/>
              </w:rPr>
              <w:t>251,645</w:t>
            </w:r>
          </w:p>
        </w:tc>
        <w:tc>
          <w:tcPr>
            <w:tcW w:w="1924" w:type="dxa"/>
            <w:vAlign w:val="center"/>
          </w:tcPr>
          <w:p w:rsidR="005F0EE5" w:rsidRDefault="00091103">
            <w:pPr>
              <w:jc w:val="right"/>
            </w:pPr>
            <w:r>
              <w:rPr>
                <w:color w:val="000000"/>
                <w:sz w:val="24"/>
                <w:szCs w:val="24"/>
              </w:rPr>
              <w:t>57,299,566.50</w:t>
            </w:r>
          </w:p>
        </w:tc>
        <w:tc>
          <w:tcPr>
            <w:tcW w:w="1644" w:type="dxa"/>
            <w:vAlign w:val="center"/>
          </w:tcPr>
          <w:p w:rsidR="005F0EE5" w:rsidRDefault="00091103">
            <w:pPr>
              <w:jc w:val="right"/>
            </w:pPr>
            <w:r>
              <w:rPr>
                <w:color w:val="000000"/>
                <w:sz w:val="24"/>
                <w:szCs w:val="24"/>
              </w:rPr>
              <w:t>3.79</w:t>
            </w:r>
          </w:p>
        </w:tc>
      </w:tr>
      <w:tr w:rsidR="005F0EE5">
        <w:trPr>
          <w:jc w:val="center"/>
        </w:trPr>
        <w:tc>
          <w:tcPr>
            <w:tcW w:w="855" w:type="dxa"/>
            <w:vAlign w:val="center"/>
          </w:tcPr>
          <w:p w:rsidR="005F0EE5" w:rsidRDefault="00091103">
            <w:pPr>
              <w:jc w:val="center"/>
            </w:pPr>
            <w:r>
              <w:rPr>
                <w:color w:val="000000"/>
                <w:sz w:val="24"/>
                <w:szCs w:val="24"/>
              </w:rPr>
              <w:t>8</w:t>
            </w:r>
          </w:p>
        </w:tc>
        <w:tc>
          <w:tcPr>
            <w:tcW w:w="1334" w:type="dxa"/>
            <w:vAlign w:val="center"/>
          </w:tcPr>
          <w:p w:rsidR="005F0EE5" w:rsidRDefault="00091103">
            <w:pPr>
              <w:jc w:val="center"/>
            </w:pPr>
            <w:r>
              <w:rPr>
                <w:color w:val="000000"/>
                <w:sz w:val="24"/>
                <w:szCs w:val="24"/>
              </w:rPr>
              <w:t>300529</w:t>
            </w:r>
          </w:p>
        </w:tc>
        <w:tc>
          <w:tcPr>
            <w:tcW w:w="1777" w:type="dxa"/>
            <w:vAlign w:val="center"/>
          </w:tcPr>
          <w:p w:rsidR="005F0EE5" w:rsidRDefault="00091103">
            <w:pPr>
              <w:jc w:val="center"/>
            </w:pPr>
            <w:r>
              <w:rPr>
                <w:color w:val="000000"/>
                <w:sz w:val="24"/>
                <w:szCs w:val="24"/>
              </w:rPr>
              <w:t>健帆生物</w:t>
            </w:r>
          </w:p>
        </w:tc>
        <w:tc>
          <w:tcPr>
            <w:tcW w:w="1334" w:type="dxa"/>
            <w:vAlign w:val="center"/>
          </w:tcPr>
          <w:p w:rsidR="005F0EE5" w:rsidRDefault="00091103">
            <w:pPr>
              <w:jc w:val="right"/>
            </w:pPr>
            <w:r>
              <w:rPr>
                <w:color w:val="000000"/>
                <w:sz w:val="24"/>
                <w:szCs w:val="24"/>
              </w:rPr>
              <w:t>1,332,260</w:t>
            </w:r>
          </w:p>
        </w:tc>
        <w:tc>
          <w:tcPr>
            <w:tcW w:w="1924" w:type="dxa"/>
            <w:vAlign w:val="center"/>
          </w:tcPr>
          <w:p w:rsidR="005F0EE5" w:rsidRDefault="00091103">
            <w:pPr>
              <w:jc w:val="right"/>
            </w:pPr>
            <w:r>
              <w:rPr>
                <w:color w:val="000000"/>
                <w:sz w:val="24"/>
                <w:szCs w:val="24"/>
              </w:rPr>
              <w:t>57,140,631.40</w:t>
            </w:r>
          </w:p>
        </w:tc>
        <w:tc>
          <w:tcPr>
            <w:tcW w:w="1644" w:type="dxa"/>
            <w:vAlign w:val="center"/>
          </w:tcPr>
          <w:p w:rsidR="005F0EE5" w:rsidRDefault="00091103">
            <w:pPr>
              <w:jc w:val="right"/>
            </w:pPr>
            <w:r>
              <w:rPr>
                <w:color w:val="000000"/>
                <w:sz w:val="24"/>
                <w:szCs w:val="24"/>
              </w:rPr>
              <w:t>3.78</w:t>
            </w:r>
          </w:p>
        </w:tc>
      </w:tr>
      <w:tr w:rsidR="005F0EE5">
        <w:trPr>
          <w:jc w:val="center"/>
        </w:trPr>
        <w:tc>
          <w:tcPr>
            <w:tcW w:w="855" w:type="dxa"/>
            <w:vAlign w:val="center"/>
          </w:tcPr>
          <w:p w:rsidR="005F0EE5" w:rsidRDefault="00091103">
            <w:pPr>
              <w:jc w:val="center"/>
            </w:pPr>
            <w:r>
              <w:rPr>
                <w:color w:val="000000"/>
                <w:sz w:val="24"/>
                <w:szCs w:val="24"/>
              </w:rPr>
              <w:t>9</w:t>
            </w:r>
          </w:p>
        </w:tc>
        <w:tc>
          <w:tcPr>
            <w:tcW w:w="1334" w:type="dxa"/>
            <w:vAlign w:val="center"/>
          </w:tcPr>
          <w:p w:rsidR="005F0EE5" w:rsidRDefault="00091103">
            <w:pPr>
              <w:jc w:val="center"/>
            </w:pPr>
            <w:r>
              <w:rPr>
                <w:color w:val="000000"/>
                <w:sz w:val="24"/>
                <w:szCs w:val="24"/>
              </w:rPr>
              <w:t>300170</w:t>
            </w:r>
          </w:p>
        </w:tc>
        <w:tc>
          <w:tcPr>
            <w:tcW w:w="1777" w:type="dxa"/>
            <w:vAlign w:val="center"/>
          </w:tcPr>
          <w:p w:rsidR="005F0EE5" w:rsidRDefault="00091103">
            <w:pPr>
              <w:jc w:val="center"/>
            </w:pPr>
            <w:r>
              <w:rPr>
                <w:color w:val="000000"/>
                <w:sz w:val="24"/>
                <w:szCs w:val="24"/>
              </w:rPr>
              <w:t>汉得信息</w:t>
            </w:r>
          </w:p>
        </w:tc>
        <w:tc>
          <w:tcPr>
            <w:tcW w:w="1334" w:type="dxa"/>
            <w:vAlign w:val="center"/>
          </w:tcPr>
          <w:p w:rsidR="005F0EE5" w:rsidRDefault="00091103">
            <w:pPr>
              <w:jc w:val="right"/>
            </w:pPr>
            <w:r>
              <w:rPr>
                <w:color w:val="000000"/>
                <w:sz w:val="24"/>
                <w:szCs w:val="24"/>
              </w:rPr>
              <w:t>3,319,495</w:t>
            </w:r>
          </w:p>
        </w:tc>
        <w:tc>
          <w:tcPr>
            <w:tcW w:w="1924" w:type="dxa"/>
            <w:vAlign w:val="center"/>
          </w:tcPr>
          <w:p w:rsidR="005F0EE5" w:rsidRDefault="00091103">
            <w:pPr>
              <w:jc w:val="right"/>
            </w:pPr>
            <w:r>
              <w:rPr>
                <w:color w:val="000000"/>
                <w:sz w:val="24"/>
                <w:szCs w:val="24"/>
              </w:rPr>
              <w:t>53,908,598.80</w:t>
            </w:r>
          </w:p>
        </w:tc>
        <w:tc>
          <w:tcPr>
            <w:tcW w:w="1644" w:type="dxa"/>
            <w:vAlign w:val="center"/>
          </w:tcPr>
          <w:p w:rsidR="005F0EE5" w:rsidRDefault="00091103">
            <w:pPr>
              <w:jc w:val="right"/>
            </w:pPr>
            <w:r>
              <w:rPr>
                <w:color w:val="000000"/>
                <w:sz w:val="24"/>
                <w:szCs w:val="24"/>
              </w:rPr>
              <w:t>3.57</w:t>
            </w:r>
          </w:p>
        </w:tc>
      </w:tr>
      <w:tr w:rsidR="005F0EE5">
        <w:trPr>
          <w:jc w:val="center"/>
        </w:trPr>
        <w:tc>
          <w:tcPr>
            <w:tcW w:w="855" w:type="dxa"/>
            <w:vAlign w:val="center"/>
          </w:tcPr>
          <w:p w:rsidR="005F0EE5" w:rsidRDefault="00091103">
            <w:pPr>
              <w:jc w:val="center"/>
            </w:pPr>
            <w:r>
              <w:rPr>
                <w:color w:val="000000"/>
                <w:sz w:val="24"/>
                <w:szCs w:val="24"/>
              </w:rPr>
              <w:t>10</w:t>
            </w:r>
          </w:p>
        </w:tc>
        <w:tc>
          <w:tcPr>
            <w:tcW w:w="1334" w:type="dxa"/>
            <w:vAlign w:val="center"/>
          </w:tcPr>
          <w:p w:rsidR="005F0EE5" w:rsidRDefault="00091103">
            <w:pPr>
              <w:jc w:val="center"/>
            </w:pPr>
            <w:r>
              <w:rPr>
                <w:color w:val="000000"/>
                <w:sz w:val="24"/>
                <w:szCs w:val="24"/>
              </w:rPr>
              <w:t>000963</w:t>
            </w:r>
          </w:p>
        </w:tc>
        <w:tc>
          <w:tcPr>
            <w:tcW w:w="1777" w:type="dxa"/>
            <w:vAlign w:val="center"/>
          </w:tcPr>
          <w:p w:rsidR="005F0EE5" w:rsidRDefault="00091103">
            <w:pPr>
              <w:jc w:val="center"/>
            </w:pPr>
            <w:r>
              <w:rPr>
                <w:color w:val="000000"/>
                <w:sz w:val="24"/>
                <w:szCs w:val="24"/>
              </w:rPr>
              <w:t>华东医药</w:t>
            </w:r>
          </w:p>
        </w:tc>
        <w:tc>
          <w:tcPr>
            <w:tcW w:w="1334" w:type="dxa"/>
            <w:vAlign w:val="center"/>
          </w:tcPr>
          <w:p w:rsidR="005F0EE5" w:rsidRDefault="00091103">
            <w:pPr>
              <w:jc w:val="right"/>
            </w:pPr>
            <w:r>
              <w:rPr>
                <w:color w:val="000000"/>
                <w:sz w:val="24"/>
                <w:szCs w:val="24"/>
              </w:rPr>
              <w:t>804,787</w:t>
            </w:r>
          </w:p>
        </w:tc>
        <w:tc>
          <w:tcPr>
            <w:tcW w:w="1924" w:type="dxa"/>
            <w:vAlign w:val="center"/>
          </w:tcPr>
          <w:p w:rsidR="005F0EE5" w:rsidRDefault="00091103">
            <w:pPr>
              <w:jc w:val="right"/>
            </w:pPr>
            <w:r>
              <w:rPr>
                <w:color w:val="000000"/>
                <w:sz w:val="24"/>
                <w:szCs w:val="24"/>
              </w:rPr>
              <w:t>38,830,972.75</w:t>
            </w:r>
          </w:p>
        </w:tc>
        <w:tc>
          <w:tcPr>
            <w:tcW w:w="1644" w:type="dxa"/>
            <w:vAlign w:val="center"/>
          </w:tcPr>
          <w:p w:rsidR="005F0EE5" w:rsidRDefault="00091103">
            <w:pPr>
              <w:jc w:val="right"/>
            </w:pPr>
            <w:r>
              <w:rPr>
                <w:color w:val="000000"/>
                <w:sz w:val="24"/>
                <w:szCs w:val="24"/>
              </w:rPr>
              <w:t>2.57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lastRenderedPageBreak/>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722,597.74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119,713.23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1,888,448.83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2,730,759.80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2B08E5" w:rsidRPr="007E53E8" w:rsidRDefault="002B08E5" w:rsidP="001F3E2A">
      <w:pPr>
        <w:adjustRightInd w:val="0"/>
        <w:snapToGrid w:val="0"/>
        <w:spacing w:beforeLines="50" w:before="156" w:line="360" w:lineRule="auto"/>
        <w:rPr>
          <w:rFonts w:eastAsiaTheme="minorEastAsia"/>
          <w:color w:val="000000" w:themeColor="text1"/>
          <w:sz w:val="24"/>
          <w:szCs w:val="24"/>
        </w:rPr>
      </w:pPr>
      <w:r w:rsidRPr="007E53E8">
        <w:rPr>
          <w:rFonts w:eastAsiaTheme="minorEastAsia"/>
          <w:color w:val="000000" w:themeColor="text1"/>
          <w:sz w:val="24"/>
          <w:szCs w:val="24"/>
        </w:rPr>
        <w:tab/>
      </w:r>
      <w:r w:rsidRPr="007E53E8">
        <w:rPr>
          <w:rFonts w:eastAsiaTheme="minorEastAsia" w:hint="eastAsia"/>
          <w:color w:val="000000" w:themeColor="text1"/>
          <w:sz w:val="24"/>
          <w:szCs w:val="24"/>
        </w:rPr>
        <w:t>无</w:t>
      </w:r>
      <w:r w:rsidRPr="007E53E8">
        <w:rPr>
          <w:rFonts w:eastAsiaTheme="minorEastAsia"/>
          <w:color w:val="000000" w:themeColor="text1"/>
          <w:sz w:val="24"/>
          <w:szCs w:val="24"/>
        </w:rPr>
        <w:t>。</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C561C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1,901,625,709.58</w:t>
            </w:r>
          </w:p>
        </w:tc>
      </w:tr>
      <w:tr w:rsidR="004061AC" w:rsidRPr="00414345" w:rsidTr="00C561C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621,968,184.63</w:t>
            </w:r>
          </w:p>
        </w:tc>
      </w:tr>
      <w:tr w:rsidR="004061AC" w:rsidRPr="00414345" w:rsidTr="00C561C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1,139,709,645.03</w:t>
            </w:r>
          </w:p>
        </w:tc>
      </w:tr>
      <w:tr w:rsidR="004061AC" w:rsidRPr="00414345" w:rsidTr="00C561C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C561C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1,383,884,249.18</w:t>
            </w:r>
          </w:p>
        </w:tc>
      </w:tr>
    </w:tbl>
    <w:p w:rsidR="00C561C1" w:rsidRDefault="00C561C1" w:rsidP="00C561C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C561C1" w:rsidRPr="00414345" w:rsidRDefault="00C561C1" w:rsidP="00C561C1">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Pr="00C561C1"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F0EE5">
        <w:tc>
          <w:tcPr>
            <w:tcW w:w="993" w:type="dxa"/>
            <w:vMerge w:val="restart"/>
          </w:tcPr>
          <w:p w:rsidR="005F0EE5" w:rsidRDefault="005F0EE5"/>
          <w:p w:rsidR="005F0EE5" w:rsidRDefault="00091103">
            <w:r>
              <w:rPr>
                <w:rFonts w:ascii="宋体" w:hAnsi="宋体" w:hint="eastAsia"/>
                <w:bCs/>
                <w:color w:val="000000"/>
                <w:kern w:val="0"/>
              </w:rPr>
              <w:t>机构</w:t>
            </w:r>
          </w:p>
        </w:tc>
        <w:tc>
          <w:tcPr>
            <w:tcW w:w="992" w:type="dxa"/>
            <w:vAlign w:val="center"/>
          </w:tcPr>
          <w:p w:rsidR="005F0EE5" w:rsidRDefault="00091103">
            <w:pPr>
              <w:jc w:val="center"/>
            </w:pPr>
            <w:r>
              <w:rPr>
                <w:rFonts w:ascii="宋体" w:hAnsi="宋体"/>
                <w:color w:val="000000"/>
                <w:kern w:val="0"/>
              </w:rPr>
              <w:t>1</w:t>
            </w:r>
          </w:p>
        </w:tc>
        <w:tc>
          <w:tcPr>
            <w:tcW w:w="1843" w:type="dxa"/>
            <w:vAlign w:val="center"/>
          </w:tcPr>
          <w:p w:rsidR="005F0EE5" w:rsidRDefault="00091103">
            <w:pPr>
              <w:jc w:val="center"/>
            </w:pPr>
            <w:r>
              <w:rPr>
                <w:rFonts w:ascii="宋体" w:hAnsi="宋体"/>
                <w:color w:val="000000"/>
                <w:kern w:val="0"/>
              </w:rPr>
              <w:t>2018/4/1-2018/6/30</w:t>
            </w:r>
          </w:p>
        </w:tc>
        <w:tc>
          <w:tcPr>
            <w:tcW w:w="851" w:type="dxa"/>
            <w:vAlign w:val="center"/>
          </w:tcPr>
          <w:p w:rsidR="005F0EE5" w:rsidRDefault="00091103">
            <w:pPr>
              <w:jc w:val="center"/>
            </w:pPr>
            <w:r>
              <w:rPr>
                <w:rFonts w:ascii="宋体" w:hAnsi="宋体"/>
                <w:color w:val="000000"/>
                <w:kern w:val="0"/>
              </w:rPr>
              <w:t>-</w:t>
            </w:r>
          </w:p>
        </w:tc>
        <w:tc>
          <w:tcPr>
            <w:tcW w:w="850" w:type="dxa"/>
            <w:vAlign w:val="center"/>
          </w:tcPr>
          <w:p w:rsidR="005F0EE5" w:rsidRDefault="00091103">
            <w:pPr>
              <w:jc w:val="center"/>
            </w:pPr>
            <w:r>
              <w:rPr>
                <w:rFonts w:ascii="宋体" w:hAnsi="宋体"/>
                <w:color w:val="000000"/>
                <w:kern w:val="0"/>
              </w:rPr>
              <w:t>378,850,462.03</w:t>
            </w:r>
          </w:p>
        </w:tc>
        <w:tc>
          <w:tcPr>
            <w:tcW w:w="1134" w:type="dxa"/>
            <w:vAlign w:val="center"/>
          </w:tcPr>
          <w:p w:rsidR="005F0EE5" w:rsidRDefault="00091103">
            <w:pPr>
              <w:jc w:val="center"/>
            </w:pPr>
            <w:r>
              <w:rPr>
                <w:rFonts w:ascii="宋体" w:hAnsi="宋体"/>
                <w:color w:val="000000"/>
                <w:kern w:val="0"/>
              </w:rPr>
              <w:t>-</w:t>
            </w:r>
          </w:p>
        </w:tc>
        <w:tc>
          <w:tcPr>
            <w:tcW w:w="1419" w:type="dxa"/>
            <w:vAlign w:val="center"/>
          </w:tcPr>
          <w:p w:rsidR="005F0EE5" w:rsidRDefault="00091103">
            <w:pPr>
              <w:jc w:val="center"/>
            </w:pPr>
            <w:r>
              <w:rPr>
                <w:rFonts w:ascii="宋体" w:hAnsi="宋体"/>
                <w:color w:val="000000"/>
                <w:kern w:val="0"/>
              </w:rPr>
              <w:t>378,850,462.03</w:t>
            </w:r>
          </w:p>
        </w:tc>
        <w:tc>
          <w:tcPr>
            <w:tcW w:w="1130" w:type="dxa"/>
            <w:vAlign w:val="center"/>
          </w:tcPr>
          <w:p w:rsidR="005F0EE5" w:rsidRDefault="00091103">
            <w:pPr>
              <w:jc w:val="center"/>
            </w:pPr>
            <w:r>
              <w:rPr>
                <w:rFonts w:ascii="宋体" w:hAnsi="宋体"/>
                <w:color w:val="000000"/>
                <w:kern w:val="0"/>
              </w:rPr>
              <w:t>27.38%</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F0EE5" w:rsidRDefault="0009110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F0EE5" w:rsidRDefault="0009110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F0EE5" w:rsidRDefault="0009110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w:t>
      </w:r>
      <w:r w:rsidRPr="00414345">
        <w:rPr>
          <w:color w:val="000000"/>
          <w:sz w:val="24"/>
          <w:szCs w:val="24"/>
        </w:rPr>
        <w:lastRenderedPageBreak/>
        <w:t>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76" w:rsidRDefault="006B2476" w:rsidP="00876D65">
      <w:r>
        <w:separator/>
      </w:r>
    </w:p>
  </w:endnote>
  <w:endnote w:type="continuationSeparator" w:id="0">
    <w:p w:rsidR="006B2476" w:rsidRDefault="006B247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9F3463">
      <w:rPr>
        <w:noProof/>
        <w:kern w:val="0"/>
        <w:szCs w:val="21"/>
      </w:rPr>
      <w:t>12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9F3463">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76" w:rsidRDefault="006B2476" w:rsidP="00876D65">
      <w:r>
        <w:separator/>
      </w:r>
    </w:p>
  </w:footnote>
  <w:footnote w:type="continuationSeparator" w:id="0">
    <w:p w:rsidR="006B2476" w:rsidRDefault="006B247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1103"/>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08E5"/>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0EE5"/>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476"/>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3E8"/>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463"/>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1C1"/>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1608"/>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751D9-B05A-47A5-93CE-1A03DFF0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12</Pages>
  <Words>1028</Words>
  <Characters>5864</Characters>
  <Application>Microsoft Office Word</Application>
  <DocSecurity>0</DocSecurity>
  <Lines>48</Lines>
  <Paragraphs>13</Paragraphs>
  <ScaleCrop>false</ScaleCrop>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581</cp:revision>
  <dcterms:created xsi:type="dcterms:W3CDTF">2012-10-16T06:07:00Z</dcterms:created>
  <dcterms:modified xsi:type="dcterms:W3CDTF">2018-07-16T08:57:00Z</dcterms:modified>
</cp:coreProperties>
</file>