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211ED" w:rsidRDefault="003068D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156,227,496.97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201B5" w:rsidRPr="00414345" w:rsidTr="00F201B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201B5" w:rsidRPr="00414345" w:rsidTr="00F20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6,528,507.00</w:t>
            </w:r>
          </w:p>
        </w:tc>
      </w:tr>
      <w:tr w:rsidR="00F201B5" w:rsidRPr="00414345" w:rsidTr="00F20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-2,058,112.07</w:t>
            </w:r>
          </w:p>
        </w:tc>
      </w:tr>
      <w:tr w:rsidR="00F201B5" w:rsidRPr="00414345" w:rsidTr="00F20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-0.0117</w:t>
            </w:r>
          </w:p>
        </w:tc>
      </w:tr>
      <w:tr w:rsidR="00F201B5" w:rsidRPr="00414345" w:rsidTr="00F201B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161,085,578.44</w:t>
            </w:r>
          </w:p>
        </w:tc>
      </w:tr>
      <w:tr w:rsidR="00F201B5" w:rsidRPr="00414345" w:rsidTr="00F201B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1.0311</w:t>
            </w:r>
          </w:p>
        </w:tc>
      </w:tr>
    </w:tbl>
    <w:p w:rsidR="00A211ED" w:rsidRDefault="003068D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211ED">
        <w:trPr>
          <w:jc w:val="center"/>
        </w:trPr>
        <w:tc>
          <w:tcPr>
            <w:tcW w:w="1701" w:type="dxa"/>
            <w:vAlign w:val="center"/>
          </w:tcPr>
          <w:p w:rsidR="00A211ED" w:rsidRDefault="003068D1">
            <w:pPr>
              <w:jc w:val="left"/>
            </w:pPr>
            <w:r>
              <w:rPr>
                <w:color w:val="000000"/>
                <w:sz w:val="24"/>
                <w:szCs w:val="24"/>
              </w:rPr>
              <w:t>过去三个月</w:t>
            </w:r>
          </w:p>
        </w:tc>
        <w:tc>
          <w:tcPr>
            <w:tcW w:w="1045" w:type="dxa"/>
            <w:vAlign w:val="center"/>
          </w:tcPr>
          <w:p w:rsidR="00A211ED" w:rsidRDefault="003068D1">
            <w:pPr>
              <w:jc w:val="center"/>
            </w:pPr>
            <w:r>
              <w:rPr>
                <w:color w:val="000000"/>
                <w:sz w:val="24"/>
                <w:szCs w:val="24"/>
              </w:rPr>
              <w:t>-1.17%</w:t>
            </w:r>
          </w:p>
        </w:tc>
        <w:tc>
          <w:tcPr>
            <w:tcW w:w="1344" w:type="dxa"/>
            <w:vAlign w:val="center"/>
          </w:tcPr>
          <w:p w:rsidR="00A211ED" w:rsidRDefault="003068D1">
            <w:pPr>
              <w:jc w:val="center"/>
            </w:pPr>
            <w:r>
              <w:rPr>
                <w:color w:val="000000"/>
                <w:sz w:val="24"/>
                <w:szCs w:val="24"/>
              </w:rPr>
              <w:t>0.63%</w:t>
            </w:r>
          </w:p>
        </w:tc>
        <w:tc>
          <w:tcPr>
            <w:tcW w:w="1194" w:type="dxa"/>
            <w:vAlign w:val="center"/>
          </w:tcPr>
          <w:p w:rsidR="00A211ED" w:rsidRDefault="003068D1">
            <w:pPr>
              <w:jc w:val="center"/>
            </w:pPr>
            <w:r>
              <w:rPr>
                <w:color w:val="000000"/>
                <w:sz w:val="24"/>
                <w:szCs w:val="24"/>
              </w:rPr>
              <w:t>-2.88%</w:t>
            </w:r>
          </w:p>
        </w:tc>
        <w:tc>
          <w:tcPr>
            <w:tcW w:w="1492" w:type="dxa"/>
            <w:vAlign w:val="center"/>
          </w:tcPr>
          <w:p w:rsidR="00A211ED" w:rsidRDefault="003068D1">
            <w:pPr>
              <w:jc w:val="center"/>
            </w:pPr>
            <w:r>
              <w:rPr>
                <w:color w:val="000000"/>
                <w:sz w:val="24"/>
                <w:szCs w:val="24"/>
              </w:rPr>
              <w:t>0.46%</w:t>
            </w:r>
          </w:p>
        </w:tc>
        <w:tc>
          <w:tcPr>
            <w:tcW w:w="1194" w:type="dxa"/>
            <w:vAlign w:val="center"/>
          </w:tcPr>
          <w:p w:rsidR="00A211ED" w:rsidRDefault="003068D1">
            <w:pPr>
              <w:jc w:val="center"/>
            </w:pPr>
            <w:r>
              <w:rPr>
                <w:color w:val="000000"/>
                <w:sz w:val="24"/>
                <w:szCs w:val="24"/>
              </w:rPr>
              <w:t>1.71%</w:t>
            </w:r>
          </w:p>
        </w:tc>
        <w:tc>
          <w:tcPr>
            <w:tcW w:w="898" w:type="dxa"/>
            <w:vAlign w:val="center"/>
          </w:tcPr>
          <w:p w:rsidR="00A211ED" w:rsidRDefault="003068D1">
            <w:pPr>
              <w:jc w:val="center"/>
            </w:pPr>
            <w:r>
              <w:rPr>
                <w:color w:val="000000"/>
                <w:sz w:val="24"/>
                <w:szCs w:val="24"/>
              </w:rPr>
              <w:t>0.17%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15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211ED">
        <w:trPr>
          <w:jc w:val="center"/>
        </w:trPr>
        <w:tc>
          <w:tcPr>
            <w:tcW w:w="846" w:type="dxa"/>
            <w:vAlign w:val="center"/>
          </w:tcPr>
          <w:p w:rsidR="00A211ED" w:rsidRDefault="003068D1">
            <w:pPr>
              <w:jc w:val="center"/>
            </w:pPr>
            <w:r>
              <w:rPr>
                <w:color w:val="000000"/>
                <w:sz w:val="24"/>
                <w:szCs w:val="24"/>
              </w:rPr>
              <w:t>盖婷婷</w:t>
            </w:r>
          </w:p>
        </w:tc>
        <w:tc>
          <w:tcPr>
            <w:tcW w:w="845" w:type="dxa"/>
            <w:vAlign w:val="center"/>
          </w:tcPr>
          <w:p w:rsidR="00A211ED" w:rsidRDefault="003068D1">
            <w:pPr>
              <w:jc w:val="center"/>
            </w:pPr>
            <w:r>
              <w:rPr>
                <w:color w:val="000000"/>
                <w:sz w:val="24"/>
                <w:szCs w:val="24"/>
              </w:rPr>
              <w:t>交银消费新驱动股票、交银医药创新股票、交银恒益灵活配</w:t>
            </w:r>
            <w:r>
              <w:rPr>
                <w:color w:val="000000"/>
                <w:sz w:val="24"/>
                <w:szCs w:val="24"/>
              </w:rPr>
              <w:lastRenderedPageBreak/>
              <w:t>置混合的基金经理</w:t>
            </w:r>
          </w:p>
        </w:tc>
        <w:tc>
          <w:tcPr>
            <w:tcW w:w="1549" w:type="dxa"/>
            <w:vAlign w:val="center"/>
          </w:tcPr>
          <w:p w:rsidR="00A211ED" w:rsidRDefault="003068D1">
            <w:pPr>
              <w:jc w:val="center"/>
            </w:pPr>
            <w:r>
              <w:rPr>
                <w:color w:val="000000"/>
                <w:sz w:val="24"/>
                <w:szCs w:val="24"/>
              </w:rPr>
              <w:lastRenderedPageBreak/>
              <w:t>2017-09-15</w:t>
            </w:r>
          </w:p>
        </w:tc>
        <w:tc>
          <w:tcPr>
            <w:tcW w:w="1548" w:type="dxa"/>
            <w:vAlign w:val="center"/>
          </w:tcPr>
          <w:p w:rsidR="00A211ED" w:rsidRDefault="003068D1">
            <w:pPr>
              <w:jc w:val="center"/>
            </w:pPr>
            <w:r>
              <w:rPr>
                <w:color w:val="000000"/>
                <w:sz w:val="24"/>
                <w:szCs w:val="24"/>
              </w:rPr>
              <w:t>-</w:t>
            </w:r>
          </w:p>
        </w:tc>
        <w:tc>
          <w:tcPr>
            <w:tcW w:w="1407" w:type="dxa"/>
            <w:vAlign w:val="center"/>
          </w:tcPr>
          <w:p w:rsidR="00A211ED" w:rsidRDefault="003068D1">
            <w:pPr>
              <w:jc w:val="center"/>
            </w:pPr>
            <w:r>
              <w:rPr>
                <w:color w:val="000000"/>
                <w:sz w:val="24"/>
                <w:szCs w:val="24"/>
              </w:rPr>
              <w:t>12</w:t>
            </w:r>
            <w:r>
              <w:rPr>
                <w:color w:val="000000"/>
                <w:sz w:val="24"/>
                <w:szCs w:val="24"/>
              </w:rPr>
              <w:t>年</w:t>
            </w:r>
          </w:p>
        </w:tc>
        <w:tc>
          <w:tcPr>
            <w:tcW w:w="2673" w:type="dxa"/>
            <w:vAlign w:val="center"/>
          </w:tcPr>
          <w:p w:rsidR="00A211ED" w:rsidRDefault="003068D1">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211ED" w:rsidRDefault="003068D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211ED" w:rsidRDefault="003068D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211ED" w:rsidRDefault="003068D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二季度海外以及国内宏观环境的不确定性继续加大，贸易战持续升级使得市场对于出口相关行业产生担忧，而金融去杠杆进程也并未有放松迹象，紧信用的货币环境使得市场规避现金流差的行业和公司，股价的下跌又进一步引发股东股权质押爆仓的风险。整体上外部环境的不确定性导致市场调整幅度比较大。本基金二季度在行业配置上比较均衡，保持低仓位运行。市场经过大幅调整，目前整体的估值已经很有吸引力，我们预计三季度市场的悲观预期会逐步调整，本基金将积极寻找被错杀的优质标的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1.0311</w:t>
      </w:r>
      <w:r w:rsidRPr="00414345">
        <w:rPr>
          <w:color w:val="000000"/>
          <w:sz w:val="24"/>
          <w:szCs w:val="24"/>
        </w:rPr>
        <w:t>元，本报告期份额净值增长率为</w:t>
      </w:r>
      <w:r w:rsidRPr="00414345">
        <w:rPr>
          <w:color w:val="000000"/>
          <w:sz w:val="24"/>
          <w:szCs w:val="24"/>
        </w:rPr>
        <w:t>-1.17%</w:t>
      </w:r>
      <w:r w:rsidRPr="00414345">
        <w:rPr>
          <w:color w:val="000000"/>
          <w:sz w:val="24"/>
          <w:szCs w:val="24"/>
        </w:rPr>
        <w:t>，同期业绩比较基准增长率为</w:t>
      </w:r>
      <w:r w:rsidRPr="00414345">
        <w:rPr>
          <w:color w:val="000000"/>
          <w:sz w:val="24"/>
          <w:szCs w:val="24"/>
        </w:rPr>
        <w:t>-2.88%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45,560,383.89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45,560,383.89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6,975,604.02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6,975,604.02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109,989,110.35</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67.64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81,752.59</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162,606,850.85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6,157,687.20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16,067,070.32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8,090,183.36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5,586,772.00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7,447,622.82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2,211,048.19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45,560,383.89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211ED">
        <w:trPr>
          <w:jc w:val="center"/>
        </w:trPr>
        <w:tc>
          <w:tcPr>
            <w:tcW w:w="855" w:type="dxa"/>
            <w:vAlign w:val="center"/>
          </w:tcPr>
          <w:p w:rsidR="00A211ED" w:rsidRDefault="003068D1">
            <w:pPr>
              <w:jc w:val="center"/>
            </w:pPr>
            <w:r>
              <w:rPr>
                <w:color w:val="000000"/>
                <w:sz w:val="24"/>
                <w:szCs w:val="24"/>
              </w:rPr>
              <w:t>1</w:t>
            </w:r>
          </w:p>
        </w:tc>
        <w:tc>
          <w:tcPr>
            <w:tcW w:w="1334" w:type="dxa"/>
            <w:vAlign w:val="center"/>
          </w:tcPr>
          <w:p w:rsidR="00A211ED" w:rsidRDefault="003068D1">
            <w:pPr>
              <w:jc w:val="center"/>
            </w:pPr>
            <w:r>
              <w:rPr>
                <w:color w:val="000000"/>
                <w:sz w:val="24"/>
                <w:szCs w:val="24"/>
              </w:rPr>
              <w:t>601607</w:t>
            </w:r>
          </w:p>
        </w:tc>
        <w:tc>
          <w:tcPr>
            <w:tcW w:w="1777" w:type="dxa"/>
            <w:vAlign w:val="center"/>
          </w:tcPr>
          <w:p w:rsidR="00A211ED" w:rsidRDefault="003068D1">
            <w:pPr>
              <w:jc w:val="center"/>
            </w:pPr>
            <w:r>
              <w:rPr>
                <w:color w:val="000000"/>
                <w:sz w:val="24"/>
                <w:szCs w:val="24"/>
              </w:rPr>
              <w:t>上海医药</w:t>
            </w:r>
          </w:p>
        </w:tc>
        <w:tc>
          <w:tcPr>
            <w:tcW w:w="1334" w:type="dxa"/>
            <w:vAlign w:val="center"/>
          </w:tcPr>
          <w:p w:rsidR="00A211ED" w:rsidRDefault="003068D1">
            <w:pPr>
              <w:jc w:val="right"/>
            </w:pPr>
            <w:r>
              <w:rPr>
                <w:color w:val="000000"/>
                <w:sz w:val="24"/>
                <w:szCs w:val="24"/>
              </w:rPr>
              <w:t>389,032</w:t>
            </w:r>
          </w:p>
        </w:tc>
        <w:tc>
          <w:tcPr>
            <w:tcW w:w="1924" w:type="dxa"/>
            <w:vAlign w:val="center"/>
          </w:tcPr>
          <w:p w:rsidR="00A211ED" w:rsidRDefault="003068D1">
            <w:pPr>
              <w:jc w:val="right"/>
            </w:pPr>
            <w:r>
              <w:rPr>
                <w:color w:val="000000"/>
                <w:sz w:val="24"/>
                <w:szCs w:val="24"/>
              </w:rPr>
              <w:t>9,297,864.80</w:t>
            </w:r>
          </w:p>
        </w:tc>
        <w:tc>
          <w:tcPr>
            <w:tcW w:w="1644" w:type="dxa"/>
            <w:vAlign w:val="center"/>
          </w:tcPr>
          <w:p w:rsidR="00A211ED" w:rsidRDefault="003068D1">
            <w:pPr>
              <w:jc w:val="right"/>
            </w:pPr>
            <w:r>
              <w:rPr>
                <w:color w:val="000000"/>
                <w:sz w:val="24"/>
                <w:szCs w:val="24"/>
              </w:rPr>
              <w:t>5.77</w:t>
            </w:r>
          </w:p>
        </w:tc>
      </w:tr>
      <w:tr w:rsidR="00A211ED">
        <w:trPr>
          <w:jc w:val="center"/>
        </w:trPr>
        <w:tc>
          <w:tcPr>
            <w:tcW w:w="855" w:type="dxa"/>
            <w:vAlign w:val="center"/>
          </w:tcPr>
          <w:p w:rsidR="00A211ED" w:rsidRDefault="003068D1">
            <w:pPr>
              <w:jc w:val="center"/>
            </w:pPr>
            <w:r>
              <w:rPr>
                <w:color w:val="000000"/>
                <w:sz w:val="24"/>
                <w:szCs w:val="24"/>
              </w:rPr>
              <w:t>2</w:t>
            </w:r>
          </w:p>
        </w:tc>
        <w:tc>
          <w:tcPr>
            <w:tcW w:w="1334" w:type="dxa"/>
            <w:vAlign w:val="center"/>
          </w:tcPr>
          <w:p w:rsidR="00A211ED" w:rsidRDefault="003068D1">
            <w:pPr>
              <w:jc w:val="center"/>
            </w:pPr>
            <w:r>
              <w:rPr>
                <w:color w:val="000000"/>
                <w:sz w:val="24"/>
                <w:szCs w:val="24"/>
              </w:rPr>
              <w:t>300170</w:t>
            </w:r>
          </w:p>
        </w:tc>
        <w:tc>
          <w:tcPr>
            <w:tcW w:w="1777" w:type="dxa"/>
            <w:vAlign w:val="center"/>
          </w:tcPr>
          <w:p w:rsidR="00A211ED" w:rsidRDefault="003068D1">
            <w:pPr>
              <w:jc w:val="center"/>
            </w:pPr>
            <w:r>
              <w:rPr>
                <w:color w:val="000000"/>
                <w:sz w:val="24"/>
                <w:szCs w:val="24"/>
              </w:rPr>
              <w:t>汉得信息</w:t>
            </w:r>
          </w:p>
        </w:tc>
        <w:tc>
          <w:tcPr>
            <w:tcW w:w="1334" w:type="dxa"/>
            <w:vAlign w:val="center"/>
          </w:tcPr>
          <w:p w:rsidR="00A211ED" w:rsidRDefault="003068D1">
            <w:pPr>
              <w:jc w:val="right"/>
            </w:pPr>
            <w:r>
              <w:rPr>
                <w:color w:val="000000"/>
                <w:sz w:val="24"/>
                <w:szCs w:val="24"/>
              </w:rPr>
              <w:t>498,164</w:t>
            </w:r>
          </w:p>
        </w:tc>
        <w:tc>
          <w:tcPr>
            <w:tcW w:w="1924" w:type="dxa"/>
            <w:vAlign w:val="center"/>
          </w:tcPr>
          <w:p w:rsidR="00A211ED" w:rsidRDefault="003068D1">
            <w:pPr>
              <w:jc w:val="right"/>
            </w:pPr>
            <w:r>
              <w:rPr>
                <w:color w:val="000000"/>
                <w:sz w:val="24"/>
                <w:szCs w:val="24"/>
              </w:rPr>
              <w:t>8,090,183.36</w:t>
            </w:r>
          </w:p>
        </w:tc>
        <w:tc>
          <w:tcPr>
            <w:tcW w:w="1644" w:type="dxa"/>
            <w:vAlign w:val="center"/>
          </w:tcPr>
          <w:p w:rsidR="00A211ED" w:rsidRDefault="003068D1">
            <w:pPr>
              <w:jc w:val="right"/>
            </w:pPr>
            <w:r>
              <w:rPr>
                <w:color w:val="000000"/>
                <w:sz w:val="24"/>
                <w:szCs w:val="24"/>
              </w:rPr>
              <w:t>5.02</w:t>
            </w:r>
          </w:p>
        </w:tc>
      </w:tr>
      <w:tr w:rsidR="00A211ED">
        <w:trPr>
          <w:jc w:val="center"/>
        </w:trPr>
        <w:tc>
          <w:tcPr>
            <w:tcW w:w="855" w:type="dxa"/>
            <w:vAlign w:val="center"/>
          </w:tcPr>
          <w:p w:rsidR="00A211ED" w:rsidRDefault="003068D1">
            <w:pPr>
              <w:jc w:val="center"/>
            </w:pPr>
            <w:r>
              <w:rPr>
                <w:color w:val="000000"/>
                <w:sz w:val="24"/>
                <w:szCs w:val="24"/>
              </w:rPr>
              <w:t>3</w:t>
            </w:r>
          </w:p>
        </w:tc>
        <w:tc>
          <w:tcPr>
            <w:tcW w:w="1334" w:type="dxa"/>
            <w:vAlign w:val="center"/>
          </w:tcPr>
          <w:p w:rsidR="00A211ED" w:rsidRDefault="003068D1">
            <w:pPr>
              <w:jc w:val="center"/>
            </w:pPr>
            <w:r>
              <w:rPr>
                <w:color w:val="000000"/>
                <w:sz w:val="24"/>
                <w:szCs w:val="24"/>
              </w:rPr>
              <w:t>002027</w:t>
            </w:r>
          </w:p>
        </w:tc>
        <w:tc>
          <w:tcPr>
            <w:tcW w:w="1777" w:type="dxa"/>
            <w:vAlign w:val="center"/>
          </w:tcPr>
          <w:p w:rsidR="00A211ED" w:rsidRDefault="003068D1">
            <w:pPr>
              <w:jc w:val="center"/>
            </w:pPr>
            <w:r>
              <w:rPr>
                <w:color w:val="000000"/>
                <w:sz w:val="24"/>
                <w:szCs w:val="24"/>
              </w:rPr>
              <w:t>分众传媒</w:t>
            </w:r>
          </w:p>
        </w:tc>
        <w:tc>
          <w:tcPr>
            <w:tcW w:w="1334" w:type="dxa"/>
            <w:vAlign w:val="center"/>
          </w:tcPr>
          <w:p w:rsidR="00A211ED" w:rsidRDefault="003068D1">
            <w:pPr>
              <w:jc w:val="right"/>
            </w:pPr>
            <w:r>
              <w:rPr>
                <w:color w:val="000000"/>
                <w:sz w:val="24"/>
                <w:szCs w:val="24"/>
              </w:rPr>
              <w:t>778,226</w:t>
            </w:r>
          </w:p>
        </w:tc>
        <w:tc>
          <w:tcPr>
            <w:tcW w:w="1924" w:type="dxa"/>
            <w:vAlign w:val="center"/>
          </w:tcPr>
          <w:p w:rsidR="00A211ED" w:rsidRDefault="003068D1">
            <w:pPr>
              <w:jc w:val="right"/>
            </w:pPr>
            <w:r>
              <w:rPr>
                <w:color w:val="000000"/>
                <w:sz w:val="24"/>
                <w:szCs w:val="24"/>
              </w:rPr>
              <w:t>7,447,622.82</w:t>
            </w:r>
          </w:p>
        </w:tc>
        <w:tc>
          <w:tcPr>
            <w:tcW w:w="1644" w:type="dxa"/>
            <w:vAlign w:val="center"/>
          </w:tcPr>
          <w:p w:rsidR="00A211ED" w:rsidRDefault="003068D1">
            <w:pPr>
              <w:jc w:val="right"/>
            </w:pPr>
            <w:r>
              <w:rPr>
                <w:color w:val="000000"/>
                <w:sz w:val="24"/>
                <w:szCs w:val="24"/>
              </w:rPr>
              <w:t>4.62</w:t>
            </w:r>
          </w:p>
        </w:tc>
      </w:tr>
      <w:tr w:rsidR="00A211ED">
        <w:trPr>
          <w:jc w:val="center"/>
        </w:trPr>
        <w:tc>
          <w:tcPr>
            <w:tcW w:w="855" w:type="dxa"/>
            <w:vAlign w:val="center"/>
          </w:tcPr>
          <w:p w:rsidR="00A211ED" w:rsidRDefault="003068D1">
            <w:pPr>
              <w:jc w:val="center"/>
            </w:pPr>
            <w:r>
              <w:rPr>
                <w:color w:val="000000"/>
                <w:sz w:val="24"/>
                <w:szCs w:val="24"/>
              </w:rPr>
              <w:t>4</w:t>
            </w:r>
          </w:p>
        </w:tc>
        <w:tc>
          <w:tcPr>
            <w:tcW w:w="1334" w:type="dxa"/>
            <w:vAlign w:val="center"/>
          </w:tcPr>
          <w:p w:rsidR="00A211ED" w:rsidRDefault="003068D1">
            <w:pPr>
              <w:jc w:val="center"/>
            </w:pPr>
            <w:r>
              <w:rPr>
                <w:color w:val="000000"/>
                <w:sz w:val="24"/>
                <w:szCs w:val="24"/>
              </w:rPr>
              <w:t>603108</w:t>
            </w:r>
          </w:p>
        </w:tc>
        <w:tc>
          <w:tcPr>
            <w:tcW w:w="1777" w:type="dxa"/>
            <w:vAlign w:val="center"/>
          </w:tcPr>
          <w:p w:rsidR="00A211ED" w:rsidRDefault="003068D1">
            <w:pPr>
              <w:jc w:val="center"/>
            </w:pPr>
            <w:r>
              <w:rPr>
                <w:color w:val="000000"/>
                <w:sz w:val="24"/>
                <w:szCs w:val="24"/>
              </w:rPr>
              <w:t>润达医疗</w:t>
            </w:r>
          </w:p>
        </w:tc>
        <w:tc>
          <w:tcPr>
            <w:tcW w:w="1334" w:type="dxa"/>
            <w:vAlign w:val="center"/>
          </w:tcPr>
          <w:p w:rsidR="00A211ED" w:rsidRDefault="003068D1">
            <w:pPr>
              <w:jc w:val="right"/>
            </w:pPr>
            <w:r>
              <w:rPr>
                <w:color w:val="000000"/>
                <w:sz w:val="24"/>
                <w:szCs w:val="24"/>
              </w:rPr>
              <w:t>603,316</w:t>
            </w:r>
          </w:p>
        </w:tc>
        <w:tc>
          <w:tcPr>
            <w:tcW w:w="1924" w:type="dxa"/>
            <w:vAlign w:val="center"/>
          </w:tcPr>
          <w:p w:rsidR="00A211ED" w:rsidRDefault="003068D1">
            <w:pPr>
              <w:jc w:val="right"/>
            </w:pPr>
            <w:r>
              <w:rPr>
                <w:color w:val="000000"/>
                <w:sz w:val="24"/>
                <w:szCs w:val="24"/>
              </w:rPr>
              <w:t>6,769,205.52</w:t>
            </w:r>
          </w:p>
        </w:tc>
        <w:tc>
          <w:tcPr>
            <w:tcW w:w="1644" w:type="dxa"/>
            <w:vAlign w:val="center"/>
          </w:tcPr>
          <w:p w:rsidR="00A211ED" w:rsidRDefault="003068D1">
            <w:pPr>
              <w:jc w:val="right"/>
            </w:pPr>
            <w:r>
              <w:rPr>
                <w:color w:val="000000"/>
                <w:sz w:val="24"/>
                <w:szCs w:val="24"/>
              </w:rPr>
              <w:t>4.20</w:t>
            </w:r>
          </w:p>
        </w:tc>
      </w:tr>
      <w:tr w:rsidR="00A211ED">
        <w:trPr>
          <w:jc w:val="center"/>
        </w:trPr>
        <w:tc>
          <w:tcPr>
            <w:tcW w:w="855" w:type="dxa"/>
            <w:vAlign w:val="center"/>
          </w:tcPr>
          <w:p w:rsidR="00A211ED" w:rsidRDefault="003068D1">
            <w:pPr>
              <w:jc w:val="center"/>
            </w:pPr>
            <w:r>
              <w:rPr>
                <w:color w:val="000000"/>
                <w:sz w:val="24"/>
                <w:szCs w:val="24"/>
              </w:rPr>
              <w:t>5</w:t>
            </w:r>
          </w:p>
        </w:tc>
        <w:tc>
          <w:tcPr>
            <w:tcW w:w="1334" w:type="dxa"/>
            <w:vAlign w:val="center"/>
          </w:tcPr>
          <w:p w:rsidR="00A211ED" w:rsidRDefault="003068D1">
            <w:pPr>
              <w:jc w:val="center"/>
            </w:pPr>
            <w:r>
              <w:rPr>
                <w:color w:val="000000"/>
                <w:sz w:val="24"/>
                <w:szCs w:val="24"/>
              </w:rPr>
              <w:t>000538</w:t>
            </w:r>
          </w:p>
        </w:tc>
        <w:tc>
          <w:tcPr>
            <w:tcW w:w="1777" w:type="dxa"/>
            <w:vAlign w:val="center"/>
          </w:tcPr>
          <w:p w:rsidR="00A211ED" w:rsidRDefault="003068D1">
            <w:pPr>
              <w:jc w:val="center"/>
            </w:pPr>
            <w:r>
              <w:rPr>
                <w:color w:val="000000"/>
                <w:sz w:val="24"/>
                <w:szCs w:val="24"/>
              </w:rPr>
              <w:t>云南白药</w:t>
            </w:r>
          </w:p>
        </w:tc>
        <w:tc>
          <w:tcPr>
            <w:tcW w:w="1334" w:type="dxa"/>
            <w:vAlign w:val="center"/>
          </w:tcPr>
          <w:p w:rsidR="00A211ED" w:rsidRDefault="003068D1">
            <w:pPr>
              <w:jc w:val="right"/>
            </w:pPr>
            <w:r>
              <w:rPr>
                <w:color w:val="000000"/>
                <w:sz w:val="24"/>
                <w:szCs w:val="24"/>
              </w:rPr>
              <w:t>57,570</w:t>
            </w:r>
          </w:p>
        </w:tc>
        <w:tc>
          <w:tcPr>
            <w:tcW w:w="1924" w:type="dxa"/>
            <w:vAlign w:val="center"/>
          </w:tcPr>
          <w:p w:rsidR="00A211ED" w:rsidRDefault="003068D1">
            <w:pPr>
              <w:jc w:val="right"/>
            </w:pPr>
            <w:r>
              <w:rPr>
                <w:color w:val="000000"/>
                <w:sz w:val="24"/>
                <w:szCs w:val="24"/>
              </w:rPr>
              <w:t>6,157,687.20</w:t>
            </w:r>
          </w:p>
        </w:tc>
        <w:tc>
          <w:tcPr>
            <w:tcW w:w="1644" w:type="dxa"/>
            <w:vAlign w:val="center"/>
          </w:tcPr>
          <w:p w:rsidR="00A211ED" w:rsidRDefault="003068D1">
            <w:pPr>
              <w:jc w:val="right"/>
            </w:pPr>
            <w:r>
              <w:rPr>
                <w:color w:val="000000"/>
                <w:sz w:val="24"/>
                <w:szCs w:val="24"/>
              </w:rPr>
              <w:t>3.82</w:t>
            </w:r>
          </w:p>
        </w:tc>
      </w:tr>
      <w:tr w:rsidR="00A211ED">
        <w:trPr>
          <w:jc w:val="center"/>
        </w:trPr>
        <w:tc>
          <w:tcPr>
            <w:tcW w:w="855" w:type="dxa"/>
            <w:vAlign w:val="center"/>
          </w:tcPr>
          <w:p w:rsidR="00A211ED" w:rsidRDefault="003068D1">
            <w:pPr>
              <w:jc w:val="center"/>
            </w:pPr>
            <w:r>
              <w:rPr>
                <w:color w:val="000000"/>
                <w:sz w:val="24"/>
                <w:szCs w:val="24"/>
              </w:rPr>
              <w:t>6</w:t>
            </w:r>
          </w:p>
        </w:tc>
        <w:tc>
          <w:tcPr>
            <w:tcW w:w="1334" w:type="dxa"/>
            <w:vAlign w:val="center"/>
          </w:tcPr>
          <w:p w:rsidR="00A211ED" w:rsidRDefault="003068D1">
            <w:pPr>
              <w:jc w:val="center"/>
            </w:pPr>
            <w:r>
              <w:rPr>
                <w:color w:val="000000"/>
                <w:sz w:val="24"/>
                <w:szCs w:val="24"/>
              </w:rPr>
              <w:t>600036</w:t>
            </w:r>
          </w:p>
        </w:tc>
        <w:tc>
          <w:tcPr>
            <w:tcW w:w="1777" w:type="dxa"/>
            <w:vAlign w:val="center"/>
          </w:tcPr>
          <w:p w:rsidR="00A211ED" w:rsidRDefault="003068D1">
            <w:pPr>
              <w:jc w:val="center"/>
            </w:pPr>
            <w:r>
              <w:rPr>
                <w:color w:val="000000"/>
                <w:sz w:val="24"/>
                <w:szCs w:val="24"/>
              </w:rPr>
              <w:t>招商银行</w:t>
            </w:r>
          </w:p>
        </w:tc>
        <w:tc>
          <w:tcPr>
            <w:tcW w:w="1334" w:type="dxa"/>
            <w:vAlign w:val="center"/>
          </w:tcPr>
          <w:p w:rsidR="00A211ED" w:rsidRDefault="003068D1">
            <w:pPr>
              <w:jc w:val="right"/>
            </w:pPr>
            <w:r>
              <w:rPr>
                <w:color w:val="000000"/>
                <w:sz w:val="24"/>
                <w:szCs w:val="24"/>
              </w:rPr>
              <w:t>211,300</w:t>
            </w:r>
          </w:p>
        </w:tc>
        <w:tc>
          <w:tcPr>
            <w:tcW w:w="1924" w:type="dxa"/>
            <w:vAlign w:val="center"/>
          </w:tcPr>
          <w:p w:rsidR="00A211ED" w:rsidRDefault="003068D1">
            <w:pPr>
              <w:jc w:val="right"/>
            </w:pPr>
            <w:r>
              <w:rPr>
                <w:color w:val="000000"/>
                <w:sz w:val="24"/>
                <w:szCs w:val="24"/>
              </w:rPr>
              <w:t>5,586,772.00</w:t>
            </w:r>
          </w:p>
        </w:tc>
        <w:tc>
          <w:tcPr>
            <w:tcW w:w="1644" w:type="dxa"/>
            <w:vAlign w:val="center"/>
          </w:tcPr>
          <w:p w:rsidR="00A211ED" w:rsidRDefault="003068D1">
            <w:pPr>
              <w:jc w:val="right"/>
            </w:pPr>
            <w:r>
              <w:rPr>
                <w:color w:val="000000"/>
                <w:sz w:val="24"/>
                <w:szCs w:val="24"/>
              </w:rPr>
              <w:t>3.47</w:t>
            </w:r>
          </w:p>
        </w:tc>
      </w:tr>
      <w:tr w:rsidR="00A211ED">
        <w:trPr>
          <w:jc w:val="center"/>
        </w:trPr>
        <w:tc>
          <w:tcPr>
            <w:tcW w:w="855" w:type="dxa"/>
            <w:vAlign w:val="center"/>
          </w:tcPr>
          <w:p w:rsidR="00A211ED" w:rsidRDefault="003068D1">
            <w:pPr>
              <w:jc w:val="center"/>
            </w:pPr>
            <w:r>
              <w:rPr>
                <w:color w:val="000000"/>
                <w:sz w:val="24"/>
                <w:szCs w:val="24"/>
              </w:rPr>
              <w:t>7</w:t>
            </w:r>
          </w:p>
        </w:tc>
        <w:tc>
          <w:tcPr>
            <w:tcW w:w="1334" w:type="dxa"/>
            <w:vAlign w:val="center"/>
          </w:tcPr>
          <w:p w:rsidR="00A211ED" w:rsidRDefault="003068D1">
            <w:pPr>
              <w:jc w:val="center"/>
            </w:pPr>
            <w:r>
              <w:rPr>
                <w:color w:val="000000"/>
                <w:sz w:val="24"/>
                <w:szCs w:val="24"/>
              </w:rPr>
              <w:t>300347</w:t>
            </w:r>
          </w:p>
        </w:tc>
        <w:tc>
          <w:tcPr>
            <w:tcW w:w="1777" w:type="dxa"/>
            <w:vAlign w:val="center"/>
          </w:tcPr>
          <w:p w:rsidR="00A211ED" w:rsidRDefault="003068D1">
            <w:pPr>
              <w:jc w:val="center"/>
            </w:pPr>
            <w:r>
              <w:rPr>
                <w:color w:val="000000"/>
                <w:sz w:val="24"/>
                <w:szCs w:val="24"/>
              </w:rPr>
              <w:t>泰格医药</w:t>
            </w:r>
          </w:p>
        </w:tc>
        <w:tc>
          <w:tcPr>
            <w:tcW w:w="1334" w:type="dxa"/>
            <w:vAlign w:val="center"/>
          </w:tcPr>
          <w:p w:rsidR="00A211ED" w:rsidRDefault="003068D1">
            <w:pPr>
              <w:jc w:val="right"/>
            </w:pPr>
            <w:r>
              <w:rPr>
                <w:color w:val="000000"/>
                <w:sz w:val="24"/>
                <w:szCs w:val="24"/>
              </w:rPr>
              <w:t>35,737</w:t>
            </w:r>
          </w:p>
        </w:tc>
        <w:tc>
          <w:tcPr>
            <w:tcW w:w="1924" w:type="dxa"/>
            <w:vAlign w:val="center"/>
          </w:tcPr>
          <w:p w:rsidR="00A211ED" w:rsidRDefault="003068D1">
            <w:pPr>
              <w:jc w:val="right"/>
            </w:pPr>
            <w:r>
              <w:rPr>
                <w:color w:val="000000"/>
                <w:sz w:val="24"/>
                <w:szCs w:val="24"/>
              </w:rPr>
              <w:t>2,211,048.19</w:t>
            </w:r>
          </w:p>
        </w:tc>
        <w:tc>
          <w:tcPr>
            <w:tcW w:w="1644" w:type="dxa"/>
            <w:vAlign w:val="center"/>
          </w:tcPr>
          <w:p w:rsidR="00A211ED" w:rsidRDefault="003068D1">
            <w:pPr>
              <w:jc w:val="right"/>
            </w:pPr>
            <w:r>
              <w:rPr>
                <w:color w:val="000000"/>
                <w:sz w:val="24"/>
                <w:szCs w:val="24"/>
              </w:rPr>
              <w:t>1.37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6,975,604.02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6,975,604.02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211ED">
        <w:trPr>
          <w:jc w:val="center"/>
        </w:trPr>
        <w:tc>
          <w:tcPr>
            <w:tcW w:w="850" w:type="dxa"/>
            <w:vAlign w:val="center"/>
          </w:tcPr>
          <w:p w:rsidR="00A211ED" w:rsidRDefault="003068D1">
            <w:pPr>
              <w:jc w:val="center"/>
            </w:pPr>
            <w:r>
              <w:rPr>
                <w:color w:val="000000"/>
                <w:sz w:val="24"/>
                <w:szCs w:val="24"/>
              </w:rPr>
              <w:t>1</w:t>
            </w:r>
          </w:p>
        </w:tc>
        <w:tc>
          <w:tcPr>
            <w:tcW w:w="1475" w:type="dxa"/>
            <w:vAlign w:val="center"/>
          </w:tcPr>
          <w:p w:rsidR="00A211ED" w:rsidRDefault="003068D1">
            <w:pPr>
              <w:jc w:val="center"/>
            </w:pPr>
            <w:r>
              <w:rPr>
                <w:color w:val="000000"/>
                <w:sz w:val="24"/>
                <w:szCs w:val="24"/>
              </w:rPr>
              <w:t>128024</w:t>
            </w:r>
          </w:p>
        </w:tc>
        <w:tc>
          <w:tcPr>
            <w:tcW w:w="1769" w:type="dxa"/>
            <w:vAlign w:val="center"/>
          </w:tcPr>
          <w:p w:rsidR="00A211ED" w:rsidRDefault="003068D1">
            <w:pPr>
              <w:jc w:val="center"/>
            </w:pPr>
            <w:r>
              <w:rPr>
                <w:color w:val="000000"/>
                <w:sz w:val="24"/>
                <w:szCs w:val="24"/>
              </w:rPr>
              <w:t>宁行转债</w:t>
            </w:r>
          </w:p>
        </w:tc>
        <w:tc>
          <w:tcPr>
            <w:tcW w:w="1387" w:type="dxa"/>
            <w:vAlign w:val="center"/>
          </w:tcPr>
          <w:p w:rsidR="00A211ED" w:rsidRDefault="003068D1">
            <w:pPr>
              <w:jc w:val="right"/>
            </w:pPr>
            <w:r>
              <w:rPr>
                <w:color w:val="000000"/>
                <w:sz w:val="24"/>
                <w:szCs w:val="24"/>
              </w:rPr>
              <w:t>66,682</w:t>
            </w:r>
          </w:p>
        </w:tc>
        <w:tc>
          <w:tcPr>
            <w:tcW w:w="2150" w:type="dxa"/>
            <w:vAlign w:val="center"/>
          </w:tcPr>
          <w:p w:rsidR="00A211ED" w:rsidRDefault="003068D1">
            <w:pPr>
              <w:jc w:val="right"/>
            </w:pPr>
            <w:r>
              <w:rPr>
                <w:color w:val="000000"/>
                <w:sz w:val="24"/>
                <w:szCs w:val="24"/>
              </w:rPr>
              <w:t>6,975,604.02</w:t>
            </w:r>
          </w:p>
        </w:tc>
        <w:tc>
          <w:tcPr>
            <w:tcW w:w="1237" w:type="dxa"/>
            <w:vAlign w:val="center"/>
          </w:tcPr>
          <w:p w:rsidR="00A211ED" w:rsidRDefault="003068D1">
            <w:pPr>
              <w:jc w:val="right"/>
            </w:pPr>
            <w:r>
              <w:rPr>
                <w:color w:val="000000"/>
                <w:sz w:val="24"/>
                <w:szCs w:val="24"/>
              </w:rPr>
              <w:t>4.33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51,217.75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27,666.75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2,868.09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81,752.59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211ED">
        <w:trPr>
          <w:jc w:val="center"/>
        </w:trPr>
        <w:tc>
          <w:tcPr>
            <w:tcW w:w="1883" w:type="dxa"/>
            <w:vAlign w:val="center"/>
          </w:tcPr>
          <w:p w:rsidR="00A211ED" w:rsidRDefault="003068D1">
            <w:pPr>
              <w:jc w:val="center"/>
            </w:pPr>
            <w:r>
              <w:rPr>
                <w:color w:val="000000"/>
                <w:sz w:val="24"/>
                <w:szCs w:val="24"/>
              </w:rPr>
              <w:t>1</w:t>
            </w:r>
          </w:p>
        </w:tc>
        <w:tc>
          <w:tcPr>
            <w:tcW w:w="1801" w:type="dxa"/>
            <w:vAlign w:val="center"/>
          </w:tcPr>
          <w:p w:rsidR="00A211ED" w:rsidRDefault="003068D1">
            <w:pPr>
              <w:jc w:val="center"/>
            </w:pPr>
            <w:r>
              <w:rPr>
                <w:color w:val="000000"/>
                <w:sz w:val="24"/>
                <w:szCs w:val="24"/>
              </w:rPr>
              <w:t>128024</w:t>
            </w:r>
          </w:p>
        </w:tc>
        <w:tc>
          <w:tcPr>
            <w:tcW w:w="1727" w:type="dxa"/>
            <w:vAlign w:val="center"/>
          </w:tcPr>
          <w:p w:rsidR="00A211ED" w:rsidRDefault="003068D1">
            <w:pPr>
              <w:jc w:val="center"/>
            </w:pPr>
            <w:r>
              <w:rPr>
                <w:color w:val="000000"/>
                <w:sz w:val="24"/>
                <w:szCs w:val="24"/>
              </w:rPr>
              <w:t>宁行转债</w:t>
            </w:r>
          </w:p>
        </w:tc>
        <w:tc>
          <w:tcPr>
            <w:tcW w:w="1768" w:type="dxa"/>
            <w:vAlign w:val="center"/>
          </w:tcPr>
          <w:p w:rsidR="00A211ED" w:rsidRDefault="003068D1">
            <w:pPr>
              <w:jc w:val="right"/>
            </w:pPr>
            <w:r>
              <w:rPr>
                <w:color w:val="000000"/>
                <w:sz w:val="24"/>
                <w:szCs w:val="24"/>
              </w:rPr>
              <w:t>6,975,604.02</w:t>
            </w:r>
          </w:p>
        </w:tc>
        <w:tc>
          <w:tcPr>
            <w:tcW w:w="1689" w:type="dxa"/>
            <w:vAlign w:val="center"/>
          </w:tcPr>
          <w:p w:rsidR="00A211ED" w:rsidRDefault="003068D1">
            <w:pPr>
              <w:jc w:val="right"/>
            </w:pPr>
            <w:r>
              <w:rPr>
                <w:color w:val="000000"/>
                <w:sz w:val="24"/>
                <w:szCs w:val="24"/>
              </w:rPr>
              <w:t>4.33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F201B5"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bookmarkStart w:id="0" w:name="_GoBack"/>
      <w:bookmarkEnd w:id="0"/>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200,452,032.14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624,203.04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44,848,738.21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156,227,496.97</w:t>
            </w:r>
          </w:p>
        </w:tc>
      </w:tr>
    </w:tbl>
    <w:p w:rsidR="00A211ED" w:rsidRDefault="003068D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211ED" w:rsidRDefault="003068D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、《交银施罗德恒益灵活配置混合型证券投资基金招募说明书》；</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211ED" w:rsidRDefault="003068D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211ED" w:rsidRDefault="003068D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8D1" w:rsidRDefault="003068D1" w:rsidP="00876D65">
      <w:r>
        <w:separator/>
      </w:r>
    </w:p>
  </w:endnote>
  <w:endnote w:type="continuationSeparator" w:id="0">
    <w:p w:rsidR="003068D1" w:rsidRDefault="003068D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F201B5">
      <w:rPr>
        <w:noProof/>
        <w:kern w:val="0"/>
        <w:szCs w:val="21"/>
      </w:rPr>
      <w:t>10</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F201B5">
      <w:rPr>
        <w:noProof/>
        <w:kern w:val="0"/>
        <w:szCs w:val="21"/>
      </w:rPr>
      <w:t>11</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8D1" w:rsidRDefault="003068D1" w:rsidP="00876D65">
      <w:r>
        <w:separator/>
      </w:r>
    </w:p>
  </w:footnote>
  <w:footnote w:type="continuationSeparator" w:id="0">
    <w:p w:rsidR="003068D1" w:rsidRDefault="003068D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068D1"/>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1ED"/>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1B5"/>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44D58-8657-4648-BDB0-BC9F7A632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1807</TotalTime>
  <Pages>11</Pages>
  <Words>950</Words>
  <Characters>5418</Characters>
  <Application>Microsoft Office Word</Application>
  <DocSecurity>0</DocSecurity>
  <Lines>45</Lines>
  <Paragraphs>12</Paragraphs>
  <ScaleCrop>false</ScaleCrop>
  <Company/>
  <LinksUpToDate>false</LinksUpToDate>
  <CharactersWithSpaces>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577</cp:revision>
  <dcterms:created xsi:type="dcterms:W3CDTF">2012-10-16T06:07:00Z</dcterms:created>
  <dcterms:modified xsi:type="dcterms:W3CDTF">2018-07-16T08:35:00Z</dcterms:modified>
</cp:coreProperties>
</file>