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交银施罗德增利增强债券型证券投资基金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238DE" w:rsidRDefault="009428A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238DE" w:rsidRDefault="009428A8">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238DE" w:rsidRDefault="009428A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238DE" w:rsidRDefault="009428A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238DE" w:rsidRDefault="009428A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交银增利增强债券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004427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47,482,478.43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本基金以债券投资为主，通过自上而下进行宏观分析，自下而上精选个券，在严格控制风险的前提下，力争实现基金资产的长期稳定增值。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w:t>
            </w:r>
            <w:r w:rsidRPr="007F52FA">
              <w:rPr>
                <w:color w:val="000000"/>
                <w:kern w:val="0"/>
                <w:sz w:val="24"/>
              </w:rPr>
              <w:lastRenderedPageBreak/>
              <w:t>格控制基金资产运作风险的前提下，有效把握投资机会，适时增强组合收益。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004427</w:t>
            </w:r>
          </w:p>
        </w:tc>
        <w:tc>
          <w:tcPr>
            <w:tcW w:w="3048" w:type="dxa"/>
            <w:vAlign w:val="center"/>
          </w:tcPr>
          <w:p w:rsidR="00C23B30" w:rsidRPr="000E4C40" w:rsidRDefault="00C23B30" w:rsidP="00A52A9E">
            <w:pPr>
              <w:spacing w:before="29" w:line="288" w:lineRule="auto"/>
              <w:jc w:val="left"/>
              <w:rPr>
                <w:sz w:val="24"/>
              </w:rPr>
            </w:pPr>
            <w:r w:rsidRPr="000E4C40">
              <w:rPr>
                <w:sz w:val="24"/>
              </w:rPr>
              <w:t>004428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37,424,911.94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10,057,566.49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交银增利增强债券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交银增利增强债券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408,029.16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-26,339.21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247,691.88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9,171.63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0.0028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39,038,894.88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10,460,307.06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1.040</w:t>
            </w:r>
          </w:p>
        </w:tc>
      </w:tr>
    </w:tbl>
    <w:p w:rsidR="002238DE" w:rsidRDefault="009428A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交银增利增强债券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238DE">
        <w:trPr>
          <w:jc w:val="center"/>
        </w:trPr>
        <w:tc>
          <w:tcPr>
            <w:tcW w:w="1266" w:type="dxa"/>
            <w:vAlign w:val="center"/>
          </w:tcPr>
          <w:p w:rsidR="002238DE" w:rsidRDefault="009428A8">
            <w:pPr>
              <w:jc w:val="left"/>
            </w:pPr>
            <w:r>
              <w:rPr>
                <w:color w:val="000000"/>
                <w:sz w:val="24"/>
              </w:rPr>
              <w:t>过去三个月</w:t>
            </w:r>
          </w:p>
        </w:tc>
        <w:tc>
          <w:tcPr>
            <w:tcW w:w="1267" w:type="dxa"/>
            <w:vAlign w:val="center"/>
          </w:tcPr>
          <w:p w:rsidR="002238DE" w:rsidRDefault="009428A8">
            <w:pPr>
              <w:jc w:val="center"/>
            </w:pPr>
            <w:r>
              <w:rPr>
                <w:color w:val="000000"/>
                <w:sz w:val="24"/>
              </w:rPr>
              <w:t>0.48%</w:t>
            </w:r>
          </w:p>
        </w:tc>
        <w:tc>
          <w:tcPr>
            <w:tcW w:w="1267" w:type="dxa"/>
            <w:vAlign w:val="center"/>
          </w:tcPr>
          <w:p w:rsidR="002238DE" w:rsidRDefault="009428A8">
            <w:pPr>
              <w:jc w:val="center"/>
            </w:pPr>
            <w:r>
              <w:rPr>
                <w:color w:val="000000"/>
                <w:sz w:val="24"/>
              </w:rPr>
              <w:t>0.15%</w:t>
            </w:r>
          </w:p>
        </w:tc>
        <w:tc>
          <w:tcPr>
            <w:tcW w:w="1267" w:type="dxa"/>
            <w:vAlign w:val="center"/>
          </w:tcPr>
          <w:p w:rsidR="002238DE" w:rsidRDefault="009428A8">
            <w:pPr>
              <w:jc w:val="center"/>
            </w:pPr>
            <w:r>
              <w:rPr>
                <w:color w:val="000000"/>
                <w:sz w:val="24"/>
              </w:rPr>
              <w:t>1.01%</w:t>
            </w:r>
          </w:p>
        </w:tc>
        <w:tc>
          <w:tcPr>
            <w:tcW w:w="1267" w:type="dxa"/>
            <w:vAlign w:val="center"/>
          </w:tcPr>
          <w:p w:rsidR="002238DE" w:rsidRDefault="009428A8">
            <w:pPr>
              <w:jc w:val="center"/>
            </w:pPr>
            <w:r>
              <w:rPr>
                <w:color w:val="000000"/>
                <w:sz w:val="24"/>
              </w:rPr>
              <w:t>0.10%</w:t>
            </w:r>
          </w:p>
        </w:tc>
        <w:tc>
          <w:tcPr>
            <w:tcW w:w="1267" w:type="dxa"/>
            <w:vAlign w:val="center"/>
          </w:tcPr>
          <w:p w:rsidR="002238DE" w:rsidRDefault="009428A8">
            <w:pPr>
              <w:jc w:val="center"/>
            </w:pPr>
            <w:r>
              <w:rPr>
                <w:color w:val="000000"/>
                <w:sz w:val="24"/>
              </w:rPr>
              <w:t>-0.53%</w:t>
            </w:r>
          </w:p>
        </w:tc>
        <w:tc>
          <w:tcPr>
            <w:tcW w:w="1267" w:type="dxa"/>
            <w:vAlign w:val="center"/>
          </w:tcPr>
          <w:p w:rsidR="002238DE" w:rsidRDefault="009428A8">
            <w:pPr>
              <w:jc w:val="center"/>
            </w:pPr>
            <w:r>
              <w:rPr>
                <w:color w:val="000000"/>
                <w:sz w:val="24"/>
              </w:rPr>
              <w:t>0.05%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交银增利增强债券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238DE">
        <w:trPr>
          <w:jc w:val="center"/>
        </w:trPr>
        <w:tc>
          <w:tcPr>
            <w:tcW w:w="1266" w:type="dxa"/>
            <w:vAlign w:val="center"/>
          </w:tcPr>
          <w:p w:rsidR="002238DE" w:rsidRDefault="009428A8">
            <w:pPr>
              <w:jc w:val="left"/>
            </w:pPr>
            <w:r>
              <w:rPr>
                <w:color w:val="000000"/>
                <w:sz w:val="24"/>
              </w:rPr>
              <w:t>过去三个月</w:t>
            </w:r>
          </w:p>
        </w:tc>
        <w:tc>
          <w:tcPr>
            <w:tcW w:w="1267" w:type="dxa"/>
            <w:vAlign w:val="center"/>
          </w:tcPr>
          <w:p w:rsidR="002238DE" w:rsidRDefault="009428A8">
            <w:pPr>
              <w:jc w:val="center"/>
            </w:pPr>
            <w:r>
              <w:rPr>
                <w:color w:val="000000"/>
                <w:sz w:val="24"/>
              </w:rPr>
              <w:t>0.48%</w:t>
            </w:r>
          </w:p>
        </w:tc>
        <w:tc>
          <w:tcPr>
            <w:tcW w:w="1267" w:type="dxa"/>
            <w:vAlign w:val="center"/>
          </w:tcPr>
          <w:p w:rsidR="002238DE" w:rsidRDefault="009428A8">
            <w:pPr>
              <w:jc w:val="center"/>
            </w:pPr>
            <w:r>
              <w:rPr>
                <w:color w:val="000000"/>
                <w:sz w:val="24"/>
              </w:rPr>
              <w:t>0.15%</w:t>
            </w:r>
          </w:p>
        </w:tc>
        <w:tc>
          <w:tcPr>
            <w:tcW w:w="1267" w:type="dxa"/>
            <w:vAlign w:val="center"/>
          </w:tcPr>
          <w:p w:rsidR="002238DE" w:rsidRDefault="009428A8">
            <w:pPr>
              <w:jc w:val="center"/>
            </w:pPr>
            <w:r>
              <w:rPr>
                <w:color w:val="000000"/>
                <w:sz w:val="24"/>
              </w:rPr>
              <w:t>1.01%</w:t>
            </w:r>
          </w:p>
        </w:tc>
        <w:tc>
          <w:tcPr>
            <w:tcW w:w="1267" w:type="dxa"/>
            <w:vAlign w:val="center"/>
          </w:tcPr>
          <w:p w:rsidR="002238DE" w:rsidRDefault="009428A8">
            <w:pPr>
              <w:jc w:val="center"/>
            </w:pPr>
            <w:r>
              <w:rPr>
                <w:color w:val="000000"/>
                <w:sz w:val="24"/>
              </w:rPr>
              <w:t>0.10%</w:t>
            </w:r>
          </w:p>
        </w:tc>
        <w:tc>
          <w:tcPr>
            <w:tcW w:w="1267" w:type="dxa"/>
            <w:vAlign w:val="center"/>
          </w:tcPr>
          <w:p w:rsidR="002238DE" w:rsidRDefault="009428A8">
            <w:pPr>
              <w:jc w:val="center"/>
            </w:pPr>
            <w:r>
              <w:rPr>
                <w:color w:val="000000"/>
                <w:sz w:val="24"/>
              </w:rPr>
              <w:t>-0.53%</w:t>
            </w:r>
          </w:p>
        </w:tc>
        <w:tc>
          <w:tcPr>
            <w:tcW w:w="1267" w:type="dxa"/>
            <w:vAlign w:val="center"/>
          </w:tcPr>
          <w:p w:rsidR="002238DE" w:rsidRDefault="009428A8">
            <w:pPr>
              <w:jc w:val="center"/>
            </w:pPr>
            <w:r>
              <w:rPr>
                <w:color w:val="000000"/>
                <w:sz w:val="24"/>
              </w:rPr>
              <w:t>0.05%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交银施罗德增利增强债券型证券投资基金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交银增利增强债券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lastRenderedPageBreak/>
        <w:t>注：本基金基金合同生效日为</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交银增利增强债券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2238DE">
        <w:trPr>
          <w:jc w:val="center"/>
        </w:trPr>
        <w:tc>
          <w:tcPr>
            <w:tcW w:w="946" w:type="dxa"/>
            <w:vAlign w:val="center"/>
          </w:tcPr>
          <w:p w:rsidR="002238DE" w:rsidRDefault="009428A8">
            <w:pPr>
              <w:jc w:val="center"/>
            </w:pPr>
            <w:r>
              <w:rPr>
                <w:color w:val="000000"/>
                <w:sz w:val="24"/>
              </w:rPr>
              <w:t>于海颖</w:t>
            </w:r>
          </w:p>
        </w:tc>
        <w:tc>
          <w:tcPr>
            <w:tcW w:w="924" w:type="dxa"/>
            <w:vAlign w:val="center"/>
          </w:tcPr>
          <w:p w:rsidR="002238DE" w:rsidRDefault="009428A8">
            <w:pPr>
              <w:jc w:val="center"/>
            </w:pPr>
            <w:r>
              <w:rPr>
                <w:color w:val="000000"/>
                <w:sz w:val="24"/>
              </w:rPr>
              <w:t>交银增利债券、交银</w:t>
            </w:r>
            <w:r>
              <w:rPr>
                <w:color w:val="000000"/>
                <w:sz w:val="24"/>
              </w:rPr>
              <w:lastRenderedPageBreak/>
              <w:t>纯债债券发起、交银荣祥保本混合、交银定期支付月月丰债券、交银增强收益债券、交银强化回报债券、交银丰盈收益债券、交银丰硕收益债券、交银荣鑫保本混合、交银增利增强债券、交银丰晟收益债券、交银裕如纯债债</w:t>
            </w:r>
            <w:r>
              <w:rPr>
                <w:color w:val="000000"/>
                <w:sz w:val="24"/>
              </w:rPr>
              <w:lastRenderedPageBreak/>
              <w:t>券的基金经理，公司固定收益（公募）投资总监</w:t>
            </w:r>
          </w:p>
        </w:tc>
        <w:tc>
          <w:tcPr>
            <w:tcW w:w="1202" w:type="dxa"/>
            <w:vAlign w:val="center"/>
          </w:tcPr>
          <w:p w:rsidR="002238DE" w:rsidRDefault="009428A8">
            <w:pPr>
              <w:jc w:val="center"/>
            </w:pPr>
            <w:r>
              <w:rPr>
                <w:color w:val="000000"/>
                <w:sz w:val="24"/>
              </w:rPr>
              <w:lastRenderedPageBreak/>
              <w:t>2017-06-10</w:t>
            </w:r>
          </w:p>
        </w:tc>
        <w:tc>
          <w:tcPr>
            <w:tcW w:w="1300" w:type="dxa"/>
            <w:vAlign w:val="center"/>
          </w:tcPr>
          <w:p w:rsidR="002238DE" w:rsidRDefault="009428A8">
            <w:pPr>
              <w:jc w:val="center"/>
            </w:pPr>
            <w:r>
              <w:rPr>
                <w:color w:val="000000"/>
                <w:sz w:val="24"/>
              </w:rPr>
              <w:t>-</w:t>
            </w:r>
          </w:p>
        </w:tc>
        <w:tc>
          <w:tcPr>
            <w:tcW w:w="1245" w:type="dxa"/>
            <w:vAlign w:val="center"/>
          </w:tcPr>
          <w:p w:rsidR="002238DE" w:rsidRDefault="009428A8">
            <w:pPr>
              <w:jc w:val="center"/>
            </w:pPr>
            <w:r>
              <w:rPr>
                <w:color w:val="000000"/>
                <w:sz w:val="24"/>
              </w:rPr>
              <w:t>12</w:t>
            </w:r>
            <w:r>
              <w:rPr>
                <w:color w:val="000000"/>
                <w:sz w:val="24"/>
              </w:rPr>
              <w:t>年</w:t>
            </w:r>
          </w:p>
        </w:tc>
        <w:tc>
          <w:tcPr>
            <w:tcW w:w="3251" w:type="dxa"/>
            <w:vAlign w:val="center"/>
          </w:tcPr>
          <w:p w:rsidR="002238DE" w:rsidRDefault="009428A8">
            <w:r>
              <w:rPr>
                <w:color w:val="000000"/>
                <w:sz w:val="24"/>
              </w:rPr>
              <w:t>于海颖女士，天津大学数量经济学硕士、经济学学士。历任北方国际信托投资股份有限公司固定收益研究员，光大保</w:t>
            </w:r>
            <w:r>
              <w:rPr>
                <w:color w:val="000000"/>
                <w:sz w:val="24"/>
              </w:rPr>
              <w:lastRenderedPageBreak/>
              <w:t>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2238DE">
        <w:trPr>
          <w:jc w:val="center"/>
        </w:trPr>
        <w:tc>
          <w:tcPr>
            <w:tcW w:w="946" w:type="dxa"/>
            <w:vAlign w:val="center"/>
          </w:tcPr>
          <w:p w:rsidR="002238DE" w:rsidRDefault="009428A8">
            <w:pPr>
              <w:jc w:val="center"/>
            </w:pPr>
            <w:r>
              <w:rPr>
                <w:color w:val="000000"/>
                <w:sz w:val="24"/>
              </w:rPr>
              <w:lastRenderedPageBreak/>
              <w:t>凌超</w:t>
            </w:r>
          </w:p>
        </w:tc>
        <w:tc>
          <w:tcPr>
            <w:tcW w:w="924" w:type="dxa"/>
            <w:vAlign w:val="center"/>
          </w:tcPr>
          <w:p w:rsidR="002238DE" w:rsidRDefault="009428A8">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2238DE" w:rsidRDefault="009428A8">
            <w:pPr>
              <w:jc w:val="center"/>
            </w:pPr>
            <w:r>
              <w:rPr>
                <w:color w:val="000000"/>
                <w:sz w:val="24"/>
              </w:rPr>
              <w:t>2018-02-13</w:t>
            </w:r>
          </w:p>
        </w:tc>
        <w:tc>
          <w:tcPr>
            <w:tcW w:w="1300" w:type="dxa"/>
            <w:vAlign w:val="center"/>
          </w:tcPr>
          <w:p w:rsidR="002238DE" w:rsidRDefault="009428A8">
            <w:pPr>
              <w:jc w:val="center"/>
            </w:pPr>
            <w:r>
              <w:rPr>
                <w:color w:val="000000"/>
                <w:sz w:val="24"/>
              </w:rPr>
              <w:t>-</w:t>
            </w:r>
          </w:p>
        </w:tc>
        <w:tc>
          <w:tcPr>
            <w:tcW w:w="1245" w:type="dxa"/>
            <w:vAlign w:val="center"/>
          </w:tcPr>
          <w:p w:rsidR="002238DE" w:rsidRDefault="009428A8">
            <w:pPr>
              <w:jc w:val="center"/>
            </w:pPr>
            <w:r>
              <w:rPr>
                <w:color w:val="000000"/>
                <w:sz w:val="24"/>
              </w:rPr>
              <w:t>12</w:t>
            </w:r>
            <w:r>
              <w:rPr>
                <w:color w:val="000000"/>
                <w:sz w:val="24"/>
              </w:rPr>
              <w:t>年</w:t>
            </w:r>
          </w:p>
        </w:tc>
        <w:tc>
          <w:tcPr>
            <w:tcW w:w="3251" w:type="dxa"/>
            <w:vAlign w:val="center"/>
          </w:tcPr>
          <w:p w:rsidR="002238DE" w:rsidRDefault="009428A8">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w:t>
            </w:r>
            <w:r>
              <w:rPr>
                <w:color w:val="000000"/>
                <w:sz w:val="24"/>
              </w:rPr>
              <w:lastRenderedPageBreak/>
              <w:t>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2238DE" w:rsidRDefault="009428A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238DE" w:rsidRDefault="009428A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238DE" w:rsidRDefault="009428A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2238DE" w:rsidRDefault="009428A8">
      <w:pPr>
        <w:spacing w:before="29" w:line="288" w:lineRule="auto"/>
        <w:ind w:firstLineChars="200" w:firstLine="480"/>
        <w:rPr>
          <w:color w:val="000000"/>
          <w:sz w:val="24"/>
        </w:rPr>
      </w:pPr>
      <w:r>
        <w:rPr>
          <w:color w:val="000000"/>
          <w:sz w:val="24"/>
        </w:rPr>
        <w:t>二季度以来在央行降准、表外融资持续收缩、经济通胀趋弱、贸易战局势反复等多</w:t>
      </w:r>
      <w:r>
        <w:rPr>
          <w:color w:val="000000"/>
          <w:sz w:val="24"/>
        </w:rPr>
        <w:lastRenderedPageBreak/>
        <w:t>方面因素交织的背景下，债券收益率呈现出先下后上继而再次大幅下行的宽幅波动态势。四月上旬债券收益率延续了一季度以来的下行趋势，央行在四月宣布降准</w:t>
      </w:r>
      <w:r>
        <w:rPr>
          <w:color w:val="000000"/>
          <w:sz w:val="24"/>
        </w:rPr>
        <w:t>1</w:t>
      </w:r>
      <w:r>
        <w:rPr>
          <w:color w:val="000000"/>
          <w:sz w:val="24"/>
        </w:rPr>
        <w:t>个百分点置换</w:t>
      </w:r>
      <w:r>
        <w:rPr>
          <w:color w:val="000000"/>
          <w:sz w:val="24"/>
        </w:rPr>
        <w:t>MLF</w:t>
      </w:r>
      <w:r>
        <w:rPr>
          <w:color w:val="000000"/>
          <w:sz w:val="24"/>
        </w:rPr>
        <w:t>操作，债券市场在降准后出现强势上涨，收益率大幅下行，但随后由于降准释放资金和缴税缴准错位，出现了季末流动性紧张的情况，同时叠加资管新规的出台，收益率震荡上行。进入六月后随着最新社会融资规模数据公布，信用收紧格局下收益率重回下行通道。六月底央行再一次降准</w:t>
      </w:r>
      <w:r>
        <w:rPr>
          <w:color w:val="000000"/>
          <w:sz w:val="24"/>
        </w:rPr>
        <w:t>0.5</w:t>
      </w:r>
      <w:r>
        <w:rPr>
          <w:color w:val="000000"/>
          <w:sz w:val="24"/>
        </w:rPr>
        <w:t>个百分点，收益率再次开启大幅下行空间，截至六月底，十年期国开收益率自</w:t>
      </w:r>
      <w:r>
        <w:rPr>
          <w:color w:val="000000"/>
          <w:sz w:val="24"/>
        </w:rPr>
        <w:t>3</w:t>
      </w:r>
      <w:r>
        <w:rPr>
          <w:color w:val="000000"/>
          <w:sz w:val="24"/>
        </w:rPr>
        <w:t>月末</w:t>
      </w:r>
      <w:r>
        <w:rPr>
          <w:color w:val="000000"/>
          <w:sz w:val="24"/>
        </w:rPr>
        <w:t>4.65%</w:t>
      </w:r>
      <w:r>
        <w:rPr>
          <w:color w:val="000000"/>
          <w:sz w:val="24"/>
        </w:rPr>
        <w:t>下行至</w:t>
      </w:r>
      <w:r>
        <w:rPr>
          <w:color w:val="000000"/>
          <w:sz w:val="24"/>
        </w:rPr>
        <w:t>4.25%</w:t>
      </w:r>
      <w:r>
        <w:rPr>
          <w:color w:val="000000"/>
          <w:sz w:val="24"/>
        </w:rPr>
        <w:t>，市场涨幅明显。信用债方面，受到信用事件的影响，本报告期信用利差出现了一定走阔。</w:t>
      </w:r>
    </w:p>
    <w:p w:rsidR="002238DE" w:rsidRDefault="009428A8">
      <w:pPr>
        <w:spacing w:before="29" w:line="288" w:lineRule="auto"/>
        <w:ind w:firstLineChars="200" w:firstLine="480"/>
        <w:rPr>
          <w:color w:val="000000"/>
          <w:sz w:val="24"/>
        </w:rPr>
      </w:pPr>
      <w:r>
        <w:rPr>
          <w:color w:val="000000"/>
          <w:sz w:val="24"/>
        </w:rPr>
        <w:t>权益市场方面，在经历一季度地产金融及成长的上行后，二季度市场出现调整，消费、价值及部分基本面维持高景气的强周期板块具备一定的防御属性。</w:t>
      </w:r>
    </w:p>
    <w:p w:rsidR="002238DE" w:rsidRDefault="009428A8">
      <w:pPr>
        <w:spacing w:before="29" w:line="288" w:lineRule="auto"/>
        <w:ind w:firstLineChars="200" w:firstLine="480"/>
        <w:rPr>
          <w:color w:val="000000"/>
          <w:sz w:val="24"/>
        </w:rPr>
      </w:pPr>
      <w:r>
        <w:rPr>
          <w:color w:val="000000"/>
          <w:sz w:val="24"/>
        </w:rPr>
        <w:t>本报告期内，组合权益仓位相对特殊，因此组合前期增配转债以提升组合弹性。二季度出于防御性考虑，组合择机兑现了景气阶段高位、高弹性的转债品种。在股票方面，组合以金融为底仓，以控制回撤风险，同时辅以计算机行业配置，从而保持一定的进攻性。由于规模限制，债券方面组合以流动性较好的利率债为主，二季度中期适度拉长组合久期。</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社会融资总额增速下滑对于总需求的影响可能逐渐体现，在通胀总体可控，流动性较去年改善的情况下，我们维持对债市谨慎乐观看法，将视权益及宏观调控情况，择机采用杠杆策略提升收益。权益方面，组合将继续关注政策执行对于配置资金的影响，以及海外不确定性事件的进展，并将侧重于挑选高景气细分行业及估值调整至合理的优质个股，择机置换组合内防御品种。</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日，交银增利增强债券</w:t>
      </w:r>
      <w:r w:rsidRPr="007F52FA">
        <w:rPr>
          <w:color w:val="000000"/>
          <w:sz w:val="24"/>
        </w:rPr>
        <w:t>A</w:t>
      </w:r>
      <w:r w:rsidRPr="007F52FA">
        <w:rPr>
          <w:color w:val="000000"/>
          <w:sz w:val="24"/>
        </w:rPr>
        <w:t>份额净值为</w:t>
      </w:r>
      <w:r w:rsidRPr="007F52FA">
        <w:rPr>
          <w:color w:val="000000"/>
          <w:sz w:val="24"/>
        </w:rPr>
        <w:t>1.043</w:t>
      </w:r>
      <w:r w:rsidRPr="007F52FA">
        <w:rPr>
          <w:color w:val="000000"/>
          <w:sz w:val="24"/>
        </w:rPr>
        <w:t>元，本报告期份额净值增长率为</w:t>
      </w:r>
      <w:r w:rsidRPr="007F52FA">
        <w:rPr>
          <w:color w:val="000000"/>
          <w:sz w:val="24"/>
        </w:rPr>
        <w:t>0.48%</w:t>
      </w:r>
      <w:r w:rsidRPr="007F52FA">
        <w:rPr>
          <w:color w:val="000000"/>
          <w:sz w:val="24"/>
        </w:rPr>
        <w:t>，同期业绩比较基准增长率为</w:t>
      </w:r>
      <w:r w:rsidRPr="007F52FA">
        <w:rPr>
          <w:color w:val="000000"/>
          <w:sz w:val="24"/>
        </w:rPr>
        <w:t>1.01%</w:t>
      </w:r>
      <w:r w:rsidRPr="007F52FA">
        <w:rPr>
          <w:color w:val="000000"/>
          <w:sz w:val="24"/>
        </w:rPr>
        <w:t>；交银增利增强债券</w:t>
      </w:r>
      <w:r w:rsidRPr="007F52FA">
        <w:rPr>
          <w:color w:val="000000"/>
          <w:sz w:val="24"/>
        </w:rPr>
        <w:t>C</w:t>
      </w:r>
      <w:r w:rsidRPr="007F52FA">
        <w:rPr>
          <w:color w:val="000000"/>
          <w:sz w:val="24"/>
        </w:rPr>
        <w:t>份额净值为</w:t>
      </w:r>
      <w:r w:rsidRPr="007F52FA">
        <w:rPr>
          <w:color w:val="000000"/>
          <w:sz w:val="24"/>
        </w:rPr>
        <w:t>1.040</w:t>
      </w:r>
      <w:r w:rsidRPr="007F52FA">
        <w:rPr>
          <w:color w:val="000000"/>
          <w:sz w:val="24"/>
        </w:rPr>
        <w:t>元，本报告期份额净值增长率为</w:t>
      </w:r>
      <w:r w:rsidRPr="007F52FA">
        <w:rPr>
          <w:color w:val="000000"/>
          <w:sz w:val="24"/>
        </w:rPr>
        <w:t>0.48%</w:t>
      </w:r>
      <w:r w:rsidRPr="007F52FA">
        <w:rPr>
          <w:color w:val="000000"/>
          <w:sz w:val="24"/>
        </w:rPr>
        <w:t>，同期业绩比较基准增长率为</w:t>
      </w:r>
      <w:r w:rsidRPr="007F52FA">
        <w:rPr>
          <w:color w:val="000000"/>
          <w:sz w:val="24"/>
        </w:rPr>
        <w:t>1.01%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2,011,200.24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4.04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2,011,200.24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4.04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43,088,536.92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86.63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43,088,536.92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86.63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6.63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559,161.55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777,468.83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49,736,367.54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120,750.00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0.24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w:t>
            </w:r>
            <w:r w:rsidRPr="007F52FA">
              <w:rPr>
                <w:sz w:val="24"/>
              </w:rPr>
              <w:lastRenderedPageBreak/>
              <w:t>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lastRenderedPageBreak/>
              <w:t>298,290.00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1,202,974.24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2.43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389,186.00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0.79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2,011,200.24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4.06</w:t>
            </w:r>
          </w:p>
        </w:tc>
      </w:tr>
    </w:tbl>
    <w:p w:rsidR="007E3C97" w:rsidRDefault="007E3C97"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2238DE">
        <w:trPr>
          <w:jc w:val="center"/>
        </w:trPr>
        <w:tc>
          <w:tcPr>
            <w:tcW w:w="850" w:type="dxa"/>
            <w:vAlign w:val="center"/>
          </w:tcPr>
          <w:p w:rsidR="002238DE" w:rsidRDefault="009428A8">
            <w:pPr>
              <w:jc w:val="center"/>
            </w:pPr>
            <w:r>
              <w:rPr>
                <w:color w:val="000000"/>
                <w:sz w:val="24"/>
              </w:rPr>
              <w:t>1</w:t>
            </w:r>
          </w:p>
        </w:tc>
        <w:tc>
          <w:tcPr>
            <w:tcW w:w="1327" w:type="dxa"/>
            <w:vAlign w:val="center"/>
          </w:tcPr>
          <w:p w:rsidR="002238DE" w:rsidRDefault="009428A8">
            <w:pPr>
              <w:jc w:val="center"/>
            </w:pPr>
            <w:r>
              <w:rPr>
                <w:color w:val="000000"/>
                <w:sz w:val="24"/>
              </w:rPr>
              <w:t>601288</w:t>
            </w:r>
          </w:p>
        </w:tc>
        <w:tc>
          <w:tcPr>
            <w:tcW w:w="1769" w:type="dxa"/>
            <w:vAlign w:val="center"/>
          </w:tcPr>
          <w:p w:rsidR="002238DE" w:rsidRDefault="009428A8">
            <w:pPr>
              <w:jc w:val="center"/>
            </w:pPr>
            <w:r>
              <w:rPr>
                <w:color w:val="000000"/>
                <w:sz w:val="24"/>
              </w:rPr>
              <w:t>农业银行</w:t>
            </w:r>
          </w:p>
        </w:tc>
        <w:tc>
          <w:tcPr>
            <w:tcW w:w="1327" w:type="dxa"/>
            <w:vAlign w:val="center"/>
          </w:tcPr>
          <w:p w:rsidR="002238DE" w:rsidRDefault="009428A8">
            <w:pPr>
              <w:jc w:val="right"/>
            </w:pPr>
            <w:r>
              <w:rPr>
                <w:color w:val="000000"/>
                <w:sz w:val="24"/>
              </w:rPr>
              <w:t>144,896</w:t>
            </w:r>
          </w:p>
        </w:tc>
        <w:tc>
          <w:tcPr>
            <w:tcW w:w="1915" w:type="dxa"/>
            <w:vAlign w:val="center"/>
          </w:tcPr>
          <w:p w:rsidR="002238DE" w:rsidRDefault="009428A8">
            <w:pPr>
              <w:jc w:val="right"/>
            </w:pPr>
            <w:r>
              <w:rPr>
                <w:color w:val="000000"/>
                <w:sz w:val="24"/>
              </w:rPr>
              <w:t>498,442.24</w:t>
            </w:r>
          </w:p>
        </w:tc>
        <w:tc>
          <w:tcPr>
            <w:tcW w:w="1680" w:type="dxa"/>
            <w:vAlign w:val="center"/>
          </w:tcPr>
          <w:p w:rsidR="002238DE" w:rsidRDefault="009428A8">
            <w:pPr>
              <w:jc w:val="right"/>
            </w:pPr>
            <w:r>
              <w:rPr>
                <w:color w:val="000000"/>
                <w:sz w:val="24"/>
              </w:rPr>
              <w:t>1.01</w:t>
            </w:r>
          </w:p>
        </w:tc>
      </w:tr>
      <w:tr w:rsidR="002238DE">
        <w:trPr>
          <w:jc w:val="center"/>
        </w:trPr>
        <w:tc>
          <w:tcPr>
            <w:tcW w:w="850" w:type="dxa"/>
            <w:vAlign w:val="center"/>
          </w:tcPr>
          <w:p w:rsidR="002238DE" w:rsidRDefault="009428A8">
            <w:pPr>
              <w:jc w:val="center"/>
            </w:pPr>
            <w:r>
              <w:rPr>
                <w:color w:val="000000"/>
                <w:sz w:val="24"/>
              </w:rPr>
              <w:t>2</w:t>
            </w:r>
          </w:p>
        </w:tc>
        <w:tc>
          <w:tcPr>
            <w:tcW w:w="1327" w:type="dxa"/>
            <w:vAlign w:val="center"/>
          </w:tcPr>
          <w:p w:rsidR="002238DE" w:rsidRDefault="009428A8">
            <w:pPr>
              <w:jc w:val="center"/>
            </w:pPr>
            <w:r>
              <w:rPr>
                <w:color w:val="000000"/>
                <w:sz w:val="24"/>
              </w:rPr>
              <w:t>601601</w:t>
            </w:r>
          </w:p>
        </w:tc>
        <w:tc>
          <w:tcPr>
            <w:tcW w:w="1769" w:type="dxa"/>
            <w:vAlign w:val="center"/>
          </w:tcPr>
          <w:p w:rsidR="002238DE" w:rsidRDefault="009428A8">
            <w:pPr>
              <w:jc w:val="center"/>
            </w:pPr>
            <w:r>
              <w:rPr>
                <w:color w:val="000000"/>
                <w:sz w:val="24"/>
              </w:rPr>
              <w:t>中国太保</w:t>
            </w:r>
          </w:p>
        </w:tc>
        <w:tc>
          <w:tcPr>
            <w:tcW w:w="1327" w:type="dxa"/>
            <w:vAlign w:val="center"/>
          </w:tcPr>
          <w:p w:rsidR="002238DE" w:rsidRDefault="009428A8">
            <w:pPr>
              <w:jc w:val="right"/>
            </w:pPr>
            <w:r>
              <w:rPr>
                <w:color w:val="000000"/>
                <w:sz w:val="24"/>
              </w:rPr>
              <w:t>14,400</w:t>
            </w:r>
          </w:p>
        </w:tc>
        <w:tc>
          <w:tcPr>
            <w:tcW w:w="1915" w:type="dxa"/>
            <w:vAlign w:val="center"/>
          </w:tcPr>
          <w:p w:rsidR="002238DE" w:rsidRDefault="009428A8">
            <w:pPr>
              <w:jc w:val="right"/>
            </w:pPr>
            <w:r>
              <w:rPr>
                <w:color w:val="000000"/>
                <w:sz w:val="24"/>
              </w:rPr>
              <w:t>458,640.00</w:t>
            </w:r>
          </w:p>
        </w:tc>
        <w:tc>
          <w:tcPr>
            <w:tcW w:w="1680" w:type="dxa"/>
            <w:vAlign w:val="center"/>
          </w:tcPr>
          <w:p w:rsidR="002238DE" w:rsidRDefault="009428A8">
            <w:pPr>
              <w:jc w:val="right"/>
            </w:pPr>
            <w:r>
              <w:rPr>
                <w:color w:val="000000"/>
                <w:sz w:val="24"/>
              </w:rPr>
              <w:t>0.93</w:t>
            </w:r>
          </w:p>
        </w:tc>
      </w:tr>
      <w:tr w:rsidR="002238DE">
        <w:trPr>
          <w:jc w:val="center"/>
        </w:trPr>
        <w:tc>
          <w:tcPr>
            <w:tcW w:w="850" w:type="dxa"/>
            <w:vAlign w:val="center"/>
          </w:tcPr>
          <w:p w:rsidR="002238DE" w:rsidRDefault="009428A8">
            <w:pPr>
              <w:jc w:val="center"/>
            </w:pPr>
            <w:r>
              <w:rPr>
                <w:color w:val="000000"/>
                <w:sz w:val="24"/>
              </w:rPr>
              <w:t>3</w:t>
            </w:r>
          </w:p>
        </w:tc>
        <w:tc>
          <w:tcPr>
            <w:tcW w:w="1327" w:type="dxa"/>
            <w:vAlign w:val="center"/>
          </w:tcPr>
          <w:p w:rsidR="002238DE" w:rsidRDefault="009428A8">
            <w:pPr>
              <w:jc w:val="center"/>
            </w:pPr>
            <w:r>
              <w:rPr>
                <w:color w:val="000000"/>
                <w:sz w:val="24"/>
              </w:rPr>
              <w:t>300188</w:t>
            </w:r>
          </w:p>
        </w:tc>
        <w:tc>
          <w:tcPr>
            <w:tcW w:w="1769" w:type="dxa"/>
            <w:vAlign w:val="center"/>
          </w:tcPr>
          <w:p w:rsidR="002238DE" w:rsidRDefault="009428A8">
            <w:pPr>
              <w:jc w:val="center"/>
            </w:pPr>
            <w:r>
              <w:rPr>
                <w:color w:val="000000"/>
                <w:sz w:val="24"/>
              </w:rPr>
              <w:t>美亚柏科</w:t>
            </w:r>
          </w:p>
        </w:tc>
        <w:tc>
          <w:tcPr>
            <w:tcW w:w="1327" w:type="dxa"/>
            <w:vAlign w:val="center"/>
          </w:tcPr>
          <w:p w:rsidR="002238DE" w:rsidRDefault="009428A8">
            <w:pPr>
              <w:jc w:val="right"/>
            </w:pPr>
            <w:r>
              <w:rPr>
                <w:color w:val="000000"/>
                <w:sz w:val="24"/>
              </w:rPr>
              <w:t>16,300</w:t>
            </w:r>
          </w:p>
        </w:tc>
        <w:tc>
          <w:tcPr>
            <w:tcW w:w="1915" w:type="dxa"/>
            <w:vAlign w:val="center"/>
          </w:tcPr>
          <w:p w:rsidR="002238DE" w:rsidRDefault="009428A8">
            <w:pPr>
              <w:jc w:val="right"/>
            </w:pPr>
            <w:r>
              <w:rPr>
                <w:color w:val="000000"/>
                <w:sz w:val="24"/>
              </w:rPr>
              <w:t>298,290.00</w:t>
            </w:r>
          </w:p>
        </w:tc>
        <w:tc>
          <w:tcPr>
            <w:tcW w:w="1680" w:type="dxa"/>
            <w:vAlign w:val="center"/>
          </w:tcPr>
          <w:p w:rsidR="002238DE" w:rsidRDefault="009428A8">
            <w:pPr>
              <w:jc w:val="right"/>
            </w:pPr>
            <w:r>
              <w:rPr>
                <w:color w:val="000000"/>
                <w:sz w:val="24"/>
              </w:rPr>
              <w:t>0.60</w:t>
            </w:r>
          </w:p>
        </w:tc>
      </w:tr>
      <w:tr w:rsidR="002238DE">
        <w:trPr>
          <w:jc w:val="center"/>
        </w:trPr>
        <w:tc>
          <w:tcPr>
            <w:tcW w:w="850" w:type="dxa"/>
            <w:vAlign w:val="center"/>
          </w:tcPr>
          <w:p w:rsidR="002238DE" w:rsidRDefault="009428A8">
            <w:pPr>
              <w:jc w:val="center"/>
            </w:pPr>
            <w:r>
              <w:rPr>
                <w:color w:val="000000"/>
                <w:sz w:val="24"/>
              </w:rPr>
              <w:t>4</w:t>
            </w:r>
          </w:p>
        </w:tc>
        <w:tc>
          <w:tcPr>
            <w:tcW w:w="1327" w:type="dxa"/>
            <w:vAlign w:val="center"/>
          </w:tcPr>
          <w:p w:rsidR="002238DE" w:rsidRDefault="009428A8">
            <w:pPr>
              <w:jc w:val="center"/>
            </w:pPr>
            <w:r>
              <w:rPr>
                <w:color w:val="000000"/>
                <w:sz w:val="24"/>
              </w:rPr>
              <w:t>600036</w:t>
            </w:r>
          </w:p>
        </w:tc>
        <w:tc>
          <w:tcPr>
            <w:tcW w:w="1769" w:type="dxa"/>
            <w:vAlign w:val="center"/>
          </w:tcPr>
          <w:p w:rsidR="002238DE" w:rsidRDefault="009428A8">
            <w:pPr>
              <w:jc w:val="center"/>
            </w:pPr>
            <w:r>
              <w:rPr>
                <w:color w:val="000000"/>
                <w:sz w:val="24"/>
              </w:rPr>
              <w:t>招商银行</w:t>
            </w:r>
          </w:p>
        </w:tc>
        <w:tc>
          <w:tcPr>
            <w:tcW w:w="1327" w:type="dxa"/>
            <w:vAlign w:val="center"/>
          </w:tcPr>
          <w:p w:rsidR="002238DE" w:rsidRDefault="009428A8">
            <w:pPr>
              <w:jc w:val="right"/>
            </w:pPr>
            <w:r>
              <w:rPr>
                <w:color w:val="000000"/>
                <w:sz w:val="24"/>
              </w:rPr>
              <w:t>9,300</w:t>
            </w:r>
          </w:p>
        </w:tc>
        <w:tc>
          <w:tcPr>
            <w:tcW w:w="1915" w:type="dxa"/>
            <w:vAlign w:val="center"/>
          </w:tcPr>
          <w:p w:rsidR="002238DE" w:rsidRDefault="009428A8">
            <w:pPr>
              <w:jc w:val="right"/>
            </w:pPr>
            <w:r>
              <w:rPr>
                <w:color w:val="000000"/>
                <w:sz w:val="24"/>
              </w:rPr>
              <w:t>245,892.00</w:t>
            </w:r>
          </w:p>
        </w:tc>
        <w:tc>
          <w:tcPr>
            <w:tcW w:w="1680" w:type="dxa"/>
            <w:vAlign w:val="center"/>
          </w:tcPr>
          <w:p w:rsidR="002238DE" w:rsidRDefault="009428A8">
            <w:pPr>
              <w:jc w:val="right"/>
            </w:pPr>
            <w:r>
              <w:rPr>
                <w:color w:val="000000"/>
                <w:sz w:val="24"/>
              </w:rPr>
              <w:t>0.50</w:t>
            </w:r>
          </w:p>
        </w:tc>
      </w:tr>
      <w:tr w:rsidR="002238DE">
        <w:trPr>
          <w:jc w:val="center"/>
        </w:trPr>
        <w:tc>
          <w:tcPr>
            <w:tcW w:w="850" w:type="dxa"/>
            <w:vAlign w:val="center"/>
          </w:tcPr>
          <w:p w:rsidR="002238DE" w:rsidRDefault="009428A8">
            <w:pPr>
              <w:jc w:val="center"/>
            </w:pPr>
            <w:r>
              <w:rPr>
                <w:color w:val="000000"/>
                <w:sz w:val="24"/>
              </w:rPr>
              <w:t>5</w:t>
            </w:r>
          </w:p>
        </w:tc>
        <w:tc>
          <w:tcPr>
            <w:tcW w:w="1327" w:type="dxa"/>
            <w:vAlign w:val="center"/>
          </w:tcPr>
          <w:p w:rsidR="002238DE" w:rsidRDefault="009428A8">
            <w:pPr>
              <w:jc w:val="center"/>
            </w:pPr>
            <w:r>
              <w:rPr>
                <w:color w:val="000000"/>
                <w:sz w:val="24"/>
              </w:rPr>
              <w:t>601155</w:t>
            </w:r>
          </w:p>
        </w:tc>
        <w:tc>
          <w:tcPr>
            <w:tcW w:w="1769" w:type="dxa"/>
            <w:vAlign w:val="center"/>
          </w:tcPr>
          <w:p w:rsidR="002238DE" w:rsidRDefault="009428A8">
            <w:pPr>
              <w:jc w:val="center"/>
            </w:pPr>
            <w:r>
              <w:rPr>
                <w:color w:val="000000"/>
                <w:sz w:val="24"/>
              </w:rPr>
              <w:t>新城控股</w:t>
            </w:r>
          </w:p>
        </w:tc>
        <w:tc>
          <w:tcPr>
            <w:tcW w:w="1327" w:type="dxa"/>
            <w:vAlign w:val="center"/>
          </w:tcPr>
          <w:p w:rsidR="002238DE" w:rsidRDefault="009428A8">
            <w:pPr>
              <w:jc w:val="right"/>
            </w:pPr>
            <w:r>
              <w:rPr>
                <w:color w:val="000000"/>
                <w:sz w:val="24"/>
              </w:rPr>
              <w:t>7,800</w:t>
            </w:r>
          </w:p>
        </w:tc>
        <w:tc>
          <w:tcPr>
            <w:tcW w:w="1915" w:type="dxa"/>
            <w:vAlign w:val="center"/>
          </w:tcPr>
          <w:p w:rsidR="002238DE" w:rsidRDefault="009428A8">
            <w:pPr>
              <w:jc w:val="right"/>
            </w:pPr>
            <w:r>
              <w:rPr>
                <w:color w:val="000000"/>
                <w:sz w:val="24"/>
              </w:rPr>
              <w:t>241,566.00</w:t>
            </w:r>
          </w:p>
        </w:tc>
        <w:tc>
          <w:tcPr>
            <w:tcW w:w="1680" w:type="dxa"/>
            <w:vAlign w:val="center"/>
          </w:tcPr>
          <w:p w:rsidR="002238DE" w:rsidRDefault="009428A8">
            <w:pPr>
              <w:jc w:val="right"/>
            </w:pPr>
            <w:r>
              <w:rPr>
                <w:color w:val="000000"/>
                <w:sz w:val="24"/>
              </w:rPr>
              <w:t>0.49</w:t>
            </w:r>
          </w:p>
        </w:tc>
      </w:tr>
      <w:tr w:rsidR="002238DE">
        <w:trPr>
          <w:jc w:val="center"/>
        </w:trPr>
        <w:tc>
          <w:tcPr>
            <w:tcW w:w="850" w:type="dxa"/>
            <w:vAlign w:val="center"/>
          </w:tcPr>
          <w:p w:rsidR="002238DE" w:rsidRDefault="009428A8">
            <w:pPr>
              <w:jc w:val="center"/>
            </w:pPr>
            <w:r>
              <w:rPr>
                <w:color w:val="000000"/>
                <w:sz w:val="24"/>
              </w:rPr>
              <w:t>6</w:t>
            </w:r>
          </w:p>
        </w:tc>
        <w:tc>
          <w:tcPr>
            <w:tcW w:w="1327" w:type="dxa"/>
            <w:vAlign w:val="center"/>
          </w:tcPr>
          <w:p w:rsidR="002238DE" w:rsidRDefault="009428A8">
            <w:pPr>
              <w:jc w:val="center"/>
            </w:pPr>
            <w:r>
              <w:rPr>
                <w:color w:val="000000"/>
                <w:sz w:val="24"/>
              </w:rPr>
              <w:t>600048</w:t>
            </w:r>
          </w:p>
        </w:tc>
        <w:tc>
          <w:tcPr>
            <w:tcW w:w="1769" w:type="dxa"/>
            <w:vAlign w:val="center"/>
          </w:tcPr>
          <w:p w:rsidR="002238DE" w:rsidRDefault="009428A8">
            <w:pPr>
              <w:jc w:val="center"/>
            </w:pPr>
            <w:r>
              <w:rPr>
                <w:color w:val="000000"/>
                <w:sz w:val="24"/>
              </w:rPr>
              <w:t>保利地产</w:t>
            </w:r>
          </w:p>
        </w:tc>
        <w:tc>
          <w:tcPr>
            <w:tcW w:w="1327" w:type="dxa"/>
            <w:vAlign w:val="center"/>
          </w:tcPr>
          <w:p w:rsidR="002238DE" w:rsidRDefault="009428A8">
            <w:pPr>
              <w:jc w:val="right"/>
            </w:pPr>
            <w:r>
              <w:rPr>
                <w:color w:val="000000"/>
                <w:sz w:val="24"/>
              </w:rPr>
              <w:t>12,100</w:t>
            </w:r>
          </w:p>
        </w:tc>
        <w:tc>
          <w:tcPr>
            <w:tcW w:w="1915" w:type="dxa"/>
            <w:vAlign w:val="center"/>
          </w:tcPr>
          <w:p w:rsidR="002238DE" w:rsidRDefault="009428A8">
            <w:pPr>
              <w:jc w:val="right"/>
            </w:pPr>
            <w:r>
              <w:rPr>
                <w:color w:val="000000"/>
                <w:sz w:val="24"/>
              </w:rPr>
              <w:t>147,620.00</w:t>
            </w:r>
          </w:p>
        </w:tc>
        <w:tc>
          <w:tcPr>
            <w:tcW w:w="1680" w:type="dxa"/>
            <w:vAlign w:val="center"/>
          </w:tcPr>
          <w:p w:rsidR="002238DE" w:rsidRDefault="009428A8">
            <w:pPr>
              <w:jc w:val="right"/>
            </w:pPr>
            <w:r>
              <w:rPr>
                <w:color w:val="000000"/>
                <w:sz w:val="24"/>
              </w:rPr>
              <w:t>0.30</w:t>
            </w:r>
          </w:p>
        </w:tc>
      </w:tr>
      <w:tr w:rsidR="002238DE">
        <w:trPr>
          <w:jc w:val="center"/>
        </w:trPr>
        <w:tc>
          <w:tcPr>
            <w:tcW w:w="850" w:type="dxa"/>
            <w:vAlign w:val="center"/>
          </w:tcPr>
          <w:p w:rsidR="002238DE" w:rsidRDefault="009428A8">
            <w:pPr>
              <w:jc w:val="center"/>
            </w:pPr>
            <w:r>
              <w:rPr>
                <w:color w:val="000000"/>
                <w:sz w:val="24"/>
              </w:rPr>
              <w:t>7</w:t>
            </w:r>
          </w:p>
        </w:tc>
        <w:tc>
          <w:tcPr>
            <w:tcW w:w="1327" w:type="dxa"/>
            <w:vAlign w:val="center"/>
          </w:tcPr>
          <w:p w:rsidR="002238DE" w:rsidRDefault="009428A8">
            <w:pPr>
              <w:jc w:val="center"/>
            </w:pPr>
            <w:r>
              <w:rPr>
                <w:color w:val="000000"/>
                <w:sz w:val="24"/>
              </w:rPr>
              <w:t>002458</w:t>
            </w:r>
          </w:p>
        </w:tc>
        <w:tc>
          <w:tcPr>
            <w:tcW w:w="1769" w:type="dxa"/>
            <w:vAlign w:val="center"/>
          </w:tcPr>
          <w:p w:rsidR="002238DE" w:rsidRDefault="009428A8">
            <w:pPr>
              <w:jc w:val="center"/>
            </w:pPr>
            <w:r>
              <w:rPr>
                <w:color w:val="000000"/>
                <w:sz w:val="24"/>
              </w:rPr>
              <w:t>益生股份</w:t>
            </w:r>
          </w:p>
        </w:tc>
        <w:tc>
          <w:tcPr>
            <w:tcW w:w="1327" w:type="dxa"/>
            <w:vAlign w:val="center"/>
          </w:tcPr>
          <w:p w:rsidR="002238DE" w:rsidRDefault="009428A8">
            <w:pPr>
              <w:jc w:val="right"/>
            </w:pPr>
            <w:r>
              <w:rPr>
                <w:color w:val="000000"/>
                <w:sz w:val="24"/>
              </w:rPr>
              <w:t>6,900</w:t>
            </w:r>
          </w:p>
        </w:tc>
        <w:tc>
          <w:tcPr>
            <w:tcW w:w="1915" w:type="dxa"/>
            <w:vAlign w:val="center"/>
          </w:tcPr>
          <w:p w:rsidR="002238DE" w:rsidRDefault="009428A8">
            <w:pPr>
              <w:jc w:val="right"/>
            </w:pPr>
            <w:r>
              <w:rPr>
                <w:color w:val="000000"/>
                <w:sz w:val="24"/>
              </w:rPr>
              <w:t>120,750.00</w:t>
            </w:r>
          </w:p>
        </w:tc>
        <w:tc>
          <w:tcPr>
            <w:tcW w:w="1680" w:type="dxa"/>
            <w:vAlign w:val="center"/>
          </w:tcPr>
          <w:p w:rsidR="002238DE" w:rsidRDefault="009428A8">
            <w:pPr>
              <w:jc w:val="right"/>
            </w:pPr>
            <w:r>
              <w:rPr>
                <w:color w:val="000000"/>
                <w:sz w:val="24"/>
              </w:rPr>
              <w:t>0.24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2,160,696.40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37,930,061.80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76.63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37,930,061.80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76.63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2,997,778.72</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6.06</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43,088,536.92</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87.05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238DE">
        <w:trPr>
          <w:jc w:val="center"/>
        </w:trPr>
        <w:tc>
          <w:tcPr>
            <w:tcW w:w="1075" w:type="dxa"/>
            <w:vAlign w:val="center"/>
          </w:tcPr>
          <w:p w:rsidR="002238DE" w:rsidRDefault="009428A8">
            <w:pPr>
              <w:jc w:val="center"/>
            </w:pPr>
            <w:r>
              <w:rPr>
                <w:color w:val="000000"/>
                <w:sz w:val="24"/>
              </w:rPr>
              <w:t>1</w:t>
            </w:r>
          </w:p>
        </w:tc>
        <w:tc>
          <w:tcPr>
            <w:tcW w:w="1533" w:type="dxa"/>
            <w:vAlign w:val="center"/>
          </w:tcPr>
          <w:p w:rsidR="002238DE" w:rsidRDefault="009428A8">
            <w:pPr>
              <w:jc w:val="center"/>
            </w:pPr>
            <w:r>
              <w:rPr>
                <w:color w:val="000000"/>
                <w:sz w:val="24"/>
              </w:rPr>
              <w:t>018005</w:t>
            </w:r>
          </w:p>
        </w:tc>
        <w:tc>
          <w:tcPr>
            <w:tcW w:w="1533" w:type="dxa"/>
            <w:vAlign w:val="center"/>
          </w:tcPr>
          <w:p w:rsidR="002238DE" w:rsidRDefault="009428A8">
            <w:pPr>
              <w:jc w:val="center"/>
            </w:pPr>
            <w:r>
              <w:rPr>
                <w:color w:val="000000"/>
                <w:sz w:val="24"/>
              </w:rPr>
              <w:t>国开</w:t>
            </w:r>
            <w:r>
              <w:rPr>
                <w:color w:val="000000"/>
                <w:sz w:val="24"/>
              </w:rPr>
              <w:t>1701</w:t>
            </w:r>
          </w:p>
        </w:tc>
        <w:tc>
          <w:tcPr>
            <w:tcW w:w="1394" w:type="dxa"/>
            <w:vAlign w:val="center"/>
          </w:tcPr>
          <w:p w:rsidR="002238DE" w:rsidRDefault="009428A8">
            <w:pPr>
              <w:jc w:val="right"/>
            </w:pPr>
            <w:r>
              <w:rPr>
                <w:color w:val="000000"/>
                <w:sz w:val="24"/>
              </w:rPr>
              <w:t>209,060</w:t>
            </w:r>
          </w:p>
        </w:tc>
        <w:tc>
          <w:tcPr>
            <w:tcW w:w="1944" w:type="dxa"/>
            <w:vAlign w:val="center"/>
          </w:tcPr>
          <w:p w:rsidR="002238DE" w:rsidRDefault="009428A8">
            <w:pPr>
              <w:jc w:val="right"/>
            </w:pPr>
            <w:r>
              <w:rPr>
                <w:color w:val="000000"/>
                <w:sz w:val="24"/>
              </w:rPr>
              <w:t>20,985,442.80</w:t>
            </w:r>
          </w:p>
        </w:tc>
        <w:tc>
          <w:tcPr>
            <w:tcW w:w="1389" w:type="dxa"/>
            <w:vAlign w:val="center"/>
          </w:tcPr>
          <w:p w:rsidR="002238DE" w:rsidRDefault="009428A8">
            <w:pPr>
              <w:jc w:val="right"/>
            </w:pPr>
            <w:r>
              <w:rPr>
                <w:color w:val="000000"/>
                <w:sz w:val="24"/>
              </w:rPr>
              <w:t>42.40</w:t>
            </w:r>
          </w:p>
        </w:tc>
      </w:tr>
      <w:tr w:rsidR="002238DE">
        <w:trPr>
          <w:jc w:val="center"/>
        </w:trPr>
        <w:tc>
          <w:tcPr>
            <w:tcW w:w="1075" w:type="dxa"/>
            <w:vAlign w:val="center"/>
          </w:tcPr>
          <w:p w:rsidR="002238DE" w:rsidRDefault="009428A8">
            <w:pPr>
              <w:jc w:val="center"/>
            </w:pPr>
            <w:r>
              <w:rPr>
                <w:color w:val="000000"/>
                <w:sz w:val="24"/>
              </w:rPr>
              <w:t>2</w:t>
            </w:r>
          </w:p>
        </w:tc>
        <w:tc>
          <w:tcPr>
            <w:tcW w:w="1533" w:type="dxa"/>
            <w:vAlign w:val="center"/>
          </w:tcPr>
          <w:p w:rsidR="002238DE" w:rsidRDefault="009428A8">
            <w:pPr>
              <w:jc w:val="center"/>
            </w:pPr>
            <w:r>
              <w:rPr>
                <w:color w:val="000000"/>
                <w:sz w:val="24"/>
              </w:rPr>
              <w:t>170410</w:t>
            </w:r>
          </w:p>
        </w:tc>
        <w:tc>
          <w:tcPr>
            <w:tcW w:w="1533" w:type="dxa"/>
            <w:vAlign w:val="center"/>
          </w:tcPr>
          <w:p w:rsidR="002238DE" w:rsidRDefault="009428A8">
            <w:pPr>
              <w:jc w:val="center"/>
            </w:pPr>
            <w:r>
              <w:rPr>
                <w:color w:val="000000"/>
                <w:sz w:val="24"/>
              </w:rPr>
              <w:t>17</w:t>
            </w:r>
            <w:r>
              <w:rPr>
                <w:color w:val="000000"/>
                <w:sz w:val="24"/>
              </w:rPr>
              <w:t>农发</w:t>
            </w:r>
            <w:r>
              <w:rPr>
                <w:color w:val="000000"/>
                <w:sz w:val="24"/>
              </w:rPr>
              <w:t>10</w:t>
            </w:r>
          </w:p>
        </w:tc>
        <w:tc>
          <w:tcPr>
            <w:tcW w:w="1394" w:type="dxa"/>
            <w:vAlign w:val="center"/>
          </w:tcPr>
          <w:p w:rsidR="002238DE" w:rsidRDefault="009428A8">
            <w:pPr>
              <w:jc w:val="right"/>
            </w:pPr>
            <w:r>
              <w:rPr>
                <w:color w:val="000000"/>
                <w:sz w:val="24"/>
              </w:rPr>
              <w:t>100,000</w:t>
            </w:r>
          </w:p>
        </w:tc>
        <w:tc>
          <w:tcPr>
            <w:tcW w:w="1944" w:type="dxa"/>
            <w:vAlign w:val="center"/>
          </w:tcPr>
          <w:p w:rsidR="002238DE" w:rsidRDefault="009428A8">
            <w:pPr>
              <w:jc w:val="right"/>
            </w:pPr>
            <w:r>
              <w:rPr>
                <w:color w:val="000000"/>
                <w:sz w:val="24"/>
              </w:rPr>
              <w:t>10,003,000.00</w:t>
            </w:r>
          </w:p>
        </w:tc>
        <w:tc>
          <w:tcPr>
            <w:tcW w:w="1389" w:type="dxa"/>
            <w:vAlign w:val="center"/>
          </w:tcPr>
          <w:p w:rsidR="002238DE" w:rsidRDefault="009428A8">
            <w:pPr>
              <w:jc w:val="right"/>
            </w:pPr>
            <w:r>
              <w:rPr>
                <w:color w:val="000000"/>
                <w:sz w:val="24"/>
              </w:rPr>
              <w:t>20.21</w:t>
            </w:r>
          </w:p>
        </w:tc>
      </w:tr>
      <w:tr w:rsidR="002238DE">
        <w:trPr>
          <w:jc w:val="center"/>
        </w:trPr>
        <w:tc>
          <w:tcPr>
            <w:tcW w:w="1075" w:type="dxa"/>
            <w:vAlign w:val="center"/>
          </w:tcPr>
          <w:p w:rsidR="002238DE" w:rsidRDefault="009428A8">
            <w:pPr>
              <w:jc w:val="center"/>
            </w:pPr>
            <w:r>
              <w:rPr>
                <w:color w:val="000000"/>
                <w:sz w:val="24"/>
              </w:rPr>
              <w:t>3</w:t>
            </w:r>
          </w:p>
        </w:tc>
        <w:tc>
          <w:tcPr>
            <w:tcW w:w="1533" w:type="dxa"/>
            <w:vAlign w:val="center"/>
          </w:tcPr>
          <w:p w:rsidR="002238DE" w:rsidRDefault="009428A8">
            <w:pPr>
              <w:jc w:val="center"/>
            </w:pPr>
            <w:r>
              <w:rPr>
                <w:color w:val="000000"/>
                <w:sz w:val="24"/>
              </w:rPr>
              <w:t>018006</w:t>
            </w:r>
          </w:p>
        </w:tc>
        <w:tc>
          <w:tcPr>
            <w:tcW w:w="1533" w:type="dxa"/>
            <w:vAlign w:val="center"/>
          </w:tcPr>
          <w:p w:rsidR="002238DE" w:rsidRDefault="009428A8">
            <w:pPr>
              <w:jc w:val="center"/>
            </w:pPr>
            <w:r>
              <w:rPr>
                <w:color w:val="000000"/>
                <w:sz w:val="24"/>
              </w:rPr>
              <w:t>国开</w:t>
            </w:r>
            <w:r>
              <w:rPr>
                <w:color w:val="000000"/>
                <w:sz w:val="24"/>
              </w:rPr>
              <w:t>1702</w:t>
            </w:r>
          </w:p>
        </w:tc>
        <w:tc>
          <w:tcPr>
            <w:tcW w:w="1394" w:type="dxa"/>
            <w:vAlign w:val="center"/>
          </w:tcPr>
          <w:p w:rsidR="002238DE" w:rsidRDefault="009428A8">
            <w:pPr>
              <w:jc w:val="right"/>
            </w:pPr>
            <w:r>
              <w:rPr>
                <w:color w:val="000000"/>
                <w:sz w:val="24"/>
              </w:rPr>
              <w:t>69,660</w:t>
            </w:r>
          </w:p>
        </w:tc>
        <w:tc>
          <w:tcPr>
            <w:tcW w:w="1944" w:type="dxa"/>
            <w:vAlign w:val="center"/>
          </w:tcPr>
          <w:p w:rsidR="002238DE" w:rsidRDefault="009428A8">
            <w:pPr>
              <w:jc w:val="right"/>
            </w:pPr>
            <w:r>
              <w:rPr>
                <w:color w:val="000000"/>
                <w:sz w:val="24"/>
              </w:rPr>
              <w:t>6,941,619.00</w:t>
            </w:r>
          </w:p>
        </w:tc>
        <w:tc>
          <w:tcPr>
            <w:tcW w:w="1389" w:type="dxa"/>
            <w:vAlign w:val="center"/>
          </w:tcPr>
          <w:p w:rsidR="002238DE" w:rsidRDefault="009428A8">
            <w:pPr>
              <w:jc w:val="right"/>
            </w:pPr>
            <w:r>
              <w:rPr>
                <w:color w:val="000000"/>
                <w:sz w:val="24"/>
              </w:rPr>
              <w:t>14.02</w:t>
            </w:r>
          </w:p>
        </w:tc>
      </w:tr>
      <w:tr w:rsidR="002238DE">
        <w:trPr>
          <w:jc w:val="center"/>
        </w:trPr>
        <w:tc>
          <w:tcPr>
            <w:tcW w:w="1075" w:type="dxa"/>
            <w:vAlign w:val="center"/>
          </w:tcPr>
          <w:p w:rsidR="002238DE" w:rsidRDefault="009428A8">
            <w:pPr>
              <w:jc w:val="center"/>
            </w:pPr>
            <w:r>
              <w:rPr>
                <w:color w:val="000000"/>
                <w:sz w:val="24"/>
              </w:rPr>
              <w:t>4</w:t>
            </w:r>
          </w:p>
        </w:tc>
        <w:tc>
          <w:tcPr>
            <w:tcW w:w="1533" w:type="dxa"/>
            <w:vAlign w:val="center"/>
          </w:tcPr>
          <w:p w:rsidR="002238DE" w:rsidRDefault="009428A8">
            <w:pPr>
              <w:jc w:val="center"/>
            </w:pPr>
            <w:r>
              <w:rPr>
                <w:color w:val="000000"/>
                <w:sz w:val="24"/>
              </w:rPr>
              <w:t>010303</w:t>
            </w:r>
          </w:p>
        </w:tc>
        <w:tc>
          <w:tcPr>
            <w:tcW w:w="1533" w:type="dxa"/>
            <w:vAlign w:val="center"/>
          </w:tcPr>
          <w:p w:rsidR="002238DE" w:rsidRDefault="009428A8">
            <w:pPr>
              <w:jc w:val="center"/>
            </w:pPr>
            <w:r>
              <w:rPr>
                <w:color w:val="000000"/>
                <w:sz w:val="24"/>
              </w:rPr>
              <w:t>03</w:t>
            </w:r>
            <w:r>
              <w:rPr>
                <w:color w:val="000000"/>
                <w:sz w:val="24"/>
              </w:rPr>
              <w:t>国债</w:t>
            </w:r>
            <w:r>
              <w:rPr>
                <w:color w:val="000000"/>
                <w:sz w:val="24"/>
              </w:rPr>
              <w:t>⑶</w:t>
            </w:r>
          </w:p>
        </w:tc>
        <w:tc>
          <w:tcPr>
            <w:tcW w:w="1394" w:type="dxa"/>
            <w:vAlign w:val="center"/>
          </w:tcPr>
          <w:p w:rsidR="002238DE" w:rsidRDefault="009428A8">
            <w:pPr>
              <w:jc w:val="right"/>
            </w:pPr>
            <w:r>
              <w:rPr>
                <w:color w:val="000000"/>
                <w:sz w:val="24"/>
              </w:rPr>
              <w:t>21,790</w:t>
            </w:r>
          </w:p>
        </w:tc>
        <w:tc>
          <w:tcPr>
            <w:tcW w:w="1944" w:type="dxa"/>
            <w:vAlign w:val="center"/>
          </w:tcPr>
          <w:p w:rsidR="002238DE" w:rsidRDefault="009428A8">
            <w:pPr>
              <w:jc w:val="right"/>
            </w:pPr>
            <w:r>
              <w:rPr>
                <w:color w:val="000000"/>
                <w:sz w:val="24"/>
              </w:rPr>
              <w:t>2,160,696.40</w:t>
            </w:r>
          </w:p>
        </w:tc>
        <w:tc>
          <w:tcPr>
            <w:tcW w:w="1389" w:type="dxa"/>
            <w:vAlign w:val="center"/>
          </w:tcPr>
          <w:p w:rsidR="002238DE" w:rsidRDefault="009428A8">
            <w:pPr>
              <w:jc w:val="right"/>
            </w:pPr>
            <w:r>
              <w:rPr>
                <w:color w:val="000000"/>
                <w:sz w:val="24"/>
              </w:rPr>
              <w:t>4.37</w:t>
            </w:r>
          </w:p>
        </w:tc>
      </w:tr>
      <w:tr w:rsidR="002238DE">
        <w:trPr>
          <w:jc w:val="center"/>
        </w:trPr>
        <w:tc>
          <w:tcPr>
            <w:tcW w:w="1075" w:type="dxa"/>
            <w:vAlign w:val="center"/>
          </w:tcPr>
          <w:p w:rsidR="002238DE" w:rsidRDefault="009428A8">
            <w:pPr>
              <w:jc w:val="center"/>
            </w:pPr>
            <w:r>
              <w:rPr>
                <w:color w:val="000000"/>
                <w:sz w:val="24"/>
              </w:rPr>
              <w:t>5</w:t>
            </w:r>
          </w:p>
        </w:tc>
        <w:tc>
          <w:tcPr>
            <w:tcW w:w="1533" w:type="dxa"/>
            <w:vAlign w:val="center"/>
          </w:tcPr>
          <w:p w:rsidR="002238DE" w:rsidRDefault="009428A8">
            <w:pPr>
              <w:jc w:val="center"/>
            </w:pPr>
            <w:r>
              <w:rPr>
                <w:color w:val="000000"/>
                <w:sz w:val="24"/>
              </w:rPr>
              <w:t>132009</w:t>
            </w:r>
          </w:p>
        </w:tc>
        <w:tc>
          <w:tcPr>
            <w:tcW w:w="1533" w:type="dxa"/>
            <w:vAlign w:val="center"/>
          </w:tcPr>
          <w:p w:rsidR="002238DE" w:rsidRDefault="009428A8">
            <w:pPr>
              <w:jc w:val="center"/>
            </w:pPr>
            <w:r>
              <w:rPr>
                <w:color w:val="000000"/>
                <w:sz w:val="24"/>
              </w:rPr>
              <w:t>17</w:t>
            </w:r>
            <w:r>
              <w:rPr>
                <w:color w:val="000000"/>
                <w:sz w:val="24"/>
              </w:rPr>
              <w:t>中油</w:t>
            </w:r>
            <w:r>
              <w:rPr>
                <w:color w:val="000000"/>
                <w:sz w:val="24"/>
              </w:rPr>
              <w:t>EB</w:t>
            </w:r>
          </w:p>
        </w:tc>
        <w:tc>
          <w:tcPr>
            <w:tcW w:w="1394" w:type="dxa"/>
            <w:vAlign w:val="center"/>
          </w:tcPr>
          <w:p w:rsidR="002238DE" w:rsidRDefault="009428A8">
            <w:pPr>
              <w:jc w:val="right"/>
            </w:pPr>
            <w:r>
              <w:rPr>
                <w:color w:val="000000"/>
                <w:sz w:val="24"/>
              </w:rPr>
              <w:t>15,250</w:t>
            </w:r>
          </w:p>
        </w:tc>
        <w:tc>
          <w:tcPr>
            <w:tcW w:w="1944" w:type="dxa"/>
            <w:vAlign w:val="center"/>
          </w:tcPr>
          <w:p w:rsidR="002238DE" w:rsidRDefault="009428A8">
            <w:pPr>
              <w:jc w:val="right"/>
            </w:pPr>
            <w:r>
              <w:rPr>
                <w:color w:val="000000"/>
                <w:sz w:val="24"/>
              </w:rPr>
              <w:t>1,484,740.00</w:t>
            </w:r>
          </w:p>
        </w:tc>
        <w:tc>
          <w:tcPr>
            <w:tcW w:w="1389" w:type="dxa"/>
            <w:vAlign w:val="center"/>
          </w:tcPr>
          <w:p w:rsidR="002238DE" w:rsidRDefault="009428A8">
            <w:pPr>
              <w:jc w:val="right"/>
            </w:pPr>
            <w:r>
              <w:rPr>
                <w:color w:val="000000"/>
                <w:sz w:val="24"/>
              </w:rPr>
              <w:t>3.00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6,603.73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156,993.38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613,171.72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777,468.83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2238DE">
        <w:trPr>
          <w:jc w:val="center"/>
        </w:trPr>
        <w:tc>
          <w:tcPr>
            <w:tcW w:w="0" w:type="auto"/>
            <w:vAlign w:val="center"/>
          </w:tcPr>
          <w:p w:rsidR="002238DE" w:rsidRDefault="009428A8">
            <w:pPr>
              <w:jc w:val="center"/>
            </w:pPr>
            <w:r>
              <w:rPr>
                <w:rFonts w:eastAsiaTheme="minorEastAsia"/>
                <w:color w:val="000000"/>
                <w:sz w:val="24"/>
              </w:rPr>
              <w:t>1</w:t>
            </w:r>
          </w:p>
        </w:tc>
        <w:tc>
          <w:tcPr>
            <w:tcW w:w="0" w:type="auto"/>
            <w:vAlign w:val="center"/>
          </w:tcPr>
          <w:p w:rsidR="002238DE" w:rsidRDefault="009428A8">
            <w:pPr>
              <w:jc w:val="center"/>
            </w:pPr>
            <w:r>
              <w:rPr>
                <w:rFonts w:eastAsiaTheme="minorEastAsia"/>
                <w:color w:val="000000"/>
                <w:sz w:val="24"/>
              </w:rPr>
              <w:t>128016</w:t>
            </w:r>
          </w:p>
        </w:tc>
        <w:tc>
          <w:tcPr>
            <w:tcW w:w="0" w:type="auto"/>
            <w:vAlign w:val="center"/>
          </w:tcPr>
          <w:p w:rsidR="002238DE" w:rsidRDefault="009428A8">
            <w:pPr>
              <w:jc w:val="center"/>
            </w:pPr>
            <w:r>
              <w:rPr>
                <w:rFonts w:eastAsiaTheme="minorEastAsia"/>
                <w:color w:val="000000"/>
                <w:sz w:val="24"/>
              </w:rPr>
              <w:t>雨虹转债</w:t>
            </w:r>
          </w:p>
        </w:tc>
        <w:tc>
          <w:tcPr>
            <w:tcW w:w="0" w:type="auto"/>
            <w:vAlign w:val="center"/>
          </w:tcPr>
          <w:p w:rsidR="002238DE" w:rsidRDefault="009428A8">
            <w:pPr>
              <w:jc w:val="right"/>
            </w:pPr>
            <w:r>
              <w:rPr>
                <w:rFonts w:eastAsiaTheme="minorEastAsia"/>
                <w:color w:val="000000"/>
                <w:sz w:val="24"/>
              </w:rPr>
              <w:t>773,459.00</w:t>
            </w:r>
          </w:p>
        </w:tc>
        <w:tc>
          <w:tcPr>
            <w:tcW w:w="0" w:type="auto"/>
            <w:vAlign w:val="center"/>
          </w:tcPr>
          <w:p w:rsidR="002238DE" w:rsidRDefault="009428A8">
            <w:pPr>
              <w:jc w:val="right"/>
            </w:pPr>
            <w:r>
              <w:rPr>
                <w:rFonts w:eastAsiaTheme="minorEastAsia"/>
                <w:color w:val="000000"/>
                <w:sz w:val="24"/>
              </w:rPr>
              <w:t>1.56</w:t>
            </w:r>
          </w:p>
        </w:tc>
      </w:tr>
      <w:tr w:rsidR="002238DE">
        <w:trPr>
          <w:jc w:val="center"/>
        </w:trPr>
        <w:tc>
          <w:tcPr>
            <w:tcW w:w="0" w:type="auto"/>
            <w:vAlign w:val="center"/>
          </w:tcPr>
          <w:p w:rsidR="002238DE" w:rsidRDefault="009428A8">
            <w:pPr>
              <w:jc w:val="center"/>
            </w:pPr>
            <w:r>
              <w:rPr>
                <w:rFonts w:eastAsiaTheme="minorEastAsia"/>
                <w:color w:val="000000"/>
                <w:sz w:val="24"/>
              </w:rPr>
              <w:t>2</w:t>
            </w:r>
          </w:p>
        </w:tc>
        <w:tc>
          <w:tcPr>
            <w:tcW w:w="0" w:type="auto"/>
            <w:vAlign w:val="center"/>
          </w:tcPr>
          <w:p w:rsidR="002238DE" w:rsidRDefault="009428A8">
            <w:pPr>
              <w:jc w:val="center"/>
            </w:pPr>
            <w:r>
              <w:rPr>
                <w:rFonts w:eastAsiaTheme="minorEastAsia"/>
                <w:color w:val="000000"/>
                <w:sz w:val="24"/>
              </w:rPr>
              <w:t>110032</w:t>
            </w:r>
          </w:p>
        </w:tc>
        <w:tc>
          <w:tcPr>
            <w:tcW w:w="0" w:type="auto"/>
            <w:vAlign w:val="center"/>
          </w:tcPr>
          <w:p w:rsidR="002238DE" w:rsidRDefault="009428A8">
            <w:pPr>
              <w:jc w:val="center"/>
            </w:pPr>
            <w:r>
              <w:rPr>
                <w:rFonts w:eastAsiaTheme="minorEastAsia"/>
                <w:color w:val="000000"/>
                <w:sz w:val="24"/>
              </w:rPr>
              <w:t>三一转债</w:t>
            </w:r>
          </w:p>
        </w:tc>
        <w:tc>
          <w:tcPr>
            <w:tcW w:w="0" w:type="auto"/>
            <w:vAlign w:val="center"/>
          </w:tcPr>
          <w:p w:rsidR="002238DE" w:rsidRDefault="009428A8">
            <w:pPr>
              <w:jc w:val="right"/>
            </w:pPr>
            <w:r>
              <w:rPr>
                <w:rFonts w:eastAsiaTheme="minorEastAsia"/>
                <w:color w:val="000000"/>
                <w:sz w:val="24"/>
              </w:rPr>
              <w:t>368,220.00</w:t>
            </w:r>
          </w:p>
        </w:tc>
        <w:tc>
          <w:tcPr>
            <w:tcW w:w="0" w:type="auto"/>
            <w:vAlign w:val="center"/>
          </w:tcPr>
          <w:p w:rsidR="002238DE" w:rsidRDefault="009428A8">
            <w:pPr>
              <w:jc w:val="right"/>
            </w:pPr>
            <w:r>
              <w:rPr>
                <w:rFonts w:eastAsiaTheme="minorEastAsia"/>
                <w:color w:val="000000"/>
                <w:sz w:val="24"/>
              </w:rPr>
              <w:t>0.74</w:t>
            </w:r>
          </w:p>
        </w:tc>
      </w:tr>
      <w:tr w:rsidR="002238DE">
        <w:trPr>
          <w:jc w:val="center"/>
        </w:trPr>
        <w:tc>
          <w:tcPr>
            <w:tcW w:w="0" w:type="auto"/>
            <w:vAlign w:val="center"/>
          </w:tcPr>
          <w:p w:rsidR="002238DE" w:rsidRDefault="009428A8">
            <w:pPr>
              <w:jc w:val="center"/>
            </w:pPr>
            <w:r>
              <w:rPr>
                <w:rFonts w:eastAsiaTheme="minorEastAsia"/>
                <w:color w:val="000000"/>
                <w:sz w:val="24"/>
              </w:rPr>
              <w:t>3</w:t>
            </w:r>
          </w:p>
        </w:tc>
        <w:tc>
          <w:tcPr>
            <w:tcW w:w="0" w:type="auto"/>
            <w:vAlign w:val="center"/>
          </w:tcPr>
          <w:p w:rsidR="002238DE" w:rsidRDefault="009428A8">
            <w:pPr>
              <w:jc w:val="center"/>
            </w:pPr>
            <w:r>
              <w:rPr>
                <w:rFonts w:eastAsiaTheme="minorEastAsia"/>
                <w:color w:val="000000"/>
                <w:sz w:val="24"/>
              </w:rPr>
              <w:t>128029</w:t>
            </w:r>
          </w:p>
        </w:tc>
        <w:tc>
          <w:tcPr>
            <w:tcW w:w="0" w:type="auto"/>
            <w:vAlign w:val="center"/>
          </w:tcPr>
          <w:p w:rsidR="002238DE" w:rsidRDefault="009428A8">
            <w:pPr>
              <w:jc w:val="center"/>
            </w:pPr>
            <w:r>
              <w:rPr>
                <w:rFonts w:eastAsiaTheme="minorEastAsia"/>
                <w:color w:val="000000"/>
                <w:sz w:val="24"/>
              </w:rPr>
              <w:t>太阳转债</w:t>
            </w:r>
          </w:p>
        </w:tc>
        <w:tc>
          <w:tcPr>
            <w:tcW w:w="0" w:type="auto"/>
            <w:vAlign w:val="center"/>
          </w:tcPr>
          <w:p w:rsidR="002238DE" w:rsidRDefault="009428A8">
            <w:pPr>
              <w:jc w:val="right"/>
            </w:pPr>
            <w:r>
              <w:rPr>
                <w:rFonts w:eastAsiaTheme="minorEastAsia"/>
                <w:color w:val="000000"/>
                <w:sz w:val="24"/>
              </w:rPr>
              <w:t>85,802.52</w:t>
            </w:r>
          </w:p>
        </w:tc>
        <w:tc>
          <w:tcPr>
            <w:tcW w:w="0" w:type="auto"/>
            <w:vAlign w:val="center"/>
          </w:tcPr>
          <w:p w:rsidR="002238DE" w:rsidRDefault="009428A8">
            <w:pPr>
              <w:jc w:val="right"/>
            </w:pPr>
            <w:r>
              <w:rPr>
                <w:rFonts w:eastAsiaTheme="minorEastAsia"/>
                <w:color w:val="000000"/>
                <w:sz w:val="24"/>
              </w:rPr>
              <w:t>0.17</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2238DE" w:rsidRDefault="009428A8">
      <w:pPr>
        <w:spacing w:before="29" w:line="288" w:lineRule="auto"/>
        <w:rPr>
          <w:rFonts w:eastAsiaTheme="minorEastAsia"/>
          <w:color w:val="000000"/>
          <w:sz w:val="24"/>
        </w:rPr>
      </w:pPr>
      <w:r>
        <w:rPr>
          <w:rFonts w:eastAsiaTheme="minorEastAsia"/>
          <w:color w:val="000000"/>
          <w:sz w:val="24"/>
        </w:rPr>
        <w:t>1</w:t>
      </w:r>
      <w:r>
        <w:rPr>
          <w:rFonts w:eastAsiaTheme="minorEastAsia"/>
          <w:color w:val="000000"/>
          <w:sz w:val="24"/>
        </w:rPr>
        <w:t>、本基金本报告期末未持有处于交换期的可交换债券。</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7E3C97" w:rsidRDefault="00C51B4E" w:rsidP="0028293E">
      <w:pPr>
        <w:pStyle w:val="1"/>
        <w:spacing w:beforeLines="100" w:before="312" w:afterLines="100" w:after="312" w:line="360" w:lineRule="auto"/>
        <w:jc w:val="center"/>
        <w:rPr>
          <w:rFonts w:eastAsiaTheme="minorEastAsia"/>
          <w:color w:val="000000" w:themeColor="text1"/>
          <w:kern w:val="0"/>
          <w:sz w:val="24"/>
          <w:szCs w:val="24"/>
        </w:rPr>
      </w:pPr>
      <w:bookmarkStart w:id="0" w:name="_GoBack"/>
      <w:r w:rsidRPr="007E3C97">
        <w:rPr>
          <w:rFonts w:eastAsiaTheme="minorEastAsia"/>
          <w:color w:val="000000" w:themeColor="text1"/>
          <w:kern w:val="0"/>
          <w:sz w:val="24"/>
          <w:szCs w:val="24"/>
        </w:rPr>
        <w:t>§6</w:t>
      </w:r>
      <w:r w:rsidRPr="007E3C97">
        <w:rPr>
          <w:rFonts w:eastAsiaTheme="minorEastAsia" w:hint="eastAsia"/>
          <w:color w:val="000000" w:themeColor="text1"/>
          <w:kern w:val="0"/>
          <w:sz w:val="24"/>
          <w:szCs w:val="24"/>
        </w:rPr>
        <w:t xml:space="preserve">  </w:t>
      </w:r>
      <w:r w:rsidRPr="007E3C97">
        <w:rPr>
          <w:rFonts w:eastAsiaTheme="minorEastAsia" w:hint="eastAsia"/>
          <w:color w:val="000000" w:themeColor="text1"/>
          <w:kern w:val="0"/>
          <w:sz w:val="24"/>
          <w:szCs w:val="24"/>
        </w:rPr>
        <w:t>基金中基金</w:t>
      </w:r>
    </w:p>
    <w:p w:rsidR="00C51B4E" w:rsidRPr="007E3C97" w:rsidRDefault="00C51B4E" w:rsidP="00C51B4E">
      <w:pPr>
        <w:adjustRightInd w:val="0"/>
        <w:snapToGrid w:val="0"/>
        <w:spacing w:line="360" w:lineRule="auto"/>
        <w:rPr>
          <w:rFonts w:eastAsiaTheme="minorEastAsia"/>
          <w:b/>
          <w:color w:val="000000" w:themeColor="text1"/>
          <w:kern w:val="0"/>
          <w:sz w:val="24"/>
        </w:rPr>
      </w:pPr>
      <w:r w:rsidRPr="007E3C97">
        <w:rPr>
          <w:rFonts w:eastAsiaTheme="minorEastAsia"/>
          <w:b/>
          <w:color w:val="000000" w:themeColor="text1"/>
          <w:kern w:val="0"/>
          <w:sz w:val="24"/>
        </w:rPr>
        <w:t>6.1</w:t>
      </w:r>
      <w:r w:rsidRPr="007E3C97">
        <w:rPr>
          <w:rFonts w:eastAsiaTheme="minorEastAsia" w:hint="eastAsia"/>
          <w:b/>
          <w:color w:val="000000" w:themeColor="text1"/>
          <w:kern w:val="0"/>
          <w:sz w:val="24"/>
        </w:rPr>
        <w:t xml:space="preserve"> </w:t>
      </w:r>
      <w:r w:rsidRPr="007E3C97">
        <w:rPr>
          <w:rFonts w:eastAsiaTheme="minorEastAsia" w:hint="eastAsia"/>
          <w:b/>
          <w:color w:val="000000" w:themeColor="text1"/>
          <w:kern w:val="0"/>
          <w:sz w:val="24"/>
        </w:rPr>
        <w:t>报告期末按公允价值占基金资产净值比例大小排序的前十名基金投资明细</w:t>
      </w:r>
    </w:p>
    <w:p w:rsidR="00C51B4E" w:rsidRPr="007E3C97"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7E3C97">
        <w:rPr>
          <w:rFonts w:eastAsiaTheme="minorEastAsia"/>
          <w:color w:val="000000" w:themeColor="text1"/>
          <w:sz w:val="24"/>
        </w:rPr>
        <w:t>本基金本报告期末未持有基金。</w:t>
      </w:r>
    </w:p>
    <w:p w:rsidR="00C51B4E" w:rsidRPr="007E3C97" w:rsidRDefault="00C51B4E" w:rsidP="0028293E">
      <w:pPr>
        <w:adjustRightInd w:val="0"/>
        <w:snapToGrid w:val="0"/>
        <w:spacing w:beforeLines="50" w:before="156" w:line="360" w:lineRule="auto"/>
        <w:rPr>
          <w:rFonts w:eastAsiaTheme="minorEastAsia"/>
          <w:b/>
          <w:color w:val="000000" w:themeColor="text1"/>
          <w:kern w:val="0"/>
          <w:sz w:val="24"/>
        </w:rPr>
      </w:pPr>
      <w:r w:rsidRPr="007E3C97">
        <w:rPr>
          <w:rFonts w:eastAsiaTheme="minorEastAsia"/>
          <w:b/>
          <w:color w:val="000000" w:themeColor="text1"/>
          <w:kern w:val="0"/>
          <w:sz w:val="24"/>
        </w:rPr>
        <w:t>6.2</w:t>
      </w:r>
      <w:r w:rsidRPr="007E3C97">
        <w:rPr>
          <w:rFonts w:eastAsiaTheme="minorEastAsia" w:hint="eastAsia"/>
          <w:b/>
          <w:color w:val="000000" w:themeColor="text1"/>
          <w:kern w:val="0"/>
          <w:sz w:val="24"/>
        </w:rPr>
        <w:t xml:space="preserve"> </w:t>
      </w:r>
      <w:r w:rsidRPr="007E3C97">
        <w:rPr>
          <w:rFonts w:eastAsiaTheme="minorEastAsia" w:hint="eastAsia"/>
          <w:b/>
          <w:color w:val="000000" w:themeColor="text1"/>
          <w:kern w:val="0"/>
          <w:sz w:val="24"/>
        </w:rPr>
        <w:t>当期交易及持有基金产生的费用</w:t>
      </w:r>
    </w:p>
    <w:p w:rsidR="00C51B4E" w:rsidRPr="007E3C97"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7E3C97">
        <w:rPr>
          <w:rFonts w:eastAsiaTheme="minorEastAsia"/>
          <w:color w:val="000000" w:themeColor="text1"/>
          <w:sz w:val="24"/>
        </w:rPr>
        <w:t>本基金本报告期内未交易或持有基金。</w:t>
      </w:r>
    </w:p>
    <w:p w:rsidR="00C51B4E" w:rsidRPr="007E3C97" w:rsidRDefault="00C51B4E" w:rsidP="0028293E">
      <w:pPr>
        <w:adjustRightInd w:val="0"/>
        <w:snapToGrid w:val="0"/>
        <w:spacing w:beforeLines="50" w:before="156" w:line="360" w:lineRule="auto"/>
        <w:rPr>
          <w:rFonts w:eastAsiaTheme="minorEastAsia"/>
          <w:b/>
          <w:color w:val="000000" w:themeColor="text1"/>
          <w:kern w:val="0"/>
          <w:sz w:val="24"/>
        </w:rPr>
      </w:pPr>
      <w:r w:rsidRPr="007E3C97">
        <w:rPr>
          <w:rFonts w:eastAsiaTheme="minorEastAsia"/>
          <w:b/>
          <w:color w:val="000000" w:themeColor="text1"/>
          <w:kern w:val="0"/>
          <w:sz w:val="24"/>
        </w:rPr>
        <w:t>6.3</w:t>
      </w:r>
      <w:r w:rsidRPr="007E3C97">
        <w:rPr>
          <w:rFonts w:eastAsiaTheme="minorEastAsia" w:hint="eastAsia"/>
          <w:b/>
          <w:color w:val="000000" w:themeColor="text1"/>
          <w:kern w:val="0"/>
          <w:sz w:val="24"/>
        </w:rPr>
        <w:t xml:space="preserve"> </w:t>
      </w:r>
      <w:r w:rsidRPr="007E3C97">
        <w:rPr>
          <w:rFonts w:eastAsiaTheme="minorEastAsia" w:hint="eastAsia"/>
          <w:b/>
          <w:color w:val="000000" w:themeColor="text1"/>
          <w:kern w:val="0"/>
          <w:sz w:val="24"/>
        </w:rPr>
        <w:t>本报告期持有的基金发生的重大影响事件</w:t>
      </w:r>
    </w:p>
    <w:p w:rsidR="008150EC" w:rsidRPr="007E3C97" w:rsidRDefault="008150EC" w:rsidP="008150EC">
      <w:pPr>
        <w:autoSpaceDE w:val="0"/>
        <w:autoSpaceDN w:val="0"/>
        <w:adjustRightInd w:val="0"/>
        <w:spacing w:line="360" w:lineRule="auto"/>
        <w:ind w:firstLineChars="200" w:firstLine="480"/>
        <w:jc w:val="left"/>
        <w:rPr>
          <w:rFonts w:eastAsiaTheme="minorEastAsia"/>
          <w:color w:val="000000" w:themeColor="text1"/>
          <w:sz w:val="24"/>
        </w:rPr>
      </w:pPr>
      <w:r w:rsidRPr="007E3C97">
        <w:rPr>
          <w:rFonts w:eastAsiaTheme="minorEastAsia" w:hint="eastAsia"/>
          <w:color w:val="000000" w:themeColor="text1"/>
          <w:sz w:val="24"/>
        </w:rPr>
        <w:t>无</w:t>
      </w:r>
      <w:r w:rsidRPr="007E3C97">
        <w:rPr>
          <w:rFonts w:eastAsiaTheme="minorEastAsia"/>
          <w:color w:val="000000" w:themeColor="text1"/>
          <w:sz w:val="24"/>
        </w:rPr>
        <w:t>。</w:t>
      </w:r>
    </w:p>
    <w:bookmarkEnd w:id="0"/>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47,774,901.29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446,027.02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1,937,873.23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10,564,381.40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12,287,862.58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952,841.93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37,424,911.94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10,057,566.49</w:t>
            </w:r>
          </w:p>
        </w:tc>
      </w:tr>
    </w:tbl>
    <w:p w:rsidR="002238DE" w:rsidRDefault="009428A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2238DE">
        <w:tc>
          <w:tcPr>
            <w:tcW w:w="992" w:type="dxa"/>
            <w:vMerge w:val="restart"/>
          </w:tcPr>
          <w:p w:rsidR="002238DE" w:rsidRDefault="002238DE"/>
          <w:p w:rsidR="002238DE" w:rsidRDefault="009428A8">
            <w:r>
              <w:rPr>
                <w:rFonts w:ascii="宋体" w:hAnsi="宋体" w:hint="eastAsia"/>
                <w:bCs/>
                <w:color w:val="000000"/>
                <w:kern w:val="0"/>
                <w:szCs w:val="21"/>
              </w:rPr>
              <w:t>机构</w:t>
            </w:r>
          </w:p>
        </w:tc>
        <w:tc>
          <w:tcPr>
            <w:tcW w:w="991" w:type="dxa"/>
            <w:vAlign w:val="center"/>
          </w:tcPr>
          <w:p w:rsidR="002238DE" w:rsidRDefault="009428A8">
            <w:pPr>
              <w:jc w:val="center"/>
            </w:pPr>
            <w:r>
              <w:rPr>
                <w:rFonts w:ascii="宋体" w:hAnsi="宋体" w:hint="eastAsia"/>
                <w:color w:val="000000"/>
                <w:kern w:val="0"/>
                <w:szCs w:val="21"/>
              </w:rPr>
              <w:t>1</w:t>
            </w:r>
          </w:p>
        </w:tc>
        <w:tc>
          <w:tcPr>
            <w:tcW w:w="1843" w:type="dxa"/>
            <w:vAlign w:val="center"/>
          </w:tcPr>
          <w:p w:rsidR="002238DE" w:rsidRDefault="009428A8">
            <w:pPr>
              <w:jc w:val="center"/>
            </w:pPr>
            <w:r>
              <w:rPr>
                <w:rFonts w:ascii="宋体" w:hAnsi="宋体" w:hint="eastAsia"/>
                <w:color w:val="000000"/>
                <w:kern w:val="0"/>
                <w:szCs w:val="21"/>
              </w:rPr>
              <w:t>2018/4/1-2018/6/30</w:t>
            </w:r>
          </w:p>
        </w:tc>
        <w:tc>
          <w:tcPr>
            <w:tcW w:w="851" w:type="dxa"/>
            <w:vAlign w:val="center"/>
          </w:tcPr>
          <w:p w:rsidR="002238DE" w:rsidRDefault="009428A8">
            <w:pPr>
              <w:jc w:val="center"/>
            </w:pPr>
            <w:r>
              <w:rPr>
                <w:rFonts w:ascii="宋体" w:hAnsi="宋体" w:hint="eastAsia"/>
                <w:color w:val="000000"/>
                <w:kern w:val="0"/>
                <w:szCs w:val="21"/>
              </w:rPr>
              <w:t>-</w:t>
            </w:r>
          </w:p>
        </w:tc>
        <w:tc>
          <w:tcPr>
            <w:tcW w:w="850" w:type="dxa"/>
            <w:vAlign w:val="center"/>
          </w:tcPr>
          <w:p w:rsidR="002238DE" w:rsidRDefault="009428A8">
            <w:pPr>
              <w:jc w:val="center"/>
            </w:pPr>
            <w:r>
              <w:rPr>
                <w:rFonts w:ascii="宋体" w:hAnsi="宋体" w:hint="eastAsia"/>
                <w:color w:val="000000"/>
                <w:kern w:val="0"/>
                <w:szCs w:val="21"/>
              </w:rPr>
              <w:t>9,624,639.08</w:t>
            </w:r>
          </w:p>
        </w:tc>
        <w:tc>
          <w:tcPr>
            <w:tcW w:w="1134" w:type="dxa"/>
            <w:vAlign w:val="center"/>
          </w:tcPr>
          <w:p w:rsidR="002238DE" w:rsidRDefault="009428A8">
            <w:pPr>
              <w:jc w:val="center"/>
            </w:pPr>
            <w:r>
              <w:rPr>
                <w:rFonts w:ascii="宋体" w:hAnsi="宋体" w:hint="eastAsia"/>
                <w:color w:val="000000"/>
                <w:kern w:val="0"/>
                <w:szCs w:val="21"/>
              </w:rPr>
              <w:t>-</w:t>
            </w:r>
          </w:p>
        </w:tc>
        <w:tc>
          <w:tcPr>
            <w:tcW w:w="1419" w:type="dxa"/>
            <w:vAlign w:val="center"/>
          </w:tcPr>
          <w:p w:rsidR="002238DE" w:rsidRDefault="009428A8">
            <w:pPr>
              <w:jc w:val="center"/>
            </w:pPr>
            <w:r>
              <w:rPr>
                <w:rFonts w:ascii="宋体" w:hAnsi="宋体" w:hint="eastAsia"/>
                <w:color w:val="000000"/>
                <w:kern w:val="0"/>
                <w:szCs w:val="21"/>
              </w:rPr>
              <w:t>9,624,639.08</w:t>
            </w:r>
          </w:p>
        </w:tc>
        <w:tc>
          <w:tcPr>
            <w:tcW w:w="1130" w:type="dxa"/>
            <w:vAlign w:val="center"/>
          </w:tcPr>
          <w:p w:rsidR="002238DE" w:rsidRDefault="009428A8">
            <w:pPr>
              <w:jc w:val="center"/>
            </w:pPr>
            <w:r>
              <w:rPr>
                <w:rFonts w:ascii="宋体" w:hAnsi="宋体" w:hint="eastAsia"/>
                <w:color w:val="000000"/>
                <w:kern w:val="0"/>
                <w:szCs w:val="21"/>
              </w:rPr>
              <w:t>20.27%</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2238DE" w:rsidRDefault="009428A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、中国证监会准予交银施罗德增利增强债券型证券投资基金募集注册的文件；</w:t>
      </w:r>
      <w:r>
        <w:rPr>
          <w:rFonts w:eastAsiaTheme="minorEastAsia"/>
          <w:color w:val="000000"/>
          <w:sz w:val="24"/>
        </w:rPr>
        <w:t xml:space="preserve"> </w:t>
      </w:r>
    </w:p>
    <w:p w:rsidR="002238DE" w:rsidRDefault="009428A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、《交银施罗德增利增强债券型证券投资基金基金合同》；</w:t>
      </w:r>
      <w:r>
        <w:rPr>
          <w:rFonts w:eastAsiaTheme="minorEastAsia"/>
          <w:color w:val="000000"/>
          <w:sz w:val="24"/>
        </w:rPr>
        <w:t xml:space="preserve"> </w:t>
      </w:r>
    </w:p>
    <w:p w:rsidR="002238DE" w:rsidRDefault="009428A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、《交银施罗德增利增强债券型证券投资基金招募说明书》；</w:t>
      </w:r>
      <w:r>
        <w:rPr>
          <w:rFonts w:eastAsiaTheme="minorEastAsia"/>
          <w:color w:val="000000"/>
          <w:sz w:val="24"/>
        </w:rPr>
        <w:t xml:space="preserve"> </w:t>
      </w:r>
    </w:p>
    <w:p w:rsidR="002238DE" w:rsidRDefault="009428A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、《交银施罗德增利增强债券型证券投资基金托管协议》；</w:t>
      </w:r>
      <w:r>
        <w:rPr>
          <w:rFonts w:eastAsiaTheme="minorEastAsia"/>
          <w:color w:val="000000"/>
          <w:sz w:val="24"/>
        </w:rPr>
        <w:t xml:space="preserve"> </w:t>
      </w:r>
    </w:p>
    <w:p w:rsidR="002238DE" w:rsidRDefault="009428A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、关于申请募集注册交银施罗德增利增强债券型证券投资基金的法律意见书；</w:t>
      </w:r>
      <w:r>
        <w:rPr>
          <w:rFonts w:eastAsiaTheme="minorEastAsia"/>
          <w:color w:val="000000"/>
          <w:sz w:val="24"/>
        </w:rPr>
        <w:t xml:space="preserve"> </w:t>
      </w:r>
    </w:p>
    <w:p w:rsidR="002238DE" w:rsidRDefault="009428A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2238DE" w:rsidRDefault="009428A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、报告期内交银施罗德增利增强债券型证券投资基金在指定报刊上各项公告的原稿。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2238DE" w:rsidRDefault="009428A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79C" w:rsidRDefault="00A7079C">
      <w:r>
        <w:separator/>
      </w:r>
    </w:p>
  </w:endnote>
  <w:endnote w:type="continuationSeparator" w:id="0">
    <w:p w:rsidR="00A7079C" w:rsidRDefault="00A7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7E3C97">
      <w:rPr>
        <w:noProof/>
        <w:kern w:val="0"/>
        <w:szCs w:val="21"/>
      </w:rPr>
      <w:t>14</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7E3C97">
      <w:rPr>
        <w:noProof/>
        <w:kern w:val="0"/>
        <w:szCs w:val="21"/>
      </w:rPr>
      <w:t>16</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79C" w:rsidRDefault="00A7079C">
      <w:r>
        <w:separator/>
      </w:r>
    </w:p>
  </w:footnote>
  <w:footnote w:type="continuationSeparator" w:id="0">
    <w:p w:rsidR="00A7079C" w:rsidRDefault="00A70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交银施罗德增利增强债券型证券投资基金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38DE"/>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3C97"/>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0EC"/>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28A8"/>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079C"/>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85298-EF8E-47AB-B310-73D9DCF2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206</TotalTime>
  <Pages>16</Pages>
  <Words>1383</Words>
  <Characters>7884</Characters>
  <Application>Microsoft Office Word</Application>
  <DocSecurity>0</DocSecurity>
  <Lines>65</Lines>
  <Paragraphs>18</Paragraphs>
  <ScaleCrop>false</ScaleCrop>
  <Company>TRT. Ltd. Co.</Company>
  <LinksUpToDate>false</LinksUpToDate>
  <CharactersWithSpaces>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377</cp:revision>
  <cp:lastPrinted>2007-07-19T00:46:00Z</cp:lastPrinted>
  <dcterms:created xsi:type="dcterms:W3CDTF">2014-01-17T06:19:00Z</dcterms:created>
  <dcterms:modified xsi:type="dcterms:W3CDTF">2018-07-16T08:55:00Z</dcterms:modified>
</cp:coreProperties>
</file>