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交银施罗德启通灵活配置混合型证券投资基金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上海浦东发展银行股份有限公司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基金托管人上海浦东发展银行股份有限公司根据本基金合同规定，于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04450" w:rsidRPr="00D04450" w:rsidRDefault="00D04450" w:rsidP="00D04450">
      <w:pPr>
        <w:spacing w:before="29" w:line="288" w:lineRule="auto"/>
        <w:ind w:firstLineChars="200" w:firstLine="480"/>
        <w:rPr>
          <w:rFonts w:eastAsiaTheme="minorEastAsia" w:hint="eastAsia"/>
          <w:color w:val="000000"/>
          <w:sz w:val="24"/>
        </w:rPr>
      </w:pPr>
      <w:r w:rsidRPr="00D04450">
        <w:rPr>
          <w:rFonts w:eastAsiaTheme="minorEastAsia" w:hint="eastAsia"/>
          <w:color w:val="000000"/>
          <w:sz w:val="24"/>
        </w:rPr>
        <w:t>本基金自</w:t>
      </w:r>
      <w:r w:rsidRPr="00D04450">
        <w:rPr>
          <w:rFonts w:eastAsiaTheme="minorEastAsia" w:hint="eastAsia"/>
          <w:color w:val="000000"/>
          <w:sz w:val="24"/>
        </w:rPr>
        <w:t>2018</w:t>
      </w:r>
      <w:r w:rsidRPr="00D04450">
        <w:rPr>
          <w:rFonts w:eastAsiaTheme="minorEastAsia" w:hint="eastAsia"/>
          <w:color w:val="000000"/>
          <w:sz w:val="24"/>
        </w:rPr>
        <w:t>年</w:t>
      </w:r>
      <w:r w:rsidRPr="00D04450">
        <w:rPr>
          <w:rFonts w:eastAsiaTheme="minorEastAsia" w:hint="eastAsia"/>
          <w:color w:val="000000"/>
          <w:sz w:val="24"/>
        </w:rPr>
        <w:t>6</w:t>
      </w:r>
      <w:r w:rsidRPr="00D04450">
        <w:rPr>
          <w:rFonts w:eastAsiaTheme="minorEastAsia" w:hint="eastAsia"/>
          <w:color w:val="000000"/>
          <w:sz w:val="24"/>
        </w:rPr>
        <w:t>月</w:t>
      </w:r>
      <w:r w:rsidRPr="00D04450">
        <w:rPr>
          <w:rFonts w:eastAsiaTheme="minorEastAsia" w:hint="eastAsia"/>
          <w:color w:val="000000"/>
          <w:sz w:val="24"/>
        </w:rPr>
        <w:t>29</w:t>
      </w:r>
      <w:r w:rsidRPr="00D04450">
        <w:rPr>
          <w:rFonts w:eastAsiaTheme="minorEastAsia" w:hint="eastAsia"/>
          <w:color w:val="000000"/>
          <w:sz w:val="24"/>
        </w:rPr>
        <w:t>日起进入清算程序，财务报表数据披露截至</w:t>
      </w:r>
      <w:r w:rsidRPr="00D04450">
        <w:rPr>
          <w:rFonts w:eastAsiaTheme="minorEastAsia" w:hint="eastAsia"/>
          <w:color w:val="000000"/>
          <w:sz w:val="24"/>
        </w:rPr>
        <w:t>2018</w:t>
      </w:r>
      <w:r w:rsidRPr="00D04450">
        <w:rPr>
          <w:rFonts w:eastAsiaTheme="minorEastAsia" w:hint="eastAsia"/>
          <w:color w:val="000000"/>
          <w:sz w:val="24"/>
        </w:rPr>
        <w:t>年</w:t>
      </w:r>
      <w:r w:rsidRPr="00D04450">
        <w:rPr>
          <w:rFonts w:eastAsiaTheme="minorEastAsia" w:hint="eastAsia"/>
          <w:color w:val="000000"/>
          <w:sz w:val="24"/>
        </w:rPr>
        <w:t>6</w:t>
      </w:r>
      <w:r w:rsidRPr="00D04450">
        <w:rPr>
          <w:rFonts w:eastAsiaTheme="minorEastAsia" w:hint="eastAsia"/>
          <w:color w:val="000000"/>
          <w:sz w:val="24"/>
        </w:rPr>
        <w:t>月</w:t>
      </w:r>
      <w:r w:rsidRPr="00D04450">
        <w:rPr>
          <w:rFonts w:eastAsiaTheme="minorEastAsia" w:hint="eastAsia"/>
          <w:color w:val="000000"/>
          <w:sz w:val="24"/>
        </w:rPr>
        <w:t>28</w:t>
      </w:r>
      <w:r w:rsidRPr="00D04450">
        <w:rPr>
          <w:rFonts w:eastAsiaTheme="minorEastAsia" w:hint="eastAsia"/>
          <w:color w:val="000000"/>
          <w:sz w:val="24"/>
        </w:rPr>
        <w:t>日</w:t>
      </w:r>
      <w:r w:rsidRPr="00D04450">
        <w:rPr>
          <w:rFonts w:eastAsiaTheme="minorEastAsia" w:hint="eastAsia"/>
          <w:color w:val="000000"/>
          <w:sz w:val="24"/>
        </w:rPr>
        <w:t>(</w:t>
      </w:r>
      <w:r w:rsidRPr="00D04450">
        <w:rPr>
          <w:rFonts w:eastAsiaTheme="minorEastAsia" w:hint="eastAsia"/>
          <w:color w:val="000000"/>
          <w:sz w:val="24"/>
        </w:rPr>
        <w:t>基金最后运作日</w:t>
      </w:r>
      <w:r w:rsidRPr="00D04450">
        <w:rPr>
          <w:rFonts w:eastAsiaTheme="minorEastAsia" w:hint="eastAsia"/>
          <w:color w:val="000000"/>
          <w:sz w:val="24"/>
        </w:rPr>
        <w:t>)</w:t>
      </w:r>
      <w:r w:rsidRPr="00D04450">
        <w:rPr>
          <w:rFonts w:eastAsiaTheme="minorEastAsia" w:hint="eastAsia"/>
          <w:color w:val="000000"/>
          <w:sz w:val="24"/>
        </w:rPr>
        <w:t>，本报告中财务资料未经审计。</w:t>
      </w:r>
    </w:p>
    <w:p w:rsidR="00740635" w:rsidRPr="007F52FA" w:rsidRDefault="00D04450" w:rsidP="007C14DF">
      <w:pPr>
        <w:spacing w:before="29" w:line="288" w:lineRule="auto"/>
        <w:ind w:firstLineChars="200" w:firstLine="480"/>
        <w:rPr>
          <w:rFonts w:eastAsiaTheme="minorEastAsia"/>
          <w:color w:val="000000"/>
          <w:sz w:val="24"/>
        </w:rPr>
      </w:pPr>
      <w:r w:rsidRPr="00D04450">
        <w:rPr>
          <w:rFonts w:eastAsiaTheme="minorEastAsia" w:hint="eastAsia"/>
          <w:color w:val="000000"/>
          <w:sz w:val="24"/>
        </w:rPr>
        <w:t>本报告期自</w:t>
      </w:r>
      <w:r w:rsidRPr="00D04450">
        <w:rPr>
          <w:rFonts w:eastAsiaTheme="minorEastAsia" w:hint="eastAsia"/>
          <w:color w:val="000000"/>
          <w:sz w:val="24"/>
        </w:rPr>
        <w:t>2018</w:t>
      </w:r>
      <w:r w:rsidRPr="00D04450">
        <w:rPr>
          <w:rFonts w:eastAsiaTheme="minorEastAsia" w:hint="eastAsia"/>
          <w:color w:val="000000"/>
          <w:sz w:val="24"/>
        </w:rPr>
        <w:t>年</w:t>
      </w:r>
      <w:r w:rsidRPr="00D04450">
        <w:rPr>
          <w:rFonts w:eastAsiaTheme="minorEastAsia" w:hint="eastAsia"/>
          <w:color w:val="000000"/>
          <w:sz w:val="24"/>
        </w:rPr>
        <w:t>4</w:t>
      </w:r>
      <w:r w:rsidRPr="00D04450">
        <w:rPr>
          <w:rFonts w:eastAsiaTheme="minorEastAsia" w:hint="eastAsia"/>
          <w:color w:val="000000"/>
          <w:sz w:val="24"/>
        </w:rPr>
        <w:t>月</w:t>
      </w:r>
      <w:r w:rsidRPr="00D04450">
        <w:rPr>
          <w:rFonts w:eastAsiaTheme="minorEastAsia" w:hint="eastAsia"/>
          <w:color w:val="000000"/>
          <w:sz w:val="24"/>
        </w:rPr>
        <w:t>1</w:t>
      </w:r>
      <w:r w:rsidRPr="00D04450">
        <w:rPr>
          <w:rFonts w:eastAsiaTheme="minorEastAsia" w:hint="eastAsia"/>
          <w:color w:val="000000"/>
          <w:sz w:val="24"/>
        </w:rPr>
        <w:t>日起至</w:t>
      </w:r>
      <w:r w:rsidRPr="00D04450">
        <w:rPr>
          <w:rFonts w:eastAsiaTheme="minorEastAsia" w:hint="eastAsia"/>
          <w:color w:val="000000"/>
          <w:sz w:val="24"/>
        </w:rPr>
        <w:t>6</w:t>
      </w:r>
      <w:r w:rsidRPr="00D04450">
        <w:rPr>
          <w:rFonts w:eastAsiaTheme="minorEastAsia" w:hint="eastAsia"/>
          <w:color w:val="000000"/>
          <w:sz w:val="24"/>
        </w:rPr>
        <w:t>月</w:t>
      </w:r>
      <w:r w:rsidRPr="00D04450">
        <w:rPr>
          <w:rFonts w:eastAsiaTheme="minorEastAsia" w:hint="eastAsia"/>
          <w:color w:val="000000"/>
          <w:sz w:val="24"/>
        </w:rPr>
        <w:t>28</w:t>
      </w:r>
      <w:r w:rsidRPr="00D04450">
        <w:rPr>
          <w:rFonts w:eastAsiaTheme="minorEastAsia" w:hint="eastAsia"/>
          <w:color w:val="000000"/>
          <w:sz w:val="24"/>
        </w:rPr>
        <w:t>日止。</w:t>
      </w: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交银启通灵活配置混合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004207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3,004,191.78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r w:rsidRPr="007F52FA">
              <w:rPr>
                <w:color w:val="000000"/>
                <w:kern w:val="0"/>
                <w:sz w:val="24"/>
              </w:rPr>
              <w:t>×50%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上海浦东发展银行股份有限公司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交银启通灵活配置混合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交银启通灵活配置混合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004207</w:t>
            </w:r>
          </w:p>
        </w:tc>
        <w:tc>
          <w:tcPr>
            <w:tcW w:w="3048" w:type="dxa"/>
            <w:vAlign w:val="center"/>
          </w:tcPr>
          <w:p w:rsidR="00C23B30" w:rsidRPr="000E4C40" w:rsidRDefault="00C23B30" w:rsidP="00A52A9E">
            <w:pPr>
              <w:spacing w:before="29" w:line="288" w:lineRule="auto"/>
              <w:jc w:val="left"/>
              <w:rPr>
                <w:sz w:val="24"/>
              </w:rPr>
            </w:pPr>
            <w:r w:rsidRPr="000E4C40">
              <w:rPr>
                <w:sz w:val="24"/>
              </w:rPr>
              <w:t>004208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3,003,000.41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1,191.37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00C90F92">
              <w:rPr>
                <w:color w:val="000000"/>
                <w:sz w:val="24"/>
              </w:rPr>
              <w:t>28</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交银启通灵活配置混合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交银启通灵活配置混合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22,538.18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22,538.18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3,205,507.86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1,271.44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1.0672</w:t>
            </w:r>
          </w:p>
        </w:tc>
      </w:tr>
    </w:tbl>
    <w:p w:rsidR="00F25D07" w:rsidRDefault="003C43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交银启通灵活配置混合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5D07">
        <w:trPr>
          <w:jc w:val="center"/>
        </w:trPr>
        <w:tc>
          <w:tcPr>
            <w:tcW w:w="1266" w:type="dxa"/>
            <w:vAlign w:val="center"/>
          </w:tcPr>
          <w:p w:rsidR="00F25D07" w:rsidRDefault="003C4300">
            <w:pPr>
              <w:jc w:val="left"/>
            </w:pPr>
            <w:r>
              <w:rPr>
                <w:color w:val="000000"/>
                <w:sz w:val="24"/>
              </w:rPr>
              <w:t>过去三个月</w:t>
            </w:r>
          </w:p>
        </w:tc>
        <w:tc>
          <w:tcPr>
            <w:tcW w:w="1267" w:type="dxa"/>
            <w:vAlign w:val="center"/>
          </w:tcPr>
          <w:p w:rsidR="00F25D07" w:rsidRDefault="003C4300">
            <w:pPr>
              <w:jc w:val="center"/>
            </w:pPr>
            <w:r>
              <w:rPr>
                <w:color w:val="000000"/>
                <w:sz w:val="24"/>
              </w:rPr>
              <w:t>0.71%</w:t>
            </w:r>
          </w:p>
        </w:tc>
        <w:tc>
          <w:tcPr>
            <w:tcW w:w="1267" w:type="dxa"/>
            <w:vAlign w:val="center"/>
          </w:tcPr>
          <w:p w:rsidR="00F25D07" w:rsidRDefault="003C4300">
            <w:pPr>
              <w:jc w:val="center"/>
            </w:pPr>
            <w:r>
              <w:rPr>
                <w:color w:val="000000"/>
                <w:sz w:val="24"/>
              </w:rPr>
              <w:t>0.06%</w:t>
            </w:r>
          </w:p>
        </w:tc>
        <w:tc>
          <w:tcPr>
            <w:tcW w:w="1267" w:type="dxa"/>
            <w:vAlign w:val="center"/>
          </w:tcPr>
          <w:p w:rsidR="00F25D07" w:rsidRDefault="003C4300">
            <w:pPr>
              <w:jc w:val="center"/>
            </w:pPr>
            <w:r>
              <w:rPr>
                <w:color w:val="000000"/>
                <w:sz w:val="24"/>
              </w:rPr>
              <w:t>-5.81%</w:t>
            </w:r>
          </w:p>
        </w:tc>
        <w:tc>
          <w:tcPr>
            <w:tcW w:w="1267" w:type="dxa"/>
            <w:vAlign w:val="center"/>
          </w:tcPr>
          <w:p w:rsidR="00F25D07" w:rsidRDefault="003C4300">
            <w:pPr>
              <w:jc w:val="center"/>
            </w:pPr>
            <w:r>
              <w:rPr>
                <w:color w:val="000000"/>
                <w:sz w:val="24"/>
              </w:rPr>
              <w:t>0.54%</w:t>
            </w:r>
          </w:p>
        </w:tc>
        <w:tc>
          <w:tcPr>
            <w:tcW w:w="1267" w:type="dxa"/>
            <w:vAlign w:val="center"/>
          </w:tcPr>
          <w:p w:rsidR="00F25D07" w:rsidRDefault="003C4300">
            <w:pPr>
              <w:jc w:val="center"/>
            </w:pPr>
            <w:r>
              <w:rPr>
                <w:color w:val="000000"/>
                <w:sz w:val="24"/>
              </w:rPr>
              <w:t>6.52%</w:t>
            </w:r>
          </w:p>
        </w:tc>
        <w:tc>
          <w:tcPr>
            <w:tcW w:w="1267" w:type="dxa"/>
            <w:vAlign w:val="center"/>
          </w:tcPr>
          <w:p w:rsidR="00F25D07" w:rsidRDefault="003C4300">
            <w:pPr>
              <w:jc w:val="center"/>
            </w:pPr>
            <w:r>
              <w:rPr>
                <w:color w:val="000000"/>
                <w:sz w:val="24"/>
              </w:rPr>
              <w:t>-0.48%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交银启通灵活配置混合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5D07">
        <w:trPr>
          <w:jc w:val="center"/>
        </w:trPr>
        <w:tc>
          <w:tcPr>
            <w:tcW w:w="1266" w:type="dxa"/>
            <w:vAlign w:val="center"/>
          </w:tcPr>
          <w:p w:rsidR="00F25D07" w:rsidRDefault="003C4300">
            <w:pPr>
              <w:jc w:val="left"/>
            </w:pPr>
            <w:r>
              <w:rPr>
                <w:color w:val="000000"/>
                <w:sz w:val="24"/>
              </w:rPr>
              <w:t>过去三个月</w:t>
            </w:r>
          </w:p>
        </w:tc>
        <w:tc>
          <w:tcPr>
            <w:tcW w:w="1267" w:type="dxa"/>
            <w:vAlign w:val="center"/>
          </w:tcPr>
          <w:p w:rsidR="00F25D07" w:rsidRDefault="003C4300">
            <w:pPr>
              <w:jc w:val="center"/>
            </w:pPr>
            <w:r>
              <w:rPr>
                <w:color w:val="000000"/>
                <w:sz w:val="24"/>
              </w:rPr>
              <w:t>0.66%</w:t>
            </w:r>
          </w:p>
        </w:tc>
        <w:tc>
          <w:tcPr>
            <w:tcW w:w="1267" w:type="dxa"/>
            <w:vAlign w:val="center"/>
          </w:tcPr>
          <w:p w:rsidR="00F25D07" w:rsidRDefault="003C4300">
            <w:pPr>
              <w:jc w:val="center"/>
            </w:pPr>
            <w:r>
              <w:rPr>
                <w:color w:val="000000"/>
                <w:sz w:val="24"/>
              </w:rPr>
              <w:t>0.06%</w:t>
            </w:r>
          </w:p>
        </w:tc>
        <w:tc>
          <w:tcPr>
            <w:tcW w:w="1267" w:type="dxa"/>
            <w:vAlign w:val="center"/>
          </w:tcPr>
          <w:p w:rsidR="00F25D07" w:rsidRDefault="003C4300">
            <w:pPr>
              <w:jc w:val="center"/>
            </w:pPr>
            <w:r>
              <w:rPr>
                <w:color w:val="000000"/>
                <w:sz w:val="24"/>
              </w:rPr>
              <w:t>-5.81%</w:t>
            </w:r>
          </w:p>
        </w:tc>
        <w:tc>
          <w:tcPr>
            <w:tcW w:w="1267" w:type="dxa"/>
            <w:vAlign w:val="center"/>
          </w:tcPr>
          <w:p w:rsidR="00F25D07" w:rsidRDefault="003C4300">
            <w:pPr>
              <w:jc w:val="center"/>
            </w:pPr>
            <w:r>
              <w:rPr>
                <w:color w:val="000000"/>
                <w:sz w:val="24"/>
              </w:rPr>
              <w:t>0.54%</w:t>
            </w:r>
          </w:p>
        </w:tc>
        <w:tc>
          <w:tcPr>
            <w:tcW w:w="1267" w:type="dxa"/>
            <w:vAlign w:val="center"/>
          </w:tcPr>
          <w:p w:rsidR="00F25D07" w:rsidRDefault="003C4300">
            <w:pPr>
              <w:jc w:val="center"/>
            </w:pPr>
            <w:r>
              <w:rPr>
                <w:color w:val="000000"/>
                <w:sz w:val="24"/>
              </w:rPr>
              <w:t>6.47%</w:t>
            </w:r>
          </w:p>
        </w:tc>
        <w:tc>
          <w:tcPr>
            <w:tcW w:w="1267" w:type="dxa"/>
            <w:vAlign w:val="center"/>
          </w:tcPr>
          <w:p w:rsidR="00F25D07" w:rsidRDefault="003C4300">
            <w:pPr>
              <w:jc w:val="center"/>
            </w:pPr>
            <w:r>
              <w:rPr>
                <w:color w:val="000000"/>
                <w:sz w:val="24"/>
              </w:rPr>
              <w:t>-0.48%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交银施罗德启通灵活配置混合型证券投资基金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003C4300">
        <w:rPr>
          <w:rFonts w:ascii="Times New Roman" w:hAnsi="Times New Roman"/>
          <w:sz w:val="24"/>
          <w:szCs w:val="24"/>
        </w:rPr>
        <w:t>28</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交银启通灵活配置混合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w:t>
      </w:r>
      <w:r w:rsidRPr="007F52FA">
        <w:rPr>
          <w:color w:val="000000"/>
          <w:sz w:val="24"/>
        </w:rPr>
        <w:lastRenderedPageBreak/>
        <w:t>约定。自</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29</w:t>
      </w:r>
      <w:r w:rsidRPr="007F52FA">
        <w:rPr>
          <w:color w:val="000000"/>
          <w:sz w:val="24"/>
        </w:rPr>
        <w:t>日起，本基金进入清算程序，图示日期为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28</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交银启通灵活配置混合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个月。截至建仓期结束，本基金各项资产配置比例符合基金合同及招募说明书有关投资比例的约定。自</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29</w:t>
      </w:r>
      <w:r w:rsidRPr="007F52FA">
        <w:rPr>
          <w:color w:val="000000"/>
          <w:sz w:val="24"/>
        </w:rPr>
        <w:t>日起，本基金进入清算程序，图示日期为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28</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25D07">
        <w:trPr>
          <w:jc w:val="center"/>
        </w:trPr>
        <w:tc>
          <w:tcPr>
            <w:tcW w:w="946" w:type="dxa"/>
            <w:vAlign w:val="center"/>
          </w:tcPr>
          <w:p w:rsidR="00F25D07" w:rsidRDefault="003C4300">
            <w:pPr>
              <w:jc w:val="center"/>
            </w:pPr>
            <w:r>
              <w:rPr>
                <w:color w:val="000000"/>
                <w:sz w:val="24"/>
              </w:rPr>
              <w:t>李娜</w:t>
            </w:r>
          </w:p>
        </w:tc>
        <w:tc>
          <w:tcPr>
            <w:tcW w:w="924" w:type="dxa"/>
            <w:vAlign w:val="center"/>
          </w:tcPr>
          <w:p w:rsidR="00F25D07" w:rsidRDefault="003C4300">
            <w:pPr>
              <w:jc w:val="center"/>
            </w:pPr>
            <w:r>
              <w:rPr>
                <w:color w:val="000000"/>
                <w:sz w:val="24"/>
              </w:rPr>
              <w:t>交银周期回报</w:t>
            </w:r>
            <w:r>
              <w:rPr>
                <w:color w:val="000000"/>
                <w:sz w:val="24"/>
              </w:rPr>
              <w:lastRenderedPageBreak/>
              <w:t>灵活配置混合、交银新回报灵活配置混合、交银多策略回报灵活配置混合、交银卓越回报灵活配置混合、交银优选回报灵活配置混合、交银优择回报灵活配置混合、交银领先回报灵活配置混合、交银瑞鑫定期开放灵活</w:t>
            </w:r>
            <w:r>
              <w:rPr>
                <w:color w:val="000000"/>
                <w:sz w:val="24"/>
              </w:rPr>
              <w:lastRenderedPageBreak/>
              <w:t>配置混合、交银瑞景定期开放灵活配置混合、交银启通灵活配置混合、交银瑞利定期开放灵活配置混合的基金经理</w:t>
            </w:r>
          </w:p>
        </w:tc>
        <w:tc>
          <w:tcPr>
            <w:tcW w:w="1202" w:type="dxa"/>
            <w:vAlign w:val="center"/>
          </w:tcPr>
          <w:p w:rsidR="00F25D07" w:rsidRDefault="003C4300">
            <w:pPr>
              <w:jc w:val="center"/>
            </w:pPr>
            <w:r>
              <w:rPr>
                <w:color w:val="000000"/>
                <w:sz w:val="24"/>
              </w:rPr>
              <w:lastRenderedPageBreak/>
              <w:t>2017-03-31</w:t>
            </w:r>
          </w:p>
        </w:tc>
        <w:tc>
          <w:tcPr>
            <w:tcW w:w="1300" w:type="dxa"/>
            <w:vAlign w:val="center"/>
          </w:tcPr>
          <w:p w:rsidR="00F25D07" w:rsidRDefault="003C4300">
            <w:pPr>
              <w:jc w:val="center"/>
            </w:pPr>
            <w:r>
              <w:rPr>
                <w:color w:val="000000"/>
                <w:sz w:val="24"/>
              </w:rPr>
              <w:t>-</w:t>
            </w:r>
          </w:p>
        </w:tc>
        <w:tc>
          <w:tcPr>
            <w:tcW w:w="1245" w:type="dxa"/>
            <w:vAlign w:val="center"/>
          </w:tcPr>
          <w:p w:rsidR="00F25D07" w:rsidRDefault="003C4300">
            <w:pPr>
              <w:jc w:val="center"/>
            </w:pPr>
            <w:r>
              <w:rPr>
                <w:color w:val="000000"/>
                <w:sz w:val="24"/>
              </w:rPr>
              <w:t>8</w:t>
            </w:r>
            <w:r>
              <w:rPr>
                <w:color w:val="000000"/>
                <w:sz w:val="24"/>
              </w:rPr>
              <w:t>年</w:t>
            </w:r>
          </w:p>
        </w:tc>
        <w:tc>
          <w:tcPr>
            <w:tcW w:w="3251" w:type="dxa"/>
            <w:vAlign w:val="center"/>
          </w:tcPr>
          <w:p w:rsidR="00F25D07" w:rsidRDefault="003C4300">
            <w:r>
              <w:rPr>
                <w:color w:val="000000"/>
                <w:sz w:val="24"/>
              </w:rPr>
              <w:t>李娜女士，美国宾夕法尼亚大学应用数学与计算科学硕士。历任国泰基金管理有限公司</w:t>
            </w:r>
            <w:r>
              <w:rPr>
                <w:color w:val="000000"/>
                <w:sz w:val="24"/>
              </w:rPr>
              <w:lastRenderedPageBreak/>
              <w:t>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sidR="009419B4">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25D07" w:rsidRDefault="003C430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25D07" w:rsidRDefault="003C430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25D07" w:rsidRDefault="003C430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25D07" w:rsidRDefault="003C4300">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F25D07" w:rsidRDefault="003C4300">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w:t>
      </w:r>
      <w:r w:rsidRPr="007F52FA">
        <w:rPr>
          <w:color w:val="000000"/>
          <w:sz w:val="24"/>
        </w:rPr>
        <w:lastRenderedPageBreak/>
        <w:t>获得基本面和政策面双重支撑，但行情的纵深可能仍受到资管新规实施细则落地节奏等因素的影响。此外，我们还将密切关注低评级信用债风险的演化、中美贸易战摩擦的政策应对、内外货币政策变化等因素对市场的影响。投资策略上，由于基金合同触发终止情形及进入基金财产清算程序，本基金将配合基金财产清算小组作好产品清盘工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28</w:t>
      </w:r>
      <w:r w:rsidRPr="007F52FA">
        <w:rPr>
          <w:color w:val="000000"/>
          <w:sz w:val="24"/>
        </w:rPr>
        <w:t>日，交银启通</w:t>
      </w:r>
      <w:r w:rsidRPr="007F52FA">
        <w:rPr>
          <w:color w:val="000000"/>
          <w:sz w:val="24"/>
        </w:rPr>
        <w:t>A</w:t>
      </w:r>
      <w:r w:rsidRPr="007F52FA">
        <w:rPr>
          <w:color w:val="000000"/>
          <w:sz w:val="24"/>
        </w:rPr>
        <w:t>份额净值为</w:t>
      </w:r>
      <w:r w:rsidRPr="007F52FA">
        <w:rPr>
          <w:color w:val="000000"/>
          <w:sz w:val="24"/>
        </w:rPr>
        <w:t>1.0674</w:t>
      </w:r>
      <w:r w:rsidRPr="007F52FA">
        <w:rPr>
          <w:color w:val="000000"/>
          <w:sz w:val="24"/>
        </w:rPr>
        <w:t>元，本报告期份额净值增长率为</w:t>
      </w:r>
      <w:r w:rsidRPr="007F52FA">
        <w:rPr>
          <w:color w:val="000000"/>
          <w:sz w:val="24"/>
        </w:rPr>
        <w:t>0.71%</w:t>
      </w:r>
      <w:r w:rsidRPr="007F52FA">
        <w:rPr>
          <w:color w:val="000000"/>
          <w:sz w:val="24"/>
        </w:rPr>
        <w:t>，同期业绩比较基准增长率为</w:t>
      </w:r>
      <w:r w:rsidRPr="007F52FA">
        <w:rPr>
          <w:color w:val="000000"/>
          <w:sz w:val="24"/>
        </w:rPr>
        <w:t>-5.81%</w:t>
      </w:r>
      <w:r w:rsidRPr="007F52FA">
        <w:rPr>
          <w:color w:val="000000"/>
          <w:sz w:val="24"/>
        </w:rPr>
        <w:t>；交银启通</w:t>
      </w:r>
      <w:r w:rsidRPr="007F52FA">
        <w:rPr>
          <w:color w:val="000000"/>
          <w:sz w:val="24"/>
        </w:rPr>
        <w:t>C</w:t>
      </w:r>
      <w:r w:rsidRPr="007F52FA">
        <w:rPr>
          <w:color w:val="000000"/>
          <w:sz w:val="24"/>
        </w:rPr>
        <w:t>份额净值为</w:t>
      </w:r>
      <w:r w:rsidRPr="007F52FA">
        <w:rPr>
          <w:color w:val="000000"/>
          <w:sz w:val="24"/>
        </w:rPr>
        <w:t>1.0672</w:t>
      </w:r>
      <w:r w:rsidRPr="007F52FA">
        <w:rPr>
          <w:color w:val="000000"/>
          <w:sz w:val="24"/>
        </w:rPr>
        <w:t>元，本报告期份额净值增长率为</w:t>
      </w:r>
      <w:r w:rsidRPr="007F52FA">
        <w:rPr>
          <w:color w:val="000000"/>
          <w:sz w:val="24"/>
        </w:rPr>
        <w:t>0.66%</w:t>
      </w:r>
      <w:r w:rsidRPr="007F52FA">
        <w:rPr>
          <w:color w:val="000000"/>
          <w:sz w:val="24"/>
        </w:rPr>
        <w:t>，同期业绩比较基准增长率为</w:t>
      </w:r>
      <w:r w:rsidRPr="007F52FA">
        <w:rPr>
          <w:color w:val="000000"/>
          <w:sz w:val="24"/>
        </w:rPr>
        <w:t>-5.81%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D04450" w:rsidP="00274444">
      <w:pPr>
        <w:spacing w:before="29" w:line="288" w:lineRule="auto"/>
        <w:ind w:firstLineChars="200" w:firstLine="480"/>
        <w:rPr>
          <w:color w:val="000000"/>
          <w:sz w:val="24"/>
        </w:rPr>
      </w:pPr>
      <w:r w:rsidRPr="00D04450">
        <w:rPr>
          <w:rFonts w:hint="eastAsia"/>
          <w:color w:val="000000"/>
          <w:sz w:val="24"/>
        </w:rPr>
        <w:t>本报告期内，本基金已连续六十个工作日出现基金资产净值低于</w:t>
      </w:r>
      <w:r w:rsidRPr="00D04450">
        <w:rPr>
          <w:rFonts w:hint="eastAsia"/>
          <w:color w:val="000000"/>
          <w:sz w:val="24"/>
        </w:rPr>
        <w:t xml:space="preserve">5000 </w:t>
      </w:r>
      <w:r w:rsidRPr="00D04450">
        <w:rPr>
          <w:rFonts w:hint="eastAsia"/>
          <w:color w:val="000000"/>
          <w:sz w:val="24"/>
        </w:rPr>
        <w:t>万元的情形，已触发基金合同中约定的本基金终止条款，为保护基金份额持有人利益，根据基金合同约定，本基金管理人已向中国证监会报告，本基金进行基金财产清算。自</w:t>
      </w:r>
      <w:r w:rsidRPr="00D04450">
        <w:rPr>
          <w:rFonts w:hint="eastAsia"/>
          <w:color w:val="000000"/>
          <w:sz w:val="24"/>
        </w:rPr>
        <w:t>2018</w:t>
      </w:r>
      <w:r w:rsidRPr="00D04450">
        <w:rPr>
          <w:rFonts w:hint="eastAsia"/>
          <w:color w:val="000000"/>
          <w:sz w:val="24"/>
        </w:rPr>
        <w:t>年</w:t>
      </w:r>
      <w:r w:rsidRPr="00D04450">
        <w:rPr>
          <w:rFonts w:hint="eastAsia"/>
          <w:color w:val="000000"/>
          <w:sz w:val="24"/>
        </w:rPr>
        <w:t>6</w:t>
      </w:r>
      <w:r w:rsidRPr="00D04450">
        <w:rPr>
          <w:rFonts w:hint="eastAsia"/>
          <w:color w:val="000000"/>
          <w:sz w:val="24"/>
        </w:rPr>
        <w:t>月</w:t>
      </w:r>
      <w:r w:rsidRPr="00D04450">
        <w:rPr>
          <w:rFonts w:hint="eastAsia"/>
          <w:color w:val="000000"/>
          <w:sz w:val="24"/>
        </w:rPr>
        <w:t>29</w:t>
      </w:r>
      <w:r w:rsidRPr="00D04450">
        <w:rPr>
          <w:rFonts w:hint="eastAsia"/>
          <w:color w:val="000000"/>
          <w:sz w:val="24"/>
        </w:rPr>
        <w:t>日起，本基金进入清算程序。</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3,240,142.23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41,410.91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3,281,553.14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8"/>
        <w:gridCol w:w="4844"/>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40,229.87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1,181.04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41,410.91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96CC9" w:rsidRPr="00196CC9" w:rsidRDefault="00196CC9" w:rsidP="00196CC9">
      <w:pPr>
        <w:spacing w:before="29" w:line="288" w:lineRule="auto"/>
        <w:rPr>
          <w:rFonts w:eastAsiaTheme="minorEastAsia"/>
          <w:sz w:val="24"/>
        </w:rPr>
      </w:pPr>
      <w:r w:rsidRPr="00196CC9">
        <w:rPr>
          <w:rFonts w:eastAsiaTheme="minorEastAsia" w:hint="eastAsia"/>
          <w:sz w:val="24"/>
        </w:rPr>
        <w:t>1</w:t>
      </w:r>
      <w:r w:rsidRPr="00196CC9">
        <w:rPr>
          <w:rFonts w:eastAsiaTheme="minorEastAsia" w:hint="eastAsia"/>
          <w:sz w:val="24"/>
        </w:rPr>
        <w:t>、由于四舍五入的原因，分项之和与合计项之间可能存在尾差。</w:t>
      </w:r>
    </w:p>
    <w:p w:rsidR="00EB27DE" w:rsidRPr="00196CC9" w:rsidRDefault="00196CC9" w:rsidP="00196CC9">
      <w:pPr>
        <w:spacing w:before="29" w:line="288" w:lineRule="auto"/>
        <w:rPr>
          <w:rFonts w:eastAsiaTheme="minorEastAsia"/>
          <w:sz w:val="24"/>
        </w:rPr>
      </w:pPr>
      <w:r w:rsidRPr="00196CC9">
        <w:rPr>
          <w:rFonts w:eastAsiaTheme="minorEastAsia" w:hint="eastAsia"/>
          <w:sz w:val="24"/>
        </w:rPr>
        <w:t>2</w:t>
      </w:r>
      <w:r w:rsidRPr="00196CC9">
        <w:rPr>
          <w:rFonts w:eastAsiaTheme="minorEastAsia" w:hint="eastAsia"/>
          <w:sz w:val="24"/>
        </w:rPr>
        <w:t>、上述投资组合报告期末是指基金合同最后运作日，即</w:t>
      </w:r>
      <w:r w:rsidRPr="00196CC9">
        <w:rPr>
          <w:rFonts w:eastAsiaTheme="minorEastAsia" w:hint="eastAsia"/>
          <w:sz w:val="24"/>
        </w:rPr>
        <w:t>2018</w:t>
      </w:r>
      <w:r w:rsidRPr="00196CC9">
        <w:rPr>
          <w:rFonts w:eastAsiaTheme="minorEastAsia" w:hint="eastAsia"/>
          <w:sz w:val="24"/>
        </w:rPr>
        <w:t>年</w:t>
      </w:r>
      <w:r w:rsidRPr="00196CC9">
        <w:rPr>
          <w:rFonts w:eastAsiaTheme="minorEastAsia" w:hint="eastAsia"/>
          <w:sz w:val="24"/>
        </w:rPr>
        <w:t>6</w:t>
      </w:r>
      <w:r w:rsidRPr="00196CC9">
        <w:rPr>
          <w:rFonts w:eastAsiaTheme="minorEastAsia" w:hint="eastAsia"/>
          <w:sz w:val="24"/>
        </w:rPr>
        <w:t>月</w:t>
      </w:r>
      <w:r w:rsidRPr="00196CC9">
        <w:rPr>
          <w:rFonts w:eastAsiaTheme="minorEastAsia" w:hint="eastAsia"/>
          <w:sz w:val="24"/>
        </w:rPr>
        <w:t>28</w:t>
      </w:r>
      <w:r w:rsidRPr="00196CC9">
        <w:rPr>
          <w:rFonts w:eastAsiaTheme="minorEastAsia" w:hint="eastAsia"/>
          <w:sz w:val="24"/>
        </w:rPr>
        <w:t>日。</w:t>
      </w: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lastRenderedPageBreak/>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392A85" w:rsidRPr="00C51B4E" w:rsidRDefault="00392A85" w:rsidP="00392A85">
      <w:pPr>
        <w:adjustRightInd w:val="0"/>
        <w:snapToGrid w:val="0"/>
        <w:spacing w:beforeLines="50" w:before="156" w:line="360" w:lineRule="auto"/>
        <w:ind w:firstLineChars="200" w:firstLine="420"/>
        <w:rPr>
          <w:rFonts w:eastAsiaTheme="minorEastAsia" w:hint="eastAsia"/>
          <w:b/>
          <w:color w:val="000000" w:themeColor="text1"/>
          <w:kern w:val="0"/>
          <w:szCs w:val="21"/>
        </w:rPr>
      </w:pPr>
      <w:bookmarkStart w:id="0" w:name="_GoBack"/>
      <w:bookmarkEnd w:id="0"/>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3,006,701.34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8,693.04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3,700.93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7,501.67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3,003,000.41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1,191.37</w:t>
            </w:r>
          </w:p>
        </w:tc>
      </w:tr>
    </w:tbl>
    <w:p w:rsidR="00F25D07" w:rsidRDefault="003C43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lastRenderedPageBreak/>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25D07">
        <w:tc>
          <w:tcPr>
            <w:tcW w:w="992" w:type="dxa"/>
          </w:tcPr>
          <w:p w:rsidR="00F25D07" w:rsidRDefault="00F25D07"/>
          <w:p w:rsidR="00F25D07" w:rsidRDefault="003C4300">
            <w:r>
              <w:rPr>
                <w:rFonts w:ascii="宋体" w:hAnsi="宋体" w:hint="eastAsia"/>
                <w:bCs/>
                <w:color w:val="000000"/>
                <w:kern w:val="0"/>
                <w:szCs w:val="21"/>
              </w:rPr>
              <w:t>机构</w:t>
            </w:r>
          </w:p>
        </w:tc>
        <w:tc>
          <w:tcPr>
            <w:tcW w:w="991" w:type="dxa"/>
            <w:vAlign w:val="center"/>
          </w:tcPr>
          <w:p w:rsidR="00F25D07" w:rsidRDefault="003C4300">
            <w:pPr>
              <w:jc w:val="center"/>
            </w:pPr>
            <w:r>
              <w:rPr>
                <w:rFonts w:ascii="宋体" w:hAnsi="宋体" w:hint="eastAsia"/>
                <w:color w:val="000000"/>
                <w:kern w:val="0"/>
                <w:szCs w:val="21"/>
              </w:rPr>
              <w:t>1</w:t>
            </w:r>
          </w:p>
        </w:tc>
        <w:tc>
          <w:tcPr>
            <w:tcW w:w="1843" w:type="dxa"/>
            <w:vAlign w:val="center"/>
          </w:tcPr>
          <w:p w:rsidR="00F25D07" w:rsidRDefault="003C4300">
            <w:pPr>
              <w:jc w:val="center"/>
            </w:pPr>
            <w:r>
              <w:rPr>
                <w:rFonts w:ascii="宋体" w:hAnsi="宋体" w:hint="eastAsia"/>
                <w:color w:val="000000"/>
                <w:kern w:val="0"/>
                <w:szCs w:val="21"/>
              </w:rPr>
              <w:t>2018/4/1-2018/6/30</w:t>
            </w:r>
          </w:p>
        </w:tc>
        <w:tc>
          <w:tcPr>
            <w:tcW w:w="851" w:type="dxa"/>
            <w:vAlign w:val="center"/>
          </w:tcPr>
          <w:p w:rsidR="00F25D07" w:rsidRDefault="003C4300">
            <w:pPr>
              <w:jc w:val="center"/>
            </w:pPr>
            <w:r>
              <w:rPr>
                <w:rFonts w:ascii="宋体" w:hAnsi="宋体" w:hint="eastAsia"/>
                <w:color w:val="000000"/>
                <w:kern w:val="0"/>
                <w:szCs w:val="21"/>
              </w:rPr>
              <w:t>3,000,000.00</w:t>
            </w:r>
          </w:p>
        </w:tc>
        <w:tc>
          <w:tcPr>
            <w:tcW w:w="850" w:type="dxa"/>
            <w:vAlign w:val="center"/>
          </w:tcPr>
          <w:p w:rsidR="00F25D07" w:rsidRDefault="003C4300">
            <w:pPr>
              <w:jc w:val="center"/>
            </w:pPr>
            <w:r>
              <w:rPr>
                <w:rFonts w:ascii="宋体" w:hAnsi="宋体" w:hint="eastAsia"/>
                <w:color w:val="000000"/>
                <w:kern w:val="0"/>
                <w:szCs w:val="21"/>
              </w:rPr>
              <w:t>-</w:t>
            </w:r>
          </w:p>
        </w:tc>
        <w:tc>
          <w:tcPr>
            <w:tcW w:w="1134" w:type="dxa"/>
            <w:vAlign w:val="center"/>
          </w:tcPr>
          <w:p w:rsidR="00F25D07" w:rsidRDefault="003C4300">
            <w:pPr>
              <w:jc w:val="center"/>
            </w:pPr>
            <w:r>
              <w:rPr>
                <w:rFonts w:ascii="宋体" w:hAnsi="宋体" w:hint="eastAsia"/>
                <w:color w:val="000000"/>
                <w:kern w:val="0"/>
                <w:szCs w:val="21"/>
              </w:rPr>
              <w:t>-</w:t>
            </w:r>
          </w:p>
        </w:tc>
        <w:tc>
          <w:tcPr>
            <w:tcW w:w="1419" w:type="dxa"/>
            <w:vAlign w:val="center"/>
          </w:tcPr>
          <w:p w:rsidR="00F25D07" w:rsidRDefault="003C4300">
            <w:pPr>
              <w:jc w:val="center"/>
            </w:pPr>
            <w:r>
              <w:rPr>
                <w:rFonts w:ascii="宋体" w:hAnsi="宋体" w:hint="eastAsia"/>
                <w:color w:val="000000"/>
                <w:kern w:val="0"/>
                <w:szCs w:val="21"/>
              </w:rPr>
              <w:t>3,000,000.00</w:t>
            </w:r>
          </w:p>
        </w:tc>
        <w:tc>
          <w:tcPr>
            <w:tcW w:w="1130" w:type="dxa"/>
            <w:vAlign w:val="center"/>
          </w:tcPr>
          <w:p w:rsidR="00F25D07" w:rsidRDefault="003C4300">
            <w:pPr>
              <w:jc w:val="center"/>
            </w:pPr>
            <w:r>
              <w:rPr>
                <w:rFonts w:ascii="宋体" w:hAnsi="宋体" w:hint="eastAsia"/>
                <w:color w:val="000000"/>
                <w:kern w:val="0"/>
                <w:szCs w:val="21"/>
              </w:rPr>
              <w:t>99.89%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本报告期内，本基金已连续六十个工作日出现基金资产净值低于5000 万元的情形，已触发基金合同中约定的本基金终止条款，为保护基金份额持有人利益，根据基金合同约定，本基金管理人已向中国证监会报告，本基金进行基金财产清算。自2018年6月29日起，本基金进入清算程序，进入清算程序后将不再开放办理申购、赎回业务。基金管理人按照本基金基金合同的约定，组织成立基金财产清算小组履行基金财产清算程序，并将及时公告清算结果。截止本报告期末，本基金尚处于清算程序之中。详情请查阅本基金管理人于2018年6月25日发布的《交银施罗德基金管理有限公司关于交银施罗德启通灵活配置混合型证券投资基金基金合同触发终止情形及进入基金财产清算程序的公告》以及2018年6月27日发布的《交银施罗德基金管理有限公司关于交银施罗德启通灵活配置混合型证券投资基金基金合同触发终止情形及进入基金财产清算程序的提示性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、中国证监会准予交银施罗德启通灵活配置混合型证券投资基金募集注册的文件；</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、《交银施罗德启通灵活配置混合型证券投资基金基金合同》；</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、《交银施罗德启通灵活配置混合型证券投资基金招募说明书》；</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、《交银施罗德启通灵活配置混合型证券投资基金托管协议》；</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、关于申请募集注册交银施罗德启通灵活配置混合型证券投资基金的法律意见书；</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、报告期内交银施罗德启通灵活配置混合型证券投资基金在指定报刊上各项公告的原稿。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10.3</w:t>
      </w:r>
      <w:r w:rsidR="00FB3C94" w:rsidRPr="007F52FA">
        <w:rPr>
          <w:rFonts w:eastAsiaTheme="minorEastAsia"/>
          <w:b/>
          <w:bCs/>
          <w:color w:val="000000"/>
          <w:kern w:val="0"/>
          <w:sz w:val="24"/>
        </w:rPr>
        <w:t>查阅方式</w:t>
      </w:r>
    </w:p>
    <w:p w:rsidR="00F25D07" w:rsidRDefault="003C430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2F" w:rsidRDefault="0039352F">
      <w:r>
        <w:separator/>
      </w:r>
    </w:p>
  </w:endnote>
  <w:endnote w:type="continuationSeparator" w:id="0">
    <w:p w:rsidR="0039352F" w:rsidRDefault="0039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392A85">
      <w:rPr>
        <w:noProof/>
        <w:kern w:val="0"/>
        <w:szCs w:val="21"/>
      </w:rPr>
      <w:t>14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392A85">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2F" w:rsidRDefault="0039352F">
      <w:r>
        <w:separator/>
      </w:r>
    </w:p>
  </w:footnote>
  <w:footnote w:type="continuationSeparator" w:id="0">
    <w:p w:rsidR="0039352F" w:rsidRDefault="00393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施罗德启通灵活</w:t>
    </w:r>
    <w:proofErr w:type="gramEnd"/>
    <w:r w:rsidRPr="00D3445F">
      <w:rPr>
        <w:rFonts w:eastAsiaTheme="minorEastAsia"/>
        <w:sz w:val="24"/>
      </w:rPr>
      <w:t>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96CC9"/>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2A85"/>
    <w:rsid w:val="0039352F"/>
    <w:rsid w:val="003976A3"/>
    <w:rsid w:val="00397960"/>
    <w:rsid w:val="00397F75"/>
    <w:rsid w:val="003A2008"/>
    <w:rsid w:val="003A3BC4"/>
    <w:rsid w:val="003A4AA3"/>
    <w:rsid w:val="003A7DDF"/>
    <w:rsid w:val="003B405E"/>
    <w:rsid w:val="003B4843"/>
    <w:rsid w:val="003B494E"/>
    <w:rsid w:val="003B6C23"/>
    <w:rsid w:val="003C4300"/>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19B4"/>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416"/>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0F92"/>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445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5D07"/>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8EEF-681F-4359-A7B2-2B073C24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14</Pages>
  <Words>1147</Words>
  <Characters>6542</Characters>
  <Application>Microsoft Office Word</Application>
  <DocSecurity>0</DocSecurity>
  <Lines>54</Lines>
  <Paragraphs>15</Paragraphs>
  <ScaleCrop>false</ScaleCrop>
  <Company>TRT. Ltd. Co.</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381</cp:revision>
  <cp:lastPrinted>2007-07-19T00:46:00Z</cp:lastPrinted>
  <dcterms:created xsi:type="dcterms:W3CDTF">2014-01-17T06:19:00Z</dcterms:created>
  <dcterms:modified xsi:type="dcterms:W3CDTF">2018-07-16T08:33:00Z</dcterms:modified>
</cp:coreProperties>
</file>