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95469" w:rsidRDefault="00890DD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300,044,117.54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90DDB" w:rsidRPr="00414345" w:rsidTr="00890DD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90DDB" w:rsidRPr="00414345" w:rsidTr="00890D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4,222,397.15</w:t>
            </w:r>
          </w:p>
        </w:tc>
      </w:tr>
      <w:tr w:rsidR="00890DDB" w:rsidRPr="00414345" w:rsidTr="00890D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4,226,591.15</w:t>
            </w:r>
          </w:p>
        </w:tc>
      </w:tr>
      <w:tr w:rsidR="00890DDB" w:rsidRPr="00414345" w:rsidTr="00890D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0.0141</w:t>
            </w:r>
          </w:p>
        </w:tc>
      </w:tr>
      <w:tr w:rsidR="00890DDB" w:rsidRPr="00414345" w:rsidTr="00890D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338,139,455.25</w:t>
            </w:r>
          </w:p>
        </w:tc>
      </w:tr>
      <w:tr w:rsidR="00890DDB" w:rsidRPr="00414345" w:rsidTr="00890DD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1.1270</w:t>
            </w:r>
          </w:p>
        </w:tc>
      </w:tr>
    </w:tbl>
    <w:p w:rsidR="00D95469" w:rsidRDefault="00890DD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95469">
        <w:trPr>
          <w:jc w:val="center"/>
        </w:trPr>
        <w:tc>
          <w:tcPr>
            <w:tcW w:w="1701" w:type="dxa"/>
            <w:vAlign w:val="center"/>
          </w:tcPr>
          <w:p w:rsidR="00D95469" w:rsidRDefault="00890DDB">
            <w:pPr>
              <w:jc w:val="left"/>
            </w:pPr>
            <w:r>
              <w:rPr>
                <w:color w:val="000000"/>
                <w:sz w:val="24"/>
                <w:szCs w:val="24"/>
              </w:rPr>
              <w:t>过去三个月</w:t>
            </w:r>
          </w:p>
        </w:tc>
        <w:tc>
          <w:tcPr>
            <w:tcW w:w="1045" w:type="dxa"/>
            <w:vAlign w:val="center"/>
          </w:tcPr>
          <w:p w:rsidR="00D95469" w:rsidRDefault="00890DDB">
            <w:pPr>
              <w:jc w:val="center"/>
            </w:pPr>
            <w:r>
              <w:rPr>
                <w:color w:val="000000"/>
                <w:sz w:val="24"/>
                <w:szCs w:val="24"/>
              </w:rPr>
              <w:t>1.27%</w:t>
            </w:r>
          </w:p>
        </w:tc>
        <w:tc>
          <w:tcPr>
            <w:tcW w:w="1344" w:type="dxa"/>
            <w:vAlign w:val="center"/>
          </w:tcPr>
          <w:p w:rsidR="00D95469" w:rsidRDefault="00890DDB">
            <w:pPr>
              <w:jc w:val="center"/>
            </w:pPr>
            <w:r>
              <w:rPr>
                <w:color w:val="000000"/>
                <w:sz w:val="24"/>
                <w:szCs w:val="24"/>
              </w:rPr>
              <w:t>0.26%</w:t>
            </w:r>
          </w:p>
        </w:tc>
        <w:tc>
          <w:tcPr>
            <w:tcW w:w="1194" w:type="dxa"/>
            <w:vAlign w:val="center"/>
          </w:tcPr>
          <w:p w:rsidR="00D95469" w:rsidRDefault="00890DDB">
            <w:pPr>
              <w:jc w:val="center"/>
            </w:pPr>
            <w:r>
              <w:rPr>
                <w:color w:val="000000"/>
                <w:sz w:val="24"/>
                <w:szCs w:val="24"/>
              </w:rPr>
              <w:t>-4.52%</w:t>
            </w:r>
          </w:p>
        </w:tc>
        <w:tc>
          <w:tcPr>
            <w:tcW w:w="1492" w:type="dxa"/>
            <w:vAlign w:val="center"/>
          </w:tcPr>
          <w:p w:rsidR="00D95469" w:rsidRDefault="00890DDB">
            <w:pPr>
              <w:jc w:val="center"/>
            </w:pPr>
            <w:r>
              <w:rPr>
                <w:color w:val="000000"/>
                <w:sz w:val="24"/>
                <w:szCs w:val="24"/>
              </w:rPr>
              <w:t>0.57%</w:t>
            </w:r>
          </w:p>
        </w:tc>
        <w:tc>
          <w:tcPr>
            <w:tcW w:w="1194" w:type="dxa"/>
            <w:vAlign w:val="center"/>
          </w:tcPr>
          <w:p w:rsidR="00D95469" w:rsidRDefault="00890DDB">
            <w:pPr>
              <w:jc w:val="center"/>
            </w:pPr>
            <w:r>
              <w:rPr>
                <w:color w:val="000000"/>
                <w:sz w:val="24"/>
                <w:szCs w:val="24"/>
              </w:rPr>
              <w:t>5.79%</w:t>
            </w:r>
          </w:p>
        </w:tc>
        <w:tc>
          <w:tcPr>
            <w:tcW w:w="898" w:type="dxa"/>
            <w:vAlign w:val="center"/>
          </w:tcPr>
          <w:p w:rsidR="00D95469" w:rsidRDefault="00890DDB">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95469">
        <w:trPr>
          <w:jc w:val="center"/>
        </w:trPr>
        <w:tc>
          <w:tcPr>
            <w:tcW w:w="846" w:type="dxa"/>
            <w:vAlign w:val="center"/>
          </w:tcPr>
          <w:p w:rsidR="00D95469" w:rsidRDefault="00890DDB">
            <w:pPr>
              <w:jc w:val="center"/>
            </w:pPr>
            <w:r>
              <w:rPr>
                <w:color w:val="000000"/>
                <w:sz w:val="24"/>
                <w:szCs w:val="24"/>
              </w:rPr>
              <w:t>李娜</w:t>
            </w:r>
          </w:p>
        </w:tc>
        <w:tc>
          <w:tcPr>
            <w:tcW w:w="845" w:type="dxa"/>
            <w:vAlign w:val="center"/>
          </w:tcPr>
          <w:p w:rsidR="00D95469" w:rsidRDefault="00890DDB">
            <w:pPr>
              <w:jc w:val="center"/>
            </w:pPr>
            <w:r>
              <w:rPr>
                <w:color w:val="000000"/>
                <w:sz w:val="24"/>
                <w:szCs w:val="24"/>
              </w:rPr>
              <w:t>交银周期回报灵活配置混合、交银新回报灵活配置混合、交银多策略回报灵活</w:t>
            </w:r>
            <w:r>
              <w:rPr>
                <w:color w:val="000000"/>
                <w:sz w:val="24"/>
                <w:szCs w:val="24"/>
              </w:rPr>
              <w:lastRenderedPageBreak/>
              <w:t>配置混合、交银卓越回报灵活配置混合、交银优选回报灵活配置混合、交银优择回报灵活配置混合、交银领先回报灵活配置混合、交银瑞鑫定期开放灵活配置混合、交银瑞景定期开放灵活配置混合、交银启通灵活配置</w:t>
            </w:r>
            <w:r>
              <w:rPr>
                <w:color w:val="000000"/>
                <w:sz w:val="24"/>
                <w:szCs w:val="24"/>
              </w:rPr>
              <w:lastRenderedPageBreak/>
              <w:t>混合、交银瑞利定期开放灵活配置混合的基金经理</w:t>
            </w:r>
          </w:p>
        </w:tc>
        <w:tc>
          <w:tcPr>
            <w:tcW w:w="1549" w:type="dxa"/>
            <w:vAlign w:val="center"/>
          </w:tcPr>
          <w:p w:rsidR="00D95469" w:rsidRDefault="00890DDB">
            <w:pPr>
              <w:jc w:val="center"/>
            </w:pPr>
            <w:r>
              <w:rPr>
                <w:color w:val="000000"/>
                <w:sz w:val="24"/>
                <w:szCs w:val="24"/>
              </w:rPr>
              <w:lastRenderedPageBreak/>
              <w:t>2016-12-21</w:t>
            </w:r>
          </w:p>
        </w:tc>
        <w:tc>
          <w:tcPr>
            <w:tcW w:w="1548" w:type="dxa"/>
            <w:vAlign w:val="center"/>
          </w:tcPr>
          <w:p w:rsidR="00D95469" w:rsidRDefault="00890DDB">
            <w:pPr>
              <w:jc w:val="center"/>
            </w:pPr>
            <w:r>
              <w:rPr>
                <w:color w:val="000000"/>
                <w:sz w:val="24"/>
                <w:szCs w:val="24"/>
              </w:rPr>
              <w:t>-</w:t>
            </w:r>
          </w:p>
        </w:tc>
        <w:tc>
          <w:tcPr>
            <w:tcW w:w="1407" w:type="dxa"/>
            <w:vAlign w:val="center"/>
          </w:tcPr>
          <w:p w:rsidR="00D95469" w:rsidRDefault="00890DDB">
            <w:pPr>
              <w:jc w:val="center"/>
            </w:pPr>
            <w:r>
              <w:rPr>
                <w:color w:val="000000"/>
                <w:sz w:val="24"/>
                <w:szCs w:val="24"/>
              </w:rPr>
              <w:t>8</w:t>
            </w:r>
            <w:r>
              <w:rPr>
                <w:color w:val="000000"/>
                <w:sz w:val="24"/>
                <w:szCs w:val="24"/>
              </w:rPr>
              <w:t>年</w:t>
            </w:r>
          </w:p>
        </w:tc>
        <w:tc>
          <w:tcPr>
            <w:tcW w:w="2673" w:type="dxa"/>
            <w:vAlign w:val="center"/>
          </w:tcPr>
          <w:p w:rsidR="00D95469" w:rsidRDefault="00890DD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sidR="00F86714">
              <w:rPr>
                <w:color w:val="000000"/>
                <w:sz w:val="24"/>
                <w:szCs w:val="24"/>
              </w:rPr>
              <w:t>10</w:t>
            </w:r>
            <w:r>
              <w:rPr>
                <w:color w:val="000000"/>
                <w:sz w:val="24"/>
                <w:szCs w:val="24"/>
              </w:rPr>
              <w:t>日担任交银施罗德瑞安定期开放灵活配置混合型证券投资基金基金经理。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95469" w:rsidRDefault="00890DD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95469" w:rsidRDefault="00890DD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95469" w:rsidRDefault="00890DD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95469" w:rsidRDefault="00890DDB">
      <w:pPr>
        <w:spacing w:before="29" w:line="288" w:lineRule="auto"/>
        <w:ind w:firstLineChars="200" w:firstLine="480"/>
        <w:rPr>
          <w:color w:val="000000"/>
          <w:sz w:val="24"/>
          <w:szCs w:val="24"/>
        </w:rPr>
      </w:pPr>
      <w:r>
        <w:rPr>
          <w:color w:val="000000"/>
          <w:sz w:val="24"/>
          <w:szCs w:val="24"/>
        </w:rPr>
        <w:t>本报告期内，经济增长以及市场预期在内部去杠杆进程和外部中美贸易摩擦的双重影响下呈现趋缓态势。固定资产投资逐步走低，增速从二月份的</w:t>
      </w:r>
      <w:r>
        <w:rPr>
          <w:color w:val="000000"/>
          <w:sz w:val="24"/>
          <w:szCs w:val="24"/>
        </w:rPr>
        <w:t>7.9%</w:t>
      </w:r>
      <w:r>
        <w:rPr>
          <w:color w:val="000000"/>
          <w:sz w:val="24"/>
          <w:szCs w:val="24"/>
        </w:rPr>
        <w:t>回落至五月的</w:t>
      </w:r>
      <w:r>
        <w:rPr>
          <w:color w:val="000000"/>
          <w:sz w:val="24"/>
          <w:szCs w:val="24"/>
        </w:rPr>
        <w:t>6.1%</w:t>
      </w:r>
      <w:r>
        <w:rPr>
          <w:color w:val="000000"/>
          <w:sz w:val="24"/>
          <w:szCs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szCs w:val="24"/>
        </w:rPr>
        <w:t>PPI</w:t>
      </w:r>
      <w:r>
        <w:rPr>
          <w:color w:val="000000"/>
          <w:sz w:val="24"/>
          <w:szCs w:val="24"/>
        </w:rPr>
        <w:t>增速上行至</w:t>
      </w:r>
      <w:r>
        <w:rPr>
          <w:color w:val="000000"/>
          <w:sz w:val="24"/>
          <w:szCs w:val="24"/>
        </w:rPr>
        <w:t>4.1%</w:t>
      </w:r>
      <w:r>
        <w:rPr>
          <w:color w:val="000000"/>
          <w:sz w:val="24"/>
          <w:szCs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szCs w:val="24"/>
        </w:rPr>
        <w:t>10.1%</w:t>
      </w:r>
      <w:r>
        <w:rPr>
          <w:color w:val="000000"/>
          <w:sz w:val="24"/>
          <w:szCs w:val="24"/>
        </w:rPr>
        <w:t>和</w:t>
      </w:r>
      <w:r>
        <w:rPr>
          <w:color w:val="000000"/>
          <w:sz w:val="24"/>
          <w:szCs w:val="24"/>
        </w:rPr>
        <w:t>15.5%</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27BP</w:t>
      </w:r>
      <w:r>
        <w:rPr>
          <w:color w:val="000000"/>
          <w:sz w:val="24"/>
          <w:szCs w:val="24"/>
        </w:rPr>
        <w:t>至</w:t>
      </w:r>
      <w:r>
        <w:rPr>
          <w:color w:val="000000"/>
          <w:sz w:val="24"/>
          <w:szCs w:val="24"/>
        </w:rPr>
        <w:t>3.48%</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39BP</w:t>
      </w:r>
      <w:r>
        <w:rPr>
          <w:color w:val="000000"/>
          <w:sz w:val="24"/>
          <w:szCs w:val="24"/>
        </w:rPr>
        <w:t>到</w:t>
      </w:r>
      <w:r>
        <w:rPr>
          <w:color w:val="000000"/>
          <w:sz w:val="24"/>
          <w:szCs w:val="24"/>
        </w:rPr>
        <w:t>4.25%</w:t>
      </w:r>
      <w:r>
        <w:rPr>
          <w:color w:val="000000"/>
          <w:sz w:val="24"/>
          <w:szCs w:val="24"/>
        </w:rPr>
        <w:t>。</w:t>
      </w:r>
    </w:p>
    <w:p w:rsidR="00D95469" w:rsidRDefault="00890DDB">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1.1270</w:t>
      </w:r>
      <w:r w:rsidRPr="00414345">
        <w:rPr>
          <w:color w:val="000000"/>
          <w:sz w:val="24"/>
          <w:szCs w:val="24"/>
        </w:rPr>
        <w:t>元，本报告期份额净值增长率为</w:t>
      </w:r>
      <w:r w:rsidRPr="00414345">
        <w:rPr>
          <w:color w:val="000000"/>
          <w:sz w:val="24"/>
          <w:szCs w:val="24"/>
        </w:rPr>
        <w:t>1.27%</w:t>
      </w:r>
      <w:r w:rsidRPr="00414345">
        <w:rPr>
          <w:color w:val="000000"/>
          <w:sz w:val="24"/>
          <w:szCs w:val="24"/>
        </w:rPr>
        <w:t>，同期业绩比较基准增长率为</w:t>
      </w:r>
      <w:r w:rsidRPr="00414345">
        <w:rPr>
          <w:color w:val="000000"/>
          <w:sz w:val="24"/>
          <w:szCs w:val="24"/>
        </w:rPr>
        <w:t>-4.52%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A70188" w:rsidRPr="002C73B0" w:rsidRDefault="00A70188" w:rsidP="002C73B0">
      <w:pPr>
        <w:spacing w:before="29" w:line="288" w:lineRule="auto"/>
        <w:ind w:firstLineChars="200" w:firstLine="480"/>
        <w:rPr>
          <w:color w:val="000000"/>
          <w:sz w:val="24"/>
          <w:szCs w:val="24"/>
        </w:rPr>
      </w:pPr>
      <w:r w:rsidRPr="002C73B0">
        <w:rPr>
          <w:rFonts w:hint="eastAsia"/>
          <w:color w:val="000000"/>
          <w:sz w:val="24"/>
          <w:szCs w:val="24"/>
        </w:rPr>
        <w:t>本基金本报告期内存在基金份额持有人数量持续低于</w:t>
      </w:r>
      <w:r w:rsidRPr="002C73B0">
        <w:rPr>
          <w:color w:val="000000"/>
          <w:sz w:val="24"/>
          <w:szCs w:val="24"/>
        </w:rPr>
        <w:t>200</w:t>
      </w:r>
      <w:r w:rsidRPr="002C73B0">
        <w:rPr>
          <w:rFonts w:hint="eastAsia"/>
          <w:color w:val="000000"/>
          <w:sz w:val="24"/>
          <w:szCs w:val="24"/>
        </w:rPr>
        <w:t>人的情形，本基金可能触发基金合同终止情形。</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60,645,347.55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60,645,347.55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136,568,282.90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136,568,282.90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17,600,000.00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120,716,699.04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3,020,017.49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338,550,346.98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890DDB" w:rsidP="00C15CAC">
            <w:pPr>
              <w:spacing w:before="29" w:line="288" w:lineRule="auto"/>
              <w:jc w:val="right"/>
              <w:rPr>
                <w:sz w:val="24"/>
                <w:szCs w:val="24"/>
              </w:rPr>
            </w:pPr>
            <w:r w:rsidRPr="00890DDB">
              <w:rPr>
                <w:sz w:val="24"/>
                <w:szCs w:val="24"/>
              </w:rPr>
              <w:t>40,899,097.46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890DDB">
            <w:pPr>
              <w:spacing w:before="29" w:line="288" w:lineRule="auto"/>
              <w:jc w:val="right"/>
              <w:rPr>
                <w:sz w:val="24"/>
                <w:szCs w:val="24"/>
              </w:rPr>
            </w:pPr>
            <w:r w:rsidRPr="00414345">
              <w:rPr>
                <w:sz w:val="24"/>
                <w:szCs w:val="24"/>
              </w:rPr>
              <w:t>1,</w:t>
            </w:r>
            <w:r w:rsidR="00890DDB">
              <w:rPr>
                <w:sz w:val="24"/>
                <w:szCs w:val="24"/>
              </w:rPr>
              <w:t>514</w:t>
            </w:r>
            <w:r w:rsidRPr="00414345">
              <w:rPr>
                <w:sz w:val="24"/>
                <w:szCs w:val="24"/>
              </w:rPr>
              <w:t>,</w:t>
            </w:r>
            <w:r w:rsidR="00890DDB">
              <w:rPr>
                <w:sz w:val="24"/>
                <w:szCs w:val="24"/>
              </w:rPr>
              <w:t>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90DDB">
            <w:pPr>
              <w:spacing w:before="29" w:line="288" w:lineRule="auto"/>
              <w:jc w:val="right"/>
              <w:rPr>
                <w:sz w:val="24"/>
                <w:szCs w:val="24"/>
              </w:rPr>
            </w:pPr>
            <w:r w:rsidRPr="00414345">
              <w:rPr>
                <w:sz w:val="24"/>
                <w:szCs w:val="24"/>
              </w:rPr>
              <w:t>0.4</w:t>
            </w:r>
            <w:r w:rsidR="00890DDB">
              <w:rPr>
                <w:sz w:val="24"/>
                <w:szCs w:val="24"/>
              </w:rPr>
              <w:t>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2,866,064.10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12,749,400.00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60,645,347.55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w:t>
            </w:r>
          </w:p>
        </w:tc>
      </w:tr>
    </w:tbl>
    <w:p w:rsidR="005C033E" w:rsidRDefault="005C033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95469">
        <w:trPr>
          <w:jc w:val="center"/>
        </w:trPr>
        <w:tc>
          <w:tcPr>
            <w:tcW w:w="855" w:type="dxa"/>
            <w:vAlign w:val="center"/>
          </w:tcPr>
          <w:p w:rsidR="00D95469" w:rsidRDefault="00890DDB">
            <w:pPr>
              <w:jc w:val="center"/>
            </w:pPr>
            <w:r>
              <w:rPr>
                <w:color w:val="000000"/>
                <w:sz w:val="24"/>
                <w:szCs w:val="24"/>
              </w:rPr>
              <w:t>1</w:t>
            </w:r>
          </w:p>
        </w:tc>
        <w:tc>
          <w:tcPr>
            <w:tcW w:w="1334" w:type="dxa"/>
            <w:vAlign w:val="center"/>
          </w:tcPr>
          <w:p w:rsidR="00D95469" w:rsidRDefault="00890DDB">
            <w:pPr>
              <w:jc w:val="center"/>
            </w:pPr>
            <w:r>
              <w:rPr>
                <w:color w:val="000000"/>
                <w:sz w:val="24"/>
                <w:szCs w:val="24"/>
              </w:rPr>
              <w:t>600519</w:t>
            </w:r>
          </w:p>
        </w:tc>
        <w:tc>
          <w:tcPr>
            <w:tcW w:w="1777" w:type="dxa"/>
            <w:vAlign w:val="center"/>
          </w:tcPr>
          <w:p w:rsidR="00D95469" w:rsidRDefault="00890DDB">
            <w:pPr>
              <w:jc w:val="center"/>
            </w:pPr>
            <w:r>
              <w:rPr>
                <w:color w:val="000000"/>
                <w:sz w:val="24"/>
                <w:szCs w:val="24"/>
              </w:rPr>
              <w:t>贵州茅台</w:t>
            </w:r>
          </w:p>
        </w:tc>
        <w:tc>
          <w:tcPr>
            <w:tcW w:w="1334" w:type="dxa"/>
            <w:vAlign w:val="center"/>
          </w:tcPr>
          <w:p w:rsidR="00D95469" w:rsidRDefault="00890DDB">
            <w:pPr>
              <w:jc w:val="right"/>
            </w:pPr>
            <w:r>
              <w:rPr>
                <w:color w:val="000000"/>
                <w:sz w:val="24"/>
                <w:szCs w:val="24"/>
              </w:rPr>
              <w:t>13,000</w:t>
            </w:r>
          </w:p>
        </w:tc>
        <w:tc>
          <w:tcPr>
            <w:tcW w:w="1924" w:type="dxa"/>
            <w:vAlign w:val="center"/>
          </w:tcPr>
          <w:p w:rsidR="00D95469" w:rsidRDefault="00890DDB">
            <w:pPr>
              <w:jc w:val="right"/>
            </w:pPr>
            <w:r>
              <w:rPr>
                <w:color w:val="000000"/>
                <w:sz w:val="24"/>
                <w:szCs w:val="24"/>
              </w:rPr>
              <w:t>9,508,980.00</w:t>
            </w:r>
          </w:p>
        </w:tc>
        <w:tc>
          <w:tcPr>
            <w:tcW w:w="1644" w:type="dxa"/>
            <w:vAlign w:val="center"/>
          </w:tcPr>
          <w:p w:rsidR="00D95469" w:rsidRDefault="00890DDB">
            <w:pPr>
              <w:jc w:val="right"/>
            </w:pPr>
            <w:r>
              <w:rPr>
                <w:color w:val="000000"/>
                <w:sz w:val="24"/>
                <w:szCs w:val="24"/>
              </w:rPr>
              <w:t>2.81</w:t>
            </w:r>
          </w:p>
        </w:tc>
      </w:tr>
      <w:tr w:rsidR="00D95469">
        <w:trPr>
          <w:jc w:val="center"/>
        </w:trPr>
        <w:tc>
          <w:tcPr>
            <w:tcW w:w="855" w:type="dxa"/>
            <w:vAlign w:val="center"/>
          </w:tcPr>
          <w:p w:rsidR="00D95469" w:rsidRDefault="00890DDB">
            <w:pPr>
              <w:jc w:val="center"/>
            </w:pPr>
            <w:r>
              <w:rPr>
                <w:color w:val="000000"/>
                <w:sz w:val="24"/>
                <w:szCs w:val="24"/>
              </w:rPr>
              <w:t>2</w:t>
            </w:r>
          </w:p>
        </w:tc>
        <w:tc>
          <w:tcPr>
            <w:tcW w:w="1334" w:type="dxa"/>
            <w:vAlign w:val="center"/>
          </w:tcPr>
          <w:p w:rsidR="00D95469" w:rsidRDefault="00890DDB">
            <w:pPr>
              <w:jc w:val="center"/>
            </w:pPr>
            <w:r>
              <w:rPr>
                <w:color w:val="000000"/>
                <w:sz w:val="24"/>
                <w:szCs w:val="24"/>
              </w:rPr>
              <w:t>600887</w:t>
            </w:r>
          </w:p>
        </w:tc>
        <w:tc>
          <w:tcPr>
            <w:tcW w:w="1777" w:type="dxa"/>
            <w:vAlign w:val="center"/>
          </w:tcPr>
          <w:p w:rsidR="00D95469" w:rsidRDefault="00890DDB">
            <w:pPr>
              <w:jc w:val="center"/>
            </w:pPr>
            <w:r>
              <w:rPr>
                <w:color w:val="000000"/>
                <w:sz w:val="24"/>
                <w:szCs w:val="24"/>
              </w:rPr>
              <w:t>伊利股份</w:t>
            </w:r>
          </w:p>
        </w:tc>
        <w:tc>
          <w:tcPr>
            <w:tcW w:w="1334" w:type="dxa"/>
            <w:vAlign w:val="center"/>
          </w:tcPr>
          <w:p w:rsidR="00D95469" w:rsidRDefault="00890DDB">
            <w:pPr>
              <w:jc w:val="right"/>
            </w:pPr>
            <w:r>
              <w:rPr>
                <w:color w:val="000000"/>
                <w:sz w:val="24"/>
                <w:szCs w:val="24"/>
              </w:rPr>
              <w:t>250,000</w:t>
            </w:r>
          </w:p>
        </w:tc>
        <w:tc>
          <w:tcPr>
            <w:tcW w:w="1924" w:type="dxa"/>
            <w:vAlign w:val="center"/>
          </w:tcPr>
          <w:p w:rsidR="00D95469" w:rsidRDefault="00890DDB">
            <w:pPr>
              <w:jc w:val="right"/>
            </w:pPr>
            <w:r>
              <w:rPr>
                <w:color w:val="000000"/>
                <w:sz w:val="24"/>
                <w:szCs w:val="24"/>
              </w:rPr>
              <w:t>6,975,000.00</w:t>
            </w:r>
          </w:p>
        </w:tc>
        <w:tc>
          <w:tcPr>
            <w:tcW w:w="1644" w:type="dxa"/>
            <w:vAlign w:val="center"/>
          </w:tcPr>
          <w:p w:rsidR="00D95469" w:rsidRDefault="00890DDB">
            <w:pPr>
              <w:jc w:val="right"/>
            </w:pPr>
            <w:r>
              <w:rPr>
                <w:color w:val="000000"/>
                <w:sz w:val="24"/>
                <w:szCs w:val="24"/>
              </w:rPr>
              <w:t>2.06</w:t>
            </w:r>
          </w:p>
        </w:tc>
      </w:tr>
      <w:tr w:rsidR="00D95469">
        <w:trPr>
          <w:jc w:val="center"/>
        </w:trPr>
        <w:tc>
          <w:tcPr>
            <w:tcW w:w="855" w:type="dxa"/>
            <w:vAlign w:val="center"/>
          </w:tcPr>
          <w:p w:rsidR="00D95469" w:rsidRDefault="00890DDB">
            <w:pPr>
              <w:jc w:val="center"/>
            </w:pPr>
            <w:r>
              <w:rPr>
                <w:color w:val="000000"/>
                <w:sz w:val="24"/>
                <w:szCs w:val="24"/>
              </w:rPr>
              <w:t>3</w:t>
            </w:r>
          </w:p>
        </w:tc>
        <w:tc>
          <w:tcPr>
            <w:tcW w:w="1334" w:type="dxa"/>
            <w:vAlign w:val="center"/>
          </w:tcPr>
          <w:p w:rsidR="00D95469" w:rsidRDefault="00890DDB">
            <w:pPr>
              <w:jc w:val="center"/>
            </w:pPr>
            <w:r>
              <w:rPr>
                <w:color w:val="000000"/>
                <w:sz w:val="24"/>
                <w:szCs w:val="24"/>
              </w:rPr>
              <w:t>600276</w:t>
            </w:r>
          </w:p>
        </w:tc>
        <w:tc>
          <w:tcPr>
            <w:tcW w:w="1777" w:type="dxa"/>
            <w:vAlign w:val="center"/>
          </w:tcPr>
          <w:p w:rsidR="00D95469" w:rsidRDefault="00890DDB">
            <w:pPr>
              <w:jc w:val="center"/>
            </w:pPr>
            <w:r>
              <w:rPr>
                <w:color w:val="000000"/>
                <w:sz w:val="24"/>
                <w:szCs w:val="24"/>
              </w:rPr>
              <w:t>恒瑞医药</w:t>
            </w:r>
          </w:p>
        </w:tc>
        <w:tc>
          <w:tcPr>
            <w:tcW w:w="1334" w:type="dxa"/>
            <w:vAlign w:val="center"/>
          </w:tcPr>
          <w:p w:rsidR="00D95469" w:rsidRDefault="00890DDB">
            <w:pPr>
              <w:jc w:val="right"/>
            </w:pPr>
            <w:r>
              <w:rPr>
                <w:color w:val="000000"/>
                <w:sz w:val="24"/>
                <w:szCs w:val="24"/>
              </w:rPr>
              <w:t>91,000</w:t>
            </w:r>
          </w:p>
        </w:tc>
        <w:tc>
          <w:tcPr>
            <w:tcW w:w="1924" w:type="dxa"/>
            <w:vAlign w:val="center"/>
          </w:tcPr>
          <w:p w:rsidR="00D95469" w:rsidRDefault="00890DDB">
            <w:pPr>
              <w:jc w:val="right"/>
            </w:pPr>
            <w:r>
              <w:rPr>
                <w:color w:val="000000"/>
                <w:sz w:val="24"/>
                <w:szCs w:val="24"/>
              </w:rPr>
              <w:t>6,894,160.00</w:t>
            </w:r>
          </w:p>
        </w:tc>
        <w:tc>
          <w:tcPr>
            <w:tcW w:w="1644" w:type="dxa"/>
            <w:vAlign w:val="center"/>
          </w:tcPr>
          <w:p w:rsidR="00D95469" w:rsidRDefault="00890DDB">
            <w:pPr>
              <w:jc w:val="right"/>
            </w:pPr>
            <w:r>
              <w:rPr>
                <w:color w:val="000000"/>
                <w:sz w:val="24"/>
                <w:szCs w:val="24"/>
              </w:rPr>
              <w:t>2.04</w:t>
            </w:r>
          </w:p>
        </w:tc>
      </w:tr>
      <w:tr w:rsidR="00D95469">
        <w:trPr>
          <w:jc w:val="center"/>
        </w:trPr>
        <w:tc>
          <w:tcPr>
            <w:tcW w:w="855" w:type="dxa"/>
            <w:vAlign w:val="center"/>
          </w:tcPr>
          <w:p w:rsidR="00D95469" w:rsidRDefault="00890DDB">
            <w:pPr>
              <w:jc w:val="center"/>
            </w:pPr>
            <w:r>
              <w:rPr>
                <w:color w:val="000000"/>
                <w:sz w:val="24"/>
                <w:szCs w:val="24"/>
              </w:rPr>
              <w:t>4</w:t>
            </w:r>
          </w:p>
        </w:tc>
        <w:tc>
          <w:tcPr>
            <w:tcW w:w="1334" w:type="dxa"/>
            <w:vAlign w:val="center"/>
          </w:tcPr>
          <w:p w:rsidR="00D95469" w:rsidRDefault="00890DDB">
            <w:pPr>
              <w:jc w:val="center"/>
            </w:pPr>
            <w:r>
              <w:rPr>
                <w:color w:val="000000"/>
                <w:sz w:val="24"/>
                <w:szCs w:val="24"/>
              </w:rPr>
              <w:t>600062</w:t>
            </w:r>
          </w:p>
        </w:tc>
        <w:tc>
          <w:tcPr>
            <w:tcW w:w="1777" w:type="dxa"/>
            <w:vAlign w:val="center"/>
          </w:tcPr>
          <w:p w:rsidR="00D95469" w:rsidRDefault="00890DDB">
            <w:pPr>
              <w:jc w:val="center"/>
            </w:pPr>
            <w:r>
              <w:rPr>
                <w:color w:val="000000"/>
                <w:sz w:val="24"/>
                <w:szCs w:val="24"/>
              </w:rPr>
              <w:t>华润双鹤</w:t>
            </w:r>
          </w:p>
        </w:tc>
        <w:tc>
          <w:tcPr>
            <w:tcW w:w="1334" w:type="dxa"/>
            <w:vAlign w:val="center"/>
          </w:tcPr>
          <w:p w:rsidR="00D95469" w:rsidRDefault="00890DDB">
            <w:pPr>
              <w:jc w:val="right"/>
            </w:pPr>
            <w:r>
              <w:rPr>
                <w:color w:val="000000"/>
                <w:sz w:val="24"/>
                <w:szCs w:val="24"/>
              </w:rPr>
              <w:t>204,000</w:t>
            </w:r>
          </w:p>
        </w:tc>
        <w:tc>
          <w:tcPr>
            <w:tcW w:w="1924" w:type="dxa"/>
            <w:vAlign w:val="center"/>
          </w:tcPr>
          <w:p w:rsidR="00D95469" w:rsidRDefault="00890DDB">
            <w:pPr>
              <w:jc w:val="right"/>
            </w:pPr>
            <w:r>
              <w:rPr>
                <w:color w:val="000000"/>
                <w:sz w:val="24"/>
                <w:szCs w:val="24"/>
              </w:rPr>
              <w:t>5,008,200.00</w:t>
            </w:r>
          </w:p>
        </w:tc>
        <w:tc>
          <w:tcPr>
            <w:tcW w:w="1644" w:type="dxa"/>
            <w:vAlign w:val="center"/>
          </w:tcPr>
          <w:p w:rsidR="00D95469" w:rsidRDefault="00890DDB">
            <w:pPr>
              <w:jc w:val="right"/>
            </w:pPr>
            <w:r>
              <w:rPr>
                <w:color w:val="000000"/>
                <w:sz w:val="24"/>
                <w:szCs w:val="24"/>
              </w:rPr>
              <w:t>1.48</w:t>
            </w:r>
          </w:p>
        </w:tc>
      </w:tr>
      <w:tr w:rsidR="00D95469">
        <w:trPr>
          <w:jc w:val="center"/>
        </w:trPr>
        <w:tc>
          <w:tcPr>
            <w:tcW w:w="855" w:type="dxa"/>
            <w:vAlign w:val="center"/>
          </w:tcPr>
          <w:p w:rsidR="00D95469" w:rsidRDefault="00890DDB">
            <w:pPr>
              <w:jc w:val="center"/>
            </w:pPr>
            <w:r>
              <w:rPr>
                <w:color w:val="000000"/>
                <w:sz w:val="24"/>
                <w:szCs w:val="24"/>
              </w:rPr>
              <w:t>5</w:t>
            </w:r>
          </w:p>
        </w:tc>
        <w:tc>
          <w:tcPr>
            <w:tcW w:w="1334" w:type="dxa"/>
            <w:vAlign w:val="center"/>
          </w:tcPr>
          <w:p w:rsidR="00D95469" w:rsidRDefault="00890DDB">
            <w:pPr>
              <w:jc w:val="center"/>
            </w:pPr>
            <w:r>
              <w:rPr>
                <w:color w:val="000000"/>
                <w:sz w:val="24"/>
                <w:szCs w:val="24"/>
              </w:rPr>
              <w:t>601398</w:t>
            </w:r>
          </w:p>
        </w:tc>
        <w:tc>
          <w:tcPr>
            <w:tcW w:w="1777" w:type="dxa"/>
            <w:vAlign w:val="center"/>
          </w:tcPr>
          <w:p w:rsidR="00D95469" w:rsidRDefault="00890DDB">
            <w:pPr>
              <w:jc w:val="center"/>
            </w:pPr>
            <w:r>
              <w:rPr>
                <w:color w:val="000000"/>
                <w:sz w:val="24"/>
                <w:szCs w:val="24"/>
              </w:rPr>
              <w:t>工商银行</w:t>
            </w:r>
          </w:p>
        </w:tc>
        <w:tc>
          <w:tcPr>
            <w:tcW w:w="1334" w:type="dxa"/>
            <w:vAlign w:val="center"/>
          </w:tcPr>
          <w:p w:rsidR="00D95469" w:rsidRDefault="00890DDB">
            <w:pPr>
              <w:jc w:val="right"/>
            </w:pPr>
            <w:r>
              <w:rPr>
                <w:color w:val="000000"/>
                <w:sz w:val="24"/>
                <w:szCs w:val="24"/>
              </w:rPr>
              <w:t>900,000</w:t>
            </w:r>
          </w:p>
        </w:tc>
        <w:tc>
          <w:tcPr>
            <w:tcW w:w="1924" w:type="dxa"/>
            <w:vAlign w:val="center"/>
          </w:tcPr>
          <w:p w:rsidR="00D95469" w:rsidRDefault="00890DDB">
            <w:pPr>
              <w:jc w:val="right"/>
            </w:pPr>
            <w:r>
              <w:rPr>
                <w:color w:val="000000"/>
                <w:sz w:val="24"/>
                <w:szCs w:val="24"/>
              </w:rPr>
              <w:t>4,788,000.00</w:t>
            </w:r>
          </w:p>
        </w:tc>
        <w:tc>
          <w:tcPr>
            <w:tcW w:w="1644" w:type="dxa"/>
            <w:vAlign w:val="center"/>
          </w:tcPr>
          <w:p w:rsidR="00D95469" w:rsidRDefault="00890DDB">
            <w:pPr>
              <w:jc w:val="right"/>
            </w:pPr>
            <w:r>
              <w:rPr>
                <w:color w:val="000000"/>
                <w:sz w:val="24"/>
                <w:szCs w:val="24"/>
              </w:rPr>
              <w:t>1.42</w:t>
            </w:r>
          </w:p>
        </w:tc>
      </w:tr>
      <w:tr w:rsidR="00D95469">
        <w:trPr>
          <w:jc w:val="center"/>
        </w:trPr>
        <w:tc>
          <w:tcPr>
            <w:tcW w:w="855" w:type="dxa"/>
            <w:vAlign w:val="center"/>
          </w:tcPr>
          <w:p w:rsidR="00D95469" w:rsidRDefault="00890DDB">
            <w:pPr>
              <w:jc w:val="center"/>
            </w:pPr>
            <w:r>
              <w:rPr>
                <w:color w:val="000000"/>
                <w:sz w:val="24"/>
                <w:szCs w:val="24"/>
              </w:rPr>
              <w:t>6</w:t>
            </w:r>
          </w:p>
        </w:tc>
        <w:tc>
          <w:tcPr>
            <w:tcW w:w="1334" w:type="dxa"/>
            <w:vAlign w:val="center"/>
          </w:tcPr>
          <w:p w:rsidR="00D95469" w:rsidRDefault="00890DDB">
            <w:pPr>
              <w:jc w:val="center"/>
            </w:pPr>
            <w:r>
              <w:rPr>
                <w:color w:val="000000"/>
                <w:sz w:val="24"/>
                <w:szCs w:val="24"/>
              </w:rPr>
              <w:t>601318</w:t>
            </w:r>
          </w:p>
        </w:tc>
        <w:tc>
          <w:tcPr>
            <w:tcW w:w="1777" w:type="dxa"/>
            <w:vAlign w:val="center"/>
          </w:tcPr>
          <w:p w:rsidR="00D95469" w:rsidRDefault="00890DDB">
            <w:pPr>
              <w:jc w:val="center"/>
            </w:pPr>
            <w:r>
              <w:rPr>
                <w:color w:val="000000"/>
                <w:sz w:val="24"/>
                <w:szCs w:val="24"/>
              </w:rPr>
              <w:t>中国平安</w:t>
            </w:r>
          </w:p>
        </w:tc>
        <w:tc>
          <w:tcPr>
            <w:tcW w:w="1334" w:type="dxa"/>
            <w:vAlign w:val="center"/>
          </w:tcPr>
          <w:p w:rsidR="00D95469" w:rsidRDefault="00890DDB">
            <w:pPr>
              <w:jc w:val="right"/>
            </w:pPr>
            <w:r>
              <w:rPr>
                <w:color w:val="000000"/>
                <w:sz w:val="24"/>
                <w:szCs w:val="24"/>
              </w:rPr>
              <w:t>80,000</w:t>
            </w:r>
          </w:p>
        </w:tc>
        <w:tc>
          <w:tcPr>
            <w:tcW w:w="1924" w:type="dxa"/>
            <w:vAlign w:val="center"/>
          </w:tcPr>
          <w:p w:rsidR="00D95469" w:rsidRDefault="00890DDB">
            <w:pPr>
              <w:jc w:val="right"/>
            </w:pPr>
            <w:r>
              <w:rPr>
                <w:color w:val="000000"/>
                <w:sz w:val="24"/>
                <w:szCs w:val="24"/>
              </w:rPr>
              <w:t>4,686,400.00</w:t>
            </w:r>
          </w:p>
        </w:tc>
        <w:tc>
          <w:tcPr>
            <w:tcW w:w="1644" w:type="dxa"/>
            <w:vAlign w:val="center"/>
          </w:tcPr>
          <w:p w:rsidR="00D95469" w:rsidRDefault="00890DDB">
            <w:pPr>
              <w:jc w:val="right"/>
            </w:pPr>
            <w:r>
              <w:rPr>
                <w:color w:val="000000"/>
                <w:sz w:val="24"/>
                <w:szCs w:val="24"/>
              </w:rPr>
              <w:t>1.39</w:t>
            </w:r>
          </w:p>
        </w:tc>
      </w:tr>
      <w:tr w:rsidR="00D95469">
        <w:trPr>
          <w:jc w:val="center"/>
        </w:trPr>
        <w:tc>
          <w:tcPr>
            <w:tcW w:w="855" w:type="dxa"/>
            <w:vAlign w:val="center"/>
          </w:tcPr>
          <w:p w:rsidR="00D95469" w:rsidRDefault="00890DDB">
            <w:pPr>
              <w:jc w:val="center"/>
            </w:pPr>
            <w:r>
              <w:rPr>
                <w:color w:val="000000"/>
                <w:sz w:val="24"/>
                <w:szCs w:val="24"/>
              </w:rPr>
              <w:t>7</w:t>
            </w:r>
          </w:p>
        </w:tc>
        <w:tc>
          <w:tcPr>
            <w:tcW w:w="1334" w:type="dxa"/>
            <w:vAlign w:val="center"/>
          </w:tcPr>
          <w:p w:rsidR="00D95469" w:rsidRDefault="00890DDB">
            <w:pPr>
              <w:jc w:val="center"/>
            </w:pPr>
            <w:r>
              <w:rPr>
                <w:color w:val="000000"/>
                <w:sz w:val="24"/>
                <w:szCs w:val="24"/>
              </w:rPr>
              <w:t>600056</w:t>
            </w:r>
          </w:p>
        </w:tc>
        <w:tc>
          <w:tcPr>
            <w:tcW w:w="1777" w:type="dxa"/>
            <w:vAlign w:val="center"/>
          </w:tcPr>
          <w:p w:rsidR="00D95469" w:rsidRDefault="00890DDB">
            <w:pPr>
              <w:jc w:val="center"/>
            </w:pPr>
            <w:r>
              <w:rPr>
                <w:color w:val="000000"/>
                <w:sz w:val="24"/>
                <w:szCs w:val="24"/>
              </w:rPr>
              <w:t>中国医药</w:t>
            </w:r>
          </w:p>
        </w:tc>
        <w:tc>
          <w:tcPr>
            <w:tcW w:w="1334" w:type="dxa"/>
            <w:vAlign w:val="center"/>
          </w:tcPr>
          <w:p w:rsidR="00D95469" w:rsidRDefault="00890DDB">
            <w:pPr>
              <w:jc w:val="right"/>
            </w:pPr>
            <w:r>
              <w:rPr>
                <w:color w:val="000000"/>
                <w:sz w:val="24"/>
                <w:szCs w:val="24"/>
              </w:rPr>
              <w:t>250,000</w:t>
            </w:r>
          </w:p>
        </w:tc>
        <w:tc>
          <w:tcPr>
            <w:tcW w:w="1924" w:type="dxa"/>
            <w:vAlign w:val="center"/>
          </w:tcPr>
          <w:p w:rsidR="00D95469" w:rsidRDefault="00890DDB">
            <w:pPr>
              <w:jc w:val="right"/>
            </w:pPr>
            <w:r>
              <w:rPr>
                <w:color w:val="000000"/>
                <w:sz w:val="24"/>
                <w:szCs w:val="24"/>
              </w:rPr>
              <w:t>4,567,500.00</w:t>
            </w:r>
          </w:p>
        </w:tc>
        <w:tc>
          <w:tcPr>
            <w:tcW w:w="1644" w:type="dxa"/>
            <w:vAlign w:val="center"/>
          </w:tcPr>
          <w:p w:rsidR="00D95469" w:rsidRDefault="00890DDB">
            <w:pPr>
              <w:jc w:val="right"/>
            </w:pPr>
            <w:r>
              <w:rPr>
                <w:color w:val="000000"/>
                <w:sz w:val="24"/>
                <w:szCs w:val="24"/>
              </w:rPr>
              <w:t>1.35</w:t>
            </w:r>
          </w:p>
        </w:tc>
      </w:tr>
      <w:tr w:rsidR="00D95469">
        <w:trPr>
          <w:jc w:val="center"/>
        </w:trPr>
        <w:tc>
          <w:tcPr>
            <w:tcW w:w="855" w:type="dxa"/>
            <w:vAlign w:val="center"/>
          </w:tcPr>
          <w:p w:rsidR="00D95469" w:rsidRDefault="00890DDB">
            <w:pPr>
              <w:jc w:val="center"/>
            </w:pPr>
            <w:r>
              <w:rPr>
                <w:color w:val="000000"/>
                <w:sz w:val="24"/>
                <w:szCs w:val="24"/>
              </w:rPr>
              <w:t>8</w:t>
            </w:r>
          </w:p>
        </w:tc>
        <w:tc>
          <w:tcPr>
            <w:tcW w:w="1334" w:type="dxa"/>
            <w:vAlign w:val="center"/>
          </w:tcPr>
          <w:p w:rsidR="00D95469" w:rsidRDefault="00890DDB">
            <w:pPr>
              <w:jc w:val="center"/>
            </w:pPr>
            <w:r>
              <w:rPr>
                <w:color w:val="000000"/>
                <w:sz w:val="24"/>
                <w:szCs w:val="24"/>
              </w:rPr>
              <w:t>601939</w:t>
            </w:r>
          </w:p>
        </w:tc>
        <w:tc>
          <w:tcPr>
            <w:tcW w:w="1777" w:type="dxa"/>
            <w:vAlign w:val="center"/>
          </w:tcPr>
          <w:p w:rsidR="00D95469" w:rsidRDefault="00890DDB">
            <w:pPr>
              <w:jc w:val="center"/>
            </w:pPr>
            <w:r>
              <w:rPr>
                <w:color w:val="000000"/>
                <w:sz w:val="24"/>
                <w:szCs w:val="24"/>
              </w:rPr>
              <w:t>建设银行</w:t>
            </w:r>
          </w:p>
        </w:tc>
        <w:tc>
          <w:tcPr>
            <w:tcW w:w="1334" w:type="dxa"/>
            <w:vAlign w:val="center"/>
          </w:tcPr>
          <w:p w:rsidR="00D95469" w:rsidRDefault="00890DDB">
            <w:pPr>
              <w:jc w:val="right"/>
            </w:pPr>
            <w:r>
              <w:rPr>
                <w:color w:val="000000"/>
                <w:sz w:val="24"/>
                <w:szCs w:val="24"/>
              </w:rPr>
              <w:t>500,000</w:t>
            </w:r>
          </w:p>
        </w:tc>
        <w:tc>
          <w:tcPr>
            <w:tcW w:w="1924" w:type="dxa"/>
            <w:vAlign w:val="center"/>
          </w:tcPr>
          <w:p w:rsidR="00D95469" w:rsidRDefault="00890DDB">
            <w:pPr>
              <w:jc w:val="right"/>
            </w:pPr>
            <w:r>
              <w:rPr>
                <w:color w:val="000000"/>
                <w:sz w:val="24"/>
                <w:szCs w:val="24"/>
              </w:rPr>
              <w:t>3,275,000.00</w:t>
            </w:r>
          </w:p>
        </w:tc>
        <w:tc>
          <w:tcPr>
            <w:tcW w:w="1644" w:type="dxa"/>
            <w:vAlign w:val="center"/>
          </w:tcPr>
          <w:p w:rsidR="00D95469" w:rsidRDefault="00890DDB">
            <w:pPr>
              <w:jc w:val="right"/>
            </w:pPr>
            <w:r>
              <w:rPr>
                <w:color w:val="000000"/>
                <w:sz w:val="24"/>
                <w:szCs w:val="24"/>
              </w:rPr>
              <w:t>0.97</w:t>
            </w:r>
          </w:p>
        </w:tc>
      </w:tr>
      <w:tr w:rsidR="00D95469">
        <w:trPr>
          <w:jc w:val="center"/>
        </w:trPr>
        <w:tc>
          <w:tcPr>
            <w:tcW w:w="855" w:type="dxa"/>
            <w:vAlign w:val="center"/>
          </w:tcPr>
          <w:p w:rsidR="00D95469" w:rsidRDefault="00890DDB">
            <w:pPr>
              <w:jc w:val="center"/>
            </w:pPr>
            <w:r>
              <w:rPr>
                <w:color w:val="000000"/>
                <w:sz w:val="24"/>
                <w:szCs w:val="24"/>
              </w:rPr>
              <w:lastRenderedPageBreak/>
              <w:t>9</w:t>
            </w:r>
          </w:p>
        </w:tc>
        <w:tc>
          <w:tcPr>
            <w:tcW w:w="1334" w:type="dxa"/>
            <w:vAlign w:val="center"/>
          </w:tcPr>
          <w:p w:rsidR="00D95469" w:rsidRDefault="00890DDB">
            <w:pPr>
              <w:jc w:val="center"/>
            </w:pPr>
            <w:r>
              <w:rPr>
                <w:color w:val="000000"/>
                <w:sz w:val="24"/>
                <w:szCs w:val="24"/>
              </w:rPr>
              <w:t>601607</w:t>
            </w:r>
          </w:p>
        </w:tc>
        <w:tc>
          <w:tcPr>
            <w:tcW w:w="1777" w:type="dxa"/>
            <w:vAlign w:val="center"/>
          </w:tcPr>
          <w:p w:rsidR="00D95469" w:rsidRDefault="00890DDB">
            <w:pPr>
              <w:jc w:val="center"/>
            </w:pPr>
            <w:r>
              <w:rPr>
                <w:color w:val="000000"/>
                <w:sz w:val="24"/>
                <w:szCs w:val="24"/>
              </w:rPr>
              <w:t>上海医药</w:t>
            </w:r>
          </w:p>
        </w:tc>
        <w:tc>
          <w:tcPr>
            <w:tcW w:w="1334" w:type="dxa"/>
            <w:vAlign w:val="center"/>
          </w:tcPr>
          <w:p w:rsidR="00D95469" w:rsidRDefault="00890DDB">
            <w:pPr>
              <w:jc w:val="right"/>
            </w:pPr>
            <w:r>
              <w:rPr>
                <w:color w:val="000000"/>
                <w:sz w:val="24"/>
                <w:szCs w:val="24"/>
              </w:rPr>
              <w:t>119,919</w:t>
            </w:r>
          </w:p>
        </w:tc>
        <w:tc>
          <w:tcPr>
            <w:tcW w:w="1924" w:type="dxa"/>
            <w:vAlign w:val="center"/>
          </w:tcPr>
          <w:p w:rsidR="00D95469" w:rsidRDefault="00890DDB">
            <w:pPr>
              <w:jc w:val="right"/>
            </w:pPr>
            <w:r>
              <w:rPr>
                <w:color w:val="000000"/>
                <w:sz w:val="24"/>
                <w:szCs w:val="24"/>
              </w:rPr>
              <w:t>2,866,064.10</w:t>
            </w:r>
          </w:p>
        </w:tc>
        <w:tc>
          <w:tcPr>
            <w:tcW w:w="1644" w:type="dxa"/>
            <w:vAlign w:val="center"/>
          </w:tcPr>
          <w:p w:rsidR="00D95469" w:rsidRDefault="00890DDB">
            <w:pPr>
              <w:jc w:val="right"/>
            </w:pPr>
            <w:r>
              <w:rPr>
                <w:color w:val="000000"/>
                <w:sz w:val="24"/>
                <w:szCs w:val="24"/>
              </w:rPr>
              <w:t>0.85</w:t>
            </w:r>
          </w:p>
        </w:tc>
      </w:tr>
      <w:tr w:rsidR="00D95469">
        <w:trPr>
          <w:jc w:val="center"/>
        </w:trPr>
        <w:tc>
          <w:tcPr>
            <w:tcW w:w="855" w:type="dxa"/>
            <w:vAlign w:val="center"/>
          </w:tcPr>
          <w:p w:rsidR="00D95469" w:rsidRDefault="00890DDB">
            <w:pPr>
              <w:jc w:val="center"/>
            </w:pPr>
            <w:r>
              <w:rPr>
                <w:color w:val="000000"/>
                <w:sz w:val="24"/>
                <w:szCs w:val="24"/>
              </w:rPr>
              <w:t>10</w:t>
            </w:r>
          </w:p>
        </w:tc>
        <w:tc>
          <w:tcPr>
            <w:tcW w:w="1334" w:type="dxa"/>
            <w:vAlign w:val="center"/>
          </w:tcPr>
          <w:p w:rsidR="00D95469" w:rsidRDefault="00890DDB">
            <w:pPr>
              <w:jc w:val="center"/>
            </w:pPr>
            <w:r>
              <w:rPr>
                <w:color w:val="000000"/>
                <w:sz w:val="24"/>
                <w:szCs w:val="24"/>
              </w:rPr>
              <w:t>600329</w:t>
            </w:r>
          </w:p>
        </w:tc>
        <w:tc>
          <w:tcPr>
            <w:tcW w:w="1777" w:type="dxa"/>
            <w:vAlign w:val="center"/>
          </w:tcPr>
          <w:p w:rsidR="00D95469" w:rsidRDefault="00890DDB">
            <w:pPr>
              <w:jc w:val="center"/>
            </w:pPr>
            <w:r>
              <w:rPr>
                <w:color w:val="000000"/>
                <w:sz w:val="24"/>
                <w:szCs w:val="24"/>
              </w:rPr>
              <w:t>中新药业</w:t>
            </w:r>
          </w:p>
        </w:tc>
        <w:tc>
          <w:tcPr>
            <w:tcW w:w="1334" w:type="dxa"/>
            <w:vAlign w:val="center"/>
          </w:tcPr>
          <w:p w:rsidR="00D95469" w:rsidRDefault="00890DDB">
            <w:pPr>
              <w:jc w:val="right"/>
            </w:pPr>
            <w:r>
              <w:rPr>
                <w:color w:val="000000"/>
                <w:sz w:val="24"/>
                <w:szCs w:val="24"/>
              </w:rPr>
              <w:t>138,681</w:t>
            </w:r>
          </w:p>
        </w:tc>
        <w:tc>
          <w:tcPr>
            <w:tcW w:w="1924" w:type="dxa"/>
            <w:vAlign w:val="center"/>
          </w:tcPr>
          <w:p w:rsidR="00D95469" w:rsidRDefault="00890DDB">
            <w:pPr>
              <w:jc w:val="right"/>
            </w:pPr>
            <w:r>
              <w:rPr>
                <w:color w:val="000000"/>
                <w:sz w:val="24"/>
                <w:szCs w:val="24"/>
              </w:rPr>
              <w:t>2,634,939.00</w:t>
            </w:r>
          </w:p>
        </w:tc>
        <w:tc>
          <w:tcPr>
            <w:tcW w:w="1644" w:type="dxa"/>
            <w:vAlign w:val="center"/>
          </w:tcPr>
          <w:p w:rsidR="00D95469" w:rsidRDefault="00890DDB">
            <w:pPr>
              <w:jc w:val="right"/>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17,830,782.90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58,644,000.00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17.34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58,644,000.00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17.34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60,093,500.00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136,568,282.90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95469">
        <w:trPr>
          <w:jc w:val="center"/>
        </w:trPr>
        <w:tc>
          <w:tcPr>
            <w:tcW w:w="850" w:type="dxa"/>
            <w:vAlign w:val="center"/>
          </w:tcPr>
          <w:p w:rsidR="00D95469" w:rsidRDefault="00890DDB">
            <w:pPr>
              <w:jc w:val="center"/>
            </w:pPr>
            <w:r>
              <w:rPr>
                <w:color w:val="000000"/>
                <w:sz w:val="24"/>
                <w:szCs w:val="24"/>
              </w:rPr>
              <w:t>1</w:t>
            </w:r>
          </w:p>
        </w:tc>
        <w:tc>
          <w:tcPr>
            <w:tcW w:w="1475" w:type="dxa"/>
            <w:vAlign w:val="center"/>
          </w:tcPr>
          <w:p w:rsidR="00D95469" w:rsidRDefault="00890DDB">
            <w:pPr>
              <w:jc w:val="center"/>
            </w:pPr>
            <w:r>
              <w:rPr>
                <w:color w:val="000000"/>
                <w:sz w:val="24"/>
                <w:szCs w:val="24"/>
              </w:rPr>
              <w:t>170210</w:t>
            </w:r>
          </w:p>
        </w:tc>
        <w:tc>
          <w:tcPr>
            <w:tcW w:w="1769" w:type="dxa"/>
            <w:vAlign w:val="center"/>
          </w:tcPr>
          <w:p w:rsidR="00D95469" w:rsidRDefault="00890DDB">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D95469" w:rsidRDefault="00890DDB">
            <w:pPr>
              <w:jc w:val="right"/>
            </w:pPr>
            <w:r>
              <w:rPr>
                <w:color w:val="000000"/>
                <w:sz w:val="24"/>
                <w:szCs w:val="24"/>
              </w:rPr>
              <w:t>600,000</w:t>
            </w:r>
          </w:p>
        </w:tc>
        <w:tc>
          <w:tcPr>
            <w:tcW w:w="2150" w:type="dxa"/>
            <w:vAlign w:val="center"/>
          </w:tcPr>
          <w:p w:rsidR="00D95469" w:rsidRDefault="00890DDB">
            <w:pPr>
              <w:jc w:val="right"/>
            </w:pPr>
            <w:r>
              <w:rPr>
                <w:color w:val="000000"/>
                <w:sz w:val="24"/>
                <w:szCs w:val="24"/>
              </w:rPr>
              <w:t>58,644,000.00</w:t>
            </w:r>
          </w:p>
        </w:tc>
        <w:tc>
          <w:tcPr>
            <w:tcW w:w="1237" w:type="dxa"/>
            <w:vAlign w:val="center"/>
          </w:tcPr>
          <w:p w:rsidR="00D95469" w:rsidRDefault="00890DDB">
            <w:pPr>
              <w:jc w:val="right"/>
            </w:pPr>
            <w:r>
              <w:rPr>
                <w:color w:val="000000"/>
                <w:sz w:val="24"/>
                <w:szCs w:val="24"/>
              </w:rPr>
              <w:t>17.34</w:t>
            </w:r>
          </w:p>
        </w:tc>
      </w:tr>
      <w:tr w:rsidR="00D95469">
        <w:trPr>
          <w:jc w:val="center"/>
        </w:trPr>
        <w:tc>
          <w:tcPr>
            <w:tcW w:w="850" w:type="dxa"/>
            <w:vAlign w:val="center"/>
          </w:tcPr>
          <w:p w:rsidR="00D95469" w:rsidRDefault="00890DDB">
            <w:pPr>
              <w:jc w:val="center"/>
            </w:pPr>
            <w:r>
              <w:rPr>
                <w:color w:val="000000"/>
                <w:sz w:val="24"/>
                <w:szCs w:val="24"/>
              </w:rPr>
              <w:t>2</w:t>
            </w:r>
          </w:p>
        </w:tc>
        <w:tc>
          <w:tcPr>
            <w:tcW w:w="1475" w:type="dxa"/>
            <w:vAlign w:val="center"/>
          </w:tcPr>
          <w:p w:rsidR="00D95469" w:rsidRDefault="00890DDB">
            <w:pPr>
              <w:jc w:val="center"/>
            </w:pPr>
            <w:r>
              <w:rPr>
                <w:color w:val="000000"/>
                <w:sz w:val="24"/>
                <w:szCs w:val="24"/>
              </w:rPr>
              <w:t>136513</w:t>
            </w:r>
          </w:p>
        </w:tc>
        <w:tc>
          <w:tcPr>
            <w:tcW w:w="1769" w:type="dxa"/>
            <w:vAlign w:val="center"/>
          </w:tcPr>
          <w:p w:rsidR="00D95469" w:rsidRDefault="00890DDB">
            <w:pPr>
              <w:jc w:val="center"/>
            </w:pPr>
            <w:r>
              <w:rPr>
                <w:color w:val="000000"/>
                <w:sz w:val="24"/>
                <w:szCs w:val="24"/>
              </w:rPr>
              <w:t>16</w:t>
            </w:r>
            <w:r>
              <w:rPr>
                <w:color w:val="000000"/>
                <w:sz w:val="24"/>
                <w:szCs w:val="24"/>
              </w:rPr>
              <w:t>电投</w:t>
            </w:r>
            <w:r>
              <w:rPr>
                <w:color w:val="000000"/>
                <w:sz w:val="24"/>
                <w:szCs w:val="24"/>
              </w:rPr>
              <w:t>03</w:t>
            </w:r>
          </w:p>
        </w:tc>
        <w:tc>
          <w:tcPr>
            <w:tcW w:w="1387" w:type="dxa"/>
            <w:vAlign w:val="center"/>
          </w:tcPr>
          <w:p w:rsidR="00D95469" w:rsidRDefault="00890DDB">
            <w:pPr>
              <w:jc w:val="right"/>
            </w:pPr>
            <w:r>
              <w:rPr>
                <w:color w:val="000000"/>
                <w:sz w:val="24"/>
                <w:szCs w:val="24"/>
              </w:rPr>
              <w:t>200,000</w:t>
            </w:r>
          </w:p>
        </w:tc>
        <w:tc>
          <w:tcPr>
            <w:tcW w:w="2150" w:type="dxa"/>
            <w:vAlign w:val="center"/>
          </w:tcPr>
          <w:p w:rsidR="00D95469" w:rsidRDefault="00890DDB">
            <w:pPr>
              <w:jc w:val="right"/>
            </w:pPr>
            <w:r>
              <w:rPr>
                <w:color w:val="000000"/>
                <w:sz w:val="24"/>
                <w:szCs w:val="24"/>
              </w:rPr>
              <w:t>20,000,000.00</w:t>
            </w:r>
          </w:p>
        </w:tc>
        <w:tc>
          <w:tcPr>
            <w:tcW w:w="1237" w:type="dxa"/>
            <w:vAlign w:val="center"/>
          </w:tcPr>
          <w:p w:rsidR="00D95469" w:rsidRDefault="00890DDB">
            <w:pPr>
              <w:jc w:val="right"/>
            </w:pPr>
            <w:r>
              <w:rPr>
                <w:color w:val="000000"/>
                <w:sz w:val="24"/>
                <w:szCs w:val="24"/>
              </w:rPr>
              <w:t>5.91</w:t>
            </w:r>
          </w:p>
        </w:tc>
      </w:tr>
      <w:tr w:rsidR="00D95469">
        <w:trPr>
          <w:jc w:val="center"/>
        </w:trPr>
        <w:tc>
          <w:tcPr>
            <w:tcW w:w="850" w:type="dxa"/>
            <w:vAlign w:val="center"/>
          </w:tcPr>
          <w:p w:rsidR="00D95469" w:rsidRDefault="00890DDB">
            <w:pPr>
              <w:jc w:val="center"/>
            </w:pPr>
            <w:r>
              <w:rPr>
                <w:color w:val="000000"/>
                <w:sz w:val="24"/>
                <w:szCs w:val="24"/>
              </w:rPr>
              <w:t>3</w:t>
            </w:r>
          </w:p>
        </w:tc>
        <w:tc>
          <w:tcPr>
            <w:tcW w:w="1475" w:type="dxa"/>
            <w:vAlign w:val="center"/>
          </w:tcPr>
          <w:p w:rsidR="00D95469" w:rsidRDefault="00890DDB">
            <w:pPr>
              <w:jc w:val="center"/>
            </w:pPr>
            <w:r>
              <w:rPr>
                <w:color w:val="000000"/>
                <w:sz w:val="24"/>
                <w:szCs w:val="24"/>
              </w:rPr>
              <w:t>019571</w:t>
            </w:r>
          </w:p>
        </w:tc>
        <w:tc>
          <w:tcPr>
            <w:tcW w:w="1769" w:type="dxa"/>
            <w:vAlign w:val="center"/>
          </w:tcPr>
          <w:p w:rsidR="00D95469" w:rsidRDefault="00890DDB">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D95469" w:rsidRDefault="00890DDB">
            <w:pPr>
              <w:jc w:val="right"/>
            </w:pPr>
            <w:r>
              <w:rPr>
                <w:color w:val="000000"/>
                <w:sz w:val="24"/>
                <w:szCs w:val="24"/>
              </w:rPr>
              <w:t>178,290</w:t>
            </w:r>
          </w:p>
        </w:tc>
        <w:tc>
          <w:tcPr>
            <w:tcW w:w="2150" w:type="dxa"/>
            <w:vAlign w:val="center"/>
          </w:tcPr>
          <w:p w:rsidR="00D95469" w:rsidRDefault="00890DDB">
            <w:pPr>
              <w:jc w:val="right"/>
            </w:pPr>
            <w:r>
              <w:rPr>
                <w:color w:val="000000"/>
                <w:sz w:val="24"/>
                <w:szCs w:val="24"/>
              </w:rPr>
              <w:t>17,830,782.90</w:t>
            </w:r>
          </w:p>
        </w:tc>
        <w:tc>
          <w:tcPr>
            <w:tcW w:w="1237" w:type="dxa"/>
            <w:vAlign w:val="center"/>
          </w:tcPr>
          <w:p w:rsidR="00D95469" w:rsidRDefault="00890DDB">
            <w:pPr>
              <w:jc w:val="right"/>
            </w:pPr>
            <w:r>
              <w:rPr>
                <w:color w:val="000000"/>
                <w:sz w:val="24"/>
                <w:szCs w:val="24"/>
              </w:rPr>
              <w:t>5.27</w:t>
            </w:r>
          </w:p>
        </w:tc>
      </w:tr>
      <w:tr w:rsidR="00D95469">
        <w:trPr>
          <w:jc w:val="center"/>
        </w:trPr>
        <w:tc>
          <w:tcPr>
            <w:tcW w:w="850" w:type="dxa"/>
            <w:vAlign w:val="center"/>
          </w:tcPr>
          <w:p w:rsidR="00D95469" w:rsidRDefault="00890DDB">
            <w:pPr>
              <w:jc w:val="center"/>
            </w:pPr>
            <w:r>
              <w:rPr>
                <w:color w:val="000000"/>
                <w:sz w:val="24"/>
                <w:szCs w:val="24"/>
              </w:rPr>
              <w:t>4</w:t>
            </w:r>
          </w:p>
        </w:tc>
        <w:tc>
          <w:tcPr>
            <w:tcW w:w="1475" w:type="dxa"/>
            <w:vAlign w:val="center"/>
          </w:tcPr>
          <w:p w:rsidR="00D95469" w:rsidRDefault="00890DDB">
            <w:pPr>
              <w:jc w:val="center"/>
            </w:pPr>
            <w:r>
              <w:rPr>
                <w:color w:val="000000"/>
                <w:sz w:val="24"/>
                <w:szCs w:val="24"/>
              </w:rPr>
              <w:t>122514</w:t>
            </w:r>
          </w:p>
        </w:tc>
        <w:tc>
          <w:tcPr>
            <w:tcW w:w="1769" w:type="dxa"/>
            <w:vAlign w:val="center"/>
          </w:tcPr>
          <w:p w:rsidR="00D95469" w:rsidRDefault="00890DDB">
            <w:pPr>
              <w:jc w:val="center"/>
            </w:pPr>
            <w:r>
              <w:rPr>
                <w:color w:val="000000"/>
                <w:sz w:val="24"/>
                <w:szCs w:val="24"/>
              </w:rPr>
              <w:t>12</w:t>
            </w:r>
            <w:r>
              <w:rPr>
                <w:color w:val="000000"/>
                <w:sz w:val="24"/>
                <w:szCs w:val="24"/>
              </w:rPr>
              <w:t>金融街</w:t>
            </w:r>
          </w:p>
        </w:tc>
        <w:tc>
          <w:tcPr>
            <w:tcW w:w="1387" w:type="dxa"/>
            <w:vAlign w:val="center"/>
          </w:tcPr>
          <w:p w:rsidR="00D95469" w:rsidRDefault="00890DDB">
            <w:pPr>
              <w:jc w:val="right"/>
            </w:pPr>
            <w:r>
              <w:rPr>
                <w:color w:val="000000"/>
                <w:sz w:val="24"/>
                <w:szCs w:val="24"/>
              </w:rPr>
              <w:t>150,000</w:t>
            </w:r>
          </w:p>
        </w:tc>
        <w:tc>
          <w:tcPr>
            <w:tcW w:w="2150" w:type="dxa"/>
            <w:vAlign w:val="center"/>
          </w:tcPr>
          <w:p w:rsidR="00D95469" w:rsidRDefault="00890DDB">
            <w:pPr>
              <w:jc w:val="right"/>
            </w:pPr>
            <w:r>
              <w:rPr>
                <w:color w:val="000000"/>
                <w:sz w:val="24"/>
                <w:szCs w:val="24"/>
              </w:rPr>
              <w:t>15,093,000.00</w:t>
            </w:r>
          </w:p>
        </w:tc>
        <w:tc>
          <w:tcPr>
            <w:tcW w:w="1237" w:type="dxa"/>
            <w:vAlign w:val="center"/>
          </w:tcPr>
          <w:p w:rsidR="00D95469" w:rsidRDefault="00890DDB">
            <w:pPr>
              <w:jc w:val="right"/>
            </w:pPr>
            <w:r>
              <w:rPr>
                <w:color w:val="000000"/>
                <w:sz w:val="24"/>
                <w:szCs w:val="24"/>
              </w:rPr>
              <w:t>4.46</w:t>
            </w:r>
          </w:p>
        </w:tc>
      </w:tr>
      <w:tr w:rsidR="00D95469">
        <w:trPr>
          <w:jc w:val="center"/>
        </w:trPr>
        <w:tc>
          <w:tcPr>
            <w:tcW w:w="850" w:type="dxa"/>
            <w:vAlign w:val="center"/>
          </w:tcPr>
          <w:p w:rsidR="00D95469" w:rsidRDefault="00890DDB">
            <w:pPr>
              <w:jc w:val="center"/>
            </w:pPr>
            <w:r>
              <w:rPr>
                <w:color w:val="000000"/>
                <w:sz w:val="24"/>
                <w:szCs w:val="24"/>
              </w:rPr>
              <w:t>5</w:t>
            </w:r>
          </w:p>
        </w:tc>
        <w:tc>
          <w:tcPr>
            <w:tcW w:w="1475" w:type="dxa"/>
            <w:vAlign w:val="center"/>
          </w:tcPr>
          <w:p w:rsidR="00D95469" w:rsidRDefault="00890DDB">
            <w:pPr>
              <w:jc w:val="center"/>
            </w:pPr>
            <w:r>
              <w:rPr>
                <w:color w:val="000000"/>
                <w:sz w:val="24"/>
                <w:szCs w:val="24"/>
              </w:rPr>
              <w:t>122394</w:t>
            </w:r>
          </w:p>
        </w:tc>
        <w:tc>
          <w:tcPr>
            <w:tcW w:w="1769" w:type="dxa"/>
            <w:vAlign w:val="center"/>
          </w:tcPr>
          <w:p w:rsidR="00D95469" w:rsidRDefault="00890DDB">
            <w:pPr>
              <w:jc w:val="center"/>
            </w:pPr>
            <w:r>
              <w:rPr>
                <w:color w:val="000000"/>
                <w:sz w:val="24"/>
                <w:szCs w:val="24"/>
              </w:rPr>
              <w:t>15</w:t>
            </w:r>
            <w:r>
              <w:rPr>
                <w:color w:val="000000"/>
                <w:sz w:val="24"/>
                <w:szCs w:val="24"/>
              </w:rPr>
              <w:t>中银债</w:t>
            </w:r>
          </w:p>
        </w:tc>
        <w:tc>
          <w:tcPr>
            <w:tcW w:w="1387" w:type="dxa"/>
            <w:vAlign w:val="center"/>
          </w:tcPr>
          <w:p w:rsidR="00D95469" w:rsidRDefault="00890DDB">
            <w:pPr>
              <w:jc w:val="right"/>
            </w:pPr>
            <w:r>
              <w:rPr>
                <w:color w:val="000000"/>
                <w:sz w:val="24"/>
                <w:szCs w:val="24"/>
              </w:rPr>
              <w:t>150,000</w:t>
            </w:r>
          </w:p>
        </w:tc>
        <w:tc>
          <w:tcPr>
            <w:tcW w:w="2150" w:type="dxa"/>
            <w:vAlign w:val="center"/>
          </w:tcPr>
          <w:p w:rsidR="00D95469" w:rsidRDefault="00890DDB">
            <w:pPr>
              <w:jc w:val="right"/>
            </w:pPr>
            <w:r>
              <w:rPr>
                <w:color w:val="000000"/>
                <w:sz w:val="24"/>
                <w:szCs w:val="24"/>
              </w:rPr>
              <w:t>14,998,500.00</w:t>
            </w:r>
          </w:p>
        </w:tc>
        <w:tc>
          <w:tcPr>
            <w:tcW w:w="1237" w:type="dxa"/>
            <w:vAlign w:val="center"/>
          </w:tcPr>
          <w:p w:rsidR="00D95469" w:rsidRDefault="00890DDB">
            <w:pPr>
              <w:jc w:val="right"/>
            </w:pPr>
            <w:r>
              <w:rPr>
                <w:color w:val="000000"/>
                <w:sz w:val="24"/>
                <w:szCs w:val="24"/>
              </w:rPr>
              <w:t>4.44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报告期内本基金投资的前十名证券的发行主体除华润双鹤（证券代码：</w:t>
      </w:r>
      <w:r w:rsidRPr="00BE5388">
        <w:rPr>
          <w:bCs/>
          <w:color w:val="000000"/>
          <w:kern w:val="0"/>
          <w:sz w:val="24"/>
          <w:szCs w:val="24"/>
        </w:rPr>
        <w:t>600062</w:t>
      </w:r>
      <w:r w:rsidRPr="00BE5388">
        <w:rPr>
          <w:bCs/>
          <w:color w:val="000000"/>
          <w:kern w:val="0"/>
          <w:sz w:val="24"/>
          <w:szCs w:val="24"/>
        </w:rPr>
        <w:t>）外，未出现被监管部门立案调查，或在报告编制日前一年内受到公开谴责、处罚的情形。</w:t>
      </w:r>
    </w:p>
    <w:p w:rsidR="00D95469" w:rsidRDefault="00890DDB">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报告期内本基金投资的前十名证券之一华润双鹤（证券代码：</w:t>
      </w:r>
      <w:r>
        <w:rPr>
          <w:bCs/>
          <w:color w:val="000000"/>
          <w:kern w:val="0"/>
          <w:sz w:val="24"/>
          <w:szCs w:val="24"/>
        </w:rPr>
        <w:t>600062</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8</w:t>
      </w:r>
      <w:r>
        <w:rPr>
          <w:bCs/>
          <w:color w:val="000000"/>
          <w:kern w:val="0"/>
          <w:sz w:val="24"/>
          <w:szCs w:val="24"/>
        </w:rPr>
        <w:t>月</w:t>
      </w:r>
      <w:r>
        <w:rPr>
          <w:bCs/>
          <w:color w:val="000000"/>
          <w:kern w:val="0"/>
          <w:sz w:val="24"/>
          <w:szCs w:val="24"/>
        </w:rPr>
        <w:t>2</w:t>
      </w:r>
      <w:r>
        <w:rPr>
          <w:bCs/>
          <w:color w:val="000000"/>
          <w:kern w:val="0"/>
          <w:sz w:val="24"/>
          <w:szCs w:val="24"/>
        </w:rPr>
        <w:t>日公告，</w:t>
      </w:r>
      <w:r>
        <w:rPr>
          <w:bCs/>
          <w:color w:val="000000"/>
          <w:kern w:val="0"/>
          <w:sz w:val="24"/>
          <w:szCs w:val="24"/>
        </w:rPr>
        <w:t>2017</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28</w:t>
      </w:r>
      <w:r>
        <w:rPr>
          <w:bCs/>
          <w:color w:val="000000"/>
          <w:kern w:val="0"/>
          <w:sz w:val="24"/>
          <w:szCs w:val="24"/>
        </w:rPr>
        <w:t>日，华润双鹤药业股份有限公司控股孙公司浙江新赛科药业有限公司收到国家发展和改革委员会出具的《行政处罚决定书》，认定浙江新赛科滥用国内医药级异烟肼原料药市场支配地位，决定对浙江新赛科进行以下行政处罚：</w:t>
      </w:r>
      <w:r>
        <w:rPr>
          <w:bCs/>
          <w:color w:val="000000"/>
          <w:kern w:val="0"/>
          <w:sz w:val="24"/>
          <w:szCs w:val="24"/>
        </w:rPr>
        <w:t>1</w:t>
      </w:r>
      <w:r>
        <w:rPr>
          <w:bCs/>
          <w:color w:val="000000"/>
          <w:kern w:val="0"/>
          <w:sz w:val="24"/>
          <w:szCs w:val="24"/>
        </w:rPr>
        <w:t>、责令浙江新赛科停止滥用市场支配地位的违法行为；</w:t>
      </w:r>
      <w:r>
        <w:rPr>
          <w:bCs/>
          <w:color w:val="000000"/>
          <w:kern w:val="0"/>
          <w:sz w:val="24"/>
          <w:szCs w:val="24"/>
        </w:rPr>
        <w:t>2</w:t>
      </w:r>
      <w:r>
        <w:rPr>
          <w:bCs/>
          <w:color w:val="000000"/>
          <w:kern w:val="0"/>
          <w:sz w:val="24"/>
          <w:szCs w:val="24"/>
        </w:rPr>
        <w:t>、对浙江新赛科处以</w:t>
      </w:r>
      <w:r>
        <w:rPr>
          <w:bCs/>
          <w:color w:val="000000"/>
          <w:kern w:val="0"/>
          <w:sz w:val="24"/>
          <w:szCs w:val="24"/>
        </w:rPr>
        <w:t>2016</w:t>
      </w:r>
      <w:r>
        <w:rPr>
          <w:bCs/>
          <w:color w:val="000000"/>
          <w:kern w:val="0"/>
          <w:sz w:val="24"/>
          <w:szCs w:val="24"/>
        </w:rPr>
        <w:t>年度相关市场销售额人民币</w:t>
      </w:r>
      <w:r>
        <w:rPr>
          <w:bCs/>
          <w:color w:val="000000"/>
          <w:kern w:val="0"/>
          <w:sz w:val="24"/>
          <w:szCs w:val="24"/>
        </w:rPr>
        <w:t>1,447.58</w:t>
      </w:r>
      <w:r>
        <w:rPr>
          <w:bCs/>
          <w:color w:val="000000"/>
          <w:kern w:val="0"/>
          <w:sz w:val="24"/>
          <w:szCs w:val="24"/>
        </w:rPr>
        <w:t>万元百分之二的罚款，计人民币</w:t>
      </w:r>
      <w:r>
        <w:rPr>
          <w:bCs/>
          <w:color w:val="000000"/>
          <w:kern w:val="0"/>
          <w:sz w:val="24"/>
          <w:szCs w:val="24"/>
        </w:rPr>
        <w:t>28.9516</w:t>
      </w:r>
      <w:r>
        <w:rPr>
          <w:bCs/>
          <w:color w:val="000000"/>
          <w:kern w:val="0"/>
          <w:sz w:val="24"/>
          <w:szCs w:val="24"/>
        </w:rPr>
        <w:t>万元。</w:t>
      </w:r>
    </w:p>
    <w:p w:rsidR="00D95469" w:rsidRDefault="00890DDB">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6,400.46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3,013,617.03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3,020,017.49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0F5351" w:rsidRPr="000F5351" w:rsidRDefault="000F5351" w:rsidP="000F5351">
      <w:pPr>
        <w:autoSpaceDE w:val="0"/>
        <w:autoSpaceDN w:val="0"/>
        <w:adjustRightInd w:val="0"/>
        <w:spacing w:line="360" w:lineRule="auto"/>
        <w:ind w:firstLineChars="200" w:firstLine="480"/>
        <w:jc w:val="left"/>
        <w:rPr>
          <w:rFonts w:eastAsiaTheme="minorEastAsia"/>
          <w:color w:val="000000" w:themeColor="text1"/>
          <w:sz w:val="24"/>
          <w:szCs w:val="24"/>
        </w:rPr>
      </w:pPr>
      <w:r w:rsidRPr="000F5351">
        <w:rPr>
          <w:rFonts w:eastAsiaTheme="minorEastAsia" w:hint="eastAsia"/>
          <w:color w:val="000000" w:themeColor="text1"/>
          <w:sz w:val="24"/>
          <w:szCs w:val="24"/>
        </w:rPr>
        <w:t>无</w:t>
      </w:r>
      <w:r w:rsidRPr="000F5351">
        <w:rPr>
          <w:rFonts w:eastAsiaTheme="minorEastAsia"/>
          <w:color w:val="000000" w:themeColor="text1"/>
          <w:sz w:val="24"/>
          <w:szCs w:val="24"/>
        </w:rPr>
        <w:t>。</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300,044,117.54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300,044,117.54</w:t>
            </w:r>
          </w:p>
        </w:tc>
      </w:tr>
    </w:tbl>
    <w:p w:rsidR="00D95469" w:rsidRDefault="00890DDB">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95469">
        <w:tc>
          <w:tcPr>
            <w:tcW w:w="993" w:type="dxa"/>
          </w:tcPr>
          <w:p w:rsidR="00D95469" w:rsidRDefault="00D95469"/>
          <w:p w:rsidR="00D95469" w:rsidRDefault="00890DDB">
            <w:r>
              <w:rPr>
                <w:rFonts w:ascii="宋体" w:hAnsi="宋体" w:hint="eastAsia"/>
                <w:bCs/>
                <w:color w:val="000000"/>
                <w:kern w:val="0"/>
              </w:rPr>
              <w:t>机构</w:t>
            </w:r>
          </w:p>
        </w:tc>
        <w:tc>
          <w:tcPr>
            <w:tcW w:w="992" w:type="dxa"/>
            <w:vAlign w:val="center"/>
          </w:tcPr>
          <w:p w:rsidR="00D95469" w:rsidRDefault="00890DDB">
            <w:pPr>
              <w:jc w:val="center"/>
            </w:pPr>
            <w:r>
              <w:rPr>
                <w:rFonts w:ascii="宋体" w:hAnsi="宋体"/>
                <w:color w:val="000000"/>
                <w:kern w:val="0"/>
              </w:rPr>
              <w:t>1</w:t>
            </w:r>
          </w:p>
        </w:tc>
        <w:tc>
          <w:tcPr>
            <w:tcW w:w="1843" w:type="dxa"/>
            <w:vAlign w:val="center"/>
          </w:tcPr>
          <w:p w:rsidR="00D95469" w:rsidRDefault="00890DDB">
            <w:pPr>
              <w:jc w:val="center"/>
            </w:pPr>
            <w:r>
              <w:rPr>
                <w:rFonts w:ascii="宋体" w:hAnsi="宋体"/>
                <w:color w:val="000000"/>
                <w:kern w:val="0"/>
              </w:rPr>
              <w:t>2018/4/1-2018/6/30</w:t>
            </w:r>
          </w:p>
        </w:tc>
        <w:tc>
          <w:tcPr>
            <w:tcW w:w="851" w:type="dxa"/>
            <w:vAlign w:val="center"/>
          </w:tcPr>
          <w:p w:rsidR="00D95469" w:rsidRDefault="00890DDB">
            <w:pPr>
              <w:jc w:val="center"/>
            </w:pPr>
            <w:r>
              <w:rPr>
                <w:rFonts w:ascii="宋体" w:hAnsi="宋体"/>
                <w:color w:val="000000"/>
                <w:kern w:val="0"/>
              </w:rPr>
              <w:t>300,039,500.00</w:t>
            </w:r>
          </w:p>
        </w:tc>
        <w:tc>
          <w:tcPr>
            <w:tcW w:w="850" w:type="dxa"/>
            <w:vAlign w:val="center"/>
          </w:tcPr>
          <w:p w:rsidR="00D95469" w:rsidRDefault="00890DDB">
            <w:pPr>
              <w:jc w:val="center"/>
            </w:pPr>
            <w:r>
              <w:rPr>
                <w:rFonts w:ascii="宋体" w:hAnsi="宋体"/>
                <w:color w:val="000000"/>
                <w:kern w:val="0"/>
              </w:rPr>
              <w:t>-</w:t>
            </w:r>
          </w:p>
        </w:tc>
        <w:tc>
          <w:tcPr>
            <w:tcW w:w="1134" w:type="dxa"/>
            <w:vAlign w:val="center"/>
          </w:tcPr>
          <w:p w:rsidR="00D95469" w:rsidRDefault="00890DDB">
            <w:pPr>
              <w:jc w:val="center"/>
            </w:pPr>
            <w:r>
              <w:rPr>
                <w:rFonts w:ascii="宋体" w:hAnsi="宋体"/>
                <w:color w:val="000000"/>
                <w:kern w:val="0"/>
              </w:rPr>
              <w:t>-</w:t>
            </w:r>
          </w:p>
        </w:tc>
        <w:tc>
          <w:tcPr>
            <w:tcW w:w="1419" w:type="dxa"/>
            <w:vAlign w:val="center"/>
          </w:tcPr>
          <w:p w:rsidR="00D95469" w:rsidRDefault="00890DDB">
            <w:pPr>
              <w:jc w:val="center"/>
            </w:pPr>
            <w:r>
              <w:rPr>
                <w:rFonts w:ascii="宋体" w:hAnsi="宋体"/>
                <w:color w:val="000000"/>
                <w:kern w:val="0"/>
              </w:rPr>
              <w:t>300,039,500.00</w:t>
            </w:r>
          </w:p>
        </w:tc>
        <w:tc>
          <w:tcPr>
            <w:tcW w:w="1130" w:type="dxa"/>
            <w:vAlign w:val="center"/>
          </w:tcPr>
          <w:p w:rsidR="00D95469" w:rsidRDefault="00890DDB">
            <w:pPr>
              <w:jc w:val="center"/>
            </w:pPr>
            <w:r>
              <w:rPr>
                <w:rFonts w:ascii="宋体" w:hAnsi="宋体"/>
                <w:color w:val="000000"/>
                <w:kern w:val="0"/>
              </w:rPr>
              <w:t>100.00%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95469" w:rsidRDefault="00890DD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D95469" w:rsidRDefault="00890DD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95469" w:rsidRDefault="00890DD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EC" w:rsidRDefault="009543EC" w:rsidP="00876D65">
      <w:r>
        <w:separator/>
      </w:r>
    </w:p>
  </w:endnote>
  <w:endnote w:type="continuationSeparator" w:id="0">
    <w:p w:rsidR="009543EC" w:rsidRDefault="009543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C033E">
      <w:rPr>
        <w:noProof/>
        <w:kern w:val="0"/>
        <w:szCs w:val="21"/>
      </w:rPr>
      <w:t>13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5C033E">
      <w:rPr>
        <w:noProof/>
        <w:kern w:val="0"/>
        <w:szCs w:val="21"/>
      </w:rPr>
      <w:t>14</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EC" w:rsidRDefault="009543EC" w:rsidP="00876D65">
      <w:r>
        <w:separator/>
      </w:r>
    </w:p>
  </w:footnote>
  <w:footnote w:type="continuationSeparator" w:id="0">
    <w:p w:rsidR="009543EC" w:rsidRDefault="009543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交银施罗德瑞景定期开放灵活配置混合型证券投资基金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5351"/>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C73B0"/>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4D8E"/>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C033E"/>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115E"/>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0DDB"/>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43EC"/>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0188"/>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592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5469"/>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6714"/>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06267">
      <w:bodyDiv w:val="1"/>
      <w:marLeft w:val="0"/>
      <w:marRight w:val="0"/>
      <w:marTop w:val="0"/>
      <w:marBottom w:val="0"/>
      <w:divBdr>
        <w:top w:val="none" w:sz="0" w:space="0" w:color="auto"/>
        <w:left w:val="none" w:sz="0" w:space="0" w:color="auto"/>
        <w:bottom w:val="none" w:sz="0" w:space="0" w:color="auto"/>
        <w:right w:val="none" w:sz="0" w:space="0" w:color="auto"/>
      </w:divBdr>
    </w:div>
    <w:div w:id="576718467">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7272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A813-DE25-40C6-BD35-96646040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14</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582</cp:revision>
  <dcterms:created xsi:type="dcterms:W3CDTF">2012-10-16T06:07:00Z</dcterms:created>
  <dcterms:modified xsi:type="dcterms:W3CDTF">2018-07-16T08:53:00Z</dcterms:modified>
</cp:coreProperties>
</file>