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3,382,864,296.49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3,382,738,151.09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126,145.40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41,104,482.74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1,464.35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39,529,349.10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1,402.74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3,457,714,062.90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133,536.65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1.0586</w:t>
            </w:r>
          </w:p>
        </w:tc>
      </w:tr>
    </w:tbl>
    <w:p w:rsidR="003A2036" w:rsidRDefault="00FF457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A2036">
        <w:trPr>
          <w:jc w:val="center"/>
        </w:trPr>
        <w:tc>
          <w:tcPr>
            <w:tcW w:w="1266" w:type="dxa"/>
            <w:vAlign w:val="center"/>
          </w:tcPr>
          <w:p w:rsidR="003A2036" w:rsidRDefault="00FF4574">
            <w:pPr>
              <w:jc w:val="left"/>
            </w:pPr>
            <w:r>
              <w:rPr>
                <w:color w:val="000000"/>
                <w:sz w:val="24"/>
              </w:rPr>
              <w:lastRenderedPageBreak/>
              <w:t>过去三个月</w:t>
            </w:r>
          </w:p>
        </w:tc>
        <w:tc>
          <w:tcPr>
            <w:tcW w:w="1267" w:type="dxa"/>
            <w:vAlign w:val="center"/>
          </w:tcPr>
          <w:p w:rsidR="003A2036" w:rsidRDefault="00FF4574">
            <w:pPr>
              <w:jc w:val="center"/>
            </w:pPr>
            <w:r>
              <w:rPr>
                <w:color w:val="000000"/>
                <w:sz w:val="24"/>
              </w:rPr>
              <w:t>1.16%</w:t>
            </w:r>
          </w:p>
        </w:tc>
        <w:tc>
          <w:tcPr>
            <w:tcW w:w="1267" w:type="dxa"/>
            <w:vAlign w:val="center"/>
          </w:tcPr>
          <w:p w:rsidR="003A2036" w:rsidRDefault="00FF4574">
            <w:pPr>
              <w:jc w:val="center"/>
            </w:pPr>
            <w:r>
              <w:rPr>
                <w:color w:val="000000"/>
                <w:sz w:val="24"/>
              </w:rPr>
              <w:t>0.02%</w:t>
            </w:r>
          </w:p>
        </w:tc>
        <w:tc>
          <w:tcPr>
            <w:tcW w:w="1267" w:type="dxa"/>
            <w:vAlign w:val="center"/>
          </w:tcPr>
          <w:p w:rsidR="003A2036" w:rsidRDefault="00FF4574">
            <w:pPr>
              <w:jc w:val="center"/>
            </w:pPr>
            <w:r>
              <w:rPr>
                <w:color w:val="000000"/>
                <w:sz w:val="24"/>
              </w:rPr>
              <w:t>1.01%</w:t>
            </w:r>
          </w:p>
        </w:tc>
        <w:tc>
          <w:tcPr>
            <w:tcW w:w="1267" w:type="dxa"/>
            <w:vAlign w:val="center"/>
          </w:tcPr>
          <w:p w:rsidR="003A2036" w:rsidRDefault="00FF4574">
            <w:pPr>
              <w:jc w:val="center"/>
            </w:pPr>
            <w:r>
              <w:rPr>
                <w:color w:val="000000"/>
                <w:sz w:val="24"/>
              </w:rPr>
              <w:t>0.10%</w:t>
            </w:r>
          </w:p>
        </w:tc>
        <w:tc>
          <w:tcPr>
            <w:tcW w:w="1267" w:type="dxa"/>
            <w:vAlign w:val="center"/>
          </w:tcPr>
          <w:p w:rsidR="003A2036" w:rsidRDefault="00FF4574">
            <w:pPr>
              <w:jc w:val="center"/>
            </w:pPr>
            <w:r>
              <w:rPr>
                <w:color w:val="000000"/>
                <w:sz w:val="24"/>
              </w:rPr>
              <w:t>0.15%</w:t>
            </w:r>
          </w:p>
        </w:tc>
        <w:tc>
          <w:tcPr>
            <w:tcW w:w="1267" w:type="dxa"/>
            <w:vAlign w:val="center"/>
          </w:tcPr>
          <w:p w:rsidR="003A2036" w:rsidRDefault="00FF4574">
            <w:pPr>
              <w:jc w:val="center"/>
            </w:pPr>
            <w:r>
              <w:rPr>
                <w:color w:val="000000"/>
                <w:sz w:val="24"/>
              </w:rPr>
              <w:t>-0.08%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A2036">
        <w:trPr>
          <w:jc w:val="center"/>
        </w:trPr>
        <w:tc>
          <w:tcPr>
            <w:tcW w:w="1266" w:type="dxa"/>
            <w:vAlign w:val="center"/>
          </w:tcPr>
          <w:p w:rsidR="003A2036" w:rsidRDefault="00FF4574">
            <w:pPr>
              <w:jc w:val="left"/>
            </w:pPr>
            <w:r>
              <w:rPr>
                <w:color w:val="000000"/>
                <w:sz w:val="24"/>
              </w:rPr>
              <w:t>过去三个月</w:t>
            </w:r>
          </w:p>
        </w:tc>
        <w:tc>
          <w:tcPr>
            <w:tcW w:w="1267" w:type="dxa"/>
            <w:vAlign w:val="center"/>
          </w:tcPr>
          <w:p w:rsidR="003A2036" w:rsidRDefault="00FF4574">
            <w:pPr>
              <w:jc w:val="center"/>
            </w:pPr>
            <w:r>
              <w:rPr>
                <w:color w:val="000000"/>
                <w:sz w:val="24"/>
              </w:rPr>
              <w:t>1.06%</w:t>
            </w:r>
          </w:p>
        </w:tc>
        <w:tc>
          <w:tcPr>
            <w:tcW w:w="1267" w:type="dxa"/>
            <w:vAlign w:val="center"/>
          </w:tcPr>
          <w:p w:rsidR="003A2036" w:rsidRDefault="00FF4574">
            <w:pPr>
              <w:jc w:val="center"/>
            </w:pPr>
            <w:r>
              <w:rPr>
                <w:color w:val="000000"/>
                <w:sz w:val="24"/>
              </w:rPr>
              <w:t>0.02%</w:t>
            </w:r>
          </w:p>
        </w:tc>
        <w:tc>
          <w:tcPr>
            <w:tcW w:w="1267" w:type="dxa"/>
            <w:vAlign w:val="center"/>
          </w:tcPr>
          <w:p w:rsidR="003A2036" w:rsidRDefault="00FF4574">
            <w:pPr>
              <w:jc w:val="center"/>
            </w:pPr>
            <w:r>
              <w:rPr>
                <w:color w:val="000000"/>
                <w:sz w:val="24"/>
              </w:rPr>
              <w:t>1.01%</w:t>
            </w:r>
          </w:p>
        </w:tc>
        <w:tc>
          <w:tcPr>
            <w:tcW w:w="1267" w:type="dxa"/>
            <w:vAlign w:val="center"/>
          </w:tcPr>
          <w:p w:rsidR="003A2036" w:rsidRDefault="00FF4574">
            <w:pPr>
              <w:jc w:val="center"/>
            </w:pPr>
            <w:r>
              <w:rPr>
                <w:color w:val="000000"/>
                <w:sz w:val="24"/>
              </w:rPr>
              <w:t>0.10%</w:t>
            </w:r>
          </w:p>
        </w:tc>
        <w:tc>
          <w:tcPr>
            <w:tcW w:w="1267" w:type="dxa"/>
            <w:vAlign w:val="center"/>
          </w:tcPr>
          <w:p w:rsidR="003A2036" w:rsidRDefault="00FF4574">
            <w:pPr>
              <w:jc w:val="center"/>
            </w:pPr>
            <w:r>
              <w:rPr>
                <w:color w:val="000000"/>
                <w:sz w:val="24"/>
              </w:rPr>
              <w:t>0.05%</w:t>
            </w:r>
          </w:p>
        </w:tc>
        <w:tc>
          <w:tcPr>
            <w:tcW w:w="1267" w:type="dxa"/>
            <w:vAlign w:val="center"/>
          </w:tcPr>
          <w:p w:rsidR="003A2036" w:rsidRDefault="00FF4574">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A2036">
        <w:trPr>
          <w:jc w:val="center"/>
        </w:trPr>
        <w:tc>
          <w:tcPr>
            <w:tcW w:w="946" w:type="dxa"/>
            <w:vAlign w:val="center"/>
          </w:tcPr>
          <w:p w:rsidR="003A2036" w:rsidRDefault="00FF4574">
            <w:pPr>
              <w:jc w:val="center"/>
            </w:pPr>
            <w:r>
              <w:rPr>
                <w:color w:val="000000"/>
                <w:sz w:val="24"/>
              </w:rPr>
              <w:t>连端清</w:t>
            </w:r>
          </w:p>
        </w:tc>
        <w:tc>
          <w:tcPr>
            <w:tcW w:w="924" w:type="dxa"/>
            <w:vAlign w:val="center"/>
          </w:tcPr>
          <w:p w:rsidR="003A2036" w:rsidRDefault="00FF4574">
            <w:pPr>
              <w:jc w:val="center"/>
            </w:pPr>
            <w:r>
              <w:rPr>
                <w:color w:val="000000"/>
                <w:sz w:val="24"/>
              </w:rPr>
              <w:t>交银货币、交银理财</w:t>
            </w:r>
            <w:r>
              <w:rPr>
                <w:color w:val="000000"/>
                <w:sz w:val="24"/>
              </w:rPr>
              <w:t>60</w:t>
            </w:r>
            <w:r>
              <w:rPr>
                <w:color w:val="000000"/>
                <w:sz w:val="24"/>
              </w:rPr>
              <w:t>天债券、交银丰盈收益债券、交银</w:t>
            </w:r>
            <w:r>
              <w:rPr>
                <w:color w:val="000000"/>
                <w:sz w:val="24"/>
              </w:rPr>
              <w:lastRenderedPageBreak/>
              <w:t>现金宝货币、交银丰润收益债券、交银活期通货币、交银天利宝货币、交银裕兴纯债债券、交银裕盈纯债债券、交银裕利纯债债券、交银裕隆纯债债券、交银天鑫宝货币、交银天益宝货币、交银境尚收益债券、交银天运宝货币</w:t>
            </w:r>
            <w:r>
              <w:rPr>
                <w:color w:val="000000"/>
                <w:sz w:val="24"/>
              </w:rPr>
              <w:lastRenderedPageBreak/>
              <w:t>的基金经理</w:t>
            </w:r>
          </w:p>
        </w:tc>
        <w:tc>
          <w:tcPr>
            <w:tcW w:w="1202" w:type="dxa"/>
            <w:vAlign w:val="center"/>
          </w:tcPr>
          <w:p w:rsidR="003A2036" w:rsidRDefault="00FF4574">
            <w:pPr>
              <w:jc w:val="center"/>
            </w:pPr>
            <w:r>
              <w:rPr>
                <w:color w:val="000000"/>
                <w:sz w:val="24"/>
              </w:rPr>
              <w:lastRenderedPageBreak/>
              <w:t>2017-03-31</w:t>
            </w:r>
          </w:p>
        </w:tc>
        <w:tc>
          <w:tcPr>
            <w:tcW w:w="1300" w:type="dxa"/>
            <w:vAlign w:val="center"/>
          </w:tcPr>
          <w:p w:rsidR="003A2036" w:rsidRDefault="00FF4574">
            <w:pPr>
              <w:jc w:val="center"/>
            </w:pPr>
            <w:r>
              <w:rPr>
                <w:color w:val="000000"/>
                <w:sz w:val="24"/>
              </w:rPr>
              <w:t>-</w:t>
            </w:r>
          </w:p>
        </w:tc>
        <w:tc>
          <w:tcPr>
            <w:tcW w:w="1245" w:type="dxa"/>
            <w:vAlign w:val="center"/>
          </w:tcPr>
          <w:p w:rsidR="003A2036" w:rsidRDefault="00FF4574">
            <w:pPr>
              <w:jc w:val="center"/>
            </w:pPr>
            <w:r>
              <w:rPr>
                <w:color w:val="000000"/>
                <w:sz w:val="24"/>
              </w:rPr>
              <w:t>5</w:t>
            </w:r>
            <w:r>
              <w:rPr>
                <w:color w:val="000000"/>
                <w:sz w:val="24"/>
              </w:rPr>
              <w:t>年</w:t>
            </w:r>
          </w:p>
        </w:tc>
        <w:tc>
          <w:tcPr>
            <w:tcW w:w="3251" w:type="dxa"/>
            <w:vAlign w:val="center"/>
          </w:tcPr>
          <w:p w:rsidR="003A2036" w:rsidRDefault="00FF457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3A2036" w:rsidRDefault="00FF4574">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3A2036" w:rsidRDefault="00FF4574">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A2036" w:rsidRDefault="00FF457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A2036" w:rsidRDefault="00FF457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A2036" w:rsidRDefault="00FF457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A2036" w:rsidRDefault="00FF4574">
      <w:pPr>
        <w:spacing w:before="29" w:line="288" w:lineRule="auto"/>
        <w:ind w:firstLineChars="200" w:firstLine="480"/>
        <w:rPr>
          <w:color w:val="000000"/>
          <w:sz w:val="24"/>
        </w:rPr>
      </w:pPr>
      <w:r>
        <w:rPr>
          <w:color w:val="000000"/>
          <w:sz w:val="24"/>
        </w:rPr>
        <w:t>2018</w:t>
      </w:r>
      <w:r>
        <w:rPr>
          <w:color w:val="000000"/>
          <w:sz w:val="24"/>
        </w:rPr>
        <w:t>年二季度，国内经济整体上稳中放缓，但中美贸易战乌云笼罩，经济悲观预期显著加深。国内制造业景气度维持高位扩张但减弱势头隐现，二季度中采制造业</w:t>
      </w:r>
      <w:r>
        <w:rPr>
          <w:color w:val="000000"/>
          <w:sz w:val="24"/>
        </w:rPr>
        <w:t>PMI</w:t>
      </w:r>
      <w:r>
        <w:rPr>
          <w:color w:val="000000"/>
          <w:sz w:val="24"/>
        </w:rPr>
        <w:t>在</w:t>
      </w:r>
      <w:r>
        <w:rPr>
          <w:color w:val="000000"/>
          <w:sz w:val="24"/>
        </w:rPr>
        <w:t>51%</w:t>
      </w:r>
      <w:r>
        <w:rPr>
          <w:color w:val="000000"/>
          <w:sz w:val="24"/>
        </w:rPr>
        <w:t>以上，但六月份供需分项指标均已下滑。二季度</w:t>
      </w:r>
      <w:r>
        <w:rPr>
          <w:color w:val="000000"/>
          <w:sz w:val="24"/>
        </w:rPr>
        <w:t>房地产投资增速保持两位数以上高速增长，但基建投资增速五月份下滑至低位且拖累固定资产投资增速下行。消费延续年初以来下行的态势。由于美国发起贸易战，我国短期内面临较为复杂严峻的国际贸易环境，二季度进口高速增长，贸易净出口对经济的负贡献短期可能难以逆转甚至存在继续扩大的可能性。货币政策上，央行继续实施中性偏松的货币政策操作思路，以应表外融资收缩造成的社会融资总额下滑以及中美贸易战带来了不确定性。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3A2036" w:rsidRDefault="00FF4574">
      <w:pPr>
        <w:spacing w:before="29" w:line="288" w:lineRule="auto"/>
        <w:ind w:firstLineChars="200" w:firstLine="480"/>
        <w:rPr>
          <w:color w:val="000000"/>
          <w:sz w:val="24"/>
        </w:rPr>
      </w:pPr>
      <w:r>
        <w:rPr>
          <w:color w:val="000000"/>
          <w:sz w:val="24"/>
        </w:rPr>
        <w:t>资金面上，除了四月下旬的几个交易日比较紧张之</w:t>
      </w:r>
      <w:r>
        <w:rPr>
          <w:color w:val="000000"/>
          <w:sz w:val="24"/>
        </w:rPr>
        <w:t>外，二季度其他时间段市场资金面均比较宽松，二季末</w:t>
      </w:r>
      <w:r>
        <w:rPr>
          <w:color w:val="000000"/>
          <w:sz w:val="24"/>
        </w:rPr>
        <w:t>R001</w:t>
      </w:r>
      <w:r>
        <w:rPr>
          <w:color w:val="000000"/>
          <w:sz w:val="24"/>
        </w:rPr>
        <w:t>较一季末下降</w:t>
      </w:r>
      <w:r>
        <w:rPr>
          <w:color w:val="000000"/>
          <w:sz w:val="24"/>
        </w:rPr>
        <w:t>28</w:t>
      </w:r>
      <w:r>
        <w:rPr>
          <w:color w:val="000000"/>
          <w:sz w:val="24"/>
        </w:rPr>
        <w:t>个</w:t>
      </w:r>
      <w:r>
        <w:rPr>
          <w:color w:val="000000"/>
          <w:sz w:val="24"/>
        </w:rPr>
        <w:t>BP</w:t>
      </w:r>
      <w:r>
        <w:rPr>
          <w:color w:val="000000"/>
          <w:sz w:val="24"/>
        </w:rPr>
        <w:t>以上。受央行持续降准后资金面非常宽松影响，六月下旬存单收益率迅速大幅回落，存款需求低迷。二季度，受央行降准、中美贸易战反复、经济数据分化等因素交替影响，长端利率债在经历上涨回调再上涨的一波三折后整体上较一季度已大幅上涨，六月底</w:t>
      </w:r>
      <w:r>
        <w:rPr>
          <w:color w:val="000000"/>
          <w:sz w:val="24"/>
        </w:rPr>
        <w:t>10</w:t>
      </w:r>
      <w:r>
        <w:rPr>
          <w:color w:val="000000"/>
          <w:sz w:val="24"/>
        </w:rPr>
        <w:t>年期国开债</w:t>
      </w:r>
      <w:r>
        <w:rPr>
          <w:color w:val="000000"/>
          <w:sz w:val="24"/>
        </w:rPr>
        <w:t>YTM</w:t>
      </w:r>
      <w:r>
        <w:rPr>
          <w:color w:val="000000"/>
          <w:sz w:val="24"/>
        </w:rPr>
        <w:t>较三月底下降</w:t>
      </w:r>
      <w:r>
        <w:rPr>
          <w:color w:val="000000"/>
          <w:sz w:val="24"/>
        </w:rPr>
        <w:t>39</w:t>
      </w:r>
      <w:r>
        <w:rPr>
          <w:color w:val="000000"/>
          <w:sz w:val="24"/>
        </w:rPr>
        <w:t>个</w:t>
      </w:r>
      <w:r>
        <w:rPr>
          <w:color w:val="000000"/>
          <w:sz w:val="24"/>
        </w:rPr>
        <w:t>BP</w:t>
      </w:r>
      <w:r>
        <w:rPr>
          <w:color w:val="000000"/>
          <w:sz w:val="24"/>
        </w:rPr>
        <w:t>以上，但受违约事件不断冲击影响信用债高低等级分化较严重。</w:t>
      </w:r>
    </w:p>
    <w:p w:rsidR="003A2036" w:rsidRDefault="00FF4574">
      <w:pPr>
        <w:spacing w:before="29" w:line="288" w:lineRule="auto"/>
        <w:ind w:firstLineChars="200" w:firstLine="480"/>
        <w:rPr>
          <w:color w:val="000000"/>
          <w:sz w:val="24"/>
        </w:rPr>
      </w:pPr>
      <w:r>
        <w:rPr>
          <w:color w:val="000000"/>
          <w:sz w:val="24"/>
        </w:rPr>
        <w:t>基金操作方面，报告期内本基金顺应市场走势调整持仓债券，调整组合杆与久期，管控信用风险，为持有人创造稳健的回报</w:t>
      </w:r>
      <w:r>
        <w:rPr>
          <w:color w:val="000000"/>
          <w:sz w:val="24"/>
        </w:rPr>
        <w:t>。</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考虑中美贸易战风险、表外融资收缩、棚改政策收紧等问题，我们预计国内经济延续稳中放缓的势头，但放缓的边际压力可能在上升。因此，短期内央行货币政策仍可能以中性偏宽松为主，但防控金融风险的任务未完成，仍需要高度关注相关政策出台的节奏与力度。我们将继续密切关注美国引发的贸易战对经济走势的影响。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日，交银裕利纯债债券</w:t>
      </w:r>
      <w:r w:rsidRPr="007F52FA">
        <w:rPr>
          <w:color w:val="000000"/>
          <w:sz w:val="24"/>
        </w:rPr>
        <w:t>A</w:t>
      </w:r>
      <w:r w:rsidRPr="007F52FA">
        <w:rPr>
          <w:color w:val="000000"/>
          <w:sz w:val="24"/>
        </w:rPr>
        <w:t>份额净值为</w:t>
      </w:r>
      <w:r w:rsidRPr="007F52FA">
        <w:rPr>
          <w:color w:val="000000"/>
          <w:sz w:val="24"/>
        </w:rPr>
        <w:t>1.0222</w:t>
      </w:r>
      <w:r w:rsidRPr="007F52FA">
        <w:rPr>
          <w:color w:val="000000"/>
          <w:sz w:val="24"/>
        </w:rPr>
        <w:t>元，本报告期份额净值增长率为</w:t>
      </w:r>
      <w:r w:rsidRPr="007F52FA">
        <w:rPr>
          <w:color w:val="000000"/>
          <w:sz w:val="24"/>
        </w:rPr>
        <w:t>1.16%</w:t>
      </w:r>
      <w:r w:rsidRPr="007F52FA">
        <w:rPr>
          <w:color w:val="000000"/>
          <w:sz w:val="24"/>
        </w:rPr>
        <w:t>，同期业绩比较基准增长率为</w:t>
      </w:r>
      <w:r w:rsidRPr="007F52FA">
        <w:rPr>
          <w:color w:val="000000"/>
          <w:sz w:val="24"/>
        </w:rPr>
        <w:t>1.01%</w:t>
      </w:r>
      <w:r w:rsidRPr="007F52FA">
        <w:rPr>
          <w:color w:val="000000"/>
          <w:sz w:val="24"/>
        </w:rPr>
        <w:t>；交银裕利纯债债券</w:t>
      </w:r>
      <w:r w:rsidRPr="007F52FA">
        <w:rPr>
          <w:color w:val="000000"/>
          <w:sz w:val="24"/>
        </w:rPr>
        <w:t>C</w:t>
      </w:r>
      <w:r w:rsidRPr="007F52FA">
        <w:rPr>
          <w:color w:val="000000"/>
          <w:sz w:val="24"/>
        </w:rPr>
        <w:t>份额净值为</w:t>
      </w:r>
      <w:r w:rsidRPr="007F52FA">
        <w:rPr>
          <w:color w:val="000000"/>
          <w:sz w:val="24"/>
        </w:rPr>
        <w:t>1.0586</w:t>
      </w:r>
      <w:r w:rsidRPr="007F52FA">
        <w:rPr>
          <w:color w:val="000000"/>
          <w:sz w:val="24"/>
        </w:rPr>
        <w:t>元，本报告期份额净值增长率为</w:t>
      </w:r>
      <w:r w:rsidRPr="007F52FA">
        <w:rPr>
          <w:color w:val="000000"/>
          <w:sz w:val="24"/>
        </w:rPr>
        <w:t>1.06%</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3,420,742,000.00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3,420,742,000.00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301,258,962.29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59,284,167.51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3,781,285,129.80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573,743,000.00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250,575,000.00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342,976,000.00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1,765,735,000.00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51.06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449,228,000.00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12.99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289,060,000.00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8.36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3,420,742,000.00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A2036">
        <w:trPr>
          <w:jc w:val="center"/>
        </w:trPr>
        <w:tc>
          <w:tcPr>
            <w:tcW w:w="1075" w:type="dxa"/>
            <w:vAlign w:val="center"/>
          </w:tcPr>
          <w:p w:rsidR="003A2036" w:rsidRDefault="00FF4574">
            <w:pPr>
              <w:jc w:val="center"/>
            </w:pPr>
            <w:r>
              <w:rPr>
                <w:color w:val="000000"/>
                <w:sz w:val="24"/>
              </w:rPr>
              <w:t>1</w:t>
            </w:r>
          </w:p>
        </w:tc>
        <w:tc>
          <w:tcPr>
            <w:tcW w:w="1533" w:type="dxa"/>
            <w:vAlign w:val="center"/>
          </w:tcPr>
          <w:p w:rsidR="003A2036" w:rsidRDefault="00FF4574">
            <w:pPr>
              <w:jc w:val="center"/>
            </w:pPr>
            <w:r>
              <w:rPr>
                <w:color w:val="000000"/>
                <w:sz w:val="24"/>
              </w:rPr>
              <w:t>1312001</w:t>
            </w:r>
          </w:p>
        </w:tc>
        <w:tc>
          <w:tcPr>
            <w:tcW w:w="1533" w:type="dxa"/>
            <w:vAlign w:val="center"/>
          </w:tcPr>
          <w:p w:rsidR="003A2036" w:rsidRDefault="00FF4574">
            <w:pPr>
              <w:jc w:val="center"/>
            </w:pPr>
            <w:r>
              <w:rPr>
                <w:color w:val="000000"/>
                <w:sz w:val="24"/>
              </w:rPr>
              <w:t>13</w:t>
            </w:r>
            <w:r>
              <w:rPr>
                <w:color w:val="000000"/>
                <w:sz w:val="24"/>
              </w:rPr>
              <w:t>中信银行债</w:t>
            </w:r>
          </w:p>
        </w:tc>
        <w:tc>
          <w:tcPr>
            <w:tcW w:w="1394" w:type="dxa"/>
            <w:vAlign w:val="center"/>
          </w:tcPr>
          <w:p w:rsidR="003A2036" w:rsidRDefault="00FF4574">
            <w:pPr>
              <w:jc w:val="right"/>
            </w:pPr>
            <w:r>
              <w:rPr>
                <w:color w:val="000000"/>
                <w:sz w:val="24"/>
              </w:rPr>
              <w:t>3,000,000</w:t>
            </w:r>
          </w:p>
        </w:tc>
        <w:tc>
          <w:tcPr>
            <w:tcW w:w="1944" w:type="dxa"/>
            <w:vAlign w:val="center"/>
          </w:tcPr>
          <w:p w:rsidR="003A2036" w:rsidRDefault="00FF4574">
            <w:pPr>
              <w:jc w:val="right"/>
            </w:pPr>
            <w:r>
              <w:rPr>
                <w:color w:val="000000"/>
                <w:sz w:val="24"/>
              </w:rPr>
              <w:t>303,300,000.00</w:t>
            </w:r>
          </w:p>
        </w:tc>
        <w:tc>
          <w:tcPr>
            <w:tcW w:w="1389" w:type="dxa"/>
            <w:vAlign w:val="center"/>
          </w:tcPr>
          <w:p w:rsidR="003A2036" w:rsidRDefault="00FF4574">
            <w:pPr>
              <w:jc w:val="right"/>
            </w:pPr>
            <w:r>
              <w:rPr>
                <w:color w:val="000000"/>
                <w:sz w:val="24"/>
              </w:rPr>
              <w:t>8.77</w:t>
            </w:r>
          </w:p>
        </w:tc>
      </w:tr>
      <w:tr w:rsidR="003A2036">
        <w:trPr>
          <w:jc w:val="center"/>
        </w:trPr>
        <w:tc>
          <w:tcPr>
            <w:tcW w:w="1075" w:type="dxa"/>
            <w:vAlign w:val="center"/>
          </w:tcPr>
          <w:p w:rsidR="003A2036" w:rsidRDefault="00FF4574">
            <w:pPr>
              <w:jc w:val="center"/>
            </w:pPr>
            <w:r>
              <w:rPr>
                <w:color w:val="000000"/>
                <w:sz w:val="24"/>
              </w:rPr>
              <w:t>2</w:t>
            </w:r>
          </w:p>
        </w:tc>
        <w:tc>
          <w:tcPr>
            <w:tcW w:w="1533" w:type="dxa"/>
            <w:vAlign w:val="center"/>
          </w:tcPr>
          <w:p w:rsidR="003A2036" w:rsidRDefault="00FF4574">
            <w:pPr>
              <w:jc w:val="center"/>
            </w:pPr>
            <w:r>
              <w:rPr>
                <w:color w:val="000000"/>
                <w:sz w:val="24"/>
              </w:rPr>
              <w:t>170413</w:t>
            </w:r>
          </w:p>
        </w:tc>
        <w:tc>
          <w:tcPr>
            <w:tcW w:w="1533" w:type="dxa"/>
            <w:vAlign w:val="center"/>
          </w:tcPr>
          <w:p w:rsidR="003A2036" w:rsidRDefault="00FF4574">
            <w:pPr>
              <w:jc w:val="center"/>
            </w:pPr>
            <w:r>
              <w:rPr>
                <w:color w:val="000000"/>
                <w:sz w:val="24"/>
              </w:rPr>
              <w:t>17</w:t>
            </w:r>
            <w:r>
              <w:rPr>
                <w:color w:val="000000"/>
                <w:sz w:val="24"/>
              </w:rPr>
              <w:t>农发</w:t>
            </w:r>
            <w:r>
              <w:rPr>
                <w:color w:val="000000"/>
                <w:sz w:val="24"/>
              </w:rPr>
              <w:t>13</w:t>
            </w:r>
          </w:p>
        </w:tc>
        <w:tc>
          <w:tcPr>
            <w:tcW w:w="1394" w:type="dxa"/>
            <w:vAlign w:val="center"/>
          </w:tcPr>
          <w:p w:rsidR="003A2036" w:rsidRDefault="00FF4574">
            <w:pPr>
              <w:jc w:val="right"/>
            </w:pPr>
            <w:r>
              <w:rPr>
                <w:color w:val="000000"/>
                <w:sz w:val="24"/>
              </w:rPr>
              <w:t>2,500,000</w:t>
            </w:r>
          </w:p>
        </w:tc>
        <w:tc>
          <w:tcPr>
            <w:tcW w:w="1944" w:type="dxa"/>
            <w:vAlign w:val="center"/>
          </w:tcPr>
          <w:p w:rsidR="003A2036" w:rsidRDefault="00FF4574">
            <w:pPr>
              <w:jc w:val="right"/>
            </w:pPr>
            <w:r>
              <w:rPr>
                <w:color w:val="000000"/>
                <w:sz w:val="24"/>
              </w:rPr>
              <w:t>250,575,000.00</w:t>
            </w:r>
          </w:p>
        </w:tc>
        <w:tc>
          <w:tcPr>
            <w:tcW w:w="1389" w:type="dxa"/>
            <w:vAlign w:val="center"/>
          </w:tcPr>
          <w:p w:rsidR="003A2036" w:rsidRDefault="00FF4574">
            <w:pPr>
              <w:jc w:val="right"/>
            </w:pPr>
            <w:r>
              <w:rPr>
                <w:color w:val="000000"/>
                <w:sz w:val="24"/>
              </w:rPr>
              <w:t>7.25</w:t>
            </w:r>
          </w:p>
        </w:tc>
      </w:tr>
      <w:tr w:rsidR="003A2036">
        <w:trPr>
          <w:jc w:val="center"/>
        </w:trPr>
        <w:tc>
          <w:tcPr>
            <w:tcW w:w="1075" w:type="dxa"/>
            <w:vAlign w:val="center"/>
          </w:tcPr>
          <w:p w:rsidR="003A2036" w:rsidRDefault="00FF4574">
            <w:pPr>
              <w:jc w:val="center"/>
            </w:pPr>
            <w:r>
              <w:rPr>
                <w:color w:val="000000"/>
                <w:sz w:val="24"/>
              </w:rPr>
              <w:t>3</w:t>
            </w:r>
          </w:p>
        </w:tc>
        <w:tc>
          <w:tcPr>
            <w:tcW w:w="1533" w:type="dxa"/>
            <w:vAlign w:val="center"/>
          </w:tcPr>
          <w:p w:rsidR="003A2036" w:rsidRDefault="00FF4574">
            <w:pPr>
              <w:jc w:val="center"/>
            </w:pPr>
            <w:r>
              <w:rPr>
                <w:color w:val="000000"/>
                <w:sz w:val="24"/>
              </w:rPr>
              <w:t>0980165</w:t>
            </w:r>
          </w:p>
        </w:tc>
        <w:tc>
          <w:tcPr>
            <w:tcW w:w="1533" w:type="dxa"/>
            <w:vAlign w:val="center"/>
          </w:tcPr>
          <w:p w:rsidR="003A2036" w:rsidRDefault="00FF4574">
            <w:pPr>
              <w:jc w:val="center"/>
            </w:pPr>
            <w:r>
              <w:rPr>
                <w:color w:val="000000"/>
                <w:sz w:val="24"/>
              </w:rPr>
              <w:t>09</w:t>
            </w:r>
            <w:r>
              <w:rPr>
                <w:color w:val="000000"/>
                <w:sz w:val="24"/>
              </w:rPr>
              <w:t>铁道</w:t>
            </w:r>
            <w:r>
              <w:rPr>
                <w:color w:val="000000"/>
                <w:sz w:val="24"/>
              </w:rPr>
              <w:t>09</w:t>
            </w:r>
          </w:p>
        </w:tc>
        <w:tc>
          <w:tcPr>
            <w:tcW w:w="1394" w:type="dxa"/>
            <w:vAlign w:val="center"/>
          </w:tcPr>
          <w:p w:rsidR="003A2036" w:rsidRDefault="00FF4574">
            <w:pPr>
              <w:jc w:val="right"/>
            </w:pPr>
            <w:r>
              <w:rPr>
                <w:color w:val="000000"/>
                <w:sz w:val="24"/>
              </w:rPr>
              <w:t>2,000,000</w:t>
            </w:r>
          </w:p>
        </w:tc>
        <w:tc>
          <w:tcPr>
            <w:tcW w:w="1944" w:type="dxa"/>
            <w:vAlign w:val="center"/>
          </w:tcPr>
          <w:p w:rsidR="003A2036" w:rsidRDefault="00FF4574">
            <w:pPr>
              <w:jc w:val="right"/>
            </w:pPr>
            <w:r>
              <w:rPr>
                <w:color w:val="000000"/>
                <w:sz w:val="24"/>
              </w:rPr>
              <w:t>201,460,000.00</w:t>
            </w:r>
          </w:p>
        </w:tc>
        <w:tc>
          <w:tcPr>
            <w:tcW w:w="1389" w:type="dxa"/>
            <w:vAlign w:val="center"/>
          </w:tcPr>
          <w:p w:rsidR="003A2036" w:rsidRDefault="00FF4574">
            <w:pPr>
              <w:jc w:val="right"/>
            </w:pPr>
            <w:r>
              <w:rPr>
                <w:color w:val="000000"/>
                <w:sz w:val="24"/>
              </w:rPr>
              <w:t>5.83</w:t>
            </w:r>
          </w:p>
        </w:tc>
      </w:tr>
      <w:tr w:rsidR="003A2036">
        <w:trPr>
          <w:jc w:val="center"/>
        </w:trPr>
        <w:tc>
          <w:tcPr>
            <w:tcW w:w="1075" w:type="dxa"/>
            <w:vAlign w:val="center"/>
          </w:tcPr>
          <w:p w:rsidR="003A2036" w:rsidRDefault="00FF4574">
            <w:pPr>
              <w:jc w:val="center"/>
            </w:pPr>
            <w:r>
              <w:rPr>
                <w:color w:val="000000"/>
                <w:sz w:val="24"/>
              </w:rPr>
              <w:t>4</w:t>
            </w:r>
          </w:p>
        </w:tc>
        <w:tc>
          <w:tcPr>
            <w:tcW w:w="1533" w:type="dxa"/>
            <w:vAlign w:val="center"/>
          </w:tcPr>
          <w:p w:rsidR="003A2036" w:rsidRDefault="00FF4574">
            <w:pPr>
              <w:jc w:val="center"/>
            </w:pPr>
            <w:r>
              <w:rPr>
                <w:color w:val="000000"/>
                <w:sz w:val="24"/>
              </w:rPr>
              <w:t>011800402</w:t>
            </w:r>
          </w:p>
        </w:tc>
        <w:tc>
          <w:tcPr>
            <w:tcW w:w="1533" w:type="dxa"/>
            <w:vAlign w:val="center"/>
          </w:tcPr>
          <w:p w:rsidR="003A2036" w:rsidRDefault="00FF4574">
            <w:pPr>
              <w:jc w:val="center"/>
            </w:pPr>
            <w:r>
              <w:rPr>
                <w:color w:val="000000"/>
                <w:sz w:val="24"/>
              </w:rPr>
              <w:t>18</w:t>
            </w:r>
            <w:r>
              <w:rPr>
                <w:color w:val="000000"/>
                <w:sz w:val="24"/>
              </w:rPr>
              <w:t>浙能源</w:t>
            </w:r>
            <w:r>
              <w:rPr>
                <w:color w:val="000000"/>
                <w:sz w:val="24"/>
              </w:rPr>
              <w:t>SCP003</w:t>
            </w:r>
          </w:p>
        </w:tc>
        <w:tc>
          <w:tcPr>
            <w:tcW w:w="1394" w:type="dxa"/>
            <w:vAlign w:val="center"/>
          </w:tcPr>
          <w:p w:rsidR="003A2036" w:rsidRDefault="00FF4574">
            <w:pPr>
              <w:jc w:val="right"/>
            </w:pPr>
            <w:r>
              <w:rPr>
                <w:color w:val="000000"/>
                <w:sz w:val="24"/>
              </w:rPr>
              <w:t>2,000,000</w:t>
            </w:r>
          </w:p>
        </w:tc>
        <w:tc>
          <w:tcPr>
            <w:tcW w:w="1944" w:type="dxa"/>
            <w:vAlign w:val="center"/>
          </w:tcPr>
          <w:p w:rsidR="003A2036" w:rsidRDefault="00FF4574">
            <w:pPr>
              <w:jc w:val="right"/>
            </w:pPr>
            <w:r>
              <w:rPr>
                <w:color w:val="000000"/>
                <w:sz w:val="24"/>
              </w:rPr>
              <w:t>200,680,000.00</w:t>
            </w:r>
          </w:p>
        </w:tc>
        <w:tc>
          <w:tcPr>
            <w:tcW w:w="1389" w:type="dxa"/>
            <w:vAlign w:val="center"/>
          </w:tcPr>
          <w:p w:rsidR="003A2036" w:rsidRDefault="00FF4574">
            <w:pPr>
              <w:jc w:val="right"/>
            </w:pPr>
            <w:r>
              <w:rPr>
                <w:color w:val="000000"/>
                <w:sz w:val="24"/>
              </w:rPr>
              <w:t>5.80</w:t>
            </w:r>
          </w:p>
        </w:tc>
      </w:tr>
      <w:tr w:rsidR="003A2036">
        <w:trPr>
          <w:jc w:val="center"/>
        </w:trPr>
        <w:tc>
          <w:tcPr>
            <w:tcW w:w="1075" w:type="dxa"/>
            <w:vAlign w:val="center"/>
          </w:tcPr>
          <w:p w:rsidR="003A2036" w:rsidRDefault="00FF4574">
            <w:pPr>
              <w:jc w:val="center"/>
            </w:pPr>
            <w:r>
              <w:rPr>
                <w:color w:val="000000"/>
                <w:sz w:val="24"/>
              </w:rPr>
              <w:t>5</w:t>
            </w:r>
          </w:p>
        </w:tc>
        <w:tc>
          <w:tcPr>
            <w:tcW w:w="1533" w:type="dxa"/>
            <w:vAlign w:val="center"/>
          </w:tcPr>
          <w:p w:rsidR="003A2036" w:rsidRDefault="00FF4574">
            <w:pPr>
              <w:jc w:val="center"/>
            </w:pPr>
            <w:r>
              <w:rPr>
                <w:color w:val="000000"/>
                <w:sz w:val="24"/>
              </w:rPr>
              <w:t>011800261</w:t>
            </w:r>
          </w:p>
        </w:tc>
        <w:tc>
          <w:tcPr>
            <w:tcW w:w="1533" w:type="dxa"/>
            <w:vAlign w:val="center"/>
          </w:tcPr>
          <w:p w:rsidR="003A2036" w:rsidRDefault="00FF4574">
            <w:pPr>
              <w:jc w:val="center"/>
            </w:pPr>
            <w:r>
              <w:rPr>
                <w:color w:val="000000"/>
                <w:sz w:val="24"/>
              </w:rPr>
              <w:t>18</w:t>
            </w:r>
            <w:r>
              <w:rPr>
                <w:color w:val="000000"/>
                <w:sz w:val="24"/>
              </w:rPr>
              <w:t>国电集</w:t>
            </w:r>
            <w:r>
              <w:rPr>
                <w:color w:val="000000"/>
                <w:sz w:val="24"/>
              </w:rPr>
              <w:t>SCP001</w:t>
            </w:r>
          </w:p>
        </w:tc>
        <w:tc>
          <w:tcPr>
            <w:tcW w:w="1394" w:type="dxa"/>
            <w:vAlign w:val="center"/>
          </w:tcPr>
          <w:p w:rsidR="003A2036" w:rsidRDefault="00FF4574">
            <w:pPr>
              <w:jc w:val="right"/>
            </w:pPr>
            <w:r>
              <w:rPr>
                <w:color w:val="000000"/>
                <w:sz w:val="24"/>
              </w:rPr>
              <w:t>1,500,000</w:t>
            </w:r>
          </w:p>
        </w:tc>
        <w:tc>
          <w:tcPr>
            <w:tcW w:w="1944" w:type="dxa"/>
            <w:vAlign w:val="center"/>
          </w:tcPr>
          <w:p w:rsidR="003A2036" w:rsidRDefault="00FF4574">
            <w:pPr>
              <w:jc w:val="right"/>
            </w:pPr>
            <w:r>
              <w:rPr>
                <w:color w:val="000000"/>
                <w:sz w:val="24"/>
              </w:rPr>
              <w:t>150,540,000.00</w:t>
            </w:r>
          </w:p>
        </w:tc>
        <w:tc>
          <w:tcPr>
            <w:tcW w:w="1389" w:type="dxa"/>
            <w:vAlign w:val="center"/>
          </w:tcPr>
          <w:p w:rsidR="003A2036" w:rsidRDefault="00FF4574">
            <w:pPr>
              <w:jc w:val="right"/>
            </w:pPr>
            <w:r>
              <w:rPr>
                <w:color w:val="000000"/>
                <w:sz w:val="24"/>
              </w:rPr>
              <w:t>4.35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59,283,767.51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59,284,167.51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lastRenderedPageBreak/>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5B1147" w:rsidRPr="00C51B4E" w:rsidRDefault="005B1147" w:rsidP="005B1147">
      <w:pPr>
        <w:adjustRightInd w:val="0"/>
        <w:snapToGrid w:val="0"/>
        <w:spacing w:beforeLines="50" w:before="156" w:line="360" w:lineRule="auto"/>
        <w:ind w:firstLineChars="200" w:firstLine="420"/>
        <w:rPr>
          <w:rFonts w:eastAsiaTheme="minorEastAsia" w:hint="eastAsia"/>
          <w:b/>
          <w:color w:val="000000" w:themeColor="text1"/>
          <w:kern w:val="0"/>
          <w:szCs w:val="21"/>
        </w:rPr>
      </w:pPr>
      <w:bookmarkStart w:id="0" w:name="_GoBack"/>
      <w:bookmarkEnd w:id="0"/>
      <w:r w:rsidRPr="00C51B4E">
        <w:rPr>
          <w:rFonts w:eastAsiaTheme="minorEastAsia" w:hint="eastAsia"/>
          <w:color w:val="000000" w:themeColor="text1"/>
          <w:szCs w:val="21"/>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3,382,714,807.72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129,457.90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23,373.10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3,312.50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3,382,738,151.09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126,145.40</w:t>
            </w:r>
          </w:p>
        </w:tc>
      </w:tr>
    </w:tbl>
    <w:p w:rsidR="003A2036" w:rsidRDefault="00FF457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A2036">
        <w:tc>
          <w:tcPr>
            <w:tcW w:w="992" w:type="dxa"/>
            <w:vMerge w:val="restart"/>
          </w:tcPr>
          <w:p w:rsidR="003A2036" w:rsidRDefault="003A2036"/>
          <w:p w:rsidR="003A2036" w:rsidRDefault="00FF4574">
            <w:r>
              <w:rPr>
                <w:rFonts w:ascii="宋体" w:hAnsi="宋体" w:hint="eastAsia"/>
                <w:bCs/>
                <w:color w:val="000000"/>
                <w:kern w:val="0"/>
                <w:szCs w:val="21"/>
              </w:rPr>
              <w:t>机构</w:t>
            </w:r>
          </w:p>
        </w:tc>
        <w:tc>
          <w:tcPr>
            <w:tcW w:w="991" w:type="dxa"/>
            <w:vAlign w:val="center"/>
          </w:tcPr>
          <w:p w:rsidR="003A2036" w:rsidRDefault="00FF4574">
            <w:pPr>
              <w:jc w:val="center"/>
            </w:pPr>
            <w:r>
              <w:rPr>
                <w:rFonts w:ascii="宋体" w:hAnsi="宋体" w:hint="eastAsia"/>
                <w:color w:val="000000"/>
                <w:kern w:val="0"/>
                <w:szCs w:val="21"/>
              </w:rPr>
              <w:t>1</w:t>
            </w:r>
          </w:p>
        </w:tc>
        <w:tc>
          <w:tcPr>
            <w:tcW w:w="1843" w:type="dxa"/>
            <w:vAlign w:val="center"/>
          </w:tcPr>
          <w:p w:rsidR="003A2036" w:rsidRDefault="00FF4574">
            <w:pPr>
              <w:jc w:val="center"/>
            </w:pPr>
            <w:r>
              <w:rPr>
                <w:rFonts w:ascii="宋体" w:hAnsi="宋体" w:hint="eastAsia"/>
                <w:color w:val="000000"/>
                <w:kern w:val="0"/>
                <w:szCs w:val="21"/>
              </w:rPr>
              <w:t>2018/4/1-2018/6/30</w:t>
            </w:r>
          </w:p>
        </w:tc>
        <w:tc>
          <w:tcPr>
            <w:tcW w:w="851" w:type="dxa"/>
            <w:vAlign w:val="center"/>
          </w:tcPr>
          <w:p w:rsidR="003A2036" w:rsidRDefault="00FF4574">
            <w:pPr>
              <w:jc w:val="center"/>
            </w:pPr>
            <w:r>
              <w:rPr>
                <w:rFonts w:ascii="宋体" w:hAnsi="宋体" w:hint="eastAsia"/>
                <w:color w:val="000000"/>
                <w:kern w:val="0"/>
                <w:szCs w:val="21"/>
              </w:rPr>
              <w:t>3,382,690,550.12</w:t>
            </w:r>
          </w:p>
        </w:tc>
        <w:tc>
          <w:tcPr>
            <w:tcW w:w="850" w:type="dxa"/>
            <w:vAlign w:val="center"/>
          </w:tcPr>
          <w:p w:rsidR="003A2036" w:rsidRDefault="00FF4574">
            <w:pPr>
              <w:jc w:val="center"/>
            </w:pPr>
            <w:r>
              <w:rPr>
                <w:rFonts w:ascii="宋体" w:hAnsi="宋体" w:hint="eastAsia"/>
                <w:color w:val="000000"/>
                <w:kern w:val="0"/>
                <w:szCs w:val="21"/>
              </w:rPr>
              <w:t>-</w:t>
            </w:r>
          </w:p>
        </w:tc>
        <w:tc>
          <w:tcPr>
            <w:tcW w:w="1134" w:type="dxa"/>
            <w:vAlign w:val="center"/>
          </w:tcPr>
          <w:p w:rsidR="003A2036" w:rsidRDefault="00FF4574">
            <w:pPr>
              <w:jc w:val="center"/>
            </w:pPr>
            <w:r>
              <w:rPr>
                <w:rFonts w:ascii="宋体" w:hAnsi="宋体" w:hint="eastAsia"/>
                <w:color w:val="000000"/>
                <w:kern w:val="0"/>
                <w:szCs w:val="21"/>
              </w:rPr>
              <w:t>-</w:t>
            </w:r>
          </w:p>
        </w:tc>
        <w:tc>
          <w:tcPr>
            <w:tcW w:w="1419" w:type="dxa"/>
            <w:vAlign w:val="center"/>
          </w:tcPr>
          <w:p w:rsidR="003A2036" w:rsidRDefault="00FF4574">
            <w:pPr>
              <w:jc w:val="center"/>
            </w:pPr>
            <w:r>
              <w:rPr>
                <w:rFonts w:ascii="宋体" w:hAnsi="宋体" w:hint="eastAsia"/>
                <w:color w:val="000000"/>
                <w:kern w:val="0"/>
                <w:szCs w:val="21"/>
              </w:rPr>
              <w:t>3,382,690,550.12</w:t>
            </w:r>
          </w:p>
        </w:tc>
        <w:tc>
          <w:tcPr>
            <w:tcW w:w="1130" w:type="dxa"/>
            <w:vAlign w:val="center"/>
          </w:tcPr>
          <w:p w:rsidR="003A2036" w:rsidRDefault="00FF4574">
            <w:pPr>
              <w:jc w:val="center"/>
            </w:pPr>
            <w:r>
              <w:rPr>
                <w:rFonts w:ascii="宋体" w:hAnsi="宋体" w:hint="eastAsia"/>
                <w:color w:val="000000"/>
                <w:kern w:val="0"/>
                <w:szCs w:val="21"/>
              </w:rPr>
              <w:t>99.99%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3A2036" w:rsidRDefault="00FF457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w:t>
      </w:r>
      <w:r>
        <w:rPr>
          <w:rFonts w:eastAsiaTheme="minorEastAsia"/>
          <w:color w:val="000000"/>
          <w:sz w:val="24"/>
        </w:rPr>
        <w:t>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74" w:rsidRDefault="00FF4574">
      <w:r>
        <w:separator/>
      </w:r>
    </w:p>
  </w:endnote>
  <w:endnote w:type="continuationSeparator" w:id="0">
    <w:p w:rsidR="00FF4574" w:rsidRDefault="00FF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5B1147">
      <w:rPr>
        <w:noProof/>
        <w:kern w:val="0"/>
        <w:szCs w:val="21"/>
      </w:rPr>
      <w:t>11</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5B1147">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74" w:rsidRDefault="00FF4574">
      <w:r>
        <w:separator/>
      </w:r>
    </w:p>
  </w:footnote>
  <w:footnote w:type="continuationSeparator" w:id="0">
    <w:p w:rsidR="00FF4574" w:rsidRDefault="00FF4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2036"/>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1147"/>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4574"/>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7881-F4D2-463E-9798-B24B0330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206</TotalTime>
  <Pages>14</Pages>
  <Words>1114</Words>
  <Characters>6355</Characters>
  <Application>Microsoft Office Word</Application>
  <DocSecurity>0</DocSecurity>
  <Lines>52</Lines>
  <Paragraphs>14</Paragraphs>
  <ScaleCrop>false</ScaleCrop>
  <Company>TRT. Ltd. Co.</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376</cp:revision>
  <cp:lastPrinted>2007-07-19T00:46:00Z</cp:lastPrinted>
  <dcterms:created xsi:type="dcterms:W3CDTF">2014-01-17T06:19:00Z</dcterms:created>
  <dcterms:modified xsi:type="dcterms:W3CDTF">2018-07-16T08:23:00Z</dcterms:modified>
</cp:coreProperties>
</file>