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61621" w:rsidRDefault="006B307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607,447,811.14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C61621" w:rsidRDefault="006B307A">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07FC7" w:rsidRPr="00414345" w:rsidTr="00007FC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07FC7" w:rsidRPr="00414345" w:rsidTr="00007F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-24,659,455.39</w:t>
            </w:r>
          </w:p>
        </w:tc>
      </w:tr>
      <w:tr w:rsidR="00007FC7" w:rsidRPr="00414345" w:rsidTr="00007F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-16,956,834.48</w:t>
            </w:r>
          </w:p>
        </w:tc>
      </w:tr>
      <w:tr w:rsidR="00007FC7" w:rsidRPr="00414345" w:rsidTr="00007F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-0.0323</w:t>
            </w:r>
          </w:p>
        </w:tc>
      </w:tr>
      <w:tr w:rsidR="00007FC7" w:rsidRPr="00414345" w:rsidTr="00007F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696,187,023.86</w:t>
            </w:r>
          </w:p>
        </w:tc>
      </w:tr>
      <w:tr w:rsidR="00007FC7" w:rsidRPr="00414345" w:rsidTr="00007FC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1.146</w:t>
            </w:r>
          </w:p>
        </w:tc>
      </w:tr>
    </w:tbl>
    <w:p w:rsidR="00C61621" w:rsidRDefault="006B307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61621">
        <w:trPr>
          <w:jc w:val="center"/>
        </w:trPr>
        <w:tc>
          <w:tcPr>
            <w:tcW w:w="1701" w:type="dxa"/>
            <w:vAlign w:val="center"/>
          </w:tcPr>
          <w:p w:rsidR="00C61621" w:rsidRDefault="006B307A">
            <w:pPr>
              <w:jc w:val="left"/>
            </w:pPr>
            <w:r>
              <w:rPr>
                <w:color w:val="000000"/>
                <w:sz w:val="24"/>
                <w:szCs w:val="24"/>
              </w:rPr>
              <w:t>过去三个月</w:t>
            </w:r>
          </w:p>
        </w:tc>
        <w:tc>
          <w:tcPr>
            <w:tcW w:w="1045" w:type="dxa"/>
            <w:vAlign w:val="center"/>
          </w:tcPr>
          <w:p w:rsidR="00C61621" w:rsidRDefault="006B307A">
            <w:pPr>
              <w:jc w:val="center"/>
            </w:pPr>
            <w:r>
              <w:rPr>
                <w:color w:val="000000"/>
                <w:sz w:val="24"/>
                <w:szCs w:val="24"/>
              </w:rPr>
              <w:t>-2.39%</w:t>
            </w:r>
          </w:p>
        </w:tc>
        <w:tc>
          <w:tcPr>
            <w:tcW w:w="1344" w:type="dxa"/>
            <w:vAlign w:val="center"/>
          </w:tcPr>
          <w:p w:rsidR="00C61621" w:rsidRDefault="006B307A">
            <w:pPr>
              <w:jc w:val="center"/>
            </w:pPr>
            <w:r>
              <w:rPr>
                <w:color w:val="000000"/>
                <w:sz w:val="24"/>
                <w:szCs w:val="24"/>
              </w:rPr>
              <w:t>0.93%</w:t>
            </w:r>
          </w:p>
        </w:tc>
        <w:tc>
          <w:tcPr>
            <w:tcW w:w="1194" w:type="dxa"/>
            <w:vAlign w:val="center"/>
          </w:tcPr>
          <w:p w:rsidR="00C61621" w:rsidRDefault="006B307A">
            <w:pPr>
              <w:jc w:val="center"/>
            </w:pPr>
            <w:r>
              <w:rPr>
                <w:color w:val="000000"/>
                <w:sz w:val="24"/>
                <w:szCs w:val="24"/>
              </w:rPr>
              <w:t>-5.11%</w:t>
            </w:r>
          </w:p>
        </w:tc>
        <w:tc>
          <w:tcPr>
            <w:tcW w:w="1492" w:type="dxa"/>
            <w:vAlign w:val="center"/>
          </w:tcPr>
          <w:p w:rsidR="00C61621" w:rsidRDefault="006B307A">
            <w:pPr>
              <w:jc w:val="center"/>
            </w:pPr>
            <w:r>
              <w:rPr>
                <w:color w:val="000000"/>
                <w:sz w:val="24"/>
                <w:szCs w:val="24"/>
              </w:rPr>
              <w:t>0.84%</w:t>
            </w:r>
          </w:p>
        </w:tc>
        <w:tc>
          <w:tcPr>
            <w:tcW w:w="1194" w:type="dxa"/>
            <w:vAlign w:val="center"/>
          </w:tcPr>
          <w:p w:rsidR="00C61621" w:rsidRDefault="006B307A">
            <w:pPr>
              <w:jc w:val="center"/>
            </w:pPr>
            <w:r>
              <w:rPr>
                <w:color w:val="000000"/>
                <w:sz w:val="24"/>
                <w:szCs w:val="24"/>
              </w:rPr>
              <w:t>2.72%</w:t>
            </w:r>
          </w:p>
        </w:tc>
        <w:tc>
          <w:tcPr>
            <w:tcW w:w="898" w:type="dxa"/>
            <w:vAlign w:val="center"/>
          </w:tcPr>
          <w:p w:rsidR="00C61621" w:rsidRDefault="006B307A">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61621">
        <w:trPr>
          <w:jc w:val="center"/>
        </w:trPr>
        <w:tc>
          <w:tcPr>
            <w:tcW w:w="846" w:type="dxa"/>
            <w:vAlign w:val="center"/>
          </w:tcPr>
          <w:p w:rsidR="00C61621" w:rsidRDefault="006B307A">
            <w:pPr>
              <w:jc w:val="center"/>
            </w:pPr>
            <w:r>
              <w:rPr>
                <w:color w:val="000000"/>
                <w:sz w:val="24"/>
                <w:szCs w:val="24"/>
              </w:rPr>
              <w:t>陈俊华</w:t>
            </w:r>
          </w:p>
        </w:tc>
        <w:tc>
          <w:tcPr>
            <w:tcW w:w="845" w:type="dxa"/>
            <w:vAlign w:val="center"/>
          </w:tcPr>
          <w:p w:rsidR="00C61621" w:rsidRDefault="006B307A">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t>(QDII</w:t>
            </w:r>
            <w:r>
              <w:rPr>
                <w:color w:val="000000"/>
                <w:sz w:val="24"/>
                <w:szCs w:val="24"/>
              </w:rPr>
              <w:lastRenderedPageBreak/>
              <w:t>)</w:t>
            </w:r>
            <w:r>
              <w:rPr>
                <w:color w:val="000000"/>
                <w:sz w:val="24"/>
                <w:szCs w:val="24"/>
              </w:rPr>
              <w:t>、交银沪港深价值精选混合的基金经理</w:t>
            </w:r>
          </w:p>
        </w:tc>
        <w:tc>
          <w:tcPr>
            <w:tcW w:w="1549" w:type="dxa"/>
            <w:vAlign w:val="center"/>
          </w:tcPr>
          <w:p w:rsidR="00C61621" w:rsidRDefault="006B307A">
            <w:pPr>
              <w:jc w:val="center"/>
            </w:pPr>
            <w:r>
              <w:rPr>
                <w:color w:val="000000"/>
                <w:sz w:val="24"/>
                <w:szCs w:val="24"/>
              </w:rPr>
              <w:lastRenderedPageBreak/>
              <w:t>2016-11-07</w:t>
            </w:r>
          </w:p>
        </w:tc>
        <w:tc>
          <w:tcPr>
            <w:tcW w:w="1548" w:type="dxa"/>
            <w:vAlign w:val="center"/>
          </w:tcPr>
          <w:p w:rsidR="00C61621" w:rsidRDefault="006B307A">
            <w:pPr>
              <w:jc w:val="center"/>
            </w:pPr>
            <w:r>
              <w:rPr>
                <w:color w:val="000000"/>
                <w:sz w:val="24"/>
                <w:szCs w:val="24"/>
              </w:rPr>
              <w:t>-</w:t>
            </w:r>
          </w:p>
        </w:tc>
        <w:tc>
          <w:tcPr>
            <w:tcW w:w="1407" w:type="dxa"/>
            <w:vAlign w:val="center"/>
          </w:tcPr>
          <w:p w:rsidR="00C61621" w:rsidRDefault="006B307A">
            <w:pPr>
              <w:jc w:val="center"/>
            </w:pPr>
            <w:r>
              <w:rPr>
                <w:color w:val="000000"/>
                <w:sz w:val="24"/>
                <w:szCs w:val="24"/>
              </w:rPr>
              <w:t>13</w:t>
            </w:r>
            <w:r>
              <w:rPr>
                <w:color w:val="000000"/>
                <w:sz w:val="24"/>
                <w:szCs w:val="24"/>
              </w:rPr>
              <w:t>年</w:t>
            </w:r>
          </w:p>
        </w:tc>
        <w:tc>
          <w:tcPr>
            <w:tcW w:w="2673" w:type="dxa"/>
            <w:vAlign w:val="center"/>
          </w:tcPr>
          <w:p w:rsidR="00C61621" w:rsidRDefault="006B307A">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61621" w:rsidRDefault="006B307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61621" w:rsidRDefault="006B307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61621" w:rsidRDefault="006B307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61621" w:rsidRDefault="006B307A">
      <w:pPr>
        <w:spacing w:before="29" w:line="288" w:lineRule="auto"/>
        <w:ind w:firstLineChars="200" w:firstLine="480"/>
        <w:rPr>
          <w:color w:val="000000"/>
          <w:sz w:val="24"/>
          <w:szCs w:val="24"/>
        </w:rPr>
      </w:pPr>
      <w:r>
        <w:rPr>
          <w:color w:val="000000"/>
          <w:sz w:val="24"/>
          <w:szCs w:val="24"/>
        </w:rPr>
        <w:t>2018</w:t>
      </w:r>
      <w:r>
        <w:rPr>
          <w:color w:val="000000"/>
          <w:sz w:val="24"/>
          <w:szCs w:val="24"/>
        </w:rPr>
        <w:t>年二季度，海外、国内经济环境都进一步复杂化，投资者避险情绪进一步提升。中美贸易摩擦因素频发、悬而未决，并逐步扩张到其他国家之间贸易纷争，与此同时，美国如期加息，这些都增加了新兴市场的不确定性，带动资金回流发达国家市场。而国内调整经济结构、去杠杆政策的推行，有利于经济的长期健康发展，但在短期内，带动提升投资者对于流动性的关注度。内、外方面因素，造成股市波动加大，全球多数股市阶段性下行。</w:t>
      </w:r>
    </w:p>
    <w:p w:rsidR="00C61621" w:rsidRDefault="006B307A">
      <w:pPr>
        <w:spacing w:before="29" w:line="288" w:lineRule="auto"/>
        <w:ind w:firstLineChars="200" w:firstLine="480"/>
        <w:rPr>
          <w:color w:val="000000"/>
          <w:sz w:val="24"/>
          <w:szCs w:val="24"/>
        </w:rPr>
      </w:pPr>
      <w:r>
        <w:rPr>
          <w:color w:val="000000"/>
          <w:sz w:val="24"/>
          <w:szCs w:val="24"/>
        </w:rPr>
        <w:t>二季度，我们</w:t>
      </w:r>
      <w:r w:rsidR="00E108DB">
        <w:rPr>
          <w:rFonts w:hint="eastAsia"/>
          <w:color w:val="000000"/>
          <w:sz w:val="24"/>
        </w:rPr>
        <w:t>调整</w:t>
      </w:r>
      <w:bookmarkStart w:id="0" w:name="_GoBack"/>
      <w:bookmarkEnd w:id="0"/>
      <w:r>
        <w:rPr>
          <w:color w:val="000000"/>
          <w:sz w:val="24"/>
          <w:szCs w:val="24"/>
        </w:rPr>
        <w:t>了部分仓位，优化投资结构，主要减少科技、周期板块仓位，优化消费板块配置。总体投资结构方面，我们仍主要仓位配置在港股，</w:t>
      </w:r>
      <w:r>
        <w:rPr>
          <w:color w:val="000000"/>
          <w:sz w:val="24"/>
          <w:szCs w:val="24"/>
        </w:rPr>
        <w:t>A</w:t>
      </w:r>
      <w:r>
        <w:rPr>
          <w:color w:val="000000"/>
          <w:sz w:val="24"/>
          <w:szCs w:val="24"/>
        </w:rPr>
        <w:t>股配置主要集中于稀缺的消费和医药板块个股。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及下半年，我们维持前期的判断，全球流动性收紧仍是首要需要考虑的大前提。与上半年不同的是，我们相对更为乐观，经历了二季度的剧烈调整，许多行业的优质龙头估值已经接近合理区间，目前股价也包含了投资者较为悲观的预期。下半年港股在科技、医药板块新上市了许多新标的，我们需尽快扩大研究范围，在更广阔的领域里寻找投资标的。在剧烈波动的市场中，我们需要更严格地筛选标的，努力控制回撤。中长期来看，我们仍看好两条选股思路：消费升级和中国的制造业在全世界范围内的产业集群效应。我们将继续勤勉尽责地积极调研，自下而上挖掘相关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本报告期末，本基金份额净值为</w:t>
      </w:r>
      <w:r w:rsidRPr="00414345">
        <w:rPr>
          <w:color w:val="000000"/>
          <w:sz w:val="24"/>
          <w:szCs w:val="24"/>
        </w:rPr>
        <w:t>1.146</w:t>
      </w:r>
      <w:r w:rsidRPr="00414345">
        <w:rPr>
          <w:color w:val="000000"/>
          <w:sz w:val="24"/>
          <w:szCs w:val="24"/>
        </w:rPr>
        <w:t>元，本报告期份额净值增长率为</w:t>
      </w:r>
      <w:r w:rsidRPr="00414345">
        <w:rPr>
          <w:color w:val="000000"/>
          <w:sz w:val="24"/>
          <w:szCs w:val="24"/>
        </w:rPr>
        <w:t>-2.39%</w:t>
      </w:r>
      <w:r w:rsidRPr="00414345">
        <w:rPr>
          <w:color w:val="000000"/>
          <w:sz w:val="24"/>
          <w:szCs w:val="24"/>
        </w:rPr>
        <w:t>，同期业绩比较基准增长率为</w:t>
      </w:r>
      <w:r w:rsidRPr="00414345">
        <w:rPr>
          <w:color w:val="000000"/>
          <w:sz w:val="24"/>
          <w:szCs w:val="24"/>
        </w:rPr>
        <w:t>-5.11%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426,301,743.03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426,301,743.03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270,588,864.11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3,240,815.97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700,131,423.11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87,490,211.52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14,471,381.25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23,115,000.00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7,392,000.00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36,896,000.00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185,504,592.77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26.65</w:t>
            </w:r>
          </w:p>
        </w:tc>
      </w:tr>
    </w:tbl>
    <w:p w:rsidR="00007FC7" w:rsidRDefault="00007FC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6B307A" w:rsidRDefault="00F51C4E" w:rsidP="006B307A">
            <w:pPr>
              <w:adjustRightInd w:val="0"/>
              <w:snapToGrid w:val="0"/>
              <w:spacing w:before="29" w:line="288" w:lineRule="auto"/>
              <w:jc w:val="center"/>
              <w:rPr>
                <w:color w:val="000000"/>
                <w:sz w:val="24"/>
                <w:szCs w:val="24"/>
              </w:rPr>
            </w:pPr>
            <w:r w:rsidRPr="006B307A">
              <w:rPr>
                <w:rFonts w:hint="eastAsia"/>
                <w:color w:val="000000"/>
                <w:sz w:val="24"/>
                <w:szCs w:val="24"/>
              </w:rPr>
              <w:t>行业类别</w:t>
            </w:r>
          </w:p>
        </w:tc>
        <w:tc>
          <w:tcPr>
            <w:tcW w:w="3119" w:type="dxa"/>
            <w:vAlign w:val="center"/>
          </w:tcPr>
          <w:p w:rsidR="00F51C4E" w:rsidRPr="006B307A" w:rsidRDefault="00F51C4E" w:rsidP="006B307A">
            <w:pPr>
              <w:adjustRightInd w:val="0"/>
              <w:snapToGrid w:val="0"/>
              <w:spacing w:before="29" w:line="288" w:lineRule="auto"/>
              <w:jc w:val="center"/>
              <w:rPr>
                <w:color w:val="000000"/>
                <w:sz w:val="24"/>
                <w:szCs w:val="24"/>
              </w:rPr>
            </w:pPr>
            <w:r w:rsidRPr="006B307A">
              <w:rPr>
                <w:rFonts w:hint="eastAsia"/>
                <w:color w:val="000000"/>
                <w:sz w:val="24"/>
                <w:szCs w:val="24"/>
              </w:rPr>
              <w:t>公允价值（人民币）</w:t>
            </w:r>
          </w:p>
        </w:tc>
        <w:tc>
          <w:tcPr>
            <w:tcW w:w="3118" w:type="dxa"/>
            <w:vAlign w:val="center"/>
          </w:tcPr>
          <w:p w:rsidR="00F51C4E" w:rsidRPr="006B307A" w:rsidRDefault="00F51C4E" w:rsidP="006B307A">
            <w:pPr>
              <w:adjustRightInd w:val="0"/>
              <w:snapToGrid w:val="0"/>
              <w:spacing w:before="29" w:line="288" w:lineRule="auto"/>
              <w:jc w:val="center"/>
              <w:rPr>
                <w:color w:val="000000"/>
                <w:sz w:val="24"/>
                <w:szCs w:val="24"/>
              </w:rPr>
            </w:pPr>
            <w:r w:rsidRPr="006B307A">
              <w:rPr>
                <w:rFonts w:hint="eastAsia"/>
                <w:color w:val="000000"/>
                <w:sz w:val="24"/>
                <w:szCs w:val="24"/>
              </w:rPr>
              <w:t>占基金资产净值比例（</w:t>
            </w:r>
            <w:r w:rsidRPr="006B307A">
              <w:rPr>
                <w:rFonts w:hint="eastAsia"/>
                <w:color w:val="000000"/>
                <w:sz w:val="24"/>
                <w:szCs w:val="24"/>
              </w:rPr>
              <w:t>%</w:t>
            </w:r>
            <w:r w:rsidRPr="006B307A">
              <w:rPr>
                <w:rFonts w:hint="eastAsia"/>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非必需消费品</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59,288,233.71</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8.52</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必需消费品</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能源</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金融</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31,582,526.00</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4.54</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医疗保健</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工业</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42,843,180.38</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6.15</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信息技术</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61,293,606.07</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8.80</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材料</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房地产</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45,789,604.10</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6.58</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电信业务</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公用事业</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color w:val="000000"/>
                <w:sz w:val="24"/>
                <w:szCs w:val="24"/>
              </w:rPr>
              <w:t>-</w:t>
            </w:r>
          </w:p>
        </w:tc>
      </w:tr>
      <w:tr w:rsidR="0050135B" w:rsidRPr="00FF0BBF" w:rsidTr="00AD114B">
        <w:trPr>
          <w:jc w:val="center"/>
        </w:trPr>
        <w:tc>
          <w:tcPr>
            <w:tcW w:w="2397"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rFonts w:hint="eastAsia"/>
                <w:color w:val="000000"/>
                <w:sz w:val="24"/>
                <w:szCs w:val="24"/>
              </w:rPr>
              <w:t>合计</w:t>
            </w:r>
          </w:p>
        </w:tc>
        <w:tc>
          <w:tcPr>
            <w:tcW w:w="3119"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rFonts w:hint="eastAsia"/>
                <w:color w:val="000000"/>
                <w:sz w:val="24"/>
                <w:szCs w:val="24"/>
              </w:rPr>
              <w:t>240,797,150.26</w:t>
            </w:r>
          </w:p>
        </w:tc>
        <w:tc>
          <w:tcPr>
            <w:tcW w:w="3118" w:type="dxa"/>
            <w:vAlign w:val="center"/>
          </w:tcPr>
          <w:p w:rsidR="0050135B" w:rsidRPr="006B307A" w:rsidRDefault="0050135B" w:rsidP="006B307A">
            <w:pPr>
              <w:adjustRightInd w:val="0"/>
              <w:snapToGrid w:val="0"/>
              <w:spacing w:before="29" w:line="288" w:lineRule="auto"/>
              <w:jc w:val="center"/>
              <w:rPr>
                <w:color w:val="000000"/>
                <w:sz w:val="24"/>
                <w:szCs w:val="24"/>
              </w:rPr>
            </w:pPr>
            <w:r w:rsidRPr="006B307A">
              <w:rPr>
                <w:rFonts w:hint="eastAsia"/>
                <w:color w:val="000000"/>
                <w:sz w:val="24"/>
                <w:szCs w:val="24"/>
              </w:rPr>
              <w:t>34.59</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61621">
        <w:trPr>
          <w:jc w:val="center"/>
        </w:trPr>
        <w:tc>
          <w:tcPr>
            <w:tcW w:w="855" w:type="dxa"/>
            <w:vAlign w:val="center"/>
          </w:tcPr>
          <w:p w:rsidR="00C61621" w:rsidRDefault="006B307A">
            <w:pPr>
              <w:jc w:val="center"/>
            </w:pPr>
            <w:r>
              <w:rPr>
                <w:color w:val="000000"/>
                <w:sz w:val="24"/>
                <w:szCs w:val="24"/>
              </w:rPr>
              <w:t>1</w:t>
            </w:r>
          </w:p>
        </w:tc>
        <w:tc>
          <w:tcPr>
            <w:tcW w:w="1334" w:type="dxa"/>
            <w:vAlign w:val="center"/>
          </w:tcPr>
          <w:p w:rsidR="00C61621" w:rsidRDefault="006B307A">
            <w:pPr>
              <w:jc w:val="center"/>
            </w:pPr>
            <w:r>
              <w:rPr>
                <w:color w:val="000000"/>
                <w:sz w:val="24"/>
                <w:szCs w:val="24"/>
              </w:rPr>
              <w:t>H00700</w:t>
            </w:r>
          </w:p>
        </w:tc>
        <w:tc>
          <w:tcPr>
            <w:tcW w:w="1777" w:type="dxa"/>
            <w:vAlign w:val="center"/>
          </w:tcPr>
          <w:p w:rsidR="00C61621" w:rsidRDefault="006B307A">
            <w:pPr>
              <w:jc w:val="center"/>
            </w:pPr>
            <w:r>
              <w:rPr>
                <w:color w:val="000000"/>
                <w:sz w:val="24"/>
                <w:szCs w:val="24"/>
              </w:rPr>
              <w:t>腾讯控股</w:t>
            </w:r>
          </w:p>
        </w:tc>
        <w:tc>
          <w:tcPr>
            <w:tcW w:w="1334" w:type="dxa"/>
            <w:vAlign w:val="center"/>
          </w:tcPr>
          <w:p w:rsidR="00C61621" w:rsidRDefault="006B307A">
            <w:pPr>
              <w:jc w:val="right"/>
            </w:pPr>
            <w:r>
              <w:rPr>
                <w:color w:val="000000"/>
                <w:sz w:val="24"/>
                <w:szCs w:val="24"/>
              </w:rPr>
              <w:t>155,600</w:t>
            </w:r>
          </w:p>
        </w:tc>
        <w:tc>
          <w:tcPr>
            <w:tcW w:w="1924" w:type="dxa"/>
            <w:vAlign w:val="center"/>
          </w:tcPr>
          <w:p w:rsidR="00C61621" w:rsidRDefault="006B307A">
            <w:pPr>
              <w:jc w:val="right"/>
            </w:pPr>
            <w:r>
              <w:rPr>
                <w:color w:val="000000"/>
                <w:sz w:val="24"/>
                <w:szCs w:val="24"/>
              </w:rPr>
              <w:t>51,661,188.57</w:t>
            </w:r>
          </w:p>
        </w:tc>
        <w:tc>
          <w:tcPr>
            <w:tcW w:w="1644" w:type="dxa"/>
            <w:vAlign w:val="center"/>
          </w:tcPr>
          <w:p w:rsidR="00C61621" w:rsidRDefault="006B307A">
            <w:pPr>
              <w:jc w:val="right"/>
            </w:pPr>
            <w:r>
              <w:rPr>
                <w:color w:val="000000"/>
                <w:sz w:val="24"/>
                <w:szCs w:val="24"/>
              </w:rPr>
              <w:t>7.42</w:t>
            </w:r>
          </w:p>
        </w:tc>
      </w:tr>
      <w:tr w:rsidR="00C61621">
        <w:trPr>
          <w:jc w:val="center"/>
        </w:trPr>
        <w:tc>
          <w:tcPr>
            <w:tcW w:w="855" w:type="dxa"/>
            <w:vAlign w:val="center"/>
          </w:tcPr>
          <w:p w:rsidR="00C61621" w:rsidRDefault="006B307A">
            <w:pPr>
              <w:jc w:val="center"/>
            </w:pPr>
            <w:r>
              <w:rPr>
                <w:color w:val="000000"/>
                <w:sz w:val="24"/>
                <w:szCs w:val="24"/>
              </w:rPr>
              <w:t>2</w:t>
            </w:r>
          </w:p>
        </w:tc>
        <w:tc>
          <w:tcPr>
            <w:tcW w:w="1334" w:type="dxa"/>
            <w:vAlign w:val="center"/>
          </w:tcPr>
          <w:p w:rsidR="00C61621" w:rsidRDefault="006B307A">
            <w:pPr>
              <w:jc w:val="center"/>
            </w:pPr>
            <w:r>
              <w:rPr>
                <w:color w:val="000000"/>
                <w:sz w:val="24"/>
                <w:szCs w:val="24"/>
              </w:rPr>
              <w:t>H00817</w:t>
            </w:r>
          </w:p>
        </w:tc>
        <w:tc>
          <w:tcPr>
            <w:tcW w:w="1777" w:type="dxa"/>
            <w:vAlign w:val="center"/>
          </w:tcPr>
          <w:p w:rsidR="00C61621" w:rsidRDefault="006B307A">
            <w:pPr>
              <w:jc w:val="center"/>
            </w:pPr>
            <w:r>
              <w:rPr>
                <w:color w:val="000000"/>
                <w:sz w:val="24"/>
                <w:szCs w:val="24"/>
              </w:rPr>
              <w:t>中国金茂</w:t>
            </w:r>
          </w:p>
        </w:tc>
        <w:tc>
          <w:tcPr>
            <w:tcW w:w="1334" w:type="dxa"/>
            <w:vAlign w:val="center"/>
          </w:tcPr>
          <w:p w:rsidR="00C61621" w:rsidRDefault="006B307A">
            <w:pPr>
              <w:jc w:val="right"/>
            </w:pPr>
            <w:r>
              <w:rPr>
                <w:color w:val="000000"/>
                <w:sz w:val="24"/>
                <w:szCs w:val="24"/>
              </w:rPr>
              <w:t>8,000,000</w:t>
            </w:r>
          </w:p>
        </w:tc>
        <w:tc>
          <w:tcPr>
            <w:tcW w:w="1924" w:type="dxa"/>
            <w:vAlign w:val="center"/>
          </w:tcPr>
          <w:p w:rsidR="00C61621" w:rsidRDefault="006B307A">
            <w:pPr>
              <w:jc w:val="right"/>
            </w:pPr>
            <w:r>
              <w:rPr>
                <w:color w:val="000000"/>
                <w:sz w:val="24"/>
                <w:szCs w:val="24"/>
              </w:rPr>
              <w:t>26,574,512.00</w:t>
            </w:r>
          </w:p>
        </w:tc>
        <w:tc>
          <w:tcPr>
            <w:tcW w:w="1644" w:type="dxa"/>
            <w:vAlign w:val="center"/>
          </w:tcPr>
          <w:p w:rsidR="00C61621" w:rsidRDefault="006B307A">
            <w:pPr>
              <w:jc w:val="right"/>
            </w:pPr>
            <w:r>
              <w:rPr>
                <w:color w:val="000000"/>
                <w:sz w:val="24"/>
                <w:szCs w:val="24"/>
              </w:rPr>
              <w:t>3.82</w:t>
            </w:r>
          </w:p>
        </w:tc>
      </w:tr>
      <w:tr w:rsidR="00C61621">
        <w:trPr>
          <w:jc w:val="center"/>
        </w:trPr>
        <w:tc>
          <w:tcPr>
            <w:tcW w:w="855" w:type="dxa"/>
            <w:vAlign w:val="center"/>
          </w:tcPr>
          <w:p w:rsidR="00C61621" w:rsidRDefault="006B307A">
            <w:pPr>
              <w:jc w:val="center"/>
            </w:pPr>
            <w:r>
              <w:rPr>
                <w:color w:val="000000"/>
                <w:sz w:val="24"/>
                <w:szCs w:val="24"/>
              </w:rPr>
              <w:lastRenderedPageBreak/>
              <w:t>3</w:t>
            </w:r>
          </w:p>
        </w:tc>
        <w:tc>
          <w:tcPr>
            <w:tcW w:w="1334" w:type="dxa"/>
            <w:vAlign w:val="center"/>
          </w:tcPr>
          <w:p w:rsidR="00C61621" w:rsidRDefault="006B307A">
            <w:pPr>
              <w:jc w:val="center"/>
            </w:pPr>
            <w:r>
              <w:rPr>
                <w:color w:val="000000"/>
                <w:sz w:val="24"/>
                <w:szCs w:val="24"/>
              </w:rPr>
              <w:t>000538</w:t>
            </w:r>
          </w:p>
        </w:tc>
        <w:tc>
          <w:tcPr>
            <w:tcW w:w="1777" w:type="dxa"/>
            <w:vAlign w:val="center"/>
          </w:tcPr>
          <w:p w:rsidR="00C61621" w:rsidRDefault="006B307A">
            <w:pPr>
              <w:jc w:val="center"/>
            </w:pPr>
            <w:r>
              <w:rPr>
                <w:color w:val="000000"/>
                <w:sz w:val="24"/>
                <w:szCs w:val="24"/>
              </w:rPr>
              <w:t>云南白药</w:t>
            </w:r>
          </w:p>
        </w:tc>
        <w:tc>
          <w:tcPr>
            <w:tcW w:w="1334" w:type="dxa"/>
            <w:vAlign w:val="center"/>
          </w:tcPr>
          <w:p w:rsidR="00C61621" w:rsidRDefault="006B307A">
            <w:pPr>
              <w:jc w:val="right"/>
            </w:pPr>
            <w:r>
              <w:rPr>
                <w:color w:val="000000"/>
                <w:sz w:val="24"/>
                <w:szCs w:val="24"/>
              </w:rPr>
              <w:t>229,850</w:t>
            </w:r>
          </w:p>
        </w:tc>
        <w:tc>
          <w:tcPr>
            <w:tcW w:w="1924" w:type="dxa"/>
            <w:vAlign w:val="center"/>
          </w:tcPr>
          <w:p w:rsidR="00C61621" w:rsidRDefault="006B307A">
            <w:pPr>
              <w:jc w:val="right"/>
            </w:pPr>
            <w:r>
              <w:rPr>
                <w:color w:val="000000"/>
                <w:sz w:val="24"/>
                <w:szCs w:val="24"/>
              </w:rPr>
              <w:t>24,584,756.00</w:t>
            </w:r>
          </w:p>
        </w:tc>
        <w:tc>
          <w:tcPr>
            <w:tcW w:w="1644" w:type="dxa"/>
            <w:vAlign w:val="center"/>
          </w:tcPr>
          <w:p w:rsidR="00C61621" w:rsidRDefault="006B307A">
            <w:pPr>
              <w:jc w:val="right"/>
            </w:pPr>
            <w:r>
              <w:rPr>
                <w:color w:val="000000"/>
                <w:sz w:val="24"/>
                <w:szCs w:val="24"/>
              </w:rPr>
              <w:t>3.53</w:t>
            </w:r>
          </w:p>
        </w:tc>
      </w:tr>
      <w:tr w:rsidR="00C61621">
        <w:trPr>
          <w:jc w:val="center"/>
        </w:trPr>
        <w:tc>
          <w:tcPr>
            <w:tcW w:w="855" w:type="dxa"/>
            <w:vAlign w:val="center"/>
          </w:tcPr>
          <w:p w:rsidR="00C61621" w:rsidRDefault="006B307A">
            <w:pPr>
              <w:jc w:val="center"/>
            </w:pPr>
            <w:r>
              <w:rPr>
                <w:color w:val="000000"/>
                <w:sz w:val="24"/>
                <w:szCs w:val="24"/>
              </w:rPr>
              <w:t>4</w:t>
            </w:r>
          </w:p>
        </w:tc>
        <w:tc>
          <w:tcPr>
            <w:tcW w:w="1334" w:type="dxa"/>
            <w:vAlign w:val="center"/>
          </w:tcPr>
          <w:p w:rsidR="00C61621" w:rsidRDefault="006B307A">
            <w:pPr>
              <w:jc w:val="center"/>
            </w:pPr>
            <w:r>
              <w:rPr>
                <w:color w:val="000000"/>
                <w:sz w:val="24"/>
                <w:szCs w:val="24"/>
              </w:rPr>
              <w:t>H00586</w:t>
            </w:r>
          </w:p>
        </w:tc>
        <w:tc>
          <w:tcPr>
            <w:tcW w:w="1777" w:type="dxa"/>
            <w:vAlign w:val="center"/>
          </w:tcPr>
          <w:p w:rsidR="00C61621" w:rsidRDefault="006B307A">
            <w:pPr>
              <w:jc w:val="center"/>
            </w:pPr>
            <w:r>
              <w:rPr>
                <w:color w:val="000000"/>
                <w:sz w:val="24"/>
                <w:szCs w:val="24"/>
              </w:rPr>
              <w:t>海螺创业</w:t>
            </w:r>
          </w:p>
        </w:tc>
        <w:tc>
          <w:tcPr>
            <w:tcW w:w="1334" w:type="dxa"/>
            <w:vAlign w:val="center"/>
          </w:tcPr>
          <w:p w:rsidR="00C61621" w:rsidRDefault="006B307A">
            <w:pPr>
              <w:jc w:val="right"/>
            </w:pPr>
            <w:r>
              <w:rPr>
                <w:color w:val="000000"/>
                <w:sz w:val="24"/>
                <w:szCs w:val="24"/>
              </w:rPr>
              <w:t>1,000,000</w:t>
            </w:r>
          </w:p>
        </w:tc>
        <w:tc>
          <w:tcPr>
            <w:tcW w:w="1924" w:type="dxa"/>
            <w:vAlign w:val="center"/>
          </w:tcPr>
          <w:p w:rsidR="00C61621" w:rsidRDefault="006B307A">
            <w:pPr>
              <w:jc w:val="right"/>
            </w:pPr>
            <w:r>
              <w:rPr>
                <w:color w:val="000000"/>
                <w:sz w:val="24"/>
                <w:szCs w:val="24"/>
              </w:rPr>
              <w:t>24,196,970.00</w:t>
            </w:r>
          </w:p>
        </w:tc>
        <w:tc>
          <w:tcPr>
            <w:tcW w:w="1644" w:type="dxa"/>
            <w:vAlign w:val="center"/>
          </w:tcPr>
          <w:p w:rsidR="00C61621" w:rsidRDefault="006B307A">
            <w:pPr>
              <w:jc w:val="right"/>
            </w:pPr>
            <w:r>
              <w:rPr>
                <w:color w:val="000000"/>
                <w:sz w:val="24"/>
                <w:szCs w:val="24"/>
              </w:rPr>
              <w:t>3.48</w:t>
            </w:r>
          </w:p>
        </w:tc>
      </w:tr>
      <w:tr w:rsidR="00C61621">
        <w:trPr>
          <w:jc w:val="center"/>
        </w:trPr>
        <w:tc>
          <w:tcPr>
            <w:tcW w:w="855" w:type="dxa"/>
            <w:vAlign w:val="center"/>
          </w:tcPr>
          <w:p w:rsidR="00C61621" w:rsidRDefault="006B307A">
            <w:pPr>
              <w:jc w:val="center"/>
            </w:pPr>
            <w:r>
              <w:rPr>
                <w:color w:val="000000"/>
                <w:sz w:val="24"/>
                <w:szCs w:val="24"/>
              </w:rPr>
              <w:t>5</w:t>
            </w:r>
          </w:p>
        </w:tc>
        <w:tc>
          <w:tcPr>
            <w:tcW w:w="1334" w:type="dxa"/>
            <w:vAlign w:val="center"/>
          </w:tcPr>
          <w:p w:rsidR="00C61621" w:rsidRDefault="006B307A">
            <w:pPr>
              <w:jc w:val="center"/>
            </w:pPr>
            <w:r>
              <w:rPr>
                <w:color w:val="000000"/>
                <w:sz w:val="24"/>
                <w:szCs w:val="24"/>
              </w:rPr>
              <w:t>H01114</w:t>
            </w:r>
          </w:p>
        </w:tc>
        <w:tc>
          <w:tcPr>
            <w:tcW w:w="1777" w:type="dxa"/>
            <w:vAlign w:val="center"/>
          </w:tcPr>
          <w:p w:rsidR="00C61621" w:rsidRDefault="006B307A">
            <w:pPr>
              <w:jc w:val="center"/>
            </w:pPr>
            <w:r>
              <w:rPr>
                <w:color w:val="000000"/>
                <w:sz w:val="24"/>
                <w:szCs w:val="24"/>
              </w:rPr>
              <w:t>BRILLIANCE CHI</w:t>
            </w:r>
          </w:p>
        </w:tc>
        <w:tc>
          <w:tcPr>
            <w:tcW w:w="1334" w:type="dxa"/>
            <w:vAlign w:val="center"/>
          </w:tcPr>
          <w:p w:rsidR="00C61621" w:rsidRDefault="006B307A">
            <w:pPr>
              <w:jc w:val="right"/>
            </w:pPr>
            <w:r>
              <w:rPr>
                <w:color w:val="000000"/>
                <w:sz w:val="24"/>
                <w:szCs w:val="24"/>
              </w:rPr>
              <w:t>1,996,000</w:t>
            </w:r>
          </w:p>
        </w:tc>
        <w:tc>
          <w:tcPr>
            <w:tcW w:w="1924" w:type="dxa"/>
            <w:vAlign w:val="center"/>
          </w:tcPr>
          <w:p w:rsidR="00C61621" w:rsidRDefault="006B307A">
            <w:pPr>
              <w:jc w:val="right"/>
            </w:pPr>
            <w:r>
              <w:rPr>
                <w:color w:val="000000"/>
                <w:sz w:val="24"/>
                <w:szCs w:val="24"/>
              </w:rPr>
              <w:t>23,828,838.82</w:t>
            </w:r>
          </w:p>
        </w:tc>
        <w:tc>
          <w:tcPr>
            <w:tcW w:w="1644" w:type="dxa"/>
            <w:vAlign w:val="center"/>
          </w:tcPr>
          <w:p w:rsidR="00C61621" w:rsidRDefault="006B307A">
            <w:pPr>
              <w:jc w:val="right"/>
            </w:pPr>
            <w:r>
              <w:rPr>
                <w:color w:val="000000"/>
                <w:sz w:val="24"/>
                <w:szCs w:val="24"/>
              </w:rPr>
              <w:t>3.42</w:t>
            </w:r>
          </w:p>
        </w:tc>
      </w:tr>
      <w:tr w:rsidR="00C61621">
        <w:trPr>
          <w:jc w:val="center"/>
        </w:trPr>
        <w:tc>
          <w:tcPr>
            <w:tcW w:w="855" w:type="dxa"/>
            <w:vAlign w:val="center"/>
          </w:tcPr>
          <w:p w:rsidR="00C61621" w:rsidRDefault="006B307A">
            <w:pPr>
              <w:jc w:val="center"/>
            </w:pPr>
            <w:r>
              <w:rPr>
                <w:color w:val="000000"/>
                <w:sz w:val="24"/>
                <w:szCs w:val="24"/>
              </w:rPr>
              <w:t>6</w:t>
            </w:r>
          </w:p>
        </w:tc>
        <w:tc>
          <w:tcPr>
            <w:tcW w:w="1334" w:type="dxa"/>
            <w:vAlign w:val="center"/>
          </w:tcPr>
          <w:p w:rsidR="00C61621" w:rsidRDefault="006B307A">
            <w:pPr>
              <w:jc w:val="center"/>
            </w:pPr>
            <w:r>
              <w:rPr>
                <w:color w:val="000000"/>
                <w:sz w:val="24"/>
                <w:szCs w:val="24"/>
              </w:rPr>
              <w:t>600036</w:t>
            </w:r>
          </w:p>
        </w:tc>
        <w:tc>
          <w:tcPr>
            <w:tcW w:w="1777" w:type="dxa"/>
            <w:vAlign w:val="center"/>
          </w:tcPr>
          <w:p w:rsidR="00C61621" w:rsidRDefault="006B307A">
            <w:pPr>
              <w:jc w:val="center"/>
            </w:pPr>
            <w:r>
              <w:rPr>
                <w:color w:val="000000"/>
                <w:sz w:val="24"/>
                <w:szCs w:val="24"/>
              </w:rPr>
              <w:t>招商银行</w:t>
            </w:r>
          </w:p>
        </w:tc>
        <w:tc>
          <w:tcPr>
            <w:tcW w:w="1334" w:type="dxa"/>
            <w:vAlign w:val="center"/>
          </w:tcPr>
          <w:p w:rsidR="00C61621" w:rsidRDefault="006B307A">
            <w:pPr>
              <w:jc w:val="right"/>
            </w:pPr>
            <w:r>
              <w:rPr>
                <w:color w:val="000000"/>
                <w:sz w:val="24"/>
                <w:szCs w:val="24"/>
              </w:rPr>
              <w:t>900,000</w:t>
            </w:r>
          </w:p>
        </w:tc>
        <w:tc>
          <w:tcPr>
            <w:tcW w:w="1924" w:type="dxa"/>
            <w:vAlign w:val="center"/>
          </w:tcPr>
          <w:p w:rsidR="00C61621" w:rsidRDefault="006B307A">
            <w:pPr>
              <w:jc w:val="right"/>
            </w:pPr>
            <w:r>
              <w:rPr>
                <w:color w:val="000000"/>
                <w:sz w:val="24"/>
                <w:szCs w:val="24"/>
              </w:rPr>
              <w:t>23,796,000.00</w:t>
            </w:r>
          </w:p>
        </w:tc>
        <w:tc>
          <w:tcPr>
            <w:tcW w:w="1644" w:type="dxa"/>
            <w:vAlign w:val="center"/>
          </w:tcPr>
          <w:p w:rsidR="00C61621" w:rsidRDefault="006B307A">
            <w:pPr>
              <w:jc w:val="right"/>
            </w:pPr>
            <w:r>
              <w:rPr>
                <w:color w:val="000000"/>
                <w:sz w:val="24"/>
                <w:szCs w:val="24"/>
              </w:rPr>
              <w:t>3.42</w:t>
            </w:r>
          </w:p>
        </w:tc>
      </w:tr>
      <w:tr w:rsidR="00C61621">
        <w:trPr>
          <w:jc w:val="center"/>
        </w:trPr>
        <w:tc>
          <w:tcPr>
            <w:tcW w:w="855" w:type="dxa"/>
            <w:vAlign w:val="center"/>
          </w:tcPr>
          <w:p w:rsidR="00C61621" w:rsidRDefault="006B307A">
            <w:pPr>
              <w:jc w:val="center"/>
            </w:pPr>
            <w:r>
              <w:rPr>
                <w:color w:val="000000"/>
                <w:sz w:val="24"/>
                <w:szCs w:val="24"/>
              </w:rPr>
              <w:t>7</w:t>
            </w:r>
          </w:p>
        </w:tc>
        <w:tc>
          <w:tcPr>
            <w:tcW w:w="1334" w:type="dxa"/>
            <w:vAlign w:val="center"/>
          </w:tcPr>
          <w:p w:rsidR="00C61621" w:rsidRDefault="006B307A">
            <w:pPr>
              <w:jc w:val="center"/>
            </w:pPr>
            <w:r>
              <w:rPr>
                <w:color w:val="000000"/>
                <w:sz w:val="24"/>
                <w:szCs w:val="24"/>
              </w:rPr>
              <w:t>603885</w:t>
            </w:r>
          </w:p>
        </w:tc>
        <w:tc>
          <w:tcPr>
            <w:tcW w:w="1777" w:type="dxa"/>
            <w:vAlign w:val="center"/>
          </w:tcPr>
          <w:p w:rsidR="00C61621" w:rsidRDefault="006B307A">
            <w:pPr>
              <w:jc w:val="center"/>
            </w:pPr>
            <w:r>
              <w:rPr>
                <w:color w:val="000000"/>
                <w:sz w:val="24"/>
                <w:szCs w:val="24"/>
              </w:rPr>
              <w:t>吉祥航空</w:t>
            </w:r>
          </w:p>
        </w:tc>
        <w:tc>
          <w:tcPr>
            <w:tcW w:w="1334" w:type="dxa"/>
            <w:vAlign w:val="center"/>
          </w:tcPr>
          <w:p w:rsidR="00C61621" w:rsidRDefault="006B307A">
            <w:pPr>
              <w:jc w:val="right"/>
            </w:pPr>
            <w:r>
              <w:rPr>
                <w:color w:val="000000"/>
                <w:sz w:val="24"/>
                <w:szCs w:val="24"/>
              </w:rPr>
              <w:t>1,500,000</w:t>
            </w:r>
          </w:p>
        </w:tc>
        <w:tc>
          <w:tcPr>
            <w:tcW w:w="1924" w:type="dxa"/>
            <w:vAlign w:val="center"/>
          </w:tcPr>
          <w:p w:rsidR="00C61621" w:rsidRDefault="006B307A">
            <w:pPr>
              <w:jc w:val="right"/>
            </w:pPr>
            <w:r>
              <w:rPr>
                <w:color w:val="000000"/>
                <w:sz w:val="24"/>
                <w:szCs w:val="24"/>
              </w:rPr>
              <w:t>23,115,000.00</w:t>
            </w:r>
          </w:p>
        </w:tc>
        <w:tc>
          <w:tcPr>
            <w:tcW w:w="1644" w:type="dxa"/>
            <w:vAlign w:val="center"/>
          </w:tcPr>
          <w:p w:rsidR="00C61621" w:rsidRDefault="006B307A">
            <w:pPr>
              <w:jc w:val="right"/>
            </w:pPr>
            <w:r>
              <w:rPr>
                <w:color w:val="000000"/>
                <w:sz w:val="24"/>
                <w:szCs w:val="24"/>
              </w:rPr>
              <w:t>3.32</w:t>
            </w:r>
          </w:p>
        </w:tc>
      </w:tr>
      <w:tr w:rsidR="00C61621">
        <w:trPr>
          <w:jc w:val="center"/>
        </w:trPr>
        <w:tc>
          <w:tcPr>
            <w:tcW w:w="855" w:type="dxa"/>
            <w:vAlign w:val="center"/>
          </w:tcPr>
          <w:p w:rsidR="00C61621" w:rsidRDefault="006B307A">
            <w:pPr>
              <w:jc w:val="center"/>
            </w:pPr>
            <w:r>
              <w:rPr>
                <w:color w:val="000000"/>
                <w:sz w:val="24"/>
                <w:szCs w:val="24"/>
              </w:rPr>
              <w:t>8</w:t>
            </w:r>
          </w:p>
        </w:tc>
        <w:tc>
          <w:tcPr>
            <w:tcW w:w="1334" w:type="dxa"/>
            <w:vAlign w:val="center"/>
          </w:tcPr>
          <w:p w:rsidR="00C61621" w:rsidRDefault="006B307A">
            <w:pPr>
              <w:jc w:val="center"/>
            </w:pPr>
            <w:r>
              <w:rPr>
                <w:color w:val="000000"/>
                <w:sz w:val="24"/>
                <w:szCs w:val="24"/>
              </w:rPr>
              <w:t>000858</w:t>
            </w:r>
          </w:p>
        </w:tc>
        <w:tc>
          <w:tcPr>
            <w:tcW w:w="1777" w:type="dxa"/>
            <w:vAlign w:val="center"/>
          </w:tcPr>
          <w:p w:rsidR="00C61621" w:rsidRDefault="006B307A">
            <w:pPr>
              <w:jc w:val="center"/>
            </w:pPr>
            <w:r>
              <w:rPr>
                <w:color w:val="000000"/>
                <w:sz w:val="24"/>
                <w:szCs w:val="24"/>
              </w:rPr>
              <w:t>五粮液</w:t>
            </w:r>
          </w:p>
        </w:tc>
        <w:tc>
          <w:tcPr>
            <w:tcW w:w="1334" w:type="dxa"/>
            <w:vAlign w:val="center"/>
          </w:tcPr>
          <w:p w:rsidR="00C61621" w:rsidRDefault="006B307A">
            <w:pPr>
              <w:jc w:val="right"/>
            </w:pPr>
            <w:r>
              <w:rPr>
                <w:color w:val="000000"/>
                <w:sz w:val="24"/>
                <w:szCs w:val="24"/>
              </w:rPr>
              <w:t>300,000</w:t>
            </w:r>
          </w:p>
        </w:tc>
        <w:tc>
          <w:tcPr>
            <w:tcW w:w="1924" w:type="dxa"/>
            <w:vAlign w:val="center"/>
          </w:tcPr>
          <w:p w:rsidR="00C61621" w:rsidRDefault="006B307A">
            <w:pPr>
              <w:jc w:val="right"/>
            </w:pPr>
            <w:r>
              <w:rPr>
                <w:color w:val="000000"/>
                <w:sz w:val="24"/>
                <w:szCs w:val="24"/>
              </w:rPr>
              <w:t>22,800,000.00</w:t>
            </w:r>
          </w:p>
        </w:tc>
        <w:tc>
          <w:tcPr>
            <w:tcW w:w="1644" w:type="dxa"/>
            <w:vAlign w:val="center"/>
          </w:tcPr>
          <w:p w:rsidR="00C61621" w:rsidRDefault="006B307A">
            <w:pPr>
              <w:jc w:val="right"/>
            </w:pPr>
            <w:r>
              <w:rPr>
                <w:color w:val="000000"/>
                <w:sz w:val="24"/>
                <w:szCs w:val="24"/>
              </w:rPr>
              <w:t>3.27</w:t>
            </w:r>
          </w:p>
        </w:tc>
      </w:tr>
      <w:tr w:rsidR="00C61621">
        <w:trPr>
          <w:jc w:val="center"/>
        </w:trPr>
        <w:tc>
          <w:tcPr>
            <w:tcW w:w="855" w:type="dxa"/>
            <w:vAlign w:val="center"/>
          </w:tcPr>
          <w:p w:rsidR="00C61621" w:rsidRDefault="006B307A">
            <w:pPr>
              <w:jc w:val="center"/>
            </w:pPr>
            <w:r>
              <w:rPr>
                <w:color w:val="000000"/>
                <w:sz w:val="24"/>
                <w:szCs w:val="24"/>
              </w:rPr>
              <w:t>9</w:t>
            </w:r>
          </w:p>
        </w:tc>
        <w:tc>
          <w:tcPr>
            <w:tcW w:w="1334" w:type="dxa"/>
            <w:vAlign w:val="center"/>
          </w:tcPr>
          <w:p w:rsidR="00C61621" w:rsidRDefault="006B307A">
            <w:pPr>
              <w:jc w:val="center"/>
            </w:pPr>
            <w:r>
              <w:rPr>
                <w:color w:val="000000"/>
                <w:sz w:val="24"/>
                <w:szCs w:val="24"/>
              </w:rPr>
              <w:t>H00175</w:t>
            </w:r>
          </w:p>
        </w:tc>
        <w:tc>
          <w:tcPr>
            <w:tcW w:w="1777" w:type="dxa"/>
            <w:vAlign w:val="center"/>
          </w:tcPr>
          <w:p w:rsidR="00C61621" w:rsidRDefault="006B307A">
            <w:pPr>
              <w:jc w:val="center"/>
            </w:pPr>
            <w:r>
              <w:rPr>
                <w:color w:val="000000"/>
                <w:sz w:val="24"/>
                <w:szCs w:val="24"/>
              </w:rPr>
              <w:t>吉利汽车</w:t>
            </w:r>
          </w:p>
        </w:tc>
        <w:tc>
          <w:tcPr>
            <w:tcW w:w="1334" w:type="dxa"/>
            <w:vAlign w:val="center"/>
          </w:tcPr>
          <w:p w:rsidR="00C61621" w:rsidRDefault="006B307A">
            <w:pPr>
              <w:jc w:val="right"/>
            </w:pPr>
            <w:r>
              <w:rPr>
                <w:color w:val="000000"/>
                <w:sz w:val="24"/>
                <w:szCs w:val="24"/>
              </w:rPr>
              <w:t>1,326,000</w:t>
            </w:r>
          </w:p>
        </w:tc>
        <w:tc>
          <w:tcPr>
            <w:tcW w:w="1924" w:type="dxa"/>
            <w:vAlign w:val="center"/>
          </w:tcPr>
          <w:p w:rsidR="00C61621" w:rsidRDefault="006B307A">
            <w:pPr>
              <w:jc w:val="right"/>
            </w:pPr>
            <w:r>
              <w:rPr>
                <w:color w:val="000000"/>
                <w:sz w:val="24"/>
                <w:szCs w:val="24"/>
              </w:rPr>
              <w:t>22,750,294.71</w:t>
            </w:r>
          </w:p>
        </w:tc>
        <w:tc>
          <w:tcPr>
            <w:tcW w:w="1644" w:type="dxa"/>
            <w:vAlign w:val="center"/>
          </w:tcPr>
          <w:p w:rsidR="00C61621" w:rsidRDefault="006B307A">
            <w:pPr>
              <w:jc w:val="right"/>
            </w:pPr>
            <w:r>
              <w:rPr>
                <w:color w:val="000000"/>
                <w:sz w:val="24"/>
                <w:szCs w:val="24"/>
              </w:rPr>
              <w:t>3.27</w:t>
            </w:r>
          </w:p>
        </w:tc>
      </w:tr>
      <w:tr w:rsidR="00C61621">
        <w:trPr>
          <w:jc w:val="center"/>
        </w:trPr>
        <w:tc>
          <w:tcPr>
            <w:tcW w:w="855" w:type="dxa"/>
            <w:vAlign w:val="center"/>
          </w:tcPr>
          <w:p w:rsidR="00C61621" w:rsidRDefault="006B307A">
            <w:pPr>
              <w:jc w:val="center"/>
            </w:pPr>
            <w:r>
              <w:rPr>
                <w:color w:val="000000"/>
                <w:sz w:val="24"/>
                <w:szCs w:val="24"/>
              </w:rPr>
              <w:t>10</w:t>
            </w:r>
          </w:p>
        </w:tc>
        <w:tc>
          <w:tcPr>
            <w:tcW w:w="1334" w:type="dxa"/>
            <w:vAlign w:val="center"/>
          </w:tcPr>
          <w:p w:rsidR="00C61621" w:rsidRDefault="006B307A">
            <w:pPr>
              <w:jc w:val="center"/>
            </w:pPr>
            <w:r>
              <w:rPr>
                <w:color w:val="000000"/>
                <w:sz w:val="24"/>
                <w:szCs w:val="24"/>
              </w:rPr>
              <w:t>H01398</w:t>
            </w:r>
          </w:p>
        </w:tc>
        <w:tc>
          <w:tcPr>
            <w:tcW w:w="1777" w:type="dxa"/>
            <w:vAlign w:val="center"/>
          </w:tcPr>
          <w:p w:rsidR="00C61621" w:rsidRDefault="006B307A">
            <w:pPr>
              <w:jc w:val="center"/>
            </w:pPr>
            <w:r>
              <w:rPr>
                <w:color w:val="000000"/>
                <w:sz w:val="24"/>
                <w:szCs w:val="24"/>
              </w:rPr>
              <w:t>工商银行</w:t>
            </w:r>
          </w:p>
        </w:tc>
        <w:tc>
          <w:tcPr>
            <w:tcW w:w="1334" w:type="dxa"/>
            <w:vAlign w:val="center"/>
          </w:tcPr>
          <w:p w:rsidR="00C61621" w:rsidRDefault="006B307A">
            <w:pPr>
              <w:jc w:val="right"/>
            </w:pPr>
            <w:r>
              <w:rPr>
                <w:color w:val="000000"/>
                <w:sz w:val="24"/>
                <w:szCs w:val="24"/>
              </w:rPr>
              <w:t>4,000,000</w:t>
            </w:r>
          </w:p>
        </w:tc>
        <w:tc>
          <w:tcPr>
            <w:tcW w:w="1924" w:type="dxa"/>
            <w:vAlign w:val="center"/>
          </w:tcPr>
          <w:p w:rsidR="00C61621" w:rsidRDefault="006B307A">
            <w:pPr>
              <w:jc w:val="right"/>
            </w:pPr>
            <w:r>
              <w:rPr>
                <w:color w:val="000000"/>
                <w:sz w:val="24"/>
                <w:szCs w:val="24"/>
              </w:rPr>
              <w:t>19,795,988.00</w:t>
            </w:r>
          </w:p>
        </w:tc>
        <w:tc>
          <w:tcPr>
            <w:tcW w:w="1644" w:type="dxa"/>
            <w:vAlign w:val="center"/>
          </w:tcPr>
          <w:p w:rsidR="00C61621" w:rsidRDefault="006B307A">
            <w:pPr>
              <w:jc w:val="right"/>
            </w:pPr>
            <w:r>
              <w:rPr>
                <w:color w:val="000000"/>
                <w:sz w:val="24"/>
                <w:szCs w:val="24"/>
              </w:rPr>
              <w:t>2.84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w:t>
      </w:r>
      <w:r w:rsidRPr="00BE5388">
        <w:rPr>
          <w:bCs/>
          <w:color w:val="000000"/>
          <w:kern w:val="0"/>
          <w:sz w:val="24"/>
          <w:szCs w:val="24"/>
        </w:rPr>
        <w:lastRenderedPageBreak/>
        <w:t>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1,152,486.91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1,849,778.59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54,363.58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184,186.89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3,240,815.97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FA01EE"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lastRenderedPageBreak/>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481,522,026.67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155,758,736.80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29,832,952.33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607,447,811.14</w:t>
            </w:r>
          </w:p>
        </w:tc>
      </w:tr>
    </w:tbl>
    <w:p w:rsidR="00C61621" w:rsidRDefault="006B307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61621">
        <w:tc>
          <w:tcPr>
            <w:tcW w:w="993" w:type="dxa"/>
            <w:vMerge w:val="restart"/>
          </w:tcPr>
          <w:p w:rsidR="00C61621" w:rsidRDefault="00C61621"/>
          <w:p w:rsidR="00C61621" w:rsidRDefault="006B307A">
            <w:r>
              <w:rPr>
                <w:rFonts w:ascii="宋体" w:hAnsi="宋体" w:hint="eastAsia"/>
                <w:bCs/>
                <w:color w:val="000000"/>
                <w:kern w:val="0"/>
              </w:rPr>
              <w:t>机构</w:t>
            </w:r>
          </w:p>
        </w:tc>
        <w:tc>
          <w:tcPr>
            <w:tcW w:w="992" w:type="dxa"/>
            <w:vAlign w:val="center"/>
          </w:tcPr>
          <w:p w:rsidR="00C61621" w:rsidRDefault="006B307A">
            <w:pPr>
              <w:jc w:val="center"/>
            </w:pPr>
            <w:r>
              <w:rPr>
                <w:rFonts w:ascii="宋体" w:hAnsi="宋体"/>
                <w:color w:val="000000"/>
                <w:kern w:val="0"/>
              </w:rPr>
              <w:t>1</w:t>
            </w:r>
          </w:p>
        </w:tc>
        <w:tc>
          <w:tcPr>
            <w:tcW w:w="1843" w:type="dxa"/>
            <w:vAlign w:val="center"/>
          </w:tcPr>
          <w:p w:rsidR="00C61621" w:rsidRDefault="006B307A">
            <w:pPr>
              <w:jc w:val="center"/>
            </w:pPr>
            <w:r>
              <w:rPr>
                <w:rFonts w:ascii="宋体" w:hAnsi="宋体"/>
                <w:color w:val="000000"/>
                <w:kern w:val="0"/>
              </w:rPr>
              <w:t>2018/4/1-2018/6/30</w:t>
            </w:r>
          </w:p>
        </w:tc>
        <w:tc>
          <w:tcPr>
            <w:tcW w:w="851" w:type="dxa"/>
            <w:vAlign w:val="center"/>
          </w:tcPr>
          <w:p w:rsidR="00C61621" w:rsidRDefault="006B307A">
            <w:pPr>
              <w:jc w:val="center"/>
            </w:pPr>
            <w:r>
              <w:rPr>
                <w:rFonts w:ascii="宋体" w:hAnsi="宋体"/>
                <w:color w:val="000000"/>
                <w:kern w:val="0"/>
              </w:rPr>
              <w:t>156,993,386.51</w:t>
            </w:r>
          </w:p>
        </w:tc>
        <w:tc>
          <w:tcPr>
            <w:tcW w:w="850" w:type="dxa"/>
            <w:vAlign w:val="center"/>
          </w:tcPr>
          <w:p w:rsidR="00C61621" w:rsidRDefault="006B307A">
            <w:pPr>
              <w:jc w:val="center"/>
            </w:pPr>
            <w:r>
              <w:rPr>
                <w:rFonts w:ascii="宋体" w:hAnsi="宋体"/>
                <w:color w:val="000000"/>
                <w:kern w:val="0"/>
              </w:rPr>
              <w:t>-</w:t>
            </w:r>
          </w:p>
        </w:tc>
        <w:tc>
          <w:tcPr>
            <w:tcW w:w="1134" w:type="dxa"/>
            <w:vAlign w:val="center"/>
          </w:tcPr>
          <w:p w:rsidR="00C61621" w:rsidRDefault="006B307A">
            <w:pPr>
              <w:jc w:val="center"/>
            </w:pPr>
            <w:r>
              <w:rPr>
                <w:rFonts w:ascii="宋体" w:hAnsi="宋体"/>
                <w:color w:val="000000"/>
                <w:kern w:val="0"/>
              </w:rPr>
              <w:t>-</w:t>
            </w:r>
          </w:p>
        </w:tc>
        <w:tc>
          <w:tcPr>
            <w:tcW w:w="1419" w:type="dxa"/>
            <w:vAlign w:val="center"/>
          </w:tcPr>
          <w:p w:rsidR="00C61621" w:rsidRDefault="006B307A">
            <w:pPr>
              <w:jc w:val="center"/>
            </w:pPr>
            <w:r>
              <w:rPr>
                <w:rFonts w:ascii="宋体" w:hAnsi="宋体"/>
                <w:color w:val="000000"/>
                <w:kern w:val="0"/>
              </w:rPr>
              <w:t>156,993,386.51</w:t>
            </w:r>
          </w:p>
        </w:tc>
        <w:tc>
          <w:tcPr>
            <w:tcW w:w="1130" w:type="dxa"/>
            <w:vAlign w:val="center"/>
          </w:tcPr>
          <w:p w:rsidR="00C61621" w:rsidRDefault="006B307A">
            <w:pPr>
              <w:jc w:val="center"/>
            </w:pPr>
            <w:r>
              <w:rPr>
                <w:rFonts w:ascii="宋体" w:hAnsi="宋体"/>
                <w:color w:val="000000"/>
                <w:kern w:val="0"/>
              </w:rPr>
              <w:t>25.84%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w:t>
            </w:r>
            <w:r w:rsidRPr="004F4D27">
              <w:rPr>
                <w:rFonts w:ascii="宋体" w:hAnsi="宋体" w:hint="eastAsia"/>
                <w:kern w:val="0"/>
              </w:rPr>
              <w:lastRenderedPageBreak/>
              <w:t>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61621" w:rsidRDefault="006B307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61621" w:rsidRDefault="006B307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61621" w:rsidRDefault="006B307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7B" w:rsidRDefault="007F7D7B" w:rsidP="00876D65">
      <w:r>
        <w:separator/>
      </w:r>
    </w:p>
  </w:endnote>
  <w:endnote w:type="continuationSeparator" w:id="0">
    <w:p w:rsidR="007F7D7B" w:rsidRDefault="007F7D7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E108DB">
      <w:rPr>
        <w:noProof/>
        <w:kern w:val="0"/>
        <w:szCs w:val="21"/>
      </w:rPr>
      <w:t>6</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E108DB">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7B" w:rsidRDefault="007F7D7B" w:rsidP="00876D65">
      <w:r>
        <w:separator/>
      </w:r>
    </w:p>
  </w:footnote>
  <w:footnote w:type="continuationSeparator" w:id="0">
    <w:p w:rsidR="007F7D7B" w:rsidRDefault="007F7D7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交银施罗德沪港深价值精选灵活配置混合型证券投资基金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07FC7"/>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135B"/>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307A"/>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D7B"/>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61FC"/>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1621"/>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08DB"/>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01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C756-0762-423C-A30F-3A529E69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581</cp:revision>
  <dcterms:created xsi:type="dcterms:W3CDTF">2012-10-16T06:07:00Z</dcterms:created>
  <dcterms:modified xsi:type="dcterms:W3CDTF">2018-07-16T08:01:00Z</dcterms:modified>
</cp:coreProperties>
</file>