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交银施罗德经济新动力混合型证券投资基金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二〇一八年七月十八日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F35654" w:rsidRDefault="00AC2B4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交银经济新动力混合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519778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519778</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10</w:t>
            </w:r>
            <w:r w:rsidRPr="00414345">
              <w:rPr>
                <w:color w:val="000000"/>
                <w:kern w:val="0"/>
                <w:sz w:val="24"/>
                <w:szCs w:val="24"/>
              </w:rPr>
              <w:t>月</w:t>
            </w:r>
            <w:r w:rsidRPr="00414345">
              <w:rPr>
                <w:color w:val="000000"/>
                <w:kern w:val="0"/>
                <w:sz w:val="24"/>
                <w:szCs w:val="24"/>
              </w:rPr>
              <w:t>20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136,591,333.61</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本基金通过深度优选在经济新常态下受益于发展新动力的优质企业，分享因中国经济改革、创新和升级发展所带来的投资新机会，力争为基金份额持有人获得超越业绩比较基准的收益。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其中，本基金所指的经济新动力是指改革动力、创新动力、升级动力，以及相关传统产业中的反转动力。本基金股票投资重点关注与经济新动力息息相关的优质企</w:t>
            </w:r>
            <w:r w:rsidRPr="00414345">
              <w:rPr>
                <w:color w:val="000000"/>
                <w:kern w:val="0"/>
                <w:sz w:val="24"/>
                <w:szCs w:val="24"/>
              </w:rPr>
              <w:lastRenderedPageBreak/>
              <w:t>业，分享当前因中国经济改革、创新和升级发展所带来的投资新机会。</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×60%+</w:t>
            </w:r>
            <w:r w:rsidRPr="00414345">
              <w:rPr>
                <w:color w:val="000000"/>
                <w:kern w:val="0"/>
                <w:sz w:val="24"/>
                <w:szCs w:val="24"/>
              </w:rPr>
              <w:t>中证综合债券指数收益率</w:t>
            </w:r>
            <w:r w:rsidRPr="00414345">
              <w:rPr>
                <w:color w:val="000000"/>
                <w:kern w:val="0"/>
                <w:sz w:val="24"/>
                <w:szCs w:val="24"/>
              </w:rPr>
              <w:t>×40%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AC2B45" w:rsidRPr="00414345" w:rsidTr="00AC2B4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AC2B45" w:rsidRPr="00414345" w:rsidTr="00AC2B4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-8,347,718.22</w:t>
            </w:r>
          </w:p>
        </w:tc>
      </w:tr>
      <w:tr w:rsidR="00AC2B45" w:rsidRPr="00414345" w:rsidTr="00AC2B4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-27,852,276.99</w:t>
            </w:r>
          </w:p>
        </w:tc>
      </w:tr>
      <w:tr w:rsidR="00AC2B45" w:rsidRPr="00414345" w:rsidTr="00AC2B4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-0.0818</w:t>
            </w:r>
          </w:p>
        </w:tc>
      </w:tr>
      <w:tr w:rsidR="00AC2B45" w:rsidRPr="00414345" w:rsidTr="00AC2B4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142,265,909.70</w:t>
            </w:r>
          </w:p>
        </w:tc>
      </w:tr>
      <w:tr w:rsidR="00AC2B45" w:rsidRPr="00414345" w:rsidTr="00AC2B4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1.0415</w:t>
            </w:r>
          </w:p>
        </w:tc>
      </w:tr>
    </w:tbl>
    <w:p w:rsidR="00F35654" w:rsidRDefault="00AC2B4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F35654" w:rsidRDefault="00AC2B45">
      <w:pPr>
        <w:autoSpaceDE w:val="0"/>
        <w:autoSpaceDN w:val="0"/>
        <w:adjustRightInd w:val="0"/>
        <w:spacing w:before="29" w:line="288" w:lineRule="auto"/>
        <w:jc w:val="left"/>
        <w:rPr>
          <w:color w:val="000000"/>
          <w:sz w:val="24"/>
          <w:szCs w:val="24"/>
        </w:rPr>
      </w:pPr>
      <w:r>
        <w:rPr>
          <w:color w:val="000000"/>
          <w:sz w:val="24"/>
          <w:szCs w:val="24"/>
        </w:rPr>
        <w:t xml:space="preserve">    2</w:t>
      </w:r>
      <w:r>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F35654">
        <w:trPr>
          <w:jc w:val="center"/>
        </w:trPr>
        <w:tc>
          <w:tcPr>
            <w:tcW w:w="1701" w:type="dxa"/>
            <w:vAlign w:val="center"/>
          </w:tcPr>
          <w:p w:rsidR="00F35654" w:rsidRDefault="00AC2B45">
            <w:pPr>
              <w:jc w:val="left"/>
            </w:pPr>
            <w:r>
              <w:rPr>
                <w:color w:val="000000"/>
                <w:sz w:val="24"/>
                <w:szCs w:val="24"/>
              </w:rPr>
              <w:t>过去三个月</w:t>
            </w:r>
          </w:p>
        </w:tc>
        <w:tc>
          <w:tcPr>
            <w:tcW w:w="1045" w:type="dxa"/>
            <w:vAlign w:val="center"/>
          </w:tcPr>
          <w:p w:rsidR="00F35654" w:rsidRDefault="00AC2B45">
            <w:pPr>
              <w:jc w:val="center"/>
            </w:pPr>
            <w:r>
              <w:rPr>
                <w:color w:val="000000"/>
                <w:sz w:val="24"/>
                <w:szCs w:val="24"/>
              </w:rPr>
              <w:t>-11.35%</w:t>
            </w:r>
          </w:p>
        </w:tc>
        <w:tc>
          <w:tcPr>
            <w:tcW w:w="1344" w:type="dxa"/>
            <w:vAlign w:val="center"/>
          </w:tcPr>
          <w:p w:rsidR="00F35654" w:rsidRDefault="00AC2B45">
            <w:pPr>
              <w:jc w:val="center"/>
            </w:pPr>
            <w:r>
              <w:rPr>
                <w:color w:val="000000"/>
                <w:sz w:val="24"/>
                <w:szCs w:val="24"/>
              </w:rPr>
              <w:t>1.44%</w:t>
            </w:r>
          </w:p>
        </w:tc>
        <w:tc>
          <w:tcPr>
            <w:tcW w:w="1194" w:type="dxa"/>
            <w:vAlign w:val="center"/>
          </w:tcPr>
          <w:p w:rsidR="00F35654" w:rsidRDefault="00AC2B45">
            <w:pPr>
              <w:jc w:val="center"/>
            </w:pPr>
            <w:r>
              <w:rPr>
                <w:color w:val="000000"/>
                <w:sz w:val="24"/>
                <w:szCs w:val="24"/>
              </w:rPr>
              <w:t>-5.26%</w:t>
            </w:r>
          </w:p>
        </w:tc>
        <w:tc>
          <w:tcPr>
            <w:tcW w:w="1492" w:type="dxa"/>
            <w:vAlign w:val="center"/>
          </w:tcPr>
          <w:p w:rsidR="00F35654" w:rsidRDefault="00AC2B45">
            <w:pPr>
              <w:jc w:val="center"/>
            </w:pPr>
            <w:r>
              <w:rPr>
                <w:color w:val="000000"/>
                <w:sz w:val="24"/>
                <w:szCs w:val="24"/>
              </w:rPr>
              <w:t>0.68%</w:t>
            </w:r>
          </w:p>
        </w:tc>
        <w:tc>
          <w:tcPr>
            <w:tcW w:w="1194" w:type="dxa"/>
            <w:vAlign w:val="center"/>
          </w:tcPr>
          <w:p w:rsidR="00F35654" w:rsidRDefault="00AC2B45">
            <w:pPr>
              <w:jc w:val="center"/>
            </w:pPr>
            <w:r>
              <w:rPr>
                <w:color w:val="000000"/>
                <w:sz w:val="24"/>
                <w:szCs w:val="24"/>
              </w:rPr>
              <w:t>-6.09%</w:t>
            </w:r>
          </w:p>
        </w:tc>
        <w:tc>
          <w:tcPr>
            <w:tcW w:w="898" w:type="dxa"/>
            <w:vAlign w:val="center"/>
          </w:tcPr>
          <w:p w:rsidR="00F35654" w:rsidRDefault="00AC2B45">
            <w:pPr>
              <w:jc w:val="center"/>
            </w:pPr>
            <w:r>
              <w:rPr>
                <w:color w:val="000000"/>
                <w:sz w:val="24"/>
                <w:szCs w:val="24"/>
              </w:rPr>
              <w:t>0.76%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交银施罗德经济新动力混合型证券投资基金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F35654">
        <w:trPr>
          <w:jc w:val="center"/>
        </w:trPr>
        <w:tc>
          <w:tcPr>
            <w:tcW w:w="846" w:type="dxa"/>
            <w:vAlign w:val="center"/>
          </w:tcPr>
          <w:p w:rsidR="00F35654" w:rsidRDefault="00AC2B45">
            <w:pPr>
              <w:jc w:val="center"/>
            </w:pPr>
            <w:r>
              <w:rPr>
                <w:color w:val="000000"/>
                <w:sz w:val="24"/>
                <w:szCs w:val="24"/>
              </w:rPr>
              <w:t>任相栋</w:t>
            </w:r>
          </w:p>
        </w:tc>
        <w:tc>
          <w:tcPr>
            <w:tcW w:w="845" w:type="dxa"/>
            <w:vAlign w:val="center"/>
          </w:tcPr>
          <w:p w:rsidR="00F35654" w:rsidRDefault="00AC2B45">
            <w:pPr>
              <w:jc w:val="center"/>
            </w:pPr>
            <w:r>
              <w:rPr>
                <w:color w:val="000000"/>
                <w:sz w:val="24"/>
                <w:szCs w:val="24"/>
              </w:rPr>
              <w:t>交银先进制造混合、交银经济新动</w:t>
            </w:r>
            <w:r>
              <w:rPr>
                <w:color w:val="000000"/>
                <w:sz w:val="24"/>
                <w:szCs w:val="24"/>
              </w:rPr>
              <w:lastRenderedPageBreak/>
              <w:t>力混合的基金经理</w:t>
            </w:r>
          </w:p>
        </w:tc>
        <w:tc>
          <w:tcPr>
            <w:tcW w:w="1549" w:type="dxa"/>
            <w:vAlign w:val="center"/>
          </w:tcPr>
          <w:p w:rsidR="00F35654" w:rsidRDefault="00AC2B45">
            <w:pPr>
              <w:jc w:val="center"/>
            </w:pPr>
            <w:r>
              <w:rPr>
                <w:color w:val="000000"/>
                <w:sz w:val="24"/>
                <w:szCs w:val="24"/>
              </w:rPr>
              <w:lastRenderedPageBreak/>
              <w:t>2016-10-20</w:t>
            </w:r>
          </w:p>
        </w:tc>
        <w:tc>
          <w:tcPr>
            <w:tcW w:w="1548" w:type="dxa"/>
            <w:vAlign w:val="center"/>
          </w:tcPr>
          <w:p w:rsidR="00F35654" w:rsidRDefault="00AC2B45">
            <w:pPr>
              <w:jc w:val="center"/>
            </w:pPr>
            <w:r>
              <w:rPr>
                <w:color w:val="000000"/>
                <w:sz w:val="24"/>
                <w:szCs w:val="24"/>
              </w:rPr>
              <w:t>2018-06-23</w:t>
            </w:r>
          </w:p>
        </w:tc>
        <w:tc>
          <w:tcPr>
            <w:tcW w:w="1407" w:type="dxa"/>
            <w:vAlign w:val="center"/>
          </w:tcPr>
          <w:p w:rsidR="00F35654" w:rsidRDefault="00AC2B45">
            <w:pPr>
              <w:jc w:val="center"/>
            </w:pPr>
            <w:r>
              <w:rPr>
                <w:color w:val="000000"/>
                <w:sz w:val="24"/>
                <w:szCs w:val="24"/>
              </w:rPr>
              <w:t>8</w:t>
            </w:r>
            <w:r>
              <w:rPr>
                <w:color w:val="000000"/>
                <w:sz w:val="24"/>
                <w:szCs w:val="24"/>
              </w:rPr>
              <w:t>年</w:t>
            </w:r>
          </w:p>
        </w:tc>
        <w:tc>
          <w:tcPr>
            <w:tcW w:w="2673" w:type="dxa"/>
            <w:vAlign w:val="center"/>
          </w:tcPr>
          <w:p w:rsidR="00F35654" w:rsidRDefault="00AC2B45">
            <w:r>
              <w:rPr>
                <w:color w:val="000000"/>
                <w:sz w:val="24"/>
                <w:szCs w:val="24"/>
              </w:rPr>
              <w:t>任相栋先生，上海交通大学金融学硕士。</w:t>
            </w:r>
            <w:r>
              <w:rPr>
                <w:color w:val="000000"/>
                <w:sz w:val="24"/>
                <w:szCs w:val="24"/>
              </w:rPr>
              <w:t>2010</w:t>
            </w:r>
            <w:r>
              <w:rPr>
                <w:color w:val="000000"/>
                <w:sz w:val="24"/>
                <w:szCs w:val="24"/>
              </w:rPr>
              <w:t>年加入交银施罗德基金管理有限公司，历任行业分析师。</w:t>
            </w:r>
            <w:r>
              <w:rPr>
                <w:color w:val="000000"/>
                <w:sz w:val="24"/>
                <w:szCs w:val="24"/>
              </w:rPr>
              <w:t>2015</w:t>
            </w:r>
            <w:r>
              <w:rPr>
                <w:color w:val="000000"/>
                <w:sz w:val="24"/>
                <w:szCs w:val="24"/>
              </w:rPr>
              <w:t>年</w:t>
            </w:r>
            <w:r>
              <w:rPr>
                <w:color w:val="000000"/>
                <w:sz w:val="24"/>
                <w:szCs w:val="24"/>
              </w:rPr>
              <w:t>1</w:t>
            </w:r>
            <w:r>
              <w:rPr>
                <w:color w:val="000000"/>
                <w:sz w:val="24"/>
                <w:szCs w:val="24"/>
              </w:rPr>
              <w:t>月</w:t>
            </w:r>
            <w:r>
              <w:rPr>
                <w:color w:val="000000"/>
                <w:sz w:val="24"/>
                <w:szCs w:val="24"/>
              </w:rPr>
              <w:t>21</w:t>
            </w:r>
            <w:r>
              <w:rPr>
                <w:color w:val="000000"/>
                <w:sz w:val="24"/>
                <w:szCs w:val="24"/>
              </w:rPr>
              <w:t>日至</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22</w:t>
            </w:r>
            <w:r>
              <w:rPr>
                <w:color w:val="000000"/>
                <w:sz w:val="24"/>
                <w:szCs w:val="24"/>
              </w:rPr>
              <w:t>日担任交银施罗德先进</w:t>
            </w:r>
            <w:r>
              <w:rPr>
                <w:color w:val="000000"/>
                <w:sz w:val="24"/>
                <w:szCs w:val="24"/>
              </w:rPr>
              <w:lastRenderedPageBreak/>
              <w:t>制造混合型证券投资基金的基金经理，</w:t>
            </w:r>
            <w:r>
              <w:rPr>
                <w:color w:val="000000"/>
                <w:sz w:val="24"/>
                <w:szCs w:val="24"/>
              </w:rPr>
              <w:t>2016</w:t>
            </w:r>
            <w:r>
              <w:rPr>
                <w:color w:val="000000"/>
                <w:sz w:val="24"/>
                <w:szCs w:val="24"/>
              </w:rPr>
              <w:t>年</w:t>
            </w:r>
            <w:r>
              <w:rPr>
                <w:color w:val="000000"/>
                <w:sz w:val="24"/>
                <w:szCs w:val="24"/>
              </w:rPr>
              <w:t>10</w:t>
            </w:r>
            <w:r>
              <w:rPr>
                <w:color w:val="000000"/>
                <w:sz w:val="24"/>
                <w:szCs w:val="24"/>
              </w:rPr>
              <w:t>月</w:t>
            </w:r>
            <w:r>
              <w:rPr>
                <w:color w:val="000000"/>
                <w:sz w:val="24"/>
                <w:szCs w:val="24"/>
              </w:rPr>
              <w:t>20</w:t>
            </w:r>
            <w:r>
              <w:rPr>
                <w:color w:val="000000"/>
                <w:sz w:val="24"/>
                <w:szCs w:val="24"/>
              </w:rPr>
              <w:t>日至</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22</w:t>
            </w:r>
            <w:r>
              <w:rPr>
                <w:color w:val="000000"/>
                <w:sz w:val="24"/>
                <w:szCs w:val="24"/>
              </w:rPr>
              <w:t>日担任交银施罗德经济新动力混合型证券投资基金的基金经理。</w:t>
            </w:r>
          </w:p>
        </w:tc>
      </w:tr>
      <w:tr w:rsidR="00F35654">
        <w:trPr>
          <w:jc w:val="center"/>
        </w:trPr>
        <w:tc>
          <w:tcPr>
            <w:tcW w:w="846" w:type="dxa"/>
            <w:vAlign w:val="center"/>
          </w:tcPr>
          <w:p w:rsidR="00F35654" w:rsidRDefault="00AC2B45">
            <w:pPr>
              <w:jc w:val="center"/>
            </w:pPr>
            <w:r>
              <w:rPr>
                <w:color w:val="000000"/>
                <w:sz w:val="24"/>
                <w:szCs w:val="24"/>
              </w:rPr>
              <w:lastRenderedPageBreak/>
              <w:t>郭斐</w:t>
            </w:r>
          </w:p>
        </w:tc>
        <w:tc>
          <w:tcPr>
            <w:tcW w:w="845" w:type="dxa"/>
            <w:vAlign w:val="center"/>
          </w:tcPr>
          <w:p w:rsidR="00F35654" w:rsidRDefault="00AC2B45">
            <w:pPr>
              <w:jc w:val="center"/>
            </w:pPr>
            <w:r>
              <w:rPr>
                <w:color w:val="000000"/>
                <w:sz w:val="24"/>
                <w:szCs w:val="24"/>
              </w:rPr>
              <w:t>交银成长</w:t>
            </w:r>
            <w:r>
              <w:rPr>
                <w:color w:val="000000"/>
                <w:sz w:val="24"/>
                <w:szCs w:val="24"/>
              </w:rPr>
              <w:t>30</w:t>
            </w:r>
            <w:r>
              <w:rPr>
                <w:color w:val="000000"/>
                <w:sz w:val="24"/>
                <w:szCs w:val="24"/>
              </w:rPr>
              <w:t>混合、交银经济新动力混合的基金经理</w:t>
            </w:r>
          </w:p>
        </w:tc>
        <w:tc>
          <w:tcPr>
            <w:tcW w:w="1549" w:type="dxa"/>
            <w:vAlign w:val="center"/>
          </w:tcPr>
          <w:p w:rsidR="00F35654" w:rsidRDefault="00AC2B45">
            <w:pPr>
              <w:jc w:val="center"/>
            </w:pPr>
            <w:r>
              <w:rPr>
                <w:color w:val="000000"/>
                <w:sz w:val="24"/>
                <w:szCs w:val="24"/>
              </w:rPr>
              <w:t>2018-06-02</w:t>
            </w:r>
          </w:p>
        </w:tc>
        <w:tc>
          <w:tcPr>
            <w:tcW w:w="1548" w:type="dxa"/>
            <w:vAlign w:val="center"/>
          </w:tcPr>
          <w:p w:rsidR="00F35654" w:rsidRDefault="00AC2B45">
            <w:pPr>
              <w:jc w:val="center"/>
            </w:pPr>
            <w:r>
              <w:rPr>
                <w:color w:val="000000"/>
                <w:sz w:val="24"/>
                <w:szCs w:val="24"/>
              </w:rPr>
              <w:t>-</w:t>
            </w:r>
          </w:p>
        </w:tc>
        <w:tc>
          <w:tcPr>
            <w:tcW w:w="1407" w:type="dxa"/>
            <w:vAlign w:val="center"/>
          </w:tcPr>
          <w:p w:rsidR="00F35654" w:rsidRDefault="00AC2B45">
            <w:pPr>
              <w:jc w:val="center"/>
            </w:pPr>
            <w:r>
              <w:rPr>
                <w:color w:val="000000"/>
                <w:sz w:val="24"/>
                <w:szCs w:val="24"/>
              </w:rPr>
              <w:t>9</w:t>
            </w:r>
            <w:r>
              <w:rPr>
                <w:color w:val="000000"/>
                <w:sz w:val="24"/>
                <w:szCs w:val="24"/>
              </w:rPr>
              <w:t>年</w:t>
            </w:r>
          </w:p>
        </w:tc>
        <w:tc>
          <w:tcPr>
            <w:tcW w:w="2673" w:type="dxa"/>
            <w:vAlign w:val="center"/>
          </w:tcPr>
          <w:p w:rsidR="00F35654" w:rsidRDefault="00AC2B45">
            <w:r>
              <w:rPr>
                <w:color w:val="000000"/>
                <w:sz w:val="24"/>
                <w:szCs w:val="24"/>
              </w:rPr>
              <w:t>郭斐先生，复旦大学经济学本科。</w:t>
            </w:r>
            <w:r>
              <w:rPr>
                <w:color w:val="000000"/>
                <w:sz w:val="24"/>
                <w:szCs w:val="24"/>
              </w:rPr>
              <w:t>2009</w:t>
            </w:r>
            <w:r>
              <w:rPr>
                <w:color w:val="000000"/>
                <w:sz w:val="24"/>
                <w:szCs w:val="24"/>
              </w:rPr>
              <w:t>年</w:t>
            </w:r>
            <w:r>
              <w:rPr>
                <w:color w:val="000000"/>
                <w:sz w:val="24"/>
                <w:szCs w:val="24"/>
              </w:rPr>
              <w:t>8</w:t>
            </w:r>
            <w:r>
              <w:rPr>
                <w:color w:val="000000"/>
                <w:sz w:val="24"/>
                <w:szCs w:val="24"/>
              </w:rPr>
              <w:t>月至</w:t>
            </w:r>
            <w:r>
              <w:rPr>
                <w:color w:val="000000"/>
                <w:sz w:val="24"/>
                <w:szCs w:val="24"/>
              </w:rPr>
              <w:t>2014</w:t>
            </w:r>
            <w:r>
              <w:rPr>
                <w:color w:val="000000"/>
                <w:sz w:val="24"/>
                <w:szCs w:val="24"/>
              </w:rPr>
              <w:t>年</w:t>
            </w:r>
            <w:r>
              <w:rPr>
                <w:color w:val="000000"/>
                <w:sz w:val="24"/>
                <w:szCs w:val="24"/>
              </w:rPr>
              <w:t>3</w:t>
            </w:r>
            <w:r>
              <w:rPr>
                <w:color w:val="000000"/>
                <w:sz w:val="24"/>
                <w:szCs w:val="24"/>
              </w:rPr>
              <w:t>月于高盛（亚洲）有限责任公司、高华证券公司任职。</w:t>
            </w:r>
            <w:r>
              <w:rPr>
                <w:color w:val="000000"/>
                <w:sz w:val="24"/>
                <w:szCs w:val="24"/>
              </w:rPr>
              <w:t>2014</w:t>
            </w:r>
            <w:r>
              <w:rPr>
                <w:color w:val="000000"/>
                <w:sz w:val="24"/>
                <w:szCs w:val="24"/>
              </w:rPr>
              <w:t>年加入交银施罗德基金管理有限公司，历任行业分析师、基金经理助理。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F35654" w:rsidRDefault="00AC2B4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F35654" w:rsidRDefault="00AC2B4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F35654" w:rsidRDefault="00AC2B4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w:t>
      </w:r>
      <w:r>
        <w:rPr>
          <w:color w:val="000000"/>
          <w:sz w:val="24"/>
          <w:szCs w:val="24"/>
        </w:rPr>
        <w:lastRenderedPageBreak/>
        <w:t>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F35654" w:rsidRDefault="00AC2B45">
      <w:pPr>
        <w:spacing w:before="29" w:line="288" w:lineRule="auto"/>
        <w:ind w:firstLineChars="200" w:firstLine="480"/>
        <w:rPr>
          <w:color w:val="000000"/>
          <w:sz w:val="24"/>
          <w:szCs w:val="24"/>
        </w:rPr>
      </w:pPr>
      <w:r>
        <w:rPr>
          <w:color w:val="000000"/>
          <w:sz w:val="24"/>
          <w:szCs w:val="24"/>
        </w:rPr>
        <w:t>2018</w:t>
      </w:r>
      <w:r>
        <w:rPr>
          <w:color w:val="000000"/>
          <w:sz w:val="24"/>
          <w:szCs w:val="24"/>
        </w:rPr>
        <w:t>年二季度，中兴通讯事件以及中美贸易战的反复发酵使得市场的风险偏好出现大幅下降，对外需的担忧叠加</w:t>
      </w:r>
      <w:r>
        <w:rPr>
          <w:color w:val="000000"/>
          <w:sz w:val="24"/>
          <w:szCs w:val="24"/>
        </w:rPr>
        <w:t>PSL</w:t>
      </w:r>
      <w:r>
        <w:rPr>
          <w:color w:val="000000"/>
          <w:sz w:val="24"/>
          <w:szCs w:val="24"/>
        </w:rPr>
        <w:t>棚改贷款收紧传闻对地产乃至整个经济预期的负面影响，拖累了</w:t>
      </w:r>
      <w:r>
        <w:rPr>
          <w:color w:val="000000"/>
          <w:sz w:val="24"/>
          <w:szCs w:val="24"/>
        </w:rPr>
        <w:t>A</w:t>
      </w:r>
      <w:r>
        <w:rPr>
          <w:color w:val="000000"/>
          <w:sz w:val="24"/>
          <w:szCs w:val="24"/>
        </w:rPr>
        <w:t>股市场大小股票齐跌。</w:t>
      </w:r>
    </w:p>
    <w:p w:rsidR="00F35654" w:rsidRDefault="00AC2B45">
      <w:pPr>
        <w:spacing w:before="29" w:line="288" w:lineRule="auto"/>
        <w:ind w:firstLineChars="200" w:firstLine="480"/>
        <w:rPr>
          <w:color w:val="000000"/>
          <w:sz w:val="24"/>
          <w:szCs w:val="24"/>
        </w:rPr>
      </w:pPr>
      <w:r>
        <w:rPr>
          <w:color w:val="000000"/>
          <w:sz w:val="24"/>
          <w:szCs w:val="24"/>
        </w:rPr>
        <w:t>报告期内，本基金重点配置了先进制造、科技硬件、新能源汽车、医药等领域及低估值蓝筹等品种。</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2018</w:t>
      </w:r>
      <w:r w:rsidRPr="00414345">
        <w:rPr>
          <w:color w:val="000000"/>
          <w:sz w:val="24"/>
          <w:szCs w:val="24"/>
        </w:rPr>
        <w:t>年三季度，我们认为经济的短周期回落不可避免。在预期长端利率下行的过程中，一批经历充分调整、估值具备吸引力的优质成长股将有相对较好的表现。同时，以地产为代表的价值蓝筹已反映相当悲观的市场预期，具备配置的价值。本基金在二季度已加大优质成长股配置力度的基础上，将持续挖掘行业成长空间广阔、具备核心竞争力的公司，把握合适的配置窗口，力争为投资人获得持续稳定的超额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1.0415</w:t>
      </w:r>
      <w:r w:rsidRPr="00414345">
        <w:rPr>
          <w:color w:val="000000"/>
          <w:sz w:val="24"/>
          <w:szCs w:val="24"/>
        </w:rPr>
        <w:t>元，本报告期份额净值增长率为</w:t>
      </w:r>
      <w:r w:rsidRPr="00414345">
        <w:rPr>
          <w:color w:val="000000"/>
          <w:sz w:val="24"/>
          <w:szCs w:val="24"/>
        </w:rPr>
        <w:t>-11.35%</w:t>
      </w:r>
      <w:r w:rsidRPr="00414345">
        <w:rPr>
          <w:color w:val="000000"/>
          <w:sz w:val="24"/>
          <w:szCs w:val="24"/>
        </w:rPr>
        <w:t>，同期业绩比较基准增长率为</w:t>
      </w:r>
      <w:r w:rsidRPr="00414345">
        <w:rPr>
          <w:color w:val="000000"/>
          <w:sz w:val="24"/>
          <w:szCs w:val="24"/>
        </w:rPr>
        <w:t>-5.26%</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123,247,735.86</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85.69</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123,247,735.86</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85.69</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7,000,700.00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7,000,700.00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12,807,196.34</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8.90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775,373.83</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0.54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143,831,006.03</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108,137,902.21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76.01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71,559.85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6,666,475.20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8,371,798.60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123,247,735.86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86.63</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F35654">
        <w:trPr>
          <w:jc w:val="center"/>
        </w:trPr>
        <w:tc>
          <w:tcPr>
            <w:tcW w:w="855" w:type="dxa"/>
            <w:vAlign w:val="center"/>
          </w:tcPr>
          <w:p w:rsidR="00F35654" w:rsidRDefault="00AC2B45">
            <w:pPr>
              <w:jc w:val="center"/>
            </w:pPr>
            <w:r>
              <w:rPr>
                <w:color w:val="000000"/>
                <w:sz w:val="24"/>
                <w:szCs w:val="24"/>
              </w:rPr>
              <w:t>1</w:t>
            </w:r>
          </w:p>
        </w:tc>
        <w:tc>
          <w:tcPr>
            <w:tcW w:w="1334" w:type="dxa"/>
            <w:vAlign w:val="center"/>
          </w:tcPr>
          <w:p w:rsidR="00F35654" w:rsidRDefault="00AC2B45">
            <w:pPr>
              <w:jc w:val="center"/>
            </w:pPr>
            <w:r>
              <w:rPr>
                <w:color w:val="000000"/>
                <w:sz w:val="24"/>
                <w:szCs w:val="24"/>
              </w:rPr>
              <w:t>300014</w:t>
            </w:r>
          </w:p>
        </w:tc>
        <w:tc>
          <w:tcPr>
            <w:tcW w:w="1777" w:type="dxa"/>
            <w:vAlign w:val="center"/>
          </w:tcPr>
          <w:p w:rsidR="00F35654" w:rsidRDefault="00AC2B45">
            <w:pPr>
              <w:jc w:val="center"/>
            </w:pPr>
            <w:r>
              <w:rPr>
                <w:color w:val="000000"/>
                <w:sz w:val="24"/>
                <w:szCs w:val="24"/>
              </w:rPr>
              <w:t>亿纬锂能</w:t>
            </w:r>
          </w:p>
        </w:tc>
        <w:tc>
          <w:tcPr>
            <w:tcW w:w="1334" w:type="dxa"/>
            <w:vAlign w:val="center"/>
          </w:tcPr>
          <w:p w:rsidR="00F35654" w:rsidRDefault="00AC2B45">
            <w:pPr>
              <w:jc w:val="right"/>
            </w:pPr>
            <w:r>
              <w:rPr>
                <w:color w:val="000000"/>
                <w:sz w:val="24"/>
                <w:szCs w:val="24"/>
              </w:rPr>
              <w:t>801,872</w:t>
            </w:r>
          </w:p>
        </w:tc>
        <w:tc>
          <w:tcPr>
            <w:tcW w:w="1924" w:type="dxa"/>
            <w:vAlign w:val="center"/>
          </w:tcPr>
          <w:p w:rsidR="00F35654" w:rsidRDefault="00AC2B45">
            <w:pPr>
              <w:jc w:val="right"/>
            </w:pPr>
            <w:r>
              <w:rPr>
                <w:color w:val="000000"/>
                <w:sz w:val="24"/>
                <w:szCs w:val="24"/>
              </w:rPr>
              <w:t>14,112,947.20</w:t>
            </w:r>
          </w:p>
        </w:tc>
        <w:tc>
          <w:tcPr>
            <w:tcW w:w="1644" w:type="dxa"/>
            <w:vAlign w:val="center"/>
          </w:tcPr>
          <w:p w:rsidR="00F35654" w:rsidRDefault="00AC2B45">
            <w:pPr>
              <w:jc w:val="right"/>
            </w:pPr>
            <w:r>
              <w:rPr>
                <w:color w:val="000000"/>
                <w:sz w:val="24"/>
                <w:szCs w:val="24"/>
              </w:rPr>
              <w:t>9.92</w:t>
            </w:r>
          </w:p>
        </w:tc>
      </w:tr>
      <w:tr w:rsidR="00F35654">
        <w:trPr>
          <w:jc w:val="center"/>
        </w:trPr>
        <w:tc>
          <w:tcPr>
            <w:tcW w:w="855" w:type="dxa"/>
            <w:vAlign w:val="center"/>
          </w:tcPr>
          <w:p w:rsidR="00F35654" w:rsidRDefault="00AC2B45">
            <w:pPr>
              <w:jc w:val="center"/>
            </w:pPr>
            <w:r>
              <w:rPr>
                <w:color w:val="000000"/>
                <w:sz w:val="24"/>
                <w:szCs w:val="24"/>
              </w:rPr>
              <w:t>2</w:t>
            </w:r>
          </w:p>
        </w:tc>
        <w:tc>
          <w:tcPr>
            <w:tcW w:w="1334" w:type="dxa"/>
            <w:vAlign w:val="center"/>
          </w:tcPr>
          <w:p w:rsidR="00F35654" w:rsidRDefault="00AC2B45">
            <w:pPr>
              <w:jc w:val="center"/>
            </w:pPr>
            <w:r>
              <w:rPr>
                <w:color w:val="000000"/>
                <w:sz w:val="24"/>
                <w:szCs w:val="24"/>
              </w:rPr>
              <w:t>600217</w:t>
            </w:r>
          </w:p>
        </w:tc>
        <w:tc>
          <w:tcPr>
            <w:tcW w:w="1777" w:type="dxa"/>
            <w:vAlign w:val="center"/>
          </w:tcPr>
          <w:p w:rsidR="00F35654" w:rsidRDefault="00AC2B45">
            <w:pPr>
              <w:jc w:val="center"/>
            </w:pPr>
            <w:r>
              <w:rPr>
                <w:color w:val="000000"/>
                <w:sz w:val="24"/>
                <w:szCs w:val="24"/>
              </w:rPr>
              <w:t>中再资环</w:t>
            </w:r>
          </w:p>
        </w:tc>
        <w:tc>
          <w:tcPr>
            <w:tcW w:w="1334" w:type="dxa"/>
            <w:vAlign w:val="center"/>
          </w:tcPr>
          <w:p w:rsidR="00F35654" w:rsidRDefault="00AC2B45">
            <w:pPr>
              <w:jc w:val="right"/>
            </w:pPr>
            <w:r>
              <w:rPr>
                <w:color w:val="000000"/>
                <w:sz w:val="24"/>
                <w:szCs w:val="24"/>
              </w:rPr>
              <w:t>2,857,904</w:t>
            </w:r>
          </w:p>
        </w:tc>
        <w:tc>
          <w:tcPr>
            <w:tcW w:w="1924" w:type="dxa"/>
            <w:vAlign w:val="center"/>
          </w:tcPr>
          <w:p w:rsidR="00F35654" w:rsidRDefault="00AC2B45">
            <w:pPr>
              <w:jc w:val="right"/>
            </w:pPr>
            <w:r>
              <w:rPr>
                <w:color w:val="000000"/>
                <w:sz w:val="24"/>
                <w:szCs w:val="24"/>
              </w:rPr>
              <w:t>13,717,939.20</w:t>
            </w:r>
          </w:p>
        </w:tc>
        <w:tc>
          <w:tcPr>
            <w:tcW w:w="1644" w:type="dxa"/>
            <w:vAlign w:val="center"/>
          </w:tcPr>
          <w:p w:rsidR="00F35654" w:rsidRDefault="00AC2B45">
            <w:pPr>
              <w:jc w:val="right"/>
            </w:pPr>
            <w:r>
              <w:rPr>
                <w:color w:val="000000"/>
                <w:sz w:val="24"/>
                <w:szCs w:val="24"/>
              </w:rPr>
              <w:t>9.64</w:t>
            </w:r>
          </w:p>
        </w:tc>
      </w:tr>
      <w:tr w:rsidR="00F35654">
        <w:trPr>
          <w:jc w:val="center"/>
        </w:trPr>
        <w:tc>
          <w:tcPr>
            <w:tcW w:w="855" w:type="dxa"/>
            <w:vAlign w:val="center"/>
          </w:tcPr>
          <w:p w:rsidR="00F35654" w:rsidRDefault="00AC2B45">
            <w:pPr>
              <w:jc w:val="center"/>
            </w:pPr>
            <w:r>
              <w:rPr>
                <w:color w:val="000000"/>
                <w:sz w:val="24"/>
                <w:szCs w:val="24"/>
              </w:rPr>
              <w:t>3</w:t>
            </w:r>
          </w:p>
        </w:tc>
        <w:tc>
          <w:tcPr>
            <w:tcW w:w="1334" w:type="dxa"/>
            <w:vAlign w:val="center"/>
          </w:tcPr>
          <w:p w:rsidR="00F35654" w:rsidRDefault="00AC2B45">
            <w:pPr>
              <w:jc w:val="center"/>
            </w:pPr>
            <w:r>
              <w:rPr>
                <w:color w:val="000000"/>
                <w:sz w:val="24"/>
                <w:szCs w:val="24"/>
              </w:rPr>
              <w:t>601100</w:t>
            </w:r>
          </w:p>
        </w:tc>
        <w:tc>
          <w:tcPr>
            <w:tcW w:w="1777" w:type="dxa"/>
            <w:vAlign w:val="center"/>
          </w:tcPr>
          <w:p w:rsidR="00F35654" w:rsidRDefault="00AC2B45">
            <w:pPr>
              <w:jc w:val="center"/>
            </w:pPr>
            <w:r>
              <w:rPr>
                <w:color w:val="000000"/>
                <w:sz w:val="24"/>
                <w:szCs w:val="24"/>
              </w:rPr>
              <w:t>恒立液压</w:t>
            </w:r>
          </w:p>
        </w:tc>
        <w:tc>
          <w:tcPr>
            <w:tcW w:w="1334" w:type="dxa"/>
            <w:vAlign w:val="center"/>
          </w:tcPr>
          <w:p w:rsidR="00F35654" w:rsidRDefault="00AC2B45">
            <w:pPr>
              <w:jc w:val="right"/>
            </w:pPr>
            <w:r>
              <w:rPr>
                <w:color w:val="000000"/>
                <w:sz w:val="24"/>
                <w:szCs w:val="24"/>
              </w:rPr>
              <w:t>624,389</w:t>
            </w:r>
          </w:p>
        </w:tc>
        <w:tc>
          <w:tcPr>
            <w:tcW w:w="1924" w:type="dxa"/>
            <w:vAlign w:val="center"/>
          </w:tcPr>
          <w:p w:rsidR="00F35654" w:rsidRDefault="00AC2B45">
            <w:pPr>
              <w:jc w:val="right"/>
            </w:pPr>
            <w:r>
              <w:rPr>
                <w:color w:val="000000"/>
                <w:sz w:val="24"/>
                <w:szCs w:val="24"/>
              </w:rPr>
              <w:t>13,037,242.32</w:t>
            </w:r>
          </w:p>
        </w:tc>
        <w:tc>
          <w:tcPr>
            <w:tcW w:w="1644" w:type="dxa"/>
            <w:vAlign w:val="center"/>
          </w:tcPr>
          <w:p w:rsidR="00F35654" w:rsidRDefault="00AC2B45">
            <w:pPr>
              <w:jc w:val="right"/>
            </w:pPr>
            <w:r>
              <w:rPr>
                <w:color w:val="000000"/>
                <w:sz w:val="24"/>
                <w:szCs w:val="24"/>
              </w:rPr>
              <w:t>9.16</w:t>
            </w:r>
          </w:p>
        </w:tc>
      </w:tr>
      <w:tr w:rsidR="00F35654">
        <w:trPr>
          <w:jc w:val="center"/>
        </w:trPr>
        <w:tc>
          <w:tcPr>
            <w:tcW w:w="855" w:type="dxa"/>
            <w:vAlign w:val="center"/>
          </w:tcPr>
          <w:p w:rsidR="00F35654" w:rsidRDefault="00AC2B45">
            <w:pPr>
              <w:jc w:val="center"/>
            </w:pPr>
            <w:r>
              <w:rPr>
                <w:color w:val="000000"/>
                <w:sz w:val="24"/>
                <w:szCs w:val="24"/>
              </w:rPr>
              <w:t>4</w:t>
            </w:r>
          </w:p>
        </w:tc>
        <w:tc>
          <w:tcPr>
            <w:tcW w:w="1334" w:type="dxa"/>
            <w:vAlign w:val="center"/>
          </w:tcPr>
          <w:p w:rsidR="00F35654" w:rsidRDefault="00AC2B45">
            <w:pPr>
              <w:jc w:val="center"/>
            </w:pPr>
            <w:r>
              <w:rPr>
                <w:color w:val="000000"/>
                <w:sz w:val="24"/>
                <w:szCs w:val="24"/>
              </w:rPr>
              <w:t>000661</w:t>
            </w:r>
          </w:p>
        </w:tc>
        <w:tc>
          <w:tcPr>
            <w:tcW w:w="1777" w:type="dxa"/>
            <w:vAlign w:val="center"/>
          </w:tcPr>
          <w:p w:rsidR="00F35654" w:rsidRDefault="00AC2B45">
            <w:pPr>
              <w:jc w:val="center"/>
            </w:pPr>
            <w:r>
              <w:rPr>
                <w:color w:val="000000"/>
                <w:sz w:val="24"/>
                <w:szCs w:val="24"/>
              </w:rPr>
              <w:t>长春高新</w:t>
            </w:r>
          </w:p>
        </w:tc>
        <w:tc>
          <w:tcPr>
            <w:tcW w:w="1334" w:type="dxa"/>
            <w:vAlign w:val="center"/>
          </w:tcPr>
          <w:p w:rsidR="00F35654" w:rsidRDefault="00AC2B45">
            <w:pPr>
              <w:jc w:val="right"/>
            </w:pPr>
            <w:r>
              <w:rPr>
                <w:color w:val="000000"/>
                <w:sz w:val="24"/>
                <w:szCs w:val="24"/>
              </w:rPr>
              <w:t>53,429</w:t>
            </w:r>
          </w:p>
        </w:tc>
        <w:tc>
          <w:tcPr>
            <w:tcW w:w="1924" w:type="dxa"/>
            <w:vAlign w:val="center"/>
          </w:tcPr>
          <w:p w:rsidR="00F35654" w:rsidRDefault="00AC2B45">
            <w:pPr>
              <w:jc w:val="right"/>
            </w:pPr>
            <w:r>
              <w:rPr>
                <w:color w:val="000000"/>
                <w:sz w:val="24"/>
                <w:szCs w:val="24"/>
              </w:rPr>
              <w:t>12,165,783.30</w:t>
            </w:r>
          </w:p>
        </w:tc>
        <w:tc>
          <w:tcPr>
            <w:tcW w:w="1644" w:type="dxa"/>
            <w:vAlign w:val="center"/>
          </w:tcPr>
          <w:p w:rsidR="00F35654" w:rsidRDefault="00AC2B45">
            <w:pPr>
              <w:jc w:val="right"/>
            </w:pPr>
            <w:r>
              <w:rPr>
                <w:color w:val="000000"/>
                <w:sz w:val="24"/>
                <w:szCs w:val="24"/>
              </w:rPr>
              <w:t>8.55</w:t>
            </w:r>
          </w:p>
        </w:tc>
      </w:tr>
      <w:tr w:rsidR="00F35654">
        <w:trPr>
          <w:jc w:val="center"/>
        </w:trPr>
        <w:tc>
          <w:tcPr>
            <w:tcW w:w="855" w:type="dxa"/>
            <w:vAlign w:val="center"/>
          </w:tcPr>
          <w:p w:rsidR="00F35654" w:rsidRDefault="00AC2B45">
            <w:pPr>
              <w:jc w:val="center"/>
            </w:pPr>
            <w:r>
              <w:rPr>
                <w:color w:val="000000"/>
                <w:sz w:val="24"/>
                <w:szCs w:val="24"/>
              </w:rPr>
              <w:t>5</w:t>
            </w:r>
          </w:p>
        </w:tc>
        <w:tc>
          <w:tcPr>
            <w:tcW w:w="1334" w:type="dxa"/>
            <w:vAlign w:val="center"/>
          </w:tcPr>
          <w:p w:rsidR="00F35654" w:rsidRDefault="00AC2B45">
            <w:pPr>
              <w:jc w:val="center"/>
            </w:pPr>
            <w:r>
              <w:rPr>
                <w:color w:val="000000"/>
                <w:sz w:val="24"/>
                <w:szCs w:val="24"/>
              </w:rPr>
              <w:t>300602</w:t>
            </w:r>
          </w:p>
        </w:tc>
        <w:tc>
          <w:tcPr>
            <w:tcW w:w="1777" w:type="dxa"/>
            <w:vAlign w:val="center"/>
          </w:tcPr>
          <w:p w:rsidR="00F35654" w:rsidRDefault="00AC2B45">
            <w:pPr>
              <w:jc w:val="center"/>
            </w:pPr>
            <w:r>
              <w:rPr>
                <w:color w:val="000000"/>
                <w:sz w:val="24"/>
                <w:szCs w:val="24"/>
              </w:rPr>
              <w:t>飞荣达</w:t>
            </w:r>
          </w:p>
        </w:tc>
        <w:tc>
          <w:tcPr>
            <w:tcW w:w="1334" w:type="dxa"/>
            <w:vAlign w:val="center"/>
          </w:tcPr>
          <w:p w:rsidR="00F35654" w:rsidRDefault="00AC2B45">
            <w:pPr>
              <w:jc w:val="right"/>
            </w:pPr>
            <w:r>
              <w:rPr>
                <w:color w:val="000000"/>
                <w:sz w:val="24"/>
                <w:szCs w:val="24"/>
              </w:rPr>
              <w:t>378,654</w:t>
            </w:r>
          </w:p>
        </w:tc>
        <w:tc>
          <w:tcPr>
            <w:tcW w:w="1924" w:type="dxa"/>
            <w:vAlign w:val="center"/>
          </w:tcPr>
          <w:p w:rsidR="00F35654" w:rsidRDefault="00AC2B45">
            <w:pPr>
              <w:jc w:val="right"/>
            </w:pPr>
            <w:r>
              <w:rPr>
                <w:color w:val="000000"/>
                <w:sz w:val="24"/>
                <w:szCs w:val="24"/>
              </w:rPr>
              <w:t>10,784,065.92</w:t>
            </w:r>
          </w:p>
        </w:tc>
        <w:tc>
          <w:tcPr>
            <w:tcW w:w="1644" w:type="dxa"/>
            <w:vAlign w:val="center"/>
          </w:tcPr>
          <w:p w:rsidR="00F35654" w:rsidRDefault="00AC2B45">
            <w:pPr>
              <w:jc w:val="right"/>
            </w:pPr>
            <w:r>
              <w:rPr>
                <w:color w:val="000000"/>
                <w:sz w:val="24"/>
                <w:szCs w:val="24"/>
              </w:rPr>
              <w:t>7.58</w:t>
            </w:r>
          </w:p>
        </w:tc>
      </w:tr>
      <w:tr w:rsidR="00F35654">
        <w:trPr>
          <w:jc w:val="center"/>
        </w:trPr>
        <w:tc>
          <w:tcPr>
            <w:tcW w:w="855" w:type="dxa"/>
            <w:vAlign w:val="center"/>
          </w:tcPr>
          <w:p w:rsidR="00F35654" w:rsidRDefault="00AC2B45">
            <w:pPr>
              <w:jc w:val="center"/>
            </w:pPr>
            <w:r>
              <w:rPr>
                <w:color w:val="000000"/>
                <w:sz w:val="24"/>
                <w:szCs w:val="24"/>
              </w:rPr>
              <w:t>6</w:t>
            </w:r>
          </w:p>
        </w:tc>
        <w:tc>
          <w:tcPr>
            <w:tcW w:w="1334" w:type="dxa"/>
            <w:vAlign w:val="center"/>
          </w:tcPr>
          <w:p w:rsidR="00F35654" w:rsidRDefault="00AC2B45">
            <w:pPr>
              <w:jc w:val="center"/>
            </w:pPr>
            <w:r>
              <w:rPr>
                <w:color w:val="000000"/>
                <w:sz w:val="24"/>
                <w:szCs w:val="24"/>
              </w:rPr>
              <w:t>600048</w:t>
            </w:r>
          </w:p>
        </w:tc>
        <w:tc>
          <w:tcPr>
            <w:tcW w:w="1777" w:type="dxa"/>
            <w:vAlign w:val="center"/>
          </w:tcPr>
          <w:p w:rsidR="00F35654" w:rsidRDefault="00AC2B45">
            <w:pPr>
              <w:jc w:val="center"/>
            </w:pPr>
            <w:r>
              <w:rPr>
                <w:color w:val="000000"/>
                <w:sz w:val="24"/>
                <w:szCs w:val="24"/>
              </w:rPr>
              <w:t>保利地产</w:t>
            </w:r>
          </w:p>
        </w:tc>
        <w:tc>
          <w:tcPr>
            <w:tcW w:w="1334" w:type="dxa"/>
            <w:vAlign w:val="center"/>
          </w:tcPr>
          <w:p w:rsidR="00F35654" w:rsidRDefault="00AC2B45">
            <w:pPr>
              <w:jc w:val="right"/>
            </w:pPr>
            <w:r>
              <w:rPr>
                <w:color w:val="000000"/>
                <w:sz w:val="24"/>
                <w:szCs w:val="24"/>
              </w:rPr>
              <w:t>686,213</w:t>
            </w:r>
          </w:p>
        </w:tc>
        <w:tc>
          <w:tcPr>
            <w:tcW w:w="1924" w:type="dxa"/>
            <w:vAlign w:val="center"/>
          </w:tcPr>
          <w:p w:rsidR="00F35654" w:rsidRDefault="00AC2B45">
            <w:pPr>
              <w:jc w:val="right"/>
            </w:pPr>
            <w:r>
              <w:rPr>
                <w:color w:val="000000"/>
                <w:sz w:val="24"/>
                <w:szCs w:val="24"/>
              </w:rPr>
              <w:t>8,371,798.60</w:t>
            </w:r>
          </w:p>
        </w:tc>
        <w:tc>
          <w:tcPr>
            <w:tcW w:w="1644" w:type="dxa"/>
            <w:vAlign w:val="center"/>
          </w:tcPr>
          <w:p w:rsidR="00F35654" w:rsidRDefault="00AC2B45">
            <w:pPr>
              <w:jc w:val="right"/>
            </w:pPr>
            <w:r>
              <w:rPr>
                <w:color w:val="000000"/>
                <w:sz w:val="24"/>
                <w:szCs w:val="24"/>
              </w:rPr>
              <w:t>5.88</w:t>
            </w:r>
          </w:p>
        </w:tc>
      </w:tr>
      <w:tr w:rsidR="00F35654">
        <w:trPr>
          <w:jc w:val="center"/>
        </w:trPr>
        <w:tc>
          <w:tcPr>
            <w:tcW w:w="855" w:type="dxa"/>
            <w:vAlign w:val="center"/>
          </w:tcPr>
          <w:p w:rsidR="00F35654" w:rsidRDefault="00AC2B45">
            <w:pPr>
              <w:jc w:val="center"/>
            </w:pPr>
            <w:r>
              <w:rPr>
                <w:color w:val="000000"/>
                <w:sz w:val="24"/>
                <w:szCs w:val="24"/>
              </w:rPr>
              <w:t>7</w:t>
            </w:r>
          </w:p>
        </w:tc>
        <w:tc>
          <w:tcPr>
            <w:tcW w:w="1334" w:type="dxa"/>
            <w:vAlign w:val="center"/>
          </w:tcPr>
          <w:p w:rsidR="00F35654" w:rsidRDefault="00AC2B45">
            <w:pPr>
              <w:jc w:val="center"/>
            </w:pPr>
            <w:r>
              <w:rPr>
                <w:color w:val="000000"/>
                <w:sz w:val="24"/>
                <w:szCs w:val="24"/>
              </w:rPr>
              <w:t>601231</w:t>
            </w:r>
          </w:p>
        </w:tc>
        <w:tc>
          <w:tcPr>
            <w:tcW w:w="1777" w:type="dxa"/>
            <w:vAlign w:val="center"/>
          </w:tcPr>
          <w:p w:rsidR="00F35654" w:rsidRDefault="00AC2B45">
            <w:pPr>
              <w:jc w:val="center"/>
            </w:pPr>
            <w:r>
              <w:rPr>
                <w:color w:val="000000"/>
                <w:sz w:val="24"/>
                <w:szCs w:val="24"/>
              </w:rPr>
              <w:t>环旭电子</w:t>
            </w:r>
          </w:p>
        </w:tc>
        <w:tc>
          <w:tcPr>
            <w:tcW w:w="1334" w:type="dxa"/>
            <w:vAlign w:val="center"/>
          </w:tcPr>
          <w:p w:rsidR="00F35654" w:rsidRDefault="00AC2B45">
            <w:pPr>
              <w:jc w:val="right"/>
            </w:pPr>
            <w:r>
              <w:rPr>
                <w:color w:val="000000"/>
                <w:sz w:val="24"/>
                <w:szCs w:val="24"/>
              </w:rPr>
              <w:t>862,200</w:t>
            </w:r>
          </w:p>
        </w:tc>
        <w:tc>
          <w:tcPr>
            <w:tcW w:w="1924" w:type="dxa"/>
            <w:vAlign w:val="center"/>
          </w:tcPr>
          <w:p w:rsidR="00F35654" w:rsidRDefault="00AC2B45">
            <w:pPr>
              <w:jc w:val="right"/>
            </w:pPr>
            <w:r>
              <w:rPr>
                <w:color w:val="000000"/>
                <w:sz w:val="24"/>
                <w:szCs w:val="24"/>
              </w:rPr>
              <w:t>7,820,154.00</w:t>
            </w:r>
          </w:p>
        </w:tc>
        <w:tc>
          <w:tcPr>
            <w:tcW w:w="1644" w:type="dxa"/>
            <w:vAlign w:val="center"/>
          </w:tcPr>
          <w:p w:rsidR="00F35654" w:rsidRDefault="00AC2B45">
            <w:pPr>
              <w:jc w:val="right"/>
            </w:pPr>
            <w:r>
              <w:rPr>
                <w:color w:val="000000"/>
                <w:sz w:val="24"/>
                <w:szCs w:val="24"/>
              </w:rPr>
              <w:t>5.50</w:t>
            </w:r>
          </w:p>
        </w:tc>
      </w:tr>
      <w:tr w:rsidR="00F35654">
        <w:trPr>
          <w:jc w:val="center"/>
        </w:trPr>
        <w:tc>
          <w:tcPr>
            <w:tcW w:w="855" w:type="dxa"/>
            <w:vAlign w:val="center"/>
          </w:tcPr>
          <w:p w:rsidR="00F35654" w:rsidRDefault="00AC2B45">
            <w:pPr>
              <w:jc w:val="center"/>
            </w:pPr>
            <w:r>
              <w:rPr>
                <w:color w:val="000000"/>
                <w:sz w:val="24"/>
                <w:szCs w:val="24"/>
              </w:rPr>
              <w:t>8</w:t>
            </w:r>
          </w:p>
        </w:tc>
        <w:tc>
          <w:tcPr>
            <w:tcW w:w="1334" w:type="dxa"/>
            <w:vAlign w:val="center"/>
          </w:tcPr>
          <w:p w:rsidR="00F35654" w:rsidRDefault="00AC2B45">
            <w:pPr>
              <w:jc w:val="center"/>
            </w:pPr>
            <w:r>
              <w:rPr>
                <w:color w:val="000000"/>
                <w:sz w:val="24"/>
                <w:szCs w:val="24"/>
              </w:rPr>
              <w:t>603005</w:t>
            </w:r>
          </w:p>
        </w:tc>
        <w:tc>
          <w:tcPr>
            <w:tcW w:w="1777" w:type="dxa"/>
            <w:vAlign w:val="center"/>
          </w:tcPr>
          <w:p w:rsidR="00F35654" w:rsidRDefault="00AC2B45">
            <w:pPr>
              <w:jc w:val="center"/>
            </w:pPr>
            <w:r>
              <w:rPr>
                <w:color w:val="000000"/>
                <w:sz w:val="24"/>
                <w:szCs w:val="24"/>
              </w:rPr>
              <w:t>晶方科技</w:t>
            </w:r>
          </w:p>
        </w:tc>
        <w:tc>
          <w:tcPr>
            <w:tcW w:w="1334" w:type="dxa"/>
            <w:vAlign w:val="center"/>
          </w:tcPr>
          <w:p w:rsidR="00F35654" w:rsidRDefault="00AC2B45">
            <w:pPr>
              <w:jc w:val="right"/>
            </w:pPr>
            <w:r>
              <w:rPr>
                <w:color w:val="000000"/>
                <w:sz w:val="24"/>
                <w:szCs w:val="24"/>
              </w:rPr>
              <w:t>351,600</w:t>
            </w:r>
          </w:p>
        </w:tc>
        <w:tc>
          <w:tcPr>
            <w:tcW w:w="1924" w:type="dxa"/>
            <w:vAlign w:val="center"/>
          </w:tcPr>
          <w:p w:rsidR="00F35654" w:rsidRDefault="00AC2B45">
            <w:pPr>
              <w:jc w:val="right"/>
            </w:pPr>
            <w:r>
              <w:rPr>
                <w:color w:val="000000"/>
                <w:sz w:val="24"/>
                <w:szCs w:val="24"/>
              </w:rPr>
              <w:t>7,742,232.00</w:t>
            </w:r>
          </w:p>
        </w:tc>
        <w:tc>
          <w:tcPr>
            <w:tcW w:w="1644" w:type="dxa"/>
            <w:vAlign w:val="center"/>
          </w:tcPr>
          <w:p w:rsidR="00F35654" w:rsidRDefault="00AC2B45">
            <w:pPr>
              <w:jc w:val="right"/>
            </w:pPr>
            <w:r>
              <w:rPr>
                <w:color w:val="000000"/>
                <w:sz w:val="24"/>
                <w:szCs w:val="24"/>
              </w:rPr>
              <w:t>5.44</w:t>
            </w:r>
          </w:p>
        </w:tc>
      </w:tr>
      <w:tr w:rsidR="00F35654">
        <w:trPr>
          <w:jc w:val="center"/>
        </w:trPr>
        <w:tc>
          <w:tcPr>
            <w:tcW w:w="855" w:type="dxa"/>
            <w:vAlign w:val="center"/>
          </w:tcPr>
          <w:p w:rsidR="00F35654" w:rsidRDefault="00AC2B45">
            <w:pPr>
              <w:jc w:val="center"/>
            </w:pPr>
            <w:r>
              <w:rPr>
                <w:color w:val="000000"/>
                <w:sz w:val="24"/>
                <w:szCs w:val="24"/>
              </w:rPr>
              <w:t>9</w:t>
            </w:r>
          </w:p>
        </w:tc>
        <w:tc>
          <w:tcPr>
            <w:tcW w:w="1334" w:type="dxa"/>
            <w:vAlign w:val="center"/>
          </w:tcPr>
          <w:p w:rsidR="00F35654" w:rsidRDefault="00AC2B45">
            <w:pPr>
              <w:jc w:val="center"/>
            </w:pPr>
            <w:r>
              <w:rPr>
                <w:color w:val="000000"/>
                <w:sz w:val="24"/>
                <w:szCs w:val="24"/>
              </w:rPr>
              <w:t>600690</w:t>
            </w:r>
          </w:p>
        </w:tc>
        <w:tc>
          <w:tcPr>
            <w:tcW w:w="1777" w:type="dxa"/>
            <w:vAlign w:val="center"/>
          </w:tcPr>
          <w:p w:rsidR="00F35654" w:rsidRDefault="00AC2B45">
            <w:pPr>
              <w:jc w:val="center"/>
            </w:pPr>
            <w:r>
              <w:rPr>
                <w:color w:val="000000"/>
                <w:sz w:val="24"/>
                <w:szCs w:val="24"/>
              </w:rPr>
              <w:t>青岛海尔</w:t>
            </w:r>
          </w:p>
        </w:tc>
        <w:tc>
          <w:tcPr>
            <w:tcW w:w="1334" w:type="dxa"/>
            <w:vAlign w:val="center"/>
          </w:tcPr>
          <w:p w:rsidR="00F35654" w:rsidRDefault="00AC2B45">
            <w:pPr>
              <w:jc w:val="right"/>
            </w:pPr>
            <w:r>
              <w:rPr>
                <w:color w:val="000000"/>
                <w:sz w:val="24"/>
                <w:szCs w:val="24"/>
              </w:rPr>
              <w:t>401,917</w:t>
            </w:r>
          </w:p>
        </w:tc>
        <w:tc>
          <w:tcPr>
            <w:tcW w:w="1924" w:type="dxa"/>
            <w:vAlign w:val="center"/>
          </w:tcPr>
          <w:p w:rsidR="00F35654" w:rsidRDefault="00AC2B45">
            <w:pPr>
              <w:jc w:val="right"/>
            </w:pPr>
            <w:r>
              <w:rPr>
                <w:color w:val="000000"/>
                <w:sz w:val="24"/>
                <w:szCs w:val="24"/>
              </w:rPr>
              <w:t>7,740,921.42</w:t>
            </w:r>
          </w:p>
        </w:tc>
        <w:tc>
          <w:tcPr>
            <w:tcW w:w="1644" w:type="dxa"/>
            <w:vAlign w:val="center"/>
          </w:tcPr>
          <w:p w:rsidR="00F35654" w:rsidRDefault="00AC2B45">
            <w:pPr>
              <w:jc w:val="right"/>
            </w:pPr>
            <w:r>
              <w:rPr>
                <w:color w:val="000000"/>
                <w:sz w:val="24"/>
                <w:szCs w:val="24"/>
              </w:rPr>
              <w:t>5.44</w:t>
            </w:r>
          </w:p>
        </w:tc>
      </w:tr>
      <w:tr w:rsidR="00F35654">
        <w:trPr>
          <w:jc w:val="center"/>
        </w:trPr>
        <w:tc>
          <w:tcPr>
            <w:tcW w:w="855" w:type="dxa"/>
            <w:vAlign w:val="center"/>
          </w:tcPr>
          <w:p w:rsidR="00F35654" w:rsidRDefault="00AC2B45">
            <w:pPr>
              <w:jc w:val="center"/>
            </w:pPr>
            <w:r>
              <w:rPr>
                <w:color w:val="000000"/>
                <w:sz w:val="24"/>
                <w:szCs w:val="24"/>
              </w:rPr>
              <w:t>10</w:t>
            </w:r>
          </w:p>
        </w:tc>
        <w:tc>
          <w:tcPr>
            <w:tcW w:w="1334" w:type="dxa"/>
            <w:vAlign w:val="center"/>
          </w:tcPr>
          <w:p w:rsidR="00F35654" w:rsidRDefault="00AC2B45">
            <w:pPr>
              <w:jc w:val="center"/>
            </w:pPr>
            <w:r>
              <w:rPr>
                <w:color w:val="000000"/>
                <w:sz w:val="24"/>
                <w:szCs w:val="24"/>
              </w:rPr>
              <w:t>002709</w:t>
            </w:r>
          </w:p>
        </w:tc>
        <w:tc>
          <w:tcPr>
            <w:tcW w:w="1777" w:type="dxa"/>
            <w:vAlign w:val="center"/>
          </w:tcPr>
          <w:p w:rsidR="00F35654" w:rsidRDefault="00AC2B45">
            <w:pPr>
              <w:jc w:val="center"/>
            </w:pPr>
            <w:r>
              <w:rPr>
                <w:color w:val="000000"/>
                <w:sz w:val="24"/>
                <w:szCs w:val="24"/>
              </w:rPr>
              <w:t>天赐材料</w:t>
            </w:r>
          </w:p>
        </w:tc>
        <w:tc>
          <w:tcPr>
            <w:tcW w:w="1334" w:type="dxa"/>
            <w:vAlign w:val="center"/>
          </w:tcPr>
          <w:p w:rsidR="00F35654" w:rsidRDefault="00AC2B45">
            <w:pPr>
              <w:jc w:val="right"/>
            </w:pPr>
            <w:r>
              <w:rPr>
                <w:color w:val="000000"/>
                <w:sz w:val="24"/>
                <w:szCs w:val="24"/>
              </w:rPr>
              <w:t>180,930</w:t>
            </w:r>
          </w:p>
        </w:tc>
        <w:tc>
          <w:tcPr>
            <w:tcW w:w="1924" w:type="dxa"/>
            <w:vAlign w:val="center"/>
          </w:tcPr>
          <w:p w:rsidR="00F35654" w:rsidRDefault="00AC2B45">
            <w:pPr>
              <w:jc w:val="right"/>
            </w:pPr>
            <w:r>
              <w:rPr>
                <w:color w:val="000000"/>
                <w:sz w:val="24"/>
                <w:szCs w:val="24"/>
              </w:rPr>
              <w:t>6,973,042.20</w:t>
            </w:r>
          </w:p>
        </w:tc>
        <w:tc>
          <w:tcPr>
            <w:tcW w:w="1644" w:type="dxa"/>
            <w:vAlign w:val="center"/>
          </w:tcPr>
          <w:p w:rsidR="00F35654" w:rsidRDefault="00AC2B45">
            <w:pPr>
              <w:jc w:val="right"/>
            </w:pPr>
            <w:r>
              <w:rPr>
                <w:color w:val="000000"/>
                <w:sz w:val="24"/>
                <w:szCs w:val="24"/>
              </w:rPr>
              <w:t>4.90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7,000,700.00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7,000,700.00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4.92</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F35654">
        <w:trPr>
          <w:jc w:val="center"/>
        </w:trPr>
        <w:tc>
          <w:tcPr>
            <w:tcW w:w="850" w:type="dxa"/>
            <w:vAlign w:val="center"/>
          </w:tcPr>
          <w:p w:rsidR="00F35654" w:rsidRDefault="00AC2B45">
            <w:pPr>
              <w:jc w:val="center"/>
            </w:pPr>
            <w:r>
              <w:rPr>
                <w:color w:val="000000"/>
                <w:sz w:val="24"/>
                <w:szCs w:val="24"/>
              </w:rPr>
              <w:t>1</w:t>
            </w:r>
          </w:p>
        </w:tc>
        <w:tc>
          <w:tcPr>
            <w:tcW w:w="1475" w:type="dxa"/>
            <w:vAlign w:val="center"/>
          </w:tcPr>
          <w:p w:rsidR="00F35654" w:rsidRDefault="00AC2B45">
            <w:pPr>
              <w:jc w:val="center"/>
            </w:pPr>
            <w:r>
              <w:rPr>
                <w:color w:val="000000"/>
                <w:sz w:val="24"/>
                <w:szCs w:val="24"/>
              </w:rPr>
              <w:t>019571</w:t>
            </w:r>
          </w:p>
        </w:tc>
        <w:tc>
          <w:tcPr>
            <w:tcW w:w="1769" w:type="dxa"/>
            <w:vAlign w:val="center"/>
          </w:tcPr>
          <w:p w:rsidR="00F35654" w:rsidRDefault="00AC2B45">
            <w:pPr>
              <w:jc w:val="center"/>
            </w:pPr>
            <w:r>
              <w:rPr>
                <w:color w:val="000000"/>
                <w:sz w:val="24"/>
                <w:szCs w:val="24"/>
              </w:rPr>
              <w:t>17</w:t>
            </w:r>
            <w:r>
              <w:rPr>
                <w:color w:val="000000"/>
                <w:sz w:val="24"/>
                <w:szCs w:val="24"/>
              </w:rPr>
              <w:t>国债</w:t>
            </w:r>
            <w:r>
              <w:rPr>
                <w:color w:val="000000"/>
                <w:sz w:val="24"/>
                <w:szCs w:val="24"/>
              </w:rPr>
              <w:t>17</w:t>
            </w:r>
          </w:p>
        </w:tc>
        <w:tc>
          <w:tcPr>
            <w:tcW w:w="1387" w:type="dxa"/>
            <w:vAlign w:val="center"/>
          </w:tcPr>
          <w:p w:rsidR="00F35654" w:rsidRDefault="00AC2B45">
            <w:pPr>
              <w:jc w:val="right"/>
            </w:pPr>
            <w:r>
              <w:rPr>
                <w:color w:val="000000"/>
                <w:sz w:val="24"/>
                <w:szCs w:val="24"/>
              </w:rPr>
              <w:t>70,000</w:t>
            </w:r>
          </w:p>
        </w:tc>
        <w:tc>
          <w:tcPr>
            <w:tcW w:w="2150" w:type="dxa"/>
            <w:vAlign w:val="center"/>
          </w:tcPr>
          <w:p w:rsidR="00F35654" w:rsidRDefault="00AC2B45">
            <w:pPr>
              <w:jc w:val="right"/>
            </w:pPr>
            <w:r>
              <w:rPr>
                <w:color w:val="000000"/>
                <w:sz w:val="24"/>
                <w:szCs w:val="24"/>
              </w:rPr>
              <w:t>7,000,700.00</w:t>
            </w:r>
          </w:p>
        </w:tc>
        <w:tc>
          <w:tcPr>
            <w:tcW w:w="1237" w:type="dxa"/>
            <w:vAlign w:val="center"/>
          </w:tcPr>
          <w:p w:rsidR="00F35654" w:rsidRDefault="00AC2B45">
            <w:pPr>
              <w:jc w:val="right"/>
            </w:pPr>
            <w:r>
              <w:rPr>
                <w:color w:val="000000"/>
                <w:sz w:val="24"/>
                <w:szCs w:val="24"/>
              </w:rPr>
              <w:t>4.92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lastRenderedPageBreak/>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524,875.09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213,997.98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36,500.76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775,373.83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F35654">
        <w:trPr>
          <w:jc w:val="center"/>
        </w:trPr>
        <w:tc>
          <w:tcPr>
            <w:tcW w:w="1129" w:type="dxa"/>
            <w:vAlign w:val="center"/>
          </w:tcPr>
          <w:p w:rsidR="00F35654" w:rsidRDefault="00AC2B45">
            <w:pPr>
              <w:jc w:val="center"/>
            </w:pPr>
            <w:r>
              <w:rPr>
                <w:color w:val="000000"/>
                <w:sz w:val="24"/>
                <w:szCs w:val="24"/>
              </w:rPr>
              <w:t>1</w:t>
            </w:r>
          </w:p>
        </w:tc>
        <w:tc>
          <w:tcPr>
            <w:tcW w:w="1356" w:type="dxa"/>
            <w:vAlign w:val="center"/>
          </w:tcPr>
          <w:p w:rsidR="00F35654" w:rsidRDefault="00AC2B45">
            <w:pPr>
              <w:jc w:val="center"/>
            </w:pPr>
            <w:r>
              <w:rPr>
                <w:color w:val="000000"/>
                <w:sz w:val="24"/>
                <w:szCs w:val="24"/>
              </w:rPr>
              <w:t>600217</w:t>
            </w:r>
          </w:p>
        </w:tc>
        <w:tc>
          <w:tcPr>
            <w:tcW w:w="1355" w:type="dxa"/>
            <w:vAlign w:val="center"/>
          </w:tcPr>
          <w:p w:rsidR="00F35654" w:rsidRDefault="00AC2B45">
            <w:pPr>
              <w:jc w:val="center"/>
            </w:pPr>
            <w:r>
              <w:rPr>
                <w:color w:val="000000"/>
                <w:sz w:val="24"/>
                <w:szCs w:val="24"/>
              </w:rPr>
              <w:t>中再资环</w:t>
            </w:r>
          </w:p>
        </w:tc>
        <w:tc>
          <w:tcPr>
            <w:tcW w:w="1880" w:type="dxa"/>
            <w:vAlign w:val="center"/>
          </w:tcPr>
          <w:p w:rsidR="00F35654" w:rsidRDefault="00AC2B45">
            <w:pPr>
              <w:jc w:val="right"/>
            </w:pPr>
            <w:r>
              <w:rPr>
                <w:color w:val="000000"/>
                <w:sz w:val="24"/>
                <w:szCs w:val="24"/>
              </w:rPr>
              <w:t>13,717,939.20</w:t>
            </w:r>
          </w:p>
        </w:tc>
        <w:tc>
          <w:tcPr>
            <w:tcW w:w="1724" w:type="dxa"/>
            <w:vAlign w:val="center"/>
          </w:tcPr>
          <w:p w:rsidR="00F35654" w:rsidRDefault="00AC2B45">
            <w:pPr>
              <w:jc w:val="right"/>
            </w:pPr>
            <w:r>
              <w:rPr>
                <w:color w:val="000000"/>
                <w:sz w:val="24"/>
                <w:szCs w:val="24"/>
              </w:rPr>
              <w:t>9.64</w:t>
            </w:r>
          </w:p>
        </w:tc>
        <w:tc>
          <w:tcPr>
            <w:tcW w:w="1424" w:type="dxa"/>
            <w:vAlign w:val="center"/>
          </w:tcPr>
          <w:p w:rsidR="00F35654" w:rsidRDefault="00AC2B45">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lastRenderedPageBreak/>
        <w:t>本基金本报告期内未交易或持有基金。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本报告期持有的基金发生的重大影响事件</w:t>
      </w:r>
    </w:p>
    <w:p w:rsidR="001F3E2A" w:rsidRPr="00414345" w:rsidRDefault="00EC56B6" w:rsidP="00C15CAC">
      <w:pPr>
        <w:spacing w:before="29" w:line="288" w:lineRule="auto"/>
        <w:ind w:firstLineChars="200" w:firstLine="480"/>
        <w:rPr>
          <w:color w:val="000000"/>
          <w:sz w:val="24"/>
          <w:szCs w:val="24"/>
        </w:rPr>
      </w:pPr>
      <w:r w:rsidRPr="00575270">
        <w:rPr>
          <w:rFonts w:eastAsiaTheme="minorEastAsia" w:hint="eastAsia"/>
          <w:color w:val="000000" w:themeColor="text1"/>
          <w:sz w:val="24"/>
          <w:szCs w:val="24"/>
        </w:rPr>
        <w:t>无。</w:t>
      </w:r>
      <w:bookmarkStart w:id="0" w:name="_GoBack"/>
      <w:bookmarkEnd w:id="0"/>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548,989,719.62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3,303,133.17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415,701,519.18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136,591,333.61</w:t>
            </w:r>
          </w:p>
        </w:tc>
      </w:tr>
    </w:tbl>
    <w:p w:rsidR="00F35654" w:rsidRDefault="00AC2B4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、如果本报告期间发生转换入、份额类别调整、红利再投业务，则总申购份额中包含该业务；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、如果本报告期间发生转换出、份额类别调整业务，则总赎回份额中包含该业务。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F35654">
        <w:tc>
          <w:tcPr>
            <w:tcW w:w="993" w:type="dxa"/>
          </w:tcPr>
          <w:p w:rsidR="00F35654" w:rsidRDefault="00F35654"/>
          <w:p w:rsidR="00F35654" w:rsidRDefault="00AC2B45">
            <w:r>
              <w:rPr>
                <w:rFonts w:ascii="宋体" w:hAnsi="宋体" w:hint="eastAsia"/>
                <w:bCs/>
                <w:color w:val="000000"/>
                <w:kern w:val="0"/>
              </w:rPr>
              <w:t>机构</w:t>
            </w:r>
          </w:p>
        </w:tc>
        <w:tc>
          <w:tcPr>
            <w:tcW w:w="992" w:type="dxa"/>
            <w:vAlign w:val="center"/>
          </w:tcPr>
          <w:p w:rsidR="00F35654" w:rsidRDefault="00AC2B45">
            <w:pPr>
              <w:jc w:val="center"/>
            </w:pPr>
            <w:r>
              <w:rPr>
                <w:rFonts w:ascii="宋体" w:hAnsi="宋体"/>
                <w:color w:val="000000"/>
                <w:kern w:val="0"/>
              </w:rPr>
              <w:t>1</w:t>
            </w:r>
          </w:p>
        </w:tc>
        <w:tc>
          <w:tcPr>
            <w:tcW w:w="1843" w:type="dxa"/>
            <w:vAlign w:val="center"/>
          </w:tcPr>
          <w:p w:rsidR="00F35654" w:rsidRDefault="00AC2B45">
            <w:pPr>
              <w:jc w:val="center"/>
            </w:pPr>
            <w:r>
              <w:rPr>
                <w:rFonts w:ascii="宋体" w:hAnsi="宋体"/>
                <w:color w:val="000000"/>
                <w:kern w:val="0"/>
              </w:rPr>
              <w:t>2018/4/1-2018/6/30</w:t>
            </w:r>
          </w:p>
        </w:tc>
        <w:tc>
          <w:tcPr>
            <w:tcW w:w="851" w:type="dxa"/>
            <w:vAlign w:val="center"/>
          </w:tcPr>
          <w:p w:rsidR="00F35654" w:rsidRDefault="00AC2B45">
            <w:pPr>
              <w:jc w:val="center"/>
            </w:pPr>
            <w:r>
              <w:rPr>
                <w:rFonts w:ascii="宋体" w:hAnsi="宋体"/>
                <w:color w:val="000000"/>
                <w:kern w:val="0"/>
              </w:rPr>
              <w:t>170,000,000.</w:t>
            </w:r>
            <w:r>
              <w:rPr>
                <w:rFonts w:ascii="宋体" w:hAnsi="宋体"/>
                <w:color w:val="000000"/>
                <w:kern w:val="0"/>
              </w:rPr>
              <w:lastRenderedPageBreak/>
              <w:t>00</w:t>
            </w:r>
          </w:p>
        </w:tc>
        <w:tc>
          <w:tcPr>
            <w:tcW w:w="850" w:type="dxa"/>
            <w:vAlign w:val="center"/>
          </w:tcPr>
          <w:p w:rsidR="00F35654" w:rsidRDefault="00AC2B45">
            <w:pPr>
              <w:jc w:val="center"/>
            </w:pPr>
            <w:r>
              <w:rPr>
                <w:rFonts w:ascii="宋体" w:hAnsi="宋体"/>
                <w:color w:val="000000"/>
                <w:kern w:val="0"/>
              </w:rPr>
              <w:lastRenderedPageBreak/>
              <w:t>-</w:t>
            </w:r>
          </w:p>
        </w:tc>
        <w:tc>
          <w:tcPr>
            <w:tcW w:w="1134" w:type="dxa"/>
            <w:vAlign w:val="center"/>
          </w:tcPr>
          <w:p w:rsidR="00F35654" w:rsidRDefault="00AC2B45">
            <w:pPr>
              <w:jc w:val="center"/>
            </w:pPr>
            <w:r>
              <w:rPr>
                <w:rFonts w:ascii="宋体" w:hAnsi="宋体"/>
                <w:color w:val="000000"/>
                <w:kern w:val="0"/>
              </w:rPr>
              <w:t>170,000,000.00</w:t>
            </w:r>
          </w:p>
        </w:tc>
        <w:tc>
          <w:tcPr>
            <w:tcW w:w="1419" w:type="dxa"/>
            <w:vAlign w:val="center"/>
          </w:tcPr>
          <w:p w:rsidR="00F35654" w:rsidRDefault="00AC2B45">
            <w:pPr>
              <w:jc w:val="center"/>
            </w:pPr>
            <w:r>
              <w:rPr>
                <w:rFonts w:ascii="宋体" w:hAnsi="宋体"/>
                <w:color w:val="000000"/>
                <w:kern w:val="0"/>
              </w:rPr>
              <w:t>-</w:t>
            </w:r>
          </w:p>
        </w:tc>
        <w:tc>
          <w:tcPr>
            <w:tcW w:w="1130" w:type="dxa"/>
            <w:vAlign w:val="center"/>
          </w:tcPr>
          <w:p w:rsidR="00F35654" w:rsidRDefault="00AC2B45">
            <w:pPr>
              <w:jc w:val="center"/>
            </w:pPr>
            <w:r>
              <w:rPr>
                <w:rFonts w:ascii="宋体" w:hAnsi="宋体"/>
                <w:color w:val="000000"/>
                <w:kern w:val="0"/>
              </w:rPr>
              <w:t>-</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F35654" w:rsidRDefault="00AC2B4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、中国证监会准予交银施罗德经济新动力混合型证券投资基金募集注册的文件；</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、《交银施罗德经济新动力混合型证券投资基金基金合同》；</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、《交银施罗德经济新动力混合型证券投资基金招募说明书》；</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、《交银施罗德经济新动力混合型证券投资基金托管协议》；</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、关于申请募集注册交银施罗德经济新动力混合型证券投资基金的法律意见书；</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F35654" w:rsidRDefault="00AC2B4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、报告期内交银施罗德经济新动力混合型证券投资基金在指定报刊上各项公告的原稿。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F35654" w:rsidRDefault="00AC2B4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2DB" w:rsidRDefault="004322DB" w:rsidP="00876D65">
      <w:r>
        <w:separator/>
      </w:r>
    </w:p>
  </w:endnote>
  <w:endnote w:type="continuationSeparator" w:id="0">
    <w:p w:rsidR="004322DB" w:rsidRDefault="004322DB"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EC56B6">
      <w:rPr>
        <w:noProof/>
        <w:kern w:val="0"/>
        <w:szCs w:val="21"/>
      </w:rPr>
      <w:t>10</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EC56B6">
      <w:rPr>
        <w:noProof/>
        <w:kern w:val="0"/>
        <w:szCs w:val="21"/>
      </w:rPr>
      <w:t>12</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2DB" w:rsidRDefault="004322DB" w:rsidP="00876D65">
      <w:r>
        <w:separator/>
      </w:r>
    </w:p>
  </w:footnote>
  <w:footnote w:type="continuationSeparator" w:id="0">
    <w:p w:rsidR="004322DB" w:rsidRDefault="004322DB"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交银施罗德经济新动力混合型证券投资基金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22DB"/>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2B45"/>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C56B6"/>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5654"/>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F1F5E-CE38-4CB9-829A-9A614FD6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12</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578</cp:revision>
  <dcterms:created xsi:type="dcterms:W3CDTF">2012-10-16T06:07:00Z</dcterms:created>
  <dcterms:modified xsi:type="dcterms:W3CDTF">2018-07-16T08:22:00Z</dcterms:modified>
</cp:coreProperties>
</file>