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2279D3" w:rsidRPr="0081286B" w:rsidRDefault="002279D3" w:rsidP="00C15CAC">
      <w:pPr>
        <w:spacing w:before="29" w:line="288" w:lineRule="auto"/>
        <w:jc w:val="center"/>
        <w:rPr>
          <w:b/>
          <w:sz w:val="36"/>
          <w:szCs w:val="36"/>
        </w:rPr>
      </w:pPr>
      <w:r w:rsidRPr="0081286B">
        <w:rPr>
          <w:b/>
          <w:sz w:val="36"/>
          <w:szCs w:val="36"/>
        </w:rPr>
        <w:t>交银施罗德领先回报灵活配置混合型证券投资基金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C2019" w:rsidRDefault="00F41A0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C2019" w:rsidRDefault="00F41A08">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C2019" w:rsidRDefault="00F41A0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C2019" w:rsidRDefault="00F41A0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C2019" w:rsidRDefault="00F41A0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交银领先回报灵活配置混合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519781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519781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549,668,653.11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6266E" w:rsidRPr="00414345" w:rsidTr="0026266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6266E" w:rsidRPr="00414345" w:rsidTr="002626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9,153,272.16</w:t>
            </w:r>
          </w:p>
        </w:tc>
      </w:tr>
      <w:tr w:rsidR="0026266E" w:rsidRPr="00414345" w:rsidTr="002626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4,776,048.83</w:t>
            </w:r>
          </w:p>
        </w:tc>
      </w:tr>
      <w:tr w:rsidR="0026266E" w:rsidRPr="00414345" w:rsidTr="002626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0.0087</w:t>
            </w:r>
          </w:p>
        </w:tc>
      </w:tr>
      <w:tr w:rsidR="0026266E" w:rsidRPr="00414345" w:rsidTr="002626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620,372,359.64</w:t>
            </w:r>
          </w:p>
        </w:tc>
      </w:tr>
      <w:tr w:rsidR="0026266E" w:rsidRPr="00414345" w:rsidTr="0026266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1.129</w:t>
            </w:r>
          </w:p>
        </w:tc>
      </w:tr>
    </w:tbl>
    <w:p w:rsidR="005C2019" w:rsidRDefault="00F41A0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C2019">
        <w:trPr>
          <w:jc w:val="center"/>
        </w:trPr>
        <w:tc>
          <w:tcPr>
            <w:tcW w:w="1701" w:type="dxa"/>
            <w:vAlign w:val="center"/>
          </w:tcPr>
          <w:p w:rsidR="005C2019" w:rsidRDefault="00F41A08">
            <w:pPr>
              <w:jc w:val="left"/>
            </w:pPr>
            <w:r>
              <w:rPr>
                <w:color w:val="000000"/>
                <w:sz w:val="24"/>
                <w:szCs w:val="24"/>
              </w:rPr>
              <w:t>过去三个月</w:t>
            </w:r>
          </w:p>
        </w:tc>
        <w:tc>
          <w:tcPr>
            <w:tcW w:w="1045" w:type="dxa"/>
            <w:vAlign w:val="center"/>
          </w:tcPr>
          <w:p w:rsidR="005C2019" w:rsidRDefault="00F41A08">
            <w:pPr>
              <w:jc w:val="center"/>
            </w:pPr>
            <w:r>
              <w:rPr>
                <w:color w:val="000000"/>
                <w:sz w:val="24"/>
                <w:szCs w:val="24"/>
              </w:rPr>
              <w:t>0.80%</w:t>
            </w:r>
          </w:p>
        </w:tc>
        <w:tc>
          <w:tcPr>
            <w:tcW w:w="1344" w:type="dxa"/>
            <w:vAlign w:val="center"/>
          </w:tcPr>
          <w:p w:rsidR="005C2019" w:rsidRDefault="00F41A08">
            <w:pPr>
              <w:jc w:val="center"/>
            </w:pPr>
            <w:r>
              <w:rPr>
                <w:color w:val="000000"/>
                <w:sz w:val="24"/>
                <w:szCs w:val="24"/>
              </w:rPr>
              <w:t>0.28%</w:t>
            </w:r>
          </w:p>
        </w:tc>
        <w:tc>
          <w:tcPr>
            <w:tcW w:w="1194" w:type="dxa"/>
            <w:vAlign w:val="center"/>
          </w:tcPr>
          <w:p w:rsidR="005C2019" w:rsidRDefault="00F41A08">
            <w:pPr>
              <w:jc w:val="center"/>
            </w:pPr>
            <w:r>
              <w:rPr>
                <w:color w:val="000000"/>
                <w:sz w:val="24"/>
                <w:szCs w:val="24"/>
              </w:rPr>
              <w:t>-4.52%</w:t>
            </w:r>
          </w:p>
        </w:tc>
        <w:tc>
          <w:tcPr>
            <w:tcW w:w="1492" w:type="dxa"/>
            <w:vAlign w:val="center"/>
          </w:tcPr>
          <w:p w:rsidR="005C2019" w:rsidRDefault="00F41A08">
            <w:pPr>
              <w:jc w:val="center"/>
            </w:pPr>
            <w:r>
              <w:rPr>
                <w:color w:val="000000"/>
                <w:sz w:val="24"/>
                <w:szCs w:val="24"/>
              </w:rPr>
              <w:t>0.57%</w:t>
            </w:r>
          </w:p>
        </w:tc>
        <w:tc>
          <w:tcPr>
            <w:tcW w:w="1194" w:type="dxa"/>
            <w:vAlign w:val="center"/>
          </w:tcPr>
          <w:p w:rsidR="005C2019" w:rsidRDefault="00F41A08">
            <w:pPr>
              <w:jc w:val="center"/>
            </w:pPr>
            <w:r>
              <w:rPr>
                <w:color w:val="000000"/>
                <w:sz w:val="24"/>
                <w:szCs w:val="24"/>
              </w:rPr>
              <w:t>5.32%</w:t>
            </w:r>
          </w:p>
        </w:tc>
        <w:tc>
          <w:tcPr>
            <w:tcW w:w="898" w:type="dxa"/>
            <w:vAlign w:val="center"/>
          </w:tcPr>
          <w:p w:rsidR="005C2019" w:rsidRDefault="00F41A08">
            <w:pPr>
              <w:jc w:val="center"/>
            </w:pPr>
            <w:r>
              <w:rPr>
                <w:color w:val="000000"/>
                <w:sz w:val="24"/>
                <w:szCs w:val="24"/>
              </w:rPr>
              <w:t>-0.29%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交银施罗德领先回报灵活配置混合型证券投资基金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C2019">
        <w:trPr>
          <w:jc w:val="center"/>
        </w:trPr>
        <w:tc>
          <w:tcPr>
            <w:tcW w:w="846" w:type="dxa"/>
            <w:vAlign w:val="center"/>
          </w:tcPr>
          <w:p w:rsidR="005C2019" w:rsidRDefault="00F41A08">
            <w:pPr>
              <w:jc w:val="center"/>
            </w:pPr>
            <w:r>
              <w:rPr>
                <w:color w:val="000000"/>
                <w:sz w:val="24"/>
                <w:szCs w:val="24"/>
              </w:rPr>
              <w:t>李娜</w:t>
            </w:r>
          </w:p>
        </w:tc>
        <w:tc>
          <w:tcPr>
            <w:tcW w:w="845" w:type="dxa"/>
            <w:vAlign w:val="center"/>
          </w:tcPr>
          <w:p w:rsidR="005C2019" w:rsidRDefault="00F41A08">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灵活配置混合、交银瑞利定期开放灵活配置混合的基金经理</w:t>
            </w:r>
          </w:p>
        </w:tc>
        <w:tc>
          <w:tcPr>
            <w:tcW w:w="1549" w:type="dxa"/>
            <w:vAlign w:val="center"/>
          </w:tcPr>
          <w:p w:rsidR="005C2019" w:rsidRDefault="00F41A08">
            <w:pPr>
              <w:jc w:val="center"/>
            </w:pPr>
            <w:r>
              <w:rPr>
                <w:color w:val="000000"/>
                <w:sz w:val="24"/>
                <w:szCs w:val="24"/>
              </w:rPr>
              <w:lastRenderedPageBreak/>
              <w:t>2016-09-13</w:t>
            </w:r>
          </w:p>
        </w:tc>
        <w:tc>
          <w:tcPr>
            <w:tcW w:w="1548" w:type="dxa"/>
            <w:vAlign w:val="center"/>
          </w:tcPr>
          <w:p w:rsidR="005C2019" w:rsidRDefault="00F41A08">
            <w:pPr>
              <w:jc w:val="center"/>
            </w:pPr>
            <w:r>
              <w:rPr>
                <w:color w:val="000000"/>
                <w:sz w:val="24"/>
                <w:szCs w:val="24"/>
              </w:rPr>
              <w:t>-</w:t>
            </w:r>
          </w:p>
        </w:tc>
        <w:tc>
          <w:tcPr>
            <w:tcW w:w="1407" w:type="dxa"/>
            <w:vAlign w:val="center"/>
          </w:tcPr>
          <w:p w:rsidR="005C2019" w:rsidRDefault="00F41A08">
            <w:pPr>
              <w:jc w:val="center"/>
            </w:pPr>
            <w:r>
              <w:rPr>
                <w:color w:val="000000"/>
                <w:sz w:val="24"/>
                <w:szCs w:val="24"/>
              </w:rPr>
              <w:t>8</w:t>
            </w:r>
            <w:r>
              <w:rPr>
                <w:color w:val="000000"/>
                <w:sz w:val="24"/>
                <w:szCs w:val="24"/>
              </w:rPr>
              <w:t>年</w:t>
            </w:r>
          </w:p>
        </w:tc>
        <w:tc>
          <w:tcPr>
            <w:tcW w:w="2673" w:type="dxa"/>
            <w:vAlign w:val="center"/>
          </w:tcPr>
          <w:p w:rsidR="005C2019" w:rsidRDefault="00F41A08">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sidR="0026266E">
              <w:rPr>
                <w:color w:val="000000"/>
                <w:sz w:val="24"/>
                <w:szCs w:val="24"/>
              </w:rPr>
              <w:t>10</w:t>
            </w:r>
            <w:r>
              <w:rPr>
                <w:color w:val="000000"/>
                <w:sz w:val="24"/>
                <w:szCs w:val="24"/>
              </w:rPr>
              <w:t>日担任交银施罗德瑞安定期开放灵活配置混合型证券投资基金基金经理。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C2019" w:rsidRDefault="00F41A0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C2019" w:rsidRDefault="00F41A0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C2019" w:rsidRDefault="00F41A0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C2019" w:rsidRDefault="00F41A08">
      <w:pPr>
        <w:spacing w:before="29" w:line="288" w:lineRule="auto"/>
        <w:ind w:firstLineChars="200" w:firstLine="480"/>
        <w:rPr>
          <w:color w:val="000000"/>
          <w:sz w:val="24"/>
          <w:szCs w:val="24"/>
        </w:rPr>
      </w:pPr>
      <w:r>
        <w:rPr>
          <w:color w:val="000000"/>
          <w:sz w:val="24"/>
          <w:szCs w:val="24"/>
        </w:rPr>
        <w:t>本报告期内，经济增长以及市场预期在内部去杠杆进程和外部中美贸易摩擦的双重影响下呈现趋缓态势。固定资产投资逐步走低，增速从二月份的</w:t>
      </w:r>
      <w:r>
        <w:rPr>
          <w:color w:val="000000"/>
          <w:sz w:val="24"/>
          <w:szCs w:val="24"/>
        </w:rPr>
        <w:t>7.9%</w:t>
      </w:r>
      <w:r>
        <w:rPr>
          <w:color w:val="000000"/>
          <w:sz w:val="24"/>
          <w:szCs w:val="24"/>
        </w:rPr>
        <w:t>回落至五月的</w:t>
      </w:r>
      <w:r>
        <w:rPr>
          <w:color w:val="000000"/>
          <w:sz w:val="24"/>
          <w:szCs w:val="24"/>
        </w:rPr>
        <w:t>6.1%</w:t>
      </w:r>
      <w:r>
        <w:rPr>
          <w:color w:val="000000"/>
          <w:sz w:val="24"/>
          <w:szCs w:val="24"/>
        </w:rPr>
        <w:t>。社会融资总量同比增速更是在五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szCs w:val="24"/>
        </w:rPr>
        <w:t>PPI</w:t>
      </w:r>
      <w:r>
        <w:rPr>
          <w:color w:val="000000"/>
          <w:sz w:val="24"/>
          <w:szCs w:val="24"/>
        </w:rPr>
        <w:t>增速上行至</w:t>
      </w:r>
      <w:r>
        <w:rPr>
          <w:color w:val="000000"/>
          <w:sz w:val="24"/>
          <w:szCs w:val="24"/>
        </w:rPr>
        <w:t>4.1%</w:t>
      </w:r>
      <w:r>
        <w:rPr>
          <w:color w:val="000000"/>
          <w:sz w:val="24"/>
          <w:szCs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szCs w:val="24"/>
        </w:rPr>
        <w:t>10.1%</w:t>
      </w:r>
      <w:r>
        <w:rPr>
          <w:color w:val="000000"/>
          <w:sz w:val="24"/>
          <w:szCs w:val="24"/>
        </w:rPr>
        <w:t>和</w:t>
      </w:r>
      <w:r>
        <w:rPr>
          <w:color w:val="000000"/>
          <w:sz w:val="24"/>
          <w:szCs w:val="24"/>
        </w:rPr>
        <w:t>15.5%</w:t>
      </w:r>
      <w:r>
        <w:rPr>
          <w:color w:val="000000"/>
          <w:sz w:val="24"/>
          <w:szCs w:val="24"/>
        </w:rPr>
        <w:t>，</w:t>
      </w:r>
      <w:r>
        <w:rPr>
          <w:color w:val="000000"/>
          <w:sz w:val="24"/>
          <w:szCs w:val="24"/>
        </w:rPr>
        <w:t>10</w:t>
      </w:r>
      <w:r>
        <w:rPr>
          <w:color w:val="000000"/>
          <w:sz w:val="24"/>
          <w:szCs w:val="24"/>
        </w:rPr>
        <w:t>年期国债收益率下行</w:t>
      </w:r>
      <w:r>
        <w:rPr>
          <w:color w:val="000000"/>
          <w:sz w:val="24"/>
          <w:szCs w:val="24"/>
        </w:rPr>
        <w:t>27BP</w:t>
      </w:r>
      <w:r>
        <w:rPr>
          <w:color w:val="000000"/>
          <w:sz w:val="24"/>
          <w:szCs w:val="24"/>
        </w:rPr>
        <w:t>至</w:t>
      </w:r>
      <w:r>
        <w:rPr>
          <w:color w:val="000000"/>
          <w:sz w:val="24"/>
          <w:szCs w:val="24"/>
        </w:rPr>
        <w:t>3.48%</w:t>
      </w:r>
      <w:r>
        <w:rPr>
          <w:color w:val="000000"/>
          <w:sz w:val="24"/>
          <w:szCs w:val="24"/>
        </w:rPr>
        <w:t>，</w:t>
      </w:r>
      <w:r>
        <w:rPr>
          <w:color w:val="000000"/>
          <w:sz w:val="24"/>
          <w:szCs w:val="24"/>
        </w:rPr>
        <w:t>10</w:t>
      </w:r>
      <w:r>
        <w:rPr>
          <w:color w:val="000000"/>
          <w:sz w:val="24"/>
          <w:szCs w:val="24"/>
        </w:rPr>
        <w:t>年期国开债收益率下行</w:t>
      </w:r>
      <w:r>
        <w:rPr>
          <w:color w:val="000000"/>
          <w:sz w:val="24"/>
          <w:szCs w:val="24"/>
        </w:rPr>
        <w:t>39BP</w:t>
      </w:r>
      <w:r>
        <w:rPr>
          <w:color w:val="000000"/>
          <w:sz w:val="24"/>
          <w:szCs w:val="24"/>
        </w:rPr>
        <w:t>到</w:t>
      </w:r>
      <w:r>
        <w:rPr>
          <w:color w:val="000000"/>
          <w:sz w:val="24"/>
          <w:szCs w:val="24"/>
        </w:rPr>
        <w:t>4.25%</w:t>
      </w:r>
      <w:r>
        <w:rPr>
          <w:color w:val="000000"/>
          <w:sz w:val="24"/>
          <w:szCs w:val="24"/>
        </w:rPr>
        <w:t>。</w:t>
      </w:r>
    </w:p>
    <w:p w:rsidR="005C2019" w:rsidRDefault="00F41A08">
      <w:pPr>
        <w:spacing w:before="29" w:line="288" w:lineRule="auto"/>
        <w:ind w:firstLineChars="200" w:firstLine="480"/>
        <w:rPr>
          <w:color w:val="000000"/>
          <w:sz w:val="24"/>
          <w:szCs w:val="24"/>
        </w:rPr>
      </w:pPr>
      <w:r>
        <w:rPr>
          <w:color w:val="000000"/>
          <w:sz w:val="24"/>
          <w:szCs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三季度，经济增长在二季度末的放缓需要继续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1.129</w:t>
      </w:r>
      <w:r w:rsidRPr="00414345">
        <w:rPr>
          <w:color w:val="000000"/>
          <w:sz w:val="24"/>
          <w:szCs w:val="24"/>
        </w:rPr>
        <w:t>元，本报告期份额净值增长率为</w:t>
      </w:r>
      <w:r w:rsidRPr="00414345">
        <w:rPr>
          <w:color w:val="000000"/>
          <w:sz w:val="24"/>
          <w:szCs w:val="24"/>
        </w:rPr>
        <w:t>0.80%</w:t>
      </w:r>
      <w:r w:rsidRPr="00414345">
        <w:rPr>
          <w:color w:val="000000"/>
          <w:sz w:val="24"/>
          <w:szCs w:val="24"/>
        </w:rPr>
        <w:t>，同期业绩比较基准增长率为</w:t>
      </w:r>
      <w:r w:rsidRPr="00414345">
        <w:rPr>
          <w:color w:val="000000"/>
          <w:sz w:val="24"/>
          <w:szCs w:val="24"/>
        </w:rPr>
        <w:t>-4.52%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118,916,327.58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18.87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118,916,327.58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18.87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501,913,000.00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79.64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501,913,000.00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79.64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2,389,607.88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0.38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6,985,841.12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630,204,776.58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78,345,997.83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1,514,559.85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11,070,368.00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23,991,095.76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1,378,080.00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118,916,327.58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C2019">
        <w:trPr>
          <w:jc w:val="center"/>
        </w:trPr>
        <w:tc>
          <w:tcPr>
            <w:tcW w:w="855" w:type="dxa"/>
            <w:vAlign w:val="center"/>
          </w:tcPr>
          <w:p w:rsidR="005C2019" w:rsidRDefault="00F41A08">
            <w:pPr>
              <w:jc w:val="center"/>
            </w:pPr>
            <w:r>
              <w:rPr>
                <w:color w:val="000000"/>
                <w:sz w:val="24"/>
                <w:szCs w:val="24"/>
              </w:rPr>
              <w:t>1</w:t>
            </w:r>
          </w:p>
        </w:tc>
        <w:tc>
          <w:tcPr>
            <w:tcW w:w="1334" w:type="dxa"/>
            <w:vAlign w:val="center"/>
          </w:tcPr>
          <w:p w:rsidR="005C2019" w:rsidRDefault="00F41A08">
            <w:pPr>
              <w:jc w:val="center"/>
            </w:pPr>
            <w:r>
              <w:rPr>
                <w:color w:val="000000"/>
                <w:sz w:val="24"/>
                <w:szCs w:val="24"/>
              </w:rPr>
              <w:t>600519</w:t>
            </w:r>
          </w:p>
        </w:tc>
        <w:tc>
          <w:tcPr>
            <w:tcW w:w="1777" w:type="dxa"/>
            <w:vAlign w:val="center"/>
          </w:tcPr>
          <w:p w:rsidR="005C2019" w:rsidRDefault="00F41A08">
            <w:pPr>
              <w:jc w:val="center"/>
            </w:pPr>
            <w:r>
              <w:rPr>
                <w:color w:val="000000"/>
                <w:sz w:val="24"/>
                <w:szCs w:val="24"/>
              </w:rPr>
              <w:t>贵州茅台</w:t>
            </w:r>
          </w:p>
        </w:tc>
        <w:tc>
          <w:tcPr>
            <w:tcW w:w="1334" w:type="dxa"/>
            <w:vAlign w:val="center"/>
          </w:tcPr>
          <w:p w:rsidR="005C2019" w:rsidRDefault="00F41A08">
            <w:pPr>
              <w:jc w:val="right"/>
            </w:pPr>
            <w:r>
              <w:rPr>
                <w:color w:val="000000"/>
                <w:sz w:val="24"/>
                <w:szCs w:val="24"/>
              </w:rPr>
              <w:t>13,000</w:t>
            </w:r>
          </w:p>
        </w:tc>
        <w:tc>
          <w:tcPr>
            <w:tcW w:w="1924" w:type="dxa"/>
            <w:vAlign w:val="center"/>
          </w:tcPr>
          <w:p w:rsidR="005C2019" w:rsidRDefault="00F41A08">
            <w:pPr>
              <w:jc w:val="right"/>
            </w:pPr>
            <w:r>
              <w:rPr>
                <w:color w:val="000000"/>
                <w:sz w:val="24"/>
                <w:szCs w:val="24"/>
              </w:rPr>
              <w:t>9,508,980.00</w:t>
            </w:r>
          </w:p>
        </w:tc>
        <w:tc>
          <w:tcPr>
            <w:tcW w:w="1644" w:type="dxa"/>
            <w:vAlign w:val="center"/>
          </w:tcPr>
          <w:p w:rsidR="005C2019" w:rsidRDefault="00F41A08">
            <w:pPr>
              <w:jc w:val="right"/>
            </w:pPr>
            <w:r>
              <w:rPr>
                <w:color w:val="000000"/>
                <w:sz w:val="24"/>
                <w:szCs w:val="24"/>
              </w:rPr>
              <w:t>1.53</w:t>
            </w:r>
          </w:p>
        </w:tc>
      </w:tr>
      <w:tr w:rsidR="005C2019">
        <w:trPr>
          <w:jc w:val="center"/>
        </w:trPr>
        <w:tc>
          <w:tcPr>
            <w:tcW w:w="855" w:type="dxa"/>
            <w:vAlign w:val="center"/>
          </w:tcPr>
          <w:p w:rsidR="005C2019" w:rsidRDefault="00F41A08">
            <w:pPr>
              <w:jc w:val="center"/>
            </w:pPr>
            <w:r>
              <w:rPr>
                <w:color w:val="000000"/>
                <w:sz w:val="24"/>
                <w:szCs w:val="24"/>
              </w:rPr>
              <w:t>2</w:t>
            </w:r>
          </w:p>
        </w:tc>
        <w:tc>
          <w:tcPr>
            <w:tcW w:w="1334" w:type="dxa"/>
            <w:vAlign w:val="center"/>
          </w:tcPr>
          <w:p w:rsidR="005C2019" w:rsidRDefault="00F41A08">
            <w:pPr>
              <w:jc w:val="center"/>
            </w:pPr>
            <w:r>
              <w:rPr>
                <w:color w:val="000000"/>
                <w:sz w:val="24"/>
                <w:szCs w:val="24"/>
              </w:rPr>
              <w:t>000858</w:t>
            </w:r>
          </w:p>
        </w:tc>
        <w:tc>
          <w:tcPr>
            <w:tcW w:w="1777" w:type="dxa"/>
            <w:vAlign w:val="center"/>
          </w:tcPr>
          <w:p w:rsidR="005C2019" w:rsidRDefault="00F41A08">
            <w:pPr>
              <w:jc w:val="center"/>
            </w:pPr>
            <w:r>
              <w:rPr>
                <w:color w:val="000000"/>
                <w:sz w:val="24"/>
                <w:szCs w:val="24"/>
              </w:rPr>
              <w:t>五粮液</w:t>
            </w:r>
          </w:p>
        </w:tc>
        <w:tc>
          <w:tcPr>
            <w:tcW w:w="1334" w:type="dxa"/>
            <w:vAlign w:val="center"/>
          </w:tcPr>
          <w:p w:rsidR="005C2019" w:rsidRDefault="00F41A08">
            <w:pPr>
              <w:jc w:val="right"/>
            </w:pPr>
            <w:r>
              <w:rPr>
                <w:color w:val="000000"/>
                <w:sz w:val="24"/>
                <w:szCs w:val="24"/>
              </w:rPr>
              <w:t>120,000</w:t>
            </w:r>
          </w:p>
        </w:tc>
        <w:tc>
          <w:tcPr>
            <w:tcW w:w="1924" w:type="dxa"/>
            <w:vAlign w:val="center"/>
          </w:tcPr>
          <w:p w:rsidR="005C2019" w:rsidRDefault="00F41A08">
            <w:pPr>
              <w:jc w:val="right"/>
            </w:pPr>
            <w:r>
              <w:rPr>
                <w:color w:val="000000"/>
                <w:sz w:val="24"/>
                <w:szCs w:val="24"/>
              </w:rPr>
              <w:t>9,120,000.00</w:t>
            </w:r>
          </w:p>
        </w:tc>
        <w:tc>
          <w:tcPr>
            <w:tcW w:w="1644" w:type="dxa"/>
            <w:vAlign w:val="center"/>
          </w:tcPr>
          <w:p w:rsidR="005C2019" w:rsidRDefault="00F41A08">
            <w:pPr>
              <w:jc w:val="right"/>
            </w:pPr>
            <w:r>
              <w:rPr>
                <w:color w:val="000000"/>
                <w:sz w:val="24"/>
                <w:szCs w:val="24"/>
              </w:rPr>
              <w:t>1.47</w:t>
            </w:r>
          </w:p>
        </w:tc>
      </w:tr>
      <w:tr w:rsidR="005C2019">
        <w:trPr>
          <w:jc w:val="center"/>
        </w:trPr>
        <w:tc>
          <w:tcPr>
            <w:tcW w:w="855" w:type="dxa"/>
            <w:vAlign w:val="center"/>
          </w:tcPr>
          <w:p w:rsidR="005C2019" w:rsidRDefault="00F41A08">
            <w:pPr>
              <w:jc w:val="center"/>
            </w:pPr>
            <w:r>
              <w:rPr>
                <w:color w:val="000000"/>
                <w:sz w:val="24"/>
                <w:szCs w:val="24"/>
              </w:rPr>
              <w:t>3</w:t>
            </w:r>
          </w:p>
        </w:tc>
        <w:tc>
          <w:tcPr>
            <w:tcW w:w="1334" w:type="dxa"/>
            <w:vAlign w:val="center"/>
          </w:tcPr>
          <w:p w:rsidR="005C2019" w:rsidRDefault="00F41A08">
            <w:pPr>
              <w:jc w:val="center"/>
            </w:pPr>
            <w:r>
              <w:rPr>
                <w:color w:val="000000"/>
                <w:sz w:val="24"/>
                <w:szCs w:val="24"/>
              </w:rPr>
              <w:t>000963</w:t>
            </w:r>
          </w:p>
        </w:tc>
        <w:tc>
          <w:tcPr>
            <w:tcW w:w="1777" w:type="dxa"/>
            <w:vAlign w:val="center"/>
          </w:tcPr>
          <w:p w:rsidR="005C2019" w:rsidRDefault="00F41A08">
            <w:pPr>
              <w:jc w:val="center"/>
            </w:pPr>
            <w:r>
              <w:rPr>
                <w:color w:val="000000"/>
                <w:sz w:val="24"/>
                <w:szCs w:val="24"/>
              </w:rPr>
              <w:t>华东医药</w:t>
            </w:r>
          </w:p>
        </w:tc>
        <w:tc>
          <w:tcPr>
            <w:tcW w:w="1334" w:type="dxa"/>
            <w:vAlign w:val="center"/>
          </w:tcPr>
          <w:p w:rsidR="005C2019" w:rsidRDefault="00F41A08">
            <w:pPr>
              <w:jc w:val="right"/>
            </w:pPr>
            <w:r>
              <w:rPr>
                <w:color w:val="000000"/>
                <w:sz w:val="24"/>
                <w:szCs w:val="24"/>
              </w:rPr>
              <w:t>179,904</w:t>
            </w:r>
          </w:p>
        </w:tc>
        <w:tc>
          <w:tcPr>
            <w:tcW w:w="1924" w:type="dxa"/>
            <w:vAlign w:val="center"/>
          </w:tcPr>
          <w:p w:rsidR="005C2019" w:rsidRDefault="00F41A08">
            <w:pPr>
              <w:jc w:val="right"/>
            </w:pPr>
            <w:r>
              <w:rPr>
                <w:color w:val="000000"/>
                <w:sz w:val="24"/>
                <w:szCs w:val="24"/>
              </w:rPr>
              <w:t>8,680,368.00</w:t>
            </w:r>
          </w:p>
        </w:tc>
        <w:tc>
          <w:tcPr>
            <w:tcW w:w="1644" w:type="dxa"/>
            <w:vAlign w:val="center"/>
          </w:tcPr>
          <w:p w:rsidR="005C2019" w:rsidRDefault="00F41A08">
            <w:pPr>
              <w:jc w:val="right"/>
            </w:pPr>
            <w:r>
              <w:rPr>
                <w:color w:val="000000"/>
                <w:sz w:val="24"/>
                <w:szCs w:val="24"/>
              </w:rPr>
              <w:t>1.40</w:t>
            </w:r>
          </w:p>
        </w:tc>
      </w:tr>
      <w:tr w:rsidR="005C2019">
        <w:trPr>
          <w:jc w:val="center"/>
        </w:trPr>
        <w:tc>
          <w:tcPr>
            <w:tcW w:w="855" w:type="dxa"/>
            <w:vAlign w:val="center"/>
          </w:tcPr>
          <w:p w:rsidR="005C2019" w:rsidRDefault="00F41A08">
            <w:pPr>
              <w:jc w:val="center"/>
            </w:pPr>
            <w:r>
              <w:rPr>
                <w:color w:val="000000"/>
                <w:sz w:val="24"/>
                <w:szCs w:val="24"/>
              </w:rPr>
              <w:t>4</w:t>
            </w:r>
          </w:p>
        </w:tc>
        <w:tc>
          <w:tcPr>
            <w:tcW w:w="1334" w:type="dxa"/>
            <w:vAlign w:val="center"/>
          </w:tcPr>
          <w:p w:rsidR="005C2019" w:rsidRDefault="00F41A08">
            <w:pPr>
              <w:jc w:val="center"/>
            </w:pPr>
            <w:r>
              <w:rPr>
                <w:color w:val="000000"/>
                <w:sz w:val="24"/>
                <w:szCs w:val="24"/>
              </w:rPr>
              <w:t>000423</w:t>
            </w:r>
          </w:p>
        </w:tc>
        <w:tc>
          <w:tcPr>
            <w:tcW w:w="1777" w:type="dxa"/>
            <w:vAlign w:val="center"/>
          </w:tcPr>
          <w:p w:rsidR="005C2019" w:rsidRDefault="00F41A08">
            <w:pPr>
              <w:jc w:val="center"/>
            </w:pPr>
            <w:r>
              <w:rPr>
                <w:color w:val="000000"/>
                <w:sz w:val="24"/>
                <w:szCs w:val="24"/>
              </w:rPr>
              <w:t>东阿阿胶</w:t>
            </w:r>
          </w:p>
        </w:tc>
        <w:tc>
          <w:tcPr>
            <w:tcW w:w="1334" w:type="dxa"/>
            <w:vAlign w:val="center"/>
          </w:tcPr>
          <w:p w:rsidR="005C2019" w:rsidRDefault="00F41A08">
            <w:pPr>
              <w:jc w:val="right"/>
            </w:pPr>
            <w:r>
              <w:rPr>
                <w:color w:val="000000"/>
                <w:sz w:val="24"/>
                <w:szCs w:val="24"/>
              </w:rPr>
              <w:t>150,000</w:t>
            </w:r>
          </w:p>
        </w:tc>
        <w:tc>
          <w:tcPr>
            <w:tcW w:w="1924" w:type="dxa"/>
            <w:vAlign w:val="center"/>
          </w:tcPr>
          <w:p w:rsidR="005C2019" w:rsidRDefault="00F41A08">
            <w:pPr>
              <w:jc w:val="right"/>
            </w:pPr>
            <w:r>
              <w:rPr>
                <w:color w:val="000000"/>
                <w:sz w:val="24"/>
                <w:szCs w:val="24"/>
              </w:rPr>
              <w:t>8,071,500.00</w:t>
            </w:r>
          </w:p>
        </w:tc>
        <w:tc>
          <w:tcPr>
            <w:tcW w:w="1644" w:type="dxa"/>
            <w:vAlign w:val="center"/>
          </w:tcPr>
          <w:p w:rsidR="005C2019" w:rsidRDefault="00F41A08">
            <w:pPr>
              <w:jc w:val="right"/>
            </w:pPr>
            <w:r>
              <w:rPr>
                <w:color w:val="000000"/>
                <w:sz w:val="24"/>
                <w:szCs w:val="24"/>
              </w:rPr>
              <w:t>1.30</w:t>
            </w:r>
          </w:p>
        </w:tc>
      </w:tr>
      <w:tr w:rsidR="005C2019">
        <w:trPr>
          <w:jc w:val="center"/>
        </w:trPr>
        <w:tc>
          <w:tcPr>
            <w:tcW w:w="855" w:type="dxa"/>
            <w:vAlign w:val="center"/>
          </w:tcPr>
          <w:p w:rsidR="005C2019" w:rsidRDefault="00F41A08">
            <w:pPr>
              <w:jc w:val="center"/>
            </w:pPr>
            <w:r>
              <w:rPr>
                <w:color w:val="000000"/>
                <w:sz w:val="24"/>
                <w:szCs w:val="24"/>
              </w:rPr>
              <w:t>5</w:t>
            </w:r>
          </w:p>
        </w:tc>
        <w:tc>
          <w:tcPr>
            <w:tcW w:w="1334" w:type="dxa"/>
            <w:vAlign w:val="center"/>
          </w:tcPr>
          <w:p w:rsidR="005C2019" w:rsidRDefault="00F41A08">
            <w:pPr>
              <w:jc w:val="center"/>
            </w:pPr>
            <w:r>
              <w:rPr>
                <w:color w:val="000000"/>
                <w:sz w:val="24"/>
                <w:szCs w:val="24"/>
              </w:rPr>
              <w:t>600887</w:t>
            </w:r>
          </w:p>
        </w:tc>
        <w:tc>
          <w:tcPr>
            <w:tcW w:w="1777" w:type="dxa"/>
            <w:vAlign w:val="center"/>
          </w:tcPr>
          <w:p w:rsidR="005C2019" w:rsidRDefault="00F41A08">
            <w:pPr>
              <w:jc w:val="center"/>
            </w:pPr>
            <w:r>
              <w:rPr>
                <w:color w:val="000000"/>
                <w:sz w:val="24"/>
                <w:szCs w:val="24"/>
              </w:rPr>
              <w:t>伊利股份</w:t>
            </w:r>
          </w:p>
        </w:tc>
        <w:tc>
          <w:tcPr>
            <w:tcW w:w="1334" w:type="dxa"/>
            <w:vAlign w:val="center"/>
          </w:tcPr>
          <w:p w:rsidR="005C2019" w:rsidRDefault="00F41A08">
            <w:pPr>
              <w:jc w:val="right"/>
            </w:pPr>
            <w:r>
              <w:rPr>
                <w:color w:val="000000"/>
                <w:sz w:val="24"/>
                <w:szCs w:val="24"/>
              </w:rPr>
              <w:t>250,000</w:t>
            </w:r>
          </w:p>
        </w:tc>
        <w:tc>
          <w:tcPr>
            <w:tcW w:w="1924" w:type="dxa"/>
            <w:vAlign w:val="center"/>
          </w:tcPr>
          <w:p w:rsidR="005C2019" w:rsidRDefault="00F41A08">
            <w:pPr>
              <w:jc w:val="right"/>
            </w:pPr>
            <w:r>
              <w:rPr>
                <w:color w:val="000000"/>
                <w:sz w:val="24"/>
                <w:szCs w:val="24"/>
              </w:rPr>
              <w:t>6,975,000.00</w:t>
            </w:r>
          </w:p>
        </w:tc>
        <w:tc>
          <w:tcPr>
            <w:tcW w:w="1644" w:type="dxa"/>
            <w:vAlign w:val="center"/>
          </w:tcPr>
          <w:p w:rsidR="005C2019" w:rsidRDefault="00F41A08">
            <w:pPr>
              <w:jc w:val="right"/>
            </w:pPr>
            <w:r>
              <w:rPr>
                <w:color w:val="000000"/>
                <w:sz w:val="24"/>
                <w:szCs w:val="24"/>
              </w:rPr>
              <w:t>1.12</w:t>
            </w:r>
          </w:p>
        </w:tc>
      </w:tr>
      <w:tr w:rsidR="005C2019">
        <w:trPr>
          <w:jc w:val="center"/>
        </w:trPr>
        <w:tc>
          <w:tcPr>
            <w:tcW w:w="855" w:type="dxa"/>
            <w:vAlign w:val="center"/>
          </w:tcPr>
          <w:p w:rsidR="005C2019" w:rsidRDefault="00F41A08">
            <w:pPr>
              <w:jc w:val="center"/>
            </w:pPr>
            <w:r>
              <w:rPr>
                <w:color w:val="000000"/>
                <w:sz w:val="24"/>
                <w:szCs w:val="24"/>
              </w:rPr>
              <w:lastRenderedPageBreak/>
              <w:t>6</w:t>
            </w:r>
          </w:p>
        </w:tc>
        <w:tc>
          <w:tcPr>
            <w:tcW w:w="1334" w:type="dxa"/>
            <w:vAlign w:val="center"/>
          </w:tcPr>
          <w:p w:rsidR="005C2019" w:rsidRDefault="00F41A08">
            <w:pPr>
              <w:jc w:val="center"/>
            </w:pPr>
            <w:r>
              <w:rPr>
                <w:color w:val="000000"/>
                <w:sz w:val="24"/>
                <w:szCs w:val="24"/>
              </w:rPr>
              <w:t>600276</w:t>
            </w:r>
          </w:p>
        </w:tc>
        <w:tc>
          <w:tcPr>
            <w:tcW w:w="1777" w:type="dxa"/>
            <w:vAlign w:val="center"/>
          </w:tcPr>
          <w:p w:rsidR="005C2019" w:rsidRDefault="00F41A08">
            <w:pPr>
              <w:jc w:val="center"/>
            </w:pPr>
            <w:r>
              <w:rPr>
                <w:color w:val="000000"/>
                <w:sz w:val="24"/>
                <w:szCs w:val="24"/>
              </w:rPr>
              <w:t>恒瑞医药</w:t>
            </w:r>
          </w:p>
        </w:tc>
        <w:tc>
          <w:tcPr>
            <w:tcW w:w="1334" w:type="dxa"/>
            <w:vAlign w:val="center"/>
          </w:tcPr>
          <w:p w:rsidR="005C2019" w:rsidRDefault="00F41A08">
            <w:pPr>
              <w:jc w:val="right"/>
            </w:pPr>
            <w:r>
              <w:rPr>
                <w:color w:val="000000"/>
                <w:sz w:val="24"/>
                <w:szCs w:val="24"/>
              </w:rPr>
              <w:t>91,000</w:t>
            </w:r>
          </w:p>
        </w:tc>
        <w:tc>
          <w:tcPr>
            <w:tcW w:w="1924" w:type="dxa"/>
            <w:vAlign w:val="center"/>
          </w:tcPr>
          <w:p w:rsidR="005C2019" w:rsidRDefault="00F41A08">
            <w:pPr>
              <w:jc w:val="right"/>
            </w:pPr>
            <w:r>
              <w:rPr>
                <w:color w:val="000000"/>
                <w:sz w:val="24"/>
                <w:szCs w:val="24"/>
              </w:rPr>
              <w:t>6,894,160.00</w:t>
            </w:r>
          </w:p>
        </w:tc>
        <w:tc>
          <w:tcPr>
            <w:tcW w:w="1644" w:type="dxa"/>
            <w:vAlign w:val="center"/>
          </w:tcPr>
          <w:p w:rsidR="005C2019" w:rsidRDefault="00F41A08">
            <w:pPr>
              <w:jc w:val="right"/>
            </w:pPr>
            <w:r>
              <w:rPr>
                <w:color w:val="000000"/>
                <w:sz w:val="24"/>
                <w:szCs w:val="24"/>
              </w:rPr>
              <w:t>1.11</w:t>
            </w:r>
          </w:p>
        </w:tc>
      </w:tr>
      <w:tr w:rsidR="005C2019">
        <w:trPr>
          <w:jc w:val="center"/>
        </w:trPr>
        <w:tc>
          <w:tcPr>
            <w:tcW w:w="855" w:type="dxa"/>
            <w:vAlign w:val="center"/>
          </w:tcPr>
          <w:p w:rsidR="005C2019" w:rsidRDefault="00F41A08">
            <w:pPr>
              <w:jc w:val="center"/>
            </w:pPr>
            <w:r>
              <w:rPr>
                <w:color w:val="000000"/>
                <w:sz w:val="24"/>
                <w:szCs w:val="24"/>
              </w:rPr>
              <w:t>7</w:t>
            </w:r>
          </w:p>
        </w:tc>
        <w:tc>
          <w:tcPr>
            <w:tcW w:w="1334" w:type="dxa"/>
            <w:vAlign w:val="center"/>
          </w:tcPr>
          <w:p w:rsidR="005C2019" w:rsidRDefault="00F41A08">
            <w:pPr>
              <w:jc w:val="center"/>
            </w:pPr>
            <w:r>
              <w:rPr>
                <w:color w:val="000000"/>
                <w:sz w:val="24"/>
                <w:szCs w:val="24"/>
              </w:rPr>
              <w:t>002142</w:t>
            </w:r>
          </w:p>
        </w:tc>
        <w:tc>
          <w:tcPr>
            <w:tcW w:w="1777" w:type="dxa"/>
            <w:vAlign w:val="center"/>
          </w:tcPr>
          <w:p w:rsidR="005C2019" w:rsidRDefault="00F41A08">
            <w:pPr>
              <w:jc w:val="center"/>
            </w:pPr>
            <w:r>
              <w:rPr>
                <w:color w:val="000000"/>
                <w:sz w:val="24"/>
                <w:szCs w:val="24"/>
              </w:rPr>
              <w:t>宁波银行</w:t>
            </w:r>
          </w:p>
        </w:tc>
        <w:tc>
          <w:tcPr>
            <w:tcW w:w="1334" w:type="dxa"/>
            <w:vAlign w:val="center"/>
          </w:tcPr>
          <w:p w:rsidR="005C2019" w:rsidRDefault="00F41A08">
            <w:pPr>
              <w:jc w:val="right"/>
            </w:pPr>
            <w:r>
              <w:rPr>
                <w:color w:val="000000"/>
                <w:sz w:val="24"/>
                <w:szCs w:val="24"/>
              </w:rPr>
              <w:t>400,000</w:t>
            </w:r>
          </w:p>
        </w:tc>
        <w:tc>
          <w:tcPr>
            <w:tcW w:w="1924" w:type="dxa"/>
            <w:vAlign w:val="center"/>
          </w:tcPr>
          <w:p w:rsidR="005C2019" w:rsidRDefault="00F41A08">
            <w:pPr>
              <w:jc w:val="right"/>
            </w:pPr>
            <w:r>
              <w:rPr>
                <w:color w:val="000000"/>
                <w:sz w:val="24"/>
                <w:szCs w:val="24"/>
              </w:rPr>
              <w:t>6,516,000.00</w:t>
            </w:r>
          </w:p>
        </w:tc>
        <w:tc>
          <w:tcPr>
            <w:tcW w:w="1644" w:type="dxa"/>
            <w:vAlign w:val="center"/>
          </w:tcPr>
          <w:p w:rsidR="005C2019" w:rsidRDefault="00F41A08">
            <w:pPr>
              <w:jc w:val="right"/>
            </w:pPr>
            <w:r>
              <w:rPr>
                <w:color w:val="000000"/>
                <w:sz w:val="24"/>
                <w:szCs w:val="24"/>
              </w:rPr>
              <w:t>1.05</w:t>
            </w:r>
          </w:p>
        </w:tc>
      </w:tr>
      <w:tr w:rsidR="005C2019">
        <w:trPr>
          <w:jc w:val="center"/>
        </w:trPr>
        <w:tc>
          <w:tcPr>
            <w:tcW w:w="855" w:type="dxa"/>
            <w:vAlign w:val="center"/>
          </w:tcPr>
          <w:p w:rsidR="005C2019" w:rsidRDefault="00F41A08">
            <w:pPr>
              <w:jc w:val="center"/>
            </w:pPr>
            <w:r>
              <w:rPr>
                <w:color w:val="000000"/>
                <w:sz w:val="24"/>
                <w:szCs w:val="24"/>
              </w:rPr>
              <w:t>8</w:t>
            </w:r>
          </w:p>
        </w:tc>
        <w:tc>
          <w:tcPr>
            <w:tcW w:w="1334" w:type="dxa"/>
            <w:vAlign w:val="center"/>
          </w:tcPr>
          <w:p w:rsidR="005C2019" w:rsidRDefault="00F41A08">
            <w:pPr>
              <w:jc w:val="center"/>
            </w:pPr>
            <w:r>
              <w:rPr>
                <w:color w:val="000000"/>
                <w:sz w:val="24"/>
                <w:szCs w:val="24"/>
              </w:rPr>
              <w:t>601988</w:t>
            </w:r>
          </w:p>
        </w:tc>
        <w:tc>
          <w:tcPr>
            <w:tcW w:w="1777" w:type="dxa"/>
            <w:vAlign w:val="center"/>
          </w:tcPr>
          <w:p w:rsidR="005C2019" w:rsidRDefault="00F41A08">
            <w:pPr>
              <w:jc w:val="center"/>
            </w:pPr>
            <w:r>
              <w:rPr>
                <w:color w:val="000000"/>
                <w:sz w:val="24"/>
                <w:szCs w:val="24"/>
              </w:rPr>
              <w:t>中国银行</w:t>
            </w:r>
          </w:p>
        </w:tc>
        <w:tc>
          <w:tcPr>
            <w:tcW w:w="1334" w:type="dxa"/>
            <w:vAlign w:val="center"/>
          </w:tcPr>
          <w:p w:rsidR="005C2019" w:rsidRDefault="00F41A08">
            <w:pPr>
              <w:jc w:val="right"/>
            </w:pPr>
            <w:r>
              <w:rPr>
                <w:color w:val="000000"/>
                <w:sz w:val="24"/>
                <w:szCs w:val="24"/>
              </w:rPr>
              <w:t>1,600,000</w:t>
            </w:r>
          </w:p>
        </w:tc>
        <w:tc>
          <w:tcPr>
            <w:tcW w:w="1924" w:type="dxa"/>
            <w:vAlign w:val="center"/>
          </w:tcPr>
          <w:p w:rsidR="005C2019" w:rsidRDefault="00F41A08">
            <w:pPr>
              <w:jc w:val="right"/>
            </w:pPr>
            <w:r>
              <w:rPr>
                <w:color w:val="000000"/>
                <w:sz w:val="24"/>
                <w:szCs w:val="24"/>
              </w:rPr>
              <w:t>5,776,000.00</w:t>
            </w:r>
          </w:p>
        </w:tc>
        <w:tc>
          <w:tcPr>
            <w:tcW w:w="1644" w:type="dxa"/>
            <w:vAlign w:val="center"/>
          </w:tcPr>
          <w:p w:rsidR="005C2019" w:rsidRDefault="00F41A08">
            <w:pPr>
              <w:jc w:val="right"/>
            </w:pPr>
            <w:r>
              <w:rPr>
                <w:color w:val="000000"/>
                <w:sz w:val="24"/>
                <w:szCs w:val="24"/>
              </w:rPr>
              <w:t>0.93</w:t>
            </w:r>
          </w:p>
        </w:tc>
      </w:tr>
      <w:tr w:rsidR="005C2019">
        <w:trPr>
          <w:jc w:val="center"/>
        </w:trPr>
        <w:tc>
          <w:tcPr>
            <w:tcW w:w="855" w:type="dxa"/>
            <w:vAlign w:val="center"/>
          </w:tcPr>
          <w:p w:rsidR="005C2019" w:rsidRDefault="00F41A08">
            <w:pPr>
              <w:jc w:val="center"/>
            </w:pPr>
            <w:r>
              <w:rPr>
                <w:color w:val="000000"/>
                <w:sz w:val="24"/>
                <w:szCs w:val="24"/>
              </w:rPr>
              <w:t>9</w:t>
            </w:r>
          </w:p>
        </w:tc>
        <w:tc>
          <w:tcPr>
            <w:tcW w:w="1334" w:type="dxa"/>
            <w:vAlign w:val="center"/>
          </w:tcPr>
          <w:p w:rsidR="005C2019" w:rsidRDefault="00F41A08">
            <w:pPr>
              <w:jc w:val="center"/>
            </w:pPr>
            <w:r>
              <w:rPr>
                <w:color w:val="000000"/>
                <w:sz w:val="24"/>
                <w:szCs w:val="24"/>
              </w:rPr>
              <w:t>000538</w:t>
            </w:r>
          </w:p>
        </w:tc>
        <w:tc>
          <w:tcPr>
            <w:tcW w:w="1777" w:type="dxa"/>
            <w:vAlign w:val="center"/>
          </w:tcPr>
          <w:p w:rsidR="005C2019" w:rsidRDefault="00F41A08">
            <w:pPr>
              <w:jc w:val="center"/>
            </w:pPr>
            <w:r>
              <w:rPr>
                <w:color w:val="000000"/>
                <w:sz w:val="24"/>
                <w:szCs w:val="24"/>
              </w:rPr>
              <w:t>云南白药</w:t>
            </w:r>
          </w:p>
        </w:tc>
        <w:tc>
          <w:tcPr>
            <w:tcW w:w="1334" w:type="dxa"/>
            <w:vAlign w:val="center"/>
          </w:tcPr>
          <w:p w:rsidR="005C2019" w:rsidRDefault="00F41A08">
            <w:pPr>
              <w:jc w:val="right"/>
            </w:pPr>
            <w:r>
              <w:rPr>
                <w:color w:val="000000"/>
                <w:sz w:val="24"/>
                <w:szCs w:val="24"/>
              </w:rPr>
              <w:t>45,000</w:t>
            </w:r>
          </w:p>
        </w:tc>
        <w:tc>
          <w:tcPr>
            <w:tcW w:w="1924" w:type="dxa"/>
            <w:vAlign w:val="center"/>
          </w:tcPr>
          <w:p w:rsidR="005C2019" w:rsidRDefault="00F41A08">
            <w:pPr>
              <w:jc w:val="right"/>
            </w:pPr>
            <w:r>
              <w:rPr>
                <w:color w:val="000000"/>
                <w:sz w:val="24"/>
                <w:szCs w:val="24"/>
              </w:rPr>
              <w:t>4,813,200.00</w:t>
            </w:r>
          </w:p>
        </w:tc>
        <w:tc>
          <w:tcPr>
            <w:tcW w:w="1644" w:type="dxa"/>
            <w:vAlign w:val="center"/>
          </w:tcPr>
          <w:p w:rsidR="005C2019" w:rsidRDefault="00F41A08">
            <w:pPr>
              <w:jc w:val="right"/>
            </w:pPr>
            <w:r>
              <w:rPr>
                <w:color w:val="000000"/>
                <w:sz w:val="24"/>
                <w:szCs w:val="24"/>
              </w:rPr>
              <w:t>0.78</w:t>
            </w:r>
          </w:p>
        </w:tc>
      </w:tr>
      <w:tr w:rsidR="005C2019">
        <w:trPr>
          <w:jc w:val="center"/>
        </w:trPr>
        <w:tc>
          <w:tcPr>
            <w:tcW w:w="855" w:type="dxa"/>
            <w:vAlign w:val="center"/>
          </w:tcPr>
          <w:p w:rsidR="005C2019" w:rsidRDefault="00F41A08">
            <w:pPr>
              <w:jc w:val="center"/>
            </w:pPr>
            <w:r>
              <w:rPr>
                <w:color w:val="000000"/>
                <w:sz w:val="24"/>
                <w:szCs w:val="24"/>
              </w:rPr>
              <w:t>10</w:t>
            </w:r>
          </w:p>
        </w:tc>
        <w:tc>
          <w:tcPr>
            <w:tcW w:w="1334" w:type="dxa"/>
            <w:vAlign w:val="center"/>
          </w:tcPr>
          <w:p w:rsidR="005C2019" w:rsidRDefault="00F41A08">
            <w:pPr>
              <w:jc w:val="center"/>
            </w:pPr>
            <w:r>
              <w:rPr>
                <w:color w:val="000000"/>
                <w:sz w:val="24"/>
                <w:szCs w:val="24"/>
              </w:rPr>
              <w:t>601398</w:t>
            </w:r>
          </w:p>
        </w:tc>
        <w:tc>
          <w:tcPr>
            <w:tcW w:w="1777" w:type="dxa"/>
            <w:vAlign w:val="center"/>
          </w:tcPr>
          <w:p w:rsidR="005C2019" w:rsidRDefault="00F41A08">
            <w:pPr>
              <w:jc w:val="center"/>
            </w:pPr>
            <w:r>
              <w:rPr>
                <w:color w:val="000000"/>
                <w:sz w:val="24"/>
                <w:szCs w:val="24"/>
              </w:rPr>
              <w:t>工商银行</w:t>
            </w:r>
          </w:p>
        </w:tc>
        <w:tc>
          <w:tcPr>
            <w:tcW w:w="1334" w:type="dxa"/>
            <w:vAlign w:val="center"/>
          </w:tcPr>
          <w:p w:rsidR="005C2019" w:rsidRDefault="00F41A08">
            <w:pPr>
              <w:jc w:val="right"/>
            </w:pPr>
            <w:r>
              <w:rPr>
                <w:color w:val="000000"/>
                <w:sz w:val="24"/>
                <w:szCs w:val="24"/>
              </w:rPr>
              <w:t>900,018</w:t>
            </w:r>
          </w:p>
        </w:tc>
        <w:tc>
          <w:tcPr>
            <w:tcW w:w="1924" w:type="dxa"/>
            <w:vAlign w:val="center"/>
          </w:tcPr>
          <w:p w:rsidR="005C2019" w:rsidRDefault="00F41A08">
            <w:pPr>
              <w:jc w:val="right"/>
            </w:pPr>
            <w:r>
              <w:rPr>
                <w:color w:val="000000"/>
                <w:sz w:val="24"/>
                <w:szCs w:val="24"/>
              </w:rPr>
              <w:t>4,788,095.76</w:t>
            </w:r>
          </w:p>
        </w:tc>
        <w:tc>
          <w:tcPr>
            <w:tcW w:w="1644" w:type="dxa"/>
            <w:vAlign w:val="center"/>
          </w:tcPr>
          <w:p w:rsidR="005C2019" w:rsidRDefault="00F41A08">
            <w:pPr>
              <w:jc w:val="right"/>
            </w:pPr>
            <w:r>
              <w:rPr>
                <w:color w:val="000000"/>
                <w:sz w:val="24"/>
                <w:szCs w:val="24"/>
              </w:rPr>
              <w:t>0.77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147,666,000.00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147,666,000.00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103,757,500.00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16.73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20,032,000.00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3.23</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134,277,500.00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21.64</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96,180,000.00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15.50</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501,913,000.00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80.91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C2019">
        <w:trPr>
          <w:jc w:val="center"/>
        </w:trPr>
        <w:tc>
          <w:tcPr>
            <w:tcW w:w="850" w:type="dxa"/>
            <w:vAlign w:val="center"/>
          </w:tcPr>
          <w:p w:rsidR="005C2019" w:rsidRDefault="00F41A08">
            <w:pPr>
              <w:jc w:val="center"/>
            </w:pPr>
            <w:r>
              <w:rPr>
                <w:color w:val="000000"/>
                <w:sz w:val="24"/>
                <w:szCs w:val="24"/>
              </w:rPr>
              <w:t>1</w:t>
            </w:r>
          </w:p>
        </w:tc>
        <w:tc>
          <w:tcPr>
            <w:tcW w:w="1475" w:type="dxa"/>
            <w:vAlign w:val="center"/>
          </w:tcPr>
          <w:p w:rsidR="005C2019" w:rsidRDefault="00F41A08">
            <w:pPr>
              <w:jc w:val="center"/>
            </w:pPr>
            <w:r>
              <w:rPr>
                <w:color w:val="000000"/>
                <w:sz w:val="24"/>
                <w:szCs w:val="24"/>
              </w:rPr>
              <w:t>170210</w:t>
            </w:r>
          </w:p>
        </w:tc>
        <w:tc>
          <w:tcPr>
            <w:tcW w:w="1769" w:type="dxa"/>
            <w:vAlign w:val="center"/>
          </w:tcPr>
          <w:p w:rsidR="005C2019" w:rsidRDefault="00F41A08">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5C2019" w:rsidRDefault="00F41A08">
            <w:pPr>
              <w:jc w:val="right"/>
            </w:pPr>
            <w:r>
              <w:rPr>
                <w:color w:val="000000"/>
                <w:sz w:val="24"/>
                <w:szCs w:val="24"/>
              </w:rPr>
              <w:t>1,100,000</w:t>
            </w:r>
          </w:p>
        </w:tc>
        <w:tc>
          <w:tcPr>
            <w:tcW w:w="2150" w:type="dxa"/>
            <w:vAlign w:val="center"/>
          </w:tcPr>
          <w:p w:rsidR="005C2019" w:rsidRDefault="00F41A08">
            <w:pPr>
              <w:jc w:val="right"/>
            </w:pPr>
            <w:r>
              <w:rPr>
                <w:color w:val="000000"/>
                <w:sz w:val="24"/>
                <w:szCs w:val="24"/>
              </w:rPr>
              <w:t>107,514,000.00</w:t>
            </w:r>
          </w:p>
        </w:tc>
        <w:tc>
          <w:tcPr>
            <w:tcW w:w="1237" w:type="dxa"/>
            <w:vAlign w:val="center"/>
          </w:tcPr>
          <w:p w:rsidR="005C2019" w:rsidRDefault="00F41A08">
            <w:pPr>
              <w:jc w:val="right"/>
            </w:pPr>
            <w:r>
              <w:rPr>
                <w:color w:val="000000"/>
                <w:sz w:val="24"/>
                <w:szCs w:val="24"/>
              </w:rPr>
              <w:t>17.33</w:t>
            </w:r>
          </w:p>
        </w:tc>
      </w:tr>
      <w:tr w:rsidR="005C2019">
        <w:trPr>
          <w:jc w:val="center"/>
        </w:trPr>
        <w:tc>
          <w:tcPr>
            <w:tcW w:w="850" w:type="dxa"/>
            <w:vAlign w:val="center"/>
          </w:tcPr>
          <w:p w:rsidR="005C2019" w:rsidRDefault="00F41A08">
            <w:pPr>
              <w:jc w:val="center"/>
            </w:pPr>
            <w:r>
              <w:rPr>
                <w:color w:val="000000"/>
                <w:sz w:val="24"/>
                <w:szCs w:val="24"/>
              </w:rPr>
              <w:t>2</w:t>
            </w:r>
          </w:p>
        </w:tc>
        <w:tc>
          <w:tcPr>
            <w:tcW w:w="1475" w:type="dxa"/>
            <w:vAlign w:val="center"/>
          </w:tcPr>
          <w:p w:rsidR="005C2019" w:rsidRDefault="00F41A08">
            <w:pPr>
              <w:jc w:val="center"/>
            </w:pPr>
            <w:r>
              <w:rPr>
                <w:color w:val="000000"/>
                <w:sz w:val="24"/>
                <w:szCs w:val="24"/>
              </w:rPr>
              <w:t>018005</w:t>
            </w:r>
          </w:p>
        </w:tc>
        <w:tc>
          <w:tcPr>
            <w:tcW w:w="1769" w:type="dxa"/>
            <w:vAlign w:val="center"/>
          </w:tcPr>
          <w:p w:rsidR="005C2019" w:rsidRDefault="00F41A08">
            <w:pPr>
              <w:jc w:val="center"/>
            </w:pPr>
            <w:r>
              <w:rPr>
                <w:color w:val="000000"/>
                <w:sz w:val="24"/>
                <w:szCs w:val="24"/>
              </w:rPr>
              <w:t>国开</w:t>
            </w:r>
            <w:r>
              <w:rPr>
                <w:color w:val="000000"/>
                <w:sz w:val="24"/>
                <w:szCs w:val="24"/>
              </w:rPr>
              <w:t>1701</w:t>
            </w:r>
          </w:p>
        </w:tc>
        <w:tc>
          <w:tcPr>
            <w:tcW w:w="1387" w:type="dxa"/>
            <w:vAlign w:val="center"/>
          </w:tcPr>
          <w:p w:rsidR="005C2019" w:rsidRDefault="00F41A08">
            <w:pPr>
              <w:jc w:val="right"/>
            </w:pPr>
            <w:r>
              <w:rPr>
                <w:color w:val="000000"/>
                <w:sz w:val="24"/>
                <w:szCs w:val="24"/>
              </w:rPr>
              <w:t>400,000</w:t>
            </w:r>
          </w:p>
        </w:tc>
        <w:tc>
          <w:tcPr>
            <w:tcW w:w="2150" w:type="dxa"/>
            <w:vAlign w:val="center"/>
          </w:tcPr>
          <w:p w:rsidR="005C2019" w:rsidRDefault="00F41A08">
            <w:pPr>
              <w:jc w:val="right"/>
            </w:pPr>
            <w:r>
              <w:rPr>
                <w:color w:val="000000"/>
                <w:sz w:val="24"/>
                <w:szCs w:val="24"/>
              </w:rPr>
              <w:t>40,152,000.00</w:t>
            </w:r>
          </w:p>
        </w:tc>
        <w:tc>
          <w:tcPr>
            <w:tcW w:w="1237" w:type="dxa"/>
            <w:vAlign w:val="center"/>
          </w:tcPr>
          <w:p w:rsidR="005C2019" w:rsidRDefault="00F41A08">
            <w:pPr>
              <w:jc w:val="right"/>
            </w:pPr>
            <w:r>
              <w:rPr>
                <w:color w:val="000000"/>
                <w:sz w:val="24"/>
                <w:szCs w:val="24"/>
              </w:rPr>
              <w:t>6.47</w:t>
            </w:r>
          </w:p>
        </w:tc>
      </w:tr>
      <w:tr w:rsidR="005C2019">
        <w:trPr>
          <w:jc w:val="center"/>
        </w:trPr>
        <w:tc>
          <w:tcPr>
            <w:tcW w:w="850" w:type="dxa"/>
            <w:vAlign w:val="center"/>
          </w:tcPr>
          <w:p w:rsidR="005C2019" w:rsidRDefault="00F41A08">
            <w:pPr>
              <w:jc w:val="center"/>
            </w:pPr>
            <w:r>
              <w:rPr>
                <w:color w:val="000000"/>
                <w:sz w:val="24"/>
                <w:szCs w:val="24"/>
              </w:rPr>
              <w:t>3</w:t>
            </w:r>
          </w:p>
        </w:tc>
        <w:tc>
          <w:tcPr>
            <w:tcW w:w="1475" w:type="dxa"/>
            <w:vAlign w:val="center"/>
          </w:tcPr>
          <w:p w:rsidR="005C2019" w:rsidRDefault="00F41A08">
            <w:pPr>
              <w:jc w:val="center"/>
            </w:pPr>
            <w:r>
              <w:rPr>
                <w:color w:val="000000"/>
                <w:sz w:val="24"/>
                <w:szCs w:val="24"/>
              </w:rPr>
              <w:t>136837</w:t>
            </w:r>
          </w:p>
        </w:tc>
        <w:tc>
          <w:tcPr>
            <w:tcW w:w="1769" w:type="dxa"/>
            <w:vAlign w:val="center"/>
          </w:tcPr>
          <w:p w:rsidR="005C2019" w:rsidRDefault="00F41A08">
            <w:pPr>
              <w:jc w:val="center"/>
            </w:pPr>
            <w:r>
              <w:rPr>
                <w:color w:val="000000"/>
                <w:sz w:val="24"/>
                <w:szCs w:val="24"/>
              </w:rPr>
              <w:t>16</w:t>
            </w:r>
            <w:r>
              <w:rPr>
                <w:color w:val="000000"/>
                <w:sz w:val="24"/>
                <w:szCs w:val="24"/>
              </w:rPr>
              <w:t>穗发</w:t>
            </w:r>
            <w:r>
              <w:rPr>
                <w:color w:val="000000"/>
                <w:sz w:val="24"/>
                <w:szCs w:val="24"/>
              </w:rPr>
              <w:t>01</w:t>
            </w:r>
          </w:p>
        </w:tc>
        <w:tc>
          <w:tcPr>
            <w:tcW w:w="1387" w:type="dxa"/>
            <w:vAlign w:val="center"/>
          </w:tcPr>
          <w:p w:rsidR="005C2019" w:rsidRDefault="00F41A08">
            <w:pPr>
              <w:jc w:val="right"/>
            </w:pPr>
            <w:r>
              <w:rPr>
                <w:color w:val="000000"/>
                <w:sz w:val="24"/>
                <w:szCs w:val="24"/>
              </w:rPr>
              <w:t>400,000</w:t>
            </w:r>
          </w:p>
        </w:tc>
        <w:tc>
          <w:tcPr>
            <w:tcW w:w="2150" w:type="dxa"/>
            <w:vAlign w:val="center"/>
          </w:tcPr>
          <w:p w:rsidR="005C2019" w:rsidRDefault="00F41A08">
            <w:pPr>
              <w:jc w:val="right"/>
            </w:pPr>
            <w:r>
              <w:rPr>
                <w:color w:val="000000"/>
                <w:sz w:val="24"/>
                <w:szCs w:val="24"/>
              </w:rPr>
              <w:t>39,180,000.00</w:t>
            </w:r>
          </w:p>
        </w:tc>
        <w:tc>
          <w:tcPr>
            <w:tcW w:w="1237" w:type="dxa"/>
            <w:vAlign w:val="center"/>
          </w:tcPr>
          <w:p w:rsidR="005C2019" w:rsidRDefault="00F41A08">
            <w:pPr>
              <w:jc w:val="right"/>
            </w:pPr>
            <w:r>
              <w:rPr>
                <w:color w:val="000000"/>
                <w:sz w:val="24"/>
                <w:szCs w:val="24"/>
              </w:rPr>
              <w:t>6.32</w:t>
            </w:r>
          </w:p>
        </w:tc>
      </w:tr>
      <w:tr w:rsidR="005C2019">
        <w:trPr>
          <w:jc w:val="center"/>
        </w:trPr>
        <w:tc>
          <w:tcPr>
            <w:tcW w:w="850" w:type="dxa"/>
            <w:vAlign w:val="center"/>
          </w:tcPr>
          <w:p w:rsidR="005C2019" w:rsidRDefault="00F41A08">
            <w:pPr>
              <w:jc w:val="center"/>
            </w:pPr>
            <w:r>
              <w:rPr>
                <w:color w:val="000000"/>
                <w:sz w:val="24"/>
                <w:szCs w:val="24"/>
              </w:rPr>
              <w:t>4</w:t>
            </w:r>
          </w:p>
        </w:tc>
        <w:tc>
          <w:tcPr>
            <w:tcW w:w="1475" w:type="dxa"/>
            <w:vAlign w:val="center"/>
          </w:tcPr>
          <w:p w:rsidR="005C2019" w:rsidRDefault="00F41A08">
            <w:pPr>
              <w:jc w:val="center"/>
            </w:pPr>
            <w:r>
              <w:rPr>
                <w:color w:val="000000"/>
                <w:sz w:val="24"/>
                <w:szCs w:val="24"/>
              </w:rPr>
              <w:t>101654039</w:t>
            </w:r>
          </w:p>
        </w:tc>
        <w:tc>
          <w:tcPr>
            <w:tcW w:w="1769" w:type="dxa"/>
            <w:vAlign w:val="center"/>
          </w:tcPr>
          <w:p w:rsidR="005C2019" w:rsidRDefault="00F41A08">
            <w:pPr>
              <w:jc w:val="center"/>
            </w:pPr>
            <w:r>
              <w:rPr>
                <w:color w:val="000000"/>
                <w:sz w:val="24"/>
                <w:szCs w:val="24"/>
              </w:rPr>
              <w:t>16</w:t>
            </w:r>
            <w:r>
              <w:rPr>
                <w:color w:val="000000"/>
                <w:sz w:val="24"/>
                <w:szCs w:val="24"/>
              </w:rPr>
              <w:t>中建</w:t>
            </w:r>
            <w:r>
              <w:rPr>
                <w:color w:val="000000"/>
                <w:sz w:val="24"/>
                <w:szCs w:val="24"/>
              </w:rPr>
              <w:t>MTN001</w:t>
            </w:r>
          </w:p>
        </w:tc>
        <w:tc>
          <w:tcPr>
            <w:tcW w:w="1387" w:type="dxa"/>
            <w:vAlign w:val="center"/>
          </w:tcPr>
          <w:p w:rsidR="005C2019" w:rsidRDefault="00F41A08">
            <w:pPr>
              <w:jc w:val="right"/>
            </w:pPr>
            <w:r>
              <w:rPr>
                <w:color w:val="000000"/>
                <w:sz w:val="24"/>
                <w:szCs w:val="24"/>
              </w:rPr>
              <w:t>300,000</w:t>
            </w:r>
          </w:p>
        </w:tc>
        <w:tc>
          <w:tcPr>
            <w:tcW w:w="2150" w:type="dxa"/>
            <w:vAlign w:val="center"/>
          </w:tcPr>
          <w:p w:rsidR="005C2019" w:rsidRDefault="00F41A08">
            <w:pPr>
              <w:jc w:val="right"/>
            </w:pPr>
            <w:r>
              <w:rPr>
                <w:color w:val="000000"/>
                <w:sz w:val="24"/>
                <w:szCs w:val="24"/>
              </w:rPr>
              <w:t>29,310,000.00</w:t>
            </w:r>
          </w:p>
        </w:tc>
        <w:tc>
          <w:tcPr>
            <w:tcW w:w="1237" w:type="dxa"/>
            <w:vAlign w:val="center"/>
          </w:tcPr>
          <w:p w:rsidR="005C2019" w:rsidRDefault="00F41A08">
            <w:pPr>
              <w:jc w:val="right"/>
            </w:pPr>
            <w:r>
              <w:rPr>
                <w:color w:val="000000"/>
                <w:sz w:val="24"/>
                <w:szCs w:val="24"/>
              </w:rPr>
              <w:t>4.72</w:t>
            </w:r>
          </w:p>
        </w:tc>
      </w:tr>
      <w:tr w:rsidR="005C2019">
        <w:trPr>
          <w:jc w:val="center"/>
        </w:trPr>
        <w:tc>
          <w:tcPr>
            <w:tcW w:w="850" w:type="dxa"/>
            <w:vAlign w:val="center"/>
          </w:tcPr>
          <w:p w:rsidR="005C2019" w:rsidRDefault="00F41A08">
            <w:pPr>
              <w:jc w:val="center"/>
            </w:pPr>
            <w:r>
              <w:rPr>
                <w:color w:val="000000"/>
                <w:sz w:val="24"/>
                <w:szCs w:val="24"/>
              </w:rPr>
              <w:t>5</w:t>
            </w:r>
          </w:p>
        </w:tc>
        <w:tc>
          <w:tcPr>
            <w:tcW w:w="1475" w:type="dxa"/>
            <w:vAlign w:val="center"/>
          </w:tcPr>
          <w:p w:rsidR="005C2019" w:rsidRDefault="00F41A08">
            <w:pPr>
              <w:jc w:val="center"/>
            </w:pPr>
            <w:r>
              <w:rPr>
                <w:color w:val="000000"/>
                <w:sz w:val="24"/>
                <w:szCs w:val="24"/>
              </w:rPr>
              <w:t>111891373</w:t>
            </w:r>
          </w:p>
        </w:tc>
        <w:tc>
          <w:tcPr>
            <w:tcW w:w="1769" w:type="dxa"/>
            <w:vAlign w:val="center"/>
          </w:tcPr>
          <w:p w:rsidR="005C2019" w:rsidRDefault="00F41A08">
            <w:pPr>
              <w:jc w:val="center"/>
            </w:pPr>
            <w:r>
              <w:rPr>
                <w:color w:val="000000"/>
                <w:sz w:val="24"/>
                <w:szCs w:val="24"/>
              </w:rPr>
              <w:t>18</w:t>
            </w:r>
            <w:r>
              <w:rPr>
                <w:color w:val="000000"/>
                <w:sz w:val="24"/>
                <w:szCs w:val="24"/>
              </w:rPr>
              <w:t>南京银行</w:t>
            </w:r>
            <w:r>
              <w:rPr>
                <w:color w:val="000000"/>
                <w:sz w:val="24"/>
                <w:szCs w:val="24"/>
              </w:rPr>
              <w:t>CD012</w:t>
            </w:r>
          </w:p>
        </w:tc>
        <w:tc>
          <w:tcPr>
            <w:tcW w:w="1387" w:type="dxa"/>
            <w:vAlign w:val="center"/>
          </w:tcPr>
          <w:p w:rsidR="005C2019" w:rsidRDefault="00F41A08">
            <w:pPr>
              <w:jc w:val="right"/>
            </w:pPr>
            <w:r>
              <w:rPr>
                <w:color w:val="000000"/>
                <w:sz w:val="24"/>
                <w:szCs w:val="24"/>
              </w:rPr>
              <w:t>300,000</w:t>
            </w:r>
          </w:p>
        </w:tc>
        <w:tc>
          <w:tcPr>
            <w:tcW w:w="2150" w:type="dxa"/>
            <w:vAlign w:val="center"/>
          </w:tcPr>
          <w:p w:rsidR="005C2019" w:rsidRDefault="00F41A08">
            <w:pPr>
              <w:jc w:val="right"/>
            </w:pPr>
            <w:r>
              <w:rPr>
                <w:color w:val="000000"/>
                <w:sz w:val="24"/>
                <w:szCs w:val="24"/>
              </w:rPr>
              <w:t>29,022,000.00</w:t>
            </w:r>
          </w:p>
        </w:tc>
        <w:tc>
          <w:tcPr>
            <w:tcW w:w="1237" w:type="dxa"/>
            <w:vAlign w:val="center"/>
          </w:tcPr>
          <w:p w:rsidR="005C2019" w:rsidRDefault="00F41A08">
            <w:pPr>
              <w:jc w:val="right"/>
            </w:pPr>
            <w:r>
              <w:rPr>
                <w:color w:val="000000"/>
                <w:sz w:val="24"/>
                <w:szCs w:val="24"/>
              </w:rPr>
              <w:t>4.68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18</w:t>
      </w:r>
      <w:r w:rsidRPr="00BE5388">
        <w:rPr>
          <w:bCs/>
          <w:color w:val="000000"/>
          <w:kern w:val="0"/>
          <w:sz w:val="24"/>
          <w:szCs w:val="24"/>
        </w:rPr>
        <w:t>南京银行</w:t>
      </w:r>
      <w:r w:rsidRPr="00BE5388">
        <w:rPr>
          <w:bCs/>
          <w:color w:val="000000"/>
          <w:kern w:val="0"/>
          <w:sz w:val="24"/>
          <w:szCs w:val="24"/>
        </w:rPr>
        <w:t>CD012</w:t>
      </w:r>
      <w:r w:rsidRPr="00BE5388">
        <w:rPr>
          <w:bCs/>
          <w:color w:val="000000"/>
          <w:kern w:val="0"/>
          <w:sz w:val="24"/>
          <w:szCs w:val="24"/>
        </w:rPr>
        <w:t>（证券代码：</w:t>
      </w:r>
      <w:r w:rsidRPr="00BE5388">
        <w:rPr>
          <w:bCs/>
          <w:color w:val="000000"/>
          <w:kern w:val="0"/>
          <w:sz w:val="24"/>
          <w:szCs w:val="24"/>
        </w:rPr>
        <w:t>111891373</w:t>
      </w:r>
      <w:r w:rsidRPr="00BE5388">
        <w:rPr>
          <w:bCs/>
          <w:color w:val="000000"/>
          <w:kern w:val="0"/>
          <w:sz w:val="24"/>
          <w:szCs w:val="24"/>
        </w:rPr>
        <w:t>）外，未出现被监管部门立案调查，或在报告编制日前一年内受到公开谴责、处罚的情形。</w:t>
      </w:r>
    </w:p>
    <w:p w:rsidR="005C2019" w:rsidRDefault="00F41A08">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18</w:t>
      </w:r>
      <w:r>
        <w:rPr>
          <w:bCs/>
          <w:color w:val="000000"/>
          <w:kern w:val="0"/>
          <w:sz w:val="24"/>
          <w:szCs w:val="24"/>
        </w:rPr>
        <w:t>南京银行</w:t>
      </w:r>
      <w:r>
        <w:rPr>
          <w:bCs/>
          <w:color w:val="000000"/>
          <w:kern w:val="0"/>
          <w:sz w:val="24"/>
          <w:szCs w:val="24"/>
        </w:rPr>
        <w:t>CD012</w:t>
      </w:r>
      <w:r>
        <w:rPr>
          <w:bCs/>
          <w:color w:val="000000"/>
          <w:kern w:val="0"/>
          <w:sz w:val="24"/>
          <w:szCs w:val="24"/>
        </w:rPr>
        <w:t>（证券代码：</w:t>
      </w:r>
      <w:r>
        <w:rPr>
          <w:bCs/>
          <w:color w:val="000000"/>
          <w:kern w:val="0"/>
          <w:sz w:val="24"/>
          <w:szCs w:val="24"/>
        </w:rPr>
        <w:t>111891373</w:t>
      </w:r>
      <w:r>
        <w:rPr>
          <w:bCs/>
          <w:color w:val="000000"/>
          <w:kern w:val="0"/>
          <w:sz w:val="24"/>
          <w:szCs w:val="24"/>
        </w:rPr>
        <w:t>）的发行主体南京银行于</w:t>
      </w:r>
      <w:r>
        <w:rPr>
          <w:bCs/>
          <w:color w:val="000000"/>
          <w:kern w:val="0"/>
          <w:sz w:val="24"/>
          <w:szCs w:val="24"/>
        </w:rPr>
        <w:t>2018</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30</w:t>
      </w:r>
      <w:r>
        <w:rPr>
          <w:bCs/>
          <w:color w:val="000000"/>
          <w:kern w:val="0"/>
          <w:sz w:val="24"/>
          <w:szCs w:val="24"/>
        </w:rPr>
        <w:t>日公告，公司收到中国银行业监督管理委员会江苏监管局行政处罚决定书（苏银监罚决字【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 xml:space="preserve"> 1 </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5C2019" w:rsidRDefault="00F41A08">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5C2019" w:rsidRDefault="00F41A08">
      <w:pPr>
        <w:autoSpaceDE w:val="0"/>
        <w:autoSpaceDN w:val="0"/>
        <w:adjustRightInd w:val="0"/>
        <w:spacing w:before="29" w:line="288" w:lineRule="auto"/>
        <w:jc w:val="left"/>
        <w:rPr>
          <w:bCs/>
          <w:color w:val="000000"/>
          <w:kern w:val="0"/>
          <w:sz w:val="24"/>
          <w:szCs w:val="24"/>
        </w:rPr>
      </w:pPr>
      <w:r>
        <w:rPr>
          <w:bCs/>
          <w:color w:val="000000"/>
          <w:kern w:val="0"/>
          <w:sz w:val="24"/>
          <w:szCs w:val="24"/>
        </w:rPr>
        <w:t>。</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14,126.57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6,971,514.85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6,985,841.12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Default="00474F26" w:rsidP="00C15CAC">
      <w:pPr>
        <w:spacing w:before="29" w:line="288" w:lineRule="auto"/>
        <w:ind w:firstLineChars="200" w:firstLine="480"/>
        <w:rPr>
          <w:color w:val="000000"/>
          <w:sz w:val="24"/>
          <w:szCs w:val="24"/>
        </w:rPr>
      </w:pPr>
      <w:r w:rsidRPr="00474F26">
        <w:rPr>
          <w:rFonts w:hint="eastAsia"/>
          <w:color w:val="000000"/>
          <w:sz w:val="24"/>
          <w:szCs w:val="24"/>
        </w:rPr>
        <w:t>无。</w:t>
      </w:r>
    </w:p>
    <w:p w:rsidR="00474F26" w:rsidRPr="00474F26" w:rsidRDefault="00474F26" w:rsidP="00C15CAC">
      <w:pPr>
        <w:spacing w:before="29" w:line="288" w:lineRule="auto"/>
        <w:ind w:firstLineChars="200" w:firstLine="480"/>
        <w:rPr>
          <w:color w:val="000000"/>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549,667,538.15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103,834.99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102,720.03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549,668,653.11</w:t>
            </w:r>
          </w:p>
        </w:tc>
      </w:tr>
    </w:tbl>
    <w:p w:rsidR="005C2019" w:rsidRDefault="00F41A0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C2019">
        <w:tc>
          <w:tcPr>
            <w:tcW w:w="993" w:type="dxa"/>
            <w:vMerge w:val="restart"/>
          </w:tcPr>
          <w:p w:rsidR="005C2019" w:rsidRDefault="005C2019"/>
          <w:p w:rsidR="005C2019" w:rsidRDefault="00F41A08">
            <w:r>
              <w:rPr>
                <w:rFonts w:ascii="宋体" w:hAnsi="宋体" w:hint="eastAsia"/>
                <w:bCs/>
                <w:color w:val="000000"/>
                <w:kern w:val="0"/>
              </w:rPr>
              <w:t>机构</w:t>
            </w:r>
          </w:p>
        </w:tc>
        <w:tc>
          <w:tcPr>
            <w:tcW w:w="992" w:type="dxa"/>
            <w:vAlign w:val="center"/>
          </w:tcPr>
          <w:p w:rsidR="005C2019" w:rsidRDefault="00F41A08">
            <w:pPr>
              <w:jc w:val="center"/>
            </w:pPr>
            <w:r>
              <w:rPr>
                <w:rFonts w:ascii="宋体" w:hAnsi="宋体"/>
                <w:color w:val="000000"/>
                <w:kern w:val="0"/>
              </w:rPr>
              <w:t>1</w:t>
            </w:r>
          </w:p>
        </w:tc>
        <w:tc>
          <w:tcPr>
            <w:tcW w:w="1843" w:type="dxa"/>
            <w:vAlign w:val="center"/>
          </w:tcPr>
          <w:p w:rsidR="005C2019" w:rsidRDefault="00F41A08">
            <w:pPr>
              <w:jc w:val="center"/>
            </w:pPr>
            <w:r>
              <w:rPr>
                <w:rFonts w:ascii="宋体" w:hAnsi="宋体"/>
                <w:color w:val="000000"/>
                <w:kern w:val="0"/>
              </w:rPr>
              <w:t>2018/4/1-2018/6/30</w:t>
            </w:r>
          </w:p>
        </w:tc>
        <w:tc>
          <w:tcPr>
            <w:tcW w:w="851" w:type="dxa"/>
            <w:vAlign w:val="center"/>
          </w:tcPr>
          <w:p w:rsidR="005C2019" w:rsidRDefault="00F41A08">
            <w:pPr>
              <w:jc w:val="center"/>
            </w:pPr>
            <w:r>
              <w:rPr>
                <w:rFonts w:ascii="宋体" w:hAnsi="宋体"/>
                <w:color w:val="000000"/>
                <w:kern w:val="0"/>
              </w:rPr>
              <w:t>299,816,401.20</w:t>
            </w:r>
          </w:p>
        </w:tc>
        <w:tc>
          <w:tcPr>
            <w:tcW w:w="850" w:type="dxa"/>
            <w:vAlign w:val="center"/>
          </w:tcPr>
          <w:p w:rsidR="005C2019" w:rsidRDefault="00F41A08">
            <w:pPr>
              <w:jc w:val="center"/>
            </w:pPr>
            <w:r>
              <w:rPr>
                <w:rFonts w:ascii="宋体" w:hAnsi="宋体"/>
                <w:color w:val="000000"/>
                <w:kern w:val="0"/>
              </w:rPr>
              <w:t>-</w:t>
            </w:r>
          </w:p>
        </w:tc>
        <w:tc>
          <w:tcPr>
            <w:tcW w:w="1134" w:type="dxa"/>
            <w:vAlign w:val="center"/>
          </w:tcPr>
          <w:p w:rsidR="005C2019" w:rsidRDefault="00F41A08">
            <w:pPr>
              <w:jc w:val="center"/>
            </w:pPr>
            <w:r>
              <w:rPr>
                <w:rFonts w:ascii="宋体" w:hAnsi="宋体"/>
                <w:color w:val="000000"/>
                <w:kern w:val="0"/>
              </w:rPr>
              <w:t>-</w:t>
            </w:r>
          </w:p>
        </w:tc>
        <w:tc>
          <w:tcPr>
            <w:tcW w:w="1419" w:type="dxa"/>
            <w:vAlign w:val="center"/>
          </w:tcPr>
          <w:p w:rsidR="005C2019" w:rsidRDefault="00F41A08">
            <w:pPr>
              <w:jc w:val="center"/>
            </w:pPr>
            <w:r>
              <w:rPr>
                <w:rFonts w:ascii="宋体" w:hAnsi="宋体"/>
                <w:color w:val="000000"/>
                <w:kern w:val="0"/>
              </w:rPr>
              <w:t>299,816,401.20</w:t>
            </w:r>
          </w:p>
        </w:tc>
        <w:tc>
          <w:tcPr>
            <w:tcW w:w="1130" w:type="dxa"/>
            <w:vAlign w:val="center"/>
          </w:tcPr>
          <w:p w:rsidR="005C2019" w:rsidRDefault="00F41A08">
            <w:pPr>
              <w:jc w:val="center"/>
            </w:pPr>
            <w:r>
              <w:rPr>
                <w:rFonts w:ascii="宋体" w:hAnsi="宋体"/>
                <w:color w:val="000000"/>
                <w:kern w:val="0"/>
              </w:rPr>
              <w:t>54.54%</w:t>
            </w:r>
          </w:p>
        </w:tc>
      </w:tr>
      <w:tr w:rsidR="005C2019">
        <w:tc>
          <w:tcPr>
            <w:tcW w:w="993" w:type="dxa"/>
            <w:vMerge/>
          </w:tcPr>
          <w:p w:rsidR="005C2019" w:rsidRDefault="005C2019"/>
        </w:tc>
        <w:tc>
          <w:tcPr>
            <w:tcW w:w="992" w:type="dxa"/>
            <w:vAlign w:val="center"/>
          </w:tcPr>
          <w:p w:rsidR="005C2019" w:rsidRDefault="00F41A08">
            <w:pPr>
              <w:jc w:val="center"/>
            </w:pPr>
            <w:r>
              <w:rPr>
                <w:rFonts w:ascii="宋体" w:hAnsi="宋体"/>
                <w:color w:val="000000"/>
                <w:kern w:val="0"/>
              </w:rPr>
              <w:t>2</w:t>
            </w:r>
          </w:p>
        </w:tc>
        <w:tc>
          <w:tcPr>
            <w:tcW w:w="1843" w:type="dxa"/>
            <w:vAlign w:val="center"/>
          </w:tcPr>
          <w:p w:rsidR="005C2019" w:rsidRDefault="00F41A08">
            <w:pPr>
              <w:jc w:val="center"/>
            </w:pPr>
            <w:r>
              <w:rPr>
                <w:rFonts w:ascii="宋体" w:hAnsi="宋体"/>
                <w:color w:val="000000"/>
                <w:kern w:val="0"/>
              </w:rPr>
              <w:t>2018/4/1-2018/6/30</w:t>
            </w:r>
          </w:p>
        </w:tc>
        <w:tc>
          <w:tcPr>
            <w:tcW w:w="851" w:type="dxa"/>
            <w:vAlign w:val="center"/>
          </w:tcPr>
          <w:p w:rsidR="005C2019" w:rsidRDefault="00F41A08">
            <w:pPr>
              <w:jc w:val="center"/>
            </w:pPr>
            <w:r>
              <w:rPr>
                <w:rFonts w:ascii="宋体" w:hAnsi="宋体"/>
                <w:color w:val="000000"/>
                <w:kern w:val="0"/>
              </w:rPr>
              <w:t>249,500,000.00</w:t>
            </w:r>
          </w:p>
        </w:tc>
        <w:tc>
          <w:tcPr>
            <w:tcW w:w="850" w:type="dxa"/>
            <w:vAlign w:val="center"/>
          </w:tcPr>
          <w:p w:rsidR="005C2019" w:rsidRDefault="00F41A08">
            <w:pPr>
              <w:jc w:val="center"/>
            </w:pPr>
            <w:r>
              <w:rPr>
                <w:rFonts w:ascii="宋体" w:hAnsi="宋体"/>
                <w:color w:val="000000"/>
                <w:kern w:val="0"/>
              </w:rPr>
              <w:t>-</w:t>
            </w:r>
          </w:p>
        </w:tc>
        <w:tc>
          <w:tcPr>
            <w:tcW w:w="1134" w:type="dxa"/>
            <w:vAlign w:val="center"/>
          </w:tcPr>
          <w:p w:rsidR="005C2019" w:rsidRDefault="00F41A08">
            <w:pPr>
              <w:jc w:val="center"/>
            </w:pPr>
            <w:r>
              <w:rPr>
                <w:rFonts w:ascii="宋体" w:hAnsi="宋体"/>
                <w:color w:val="000000"/>
                <w:kern w:val="0"/>
              </w:rPr>
              <w:t>-</w:t>
            </w:r>
          </w:p>
        </w:tc>
        <w:tc>
          <w:tcPr>
            <w:tcW w:w="1419" w:type="dxa"/>
            <w:vAlign w:val="center"/>
          </w:tcPr>
          <w:p w:rsidR="005C2019" w:rsidRDefault="00F41A08">
            <w:pPr>
              <w:jc w:val="center"/>
            </w:pPr>
            <w:r>
              <w:rPr>
                <w:rFonts w:ascii="宋体" w:hAnsi="宋体"/>
                <w:color w:val="000000"/>
                <w:kern w:val="0"/>
              </w:rPr>
              <w:t>249,500,000.00</w:t>
            </w:r>
          </w:p>
        </w:tc>
        <w:tc>
          <w:tcPr>
            <w:tcW w:w="1130" w:type="dxa"/>
            <w:vAlign w:val="center"/>
          </w:tcPr>
          <w:p w:rsidR="005C2019" w:rsidRDefault="00F41A08">
            <w:pPr>
              <w:jc w:val="center"/>
            </w:pPr>
            <w:r>
              <w:rPr>
                <w:rFonts w:ascii="宋体" w:hAnsi="宋体"/>
                <w:color w:val="000000"/>
                <w:kern w:val="0"/>
              </w:rPr>
              <w:t>45.39%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w:t>
            </w:r>
            <w:r w:rsidRPr="004F4D27">
              <w:rPr>
                <w:rFonts w:ascii="宋体" w:hAnsi="宋体" w:hint="eastAsia"/>
                <w:kern w:val="0"/>
              </w:rPr>
              <w:lastRenderedPageBreak/>
              <w:t>强流动性管理，防范相关风险，保护持有人利益。</w:t>
            </w:r>
          </w:p>
        </w:tc>
      </w:tr>
    </w:tbl>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C2019" w:rsidRDefault="00F41A0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、中国证监会准予交银施罗德领先回报灵活配置混合型证券投资基金募集注册的文件；</w:t>
      </w:r>
      <w:r>
        <w:rPr>
          <w:color w:val="000000"/>
          <w:sz w:val="24"/>
          <w:szCs w:val="24"/>
        </w:rPr>
        <w:t xml:space="preserve"> </w:t>
      </w:r>
    </w:p>
    <w:p w:rsidR="005C2019" w:rsidRDefault="00F41A0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、《交银施罗德领先回报灵活配置混合型证券投资基金基金合同》；</w:t>
      </w:r>
      <w:r>
        <w:rPr>
          <w:color w:val="000000"/>
          <w:sz w:val="24"/>
          <w:szCs w:val="24"/>
        </w:rPr>
        <w:t xml:space="preserve"> </w:t>
      </w:r>
    </w:p>
    <w:p w:rsidR="005C2019" w:rsidRDefault="00F41A0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、《交银施罗德领先回报灵活配置混合型证券投资基金招募说明书》；</w:t>
      </w:r>
      <w:r>
        <w:rPr>
          <w:color w:val="000000"/>
          <w:sz w:val="24"/>
          <w:szCs w:val="24"/>
        </w:rPr>
        <w:t xml:space="preserve"> </w:t>
      </w:r>
    </w:p>
    <w:p w:rsidR="005C2019" w:rsidRDefault="00F41A0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、《交银施罗德领先回报灵活配置混合型证券投资基金托管协议》；</w:t>
      </w:r>
      <w:r>
        <w:rPr>
          <w:color w:val="000000"/>
          <w:sz w:val="24"/>
          <w:szCs w:val="24"/>
        </w:rPr>
        <w:t xml:space="preserve"> </w:t>
      </w:r>
    </w:p>
    <w:p w:rsidR="005C2019" w:rsidRDefault="00F41A08">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、关于申请募集注册交银施罗德领先回报灵活配置混合型证券投资基金的法律意见书；</w:t>
      </w:r>
      <w:r>
        <w:rPr>
          <w:color w:val="000000"/>
          <w:sz w:val="24"/>
          <w:szCs w:val="24"/>
        </w:rPr>
        <w:t xml:space="preserve"> </w:t>
      </w:r>
    </w:p>
    <w:p w:rsidR="005C2019" w:rsidRDefault="00F41A0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C2019" w:rsidRDefault="00F41A0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、报告期内交银施罗德领先回报灵活配置混合型证券投资基金在指定报刊上各项公告的原稿。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C2019" w:rsidRDefault="00F41A0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D35" w:rsidRDefault="000F0D35" w:rsidP="00876D65">
      <w:r>
        <w:separator/>
      </w:r>
    </w:p>
  </w:endnote>
  <w:endnote w:type="continuationSeparator" w:id="0">
    <w:p w:rsidR="000F0D35" w:rsidRDefault="000F0D3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7D30C6">
      <w:rPr>
        <w:noProof/>
        <w:kern w:val="0"/>
        <w:szCs w:val="21"/>
      </w:rPr>
      <w:t>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7D30C6">
      <w:rPr>
        <w:noProof/>
        <w:kern w:val="0"/>
        <w:szCs w:val="21"/>
      </w:rPr>
      <w:t>14</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D35" w:rsidRDefault="000F0D35" w:rsidP="00876D65">
      <w:r>
        <w:separator/>
      </w:r>
    </w:p>
  </w:footnote>
  <w:footnote w:type="continuationSeparator" w:id="0">
    <w:p w:rsidR="000F0D35" w:rsidRDefault="000F0D3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交银施罗德领先回报灵活配置混合型证券投资基金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0D35"/>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266E"/>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74F26"/>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C2019"/>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D30C6"/>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16D5"/>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1A08"/>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474F26"/>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8F76-BC88-4B4D-B07F-623FE9D2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14</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579</cp:revision>
  <dcterms:created xsi:type="dcterms:W3CDTF">2012-10-16T06:07:00Z</dcterms:created>
  <dcterms:modified xsi:type="dcterms:W3CDTF">2018-07-16T07:53:00Z</dcterms:modified>
</cp:coreProperties>
</file>