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交银施罗德裕兴纯债债券型证券投资基金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14652" w:rsidRPr="00B14652" w:rsidRDefault="00B14652" w:rsidP="00B14652">
      <w:pPr>
        <w:spacing w:before="29" w:line="288" w:lineRule="auto"/>
        <w:ind w:firstLineChars="200" w:firstLine="480"/>
        <w:rPr>
          <w:rFonts w:eastAsiaTheme="minorEastAsia" w:hint="eastAsia"/>
          <w:color w:val="000000"/>
          <w:sz w:val="24"/>
        </w:rPr>
      </w:pPr>
      <w:r w:rsidRPr="00B14652">
        <w:rPr>
          <w:rFonts w:eastAsiaTheme="minorEastAsia" w:hint="eastAsia"/>
          <w:color w:val="000000"/>
          <w:sz w:val="24"/>
        </w:rPr>
        <w:t>本基金自</w:t>
      </w:r>
      <w:r w:rsidRPr="00B14652">
        <w:rPr>
          <w:rFonts w:eastAsiaTheme="minorEastAsia" w:hint="eastAsia"/>
          <w:color w:val="000000"/>
          <w:sz w:val="24"/>
        </w:rPr>
        <w:t>2018</w:t>
      </w:r>
      <w:r w:rsidRPr="00B14652">
        <w:rPr>
          <w:rFonts w:eastAsiaTheme="minorEastAsia" w:hint="eastAsia"/>
          <w:color w:val="000000"/>
          <w:sz w:val="24"/>
        </w:rPr>
        <w:t>年</w:t>
      </w:r>
      <w:r w:rsidRPr="00B14652">
        <w:rPr>
          <w:rFonts w:eastAsiaTheme="minorEastAsia" w:hint="eastAsia"/>
          <w:color w:val="000000"/>
          <w:sz w:val="24"/>
        </w:rPr>
        <w:t>5</w:t>
      </w:r>
      <w:r w:rsidRPr="00B14652">
        <w:rPr>
          <w:rFonts w:eastAsiaTheme="minorEastAsia" w:hint="eastAsia"/>
          <w:color w:val="000000"/>
          <w:sz w:val="24"/>
        </w:rPr>
        <w:t>月</w:t>
      </w:r>
      <w:r w:rsidRPr="00B14652">
        <w:rPr>
          <w:rFonts w:eastAsiaTheme="minorEastAsia" w:hint="eastAsia"/>
          <w:color w:val="000000"/>
          <w:sz w:val="24"/>
        </w:rPr>
        <w:t>17</w:t>
      </w:r>
      <w:r w:rsidRPr="00B14652">
        <w:rPr>
          <w:rFonts w:eastAsiaTheme="minorEastAsia" w:hint="eastAsia"/>
          <w:color w:val="000000"/>
          <w:sz w:val="24"/>
        </w:rPr>
        <w:t>日起进入清算程序，财务报表数据披露截至</w:t>
      </w:r>
      <w:r w:rsidRPr="00B14652">
        <w:rPr>
          <w:rFonts w:eastAsiaTheme="minorEastAsia" w:hint="eastAsia"/>
          <w:color w:val="000000"/>
          <w:sz w:val="24"/>
        </w:rPr>
        <w:t>2018</w:t>
      </w:r>
      <w:r w:rsidRPr="00B14652">
        <w:rPr>
          <w:rFonts w:eastAsiaTheme="minorEastAsia" w:hint="eastAsia"/>
          <w:color w:val="000000"/>
          <w:sz w:val="24"/>
        </w:rPr>
        <w:t>年</w:t>
      </w:r>
      <w:r w:rsidRPr="00B14652">
        <w:rPr>
          <w:rFonts w:eastAsiaTheme="minorEastAsia" w:hint="eastAsia"/>
          <w:color w:val="000000"/>
          <w:sz w:val="24"/>
        </w:rPr>
        <w:t>5</w:t>
      </w:r>
      <w:r w:rsidRPr="00B14652">
        <w:rPr>
          <w:rFonts w:eastAsiaTheme="minorEastAsia" w:hint="eastAsia"/>
          <w:color w:val="000000"/>
          <w:sz w:val="24"/>
        </w:rPr>
        <w:t>月</w:t>
      </w:r>
      <w:r w:rsidRPr="00B14652">
        <w:rPr>
          <w:rFonts w:eastAsiaTheme="minorEastAsia" w:hint="eastAsia"/>
          <w:color w:val="000000"/>
          <w:sz w:val="24"/>
        </w:rPr>
        <w:t>16</w:t>
      </w:r>
      <w:r w:rsidRPr="00B14652">
        <w:rPr>
          <w:rFonts w:eastAsiaTheme="minorEastAsia" w:hint="eastAsia"/>
          <w:color w:val="000000"/>
          <w:sz w:val="24"/>
        </w:rPr>
        <w:t>日</w:t>
      </w:r>
      <w:r w:rsidRPr="00B14652">
        <w:rPr>
          <w:rFonts w:eastAsiaTheme="minorEastAsia" w:hint="eastAsia"/>
          <w:color w:val="000000"/>
          <w:sz w:val="24"/>
        </w:rPr>
        <w:t>(</w:t>
      </w:r>
      <w:r w:rsidRPr="00B14652">
        <w:rPr>
          <w:rFonts w:eastAsiaTheme="minorEastAsia" w:hint="eastAsia"/>
          <w:color w:val="000000"/>
          <w:sz w:val="24"/>
        </w:rPr>
        <w:t>基金最后运作日</w:t>
      </w:r>
      <w:r w:rsidRPr="00B14652">
        <w:rPr>
          <w:rFonts w:eastAsiaTheme="minorEastAsia" w:hint="eastAsia"/>
          <w:color w:val="000000"/>
          <w:sz w:val="24"/>
        </w:rPr>
        <w:t>)</w:t>
      </w:r>
      <w:r w:rsidRPr="00B14652">
        <w:rPr>
          <w:rFonts w:eastAsiaTheme="minorEastAsia" w:hint="eastAsia"/>
          <w:color w:val="000000"/>
          <w:sz w:val="24"/>
        </w:rPr>
        <w:t>，本报告中财务资料未经审计。</w:t>
      </w:r>
    </w:p>
    <w:p w:rsidR="00740635" w:rsidRPr="007F52FA" w:rsidRDefault="00B14652" w:rsidP="007C14DF">
      <w:pPr>
        <w:spacing w:before="29" w:line="288" w:lineRule="auto"/>
        <w:ind w:firstLineChars="200" w:firstLine="480"/>
        <w:rPr>
          <w:rFonts w:eastAsiaTheme="minorEastAsia"/>
          <w:color w:val="000000"/>
          <w:sz w:val="24"/>
        </w:rPr>
      </w:pPr>
      <w:r w:rsidRPr="00B14652">
        <w:rPr>
          <w:rFonts w:eastAsiaTheme="minorEastAsia" w:hint="eastAsia"/>
          <w:color w:val="000000"/>
          <w:sz w:val="24"/>
        </w:rPr>
        <w:t>本报告期自</w:t>
      </w:r>
      <w:r w:rsidRPr="00B14652">
        <w:rPr>
          <w:rFonts w:eastAsiaTheme="minorEastAsia" w:hint="eastAsia"/>
          <w:color w:val="000000"/>
          <w:sz w:val="24"/>
        </w:rPr>
        <w:t>2018</w:t>
      </w:r>
      <w:r w:rsidRPr="00B14652">
        <w:rPr>
          <w:rFonts w:eastAsiaTheme="minorEastAsia" w:hint="eastAsia"/>
          <w:color w:val="000000"/>
          <w:sz w:val="24"/>
        </w:rPr>
        <w:t>年</w:t>
      </w:r>
      <w:r w:rsidRPr="00B14652">
        <w:rPr>
          <w:rFonts w:eastAsiaTheme="minorEastAsia" w:hint="eastAsia"/>
          <w:color w:val="000000"/>
          <w:sz w:val="24"/>
        </w:rPr>
        <w:t>4</w:t>
      </w:r>
      <w:r w:rsidRPr="00B14652">
        <w:rPr>
          <w:rFonts w:eastAsiaTheme="minorEastAsia" w:hint="eastAsia"/>
          <w:color w:val="000000"/>
          <w:sz w:val="24"/>
        </w:rPr>
        <w:t>月</w:t>
      </w:r>
      <w:r w:rsidRPr="00B14652">
        <w:rPr>
          <w:rFonts w:eastAsiaTheme="minorEastAsia" w:hint="eastAsia"/>
          <w:color w:val="000000"/>
          <w:sz w:val="24"/>
        </w:rPr>
        <w:t>1</w:t>
      </w:r>
      <w:r w:rsidRPr="00B14652">
        <w:rPr>
          <w:rFonts w:eastAsiaTheme="minorEastAsia" w:hint="eastAsia"/>
          <w:color w:val="000000"/>
          <w:sz w:val="24"/>
        </w:rPr>
        <w:t>日起至</w:t>
      </w:r>
      <w:r w:rsidRPr="00B14652">
        <w:rPr>
          <w:rFonts w:eastAsiaTheme="minorEastAsia" w:hint="eastAsia"/>
          <w:color w:val="000000"/>
          <w:sz w:val="24"/>
        </w:rPr>
        <w:t>5</w:t>
      </w:r>
      <w:r w:rsidRPr="00B14652">
        <w:rPr>
          <w:rFonts w:eastAsiaTheme="minorEastAsia" w:hint="eastAsia"/>
          <w:color w:val="000000"/>
          <w:sz w:val="24"/>
        </w:rPr>
        <w:t>月</w:t>
      </w:r>
      <w:r w:rsidRPr="00B14652">
        <w:rPr>
          <w:rFonts w:eastAsiaTheme="minorEastAsia" w:hint="eastAsia"/>
          <w:color w:val="000000"/>
          <w:sz w:val="24"/>
        </w:rPr>
        <w:t>16</w:t>
      </w:r>
      <w:r w:rsidRPr="00B14652">
        <w:rPr>
          <w:rFonts w:eastAsiaTheme="minorEastAsia" w:hint="eastAsia"/>
          <w:color w:val="000000"/>
          <w:sz w:val="24"/>
        </w:rPr>
        <w:t>日止。</w:t>
      </w: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交银裕兴纯债债券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11,920,934.85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本基金在控制风险和保持资产流动性的基础上，通过积极主动的投资管理，追求基金资产的长期稳健增值，力争较高的投资回报。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519774</w:t>
            </w:r>
          </w:p>
        </w:tc>
        <w:tc>
          <w:tcPr>
            <w:tcW w:w="3048" w:type="dxa"/>
            <w:vAlign w:val="center"/>
          </w:tcPr>
          <w:p w:rsidR="00C23B30" w:rsidRPr="000E4C40" w:rsidRDefault="00C23B30" w:rsidP="00A52A9E">
            <w:pPr>
              <w:spacing w:before="29" w:line="288" w:lineRule="auto"/>
              <w:jc w:val="left"/>
              <w:rPr>
                <w:sz w:val="24"/>
              </w:rPr>
            </w:pPr>
            <w:r w:rsidRPr="000E4C40">
              <w:rPr>
                <w:sz w:val="24"/>
              </w:rPr>
              <w:t>519775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3,912,296.58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8,008,638.27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00B53BE8">
              <w:rPr>
                <w:color w:val="000000"/>
                <w:sz w:val="24"/>
              </w:rPr>
              <w:t>5</w:t>
            </w:r>
            <w:r w:rsidRPr="00414345">
              <w:rPr>
                <w:color w:val="000000"/>
                <w:sz w:val="24"/>
              </w:rPr>
              <w:t>月</w:t>
            </w:r>
            <w:r w:rsidR="00B53BE8">
              <w:rPr>
                <w:color w:val="000000"/>
                <w:sz w:val="24"/>
              </w:rPr>
              <w:t>16</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交银裕兴纯债债券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交银裕兴纯债债券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2,083.89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-153.45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4,541.48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4,588.96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4,125,149.00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8,156,876.15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1.019</w:t>
            </w:r>
          </w:p>
        </w:tc>
      </w:tr>
    </w:tbl>
    <w:p w:rsidR="008F6942" w:rsidRDefault="0086049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交银裕兴纯债债券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F6942">
        <w:trPr>
          <w:jc w:val="center"/>
        </w:trPr>
        <w:tc>
          <w:tcPr>
            <w:tcW w:w="1266" w:type="dxa"/>
            <w:vAlign w:val="center"/>
          </w:tcPr>
          <w:p w:rsidR="008F6942" w:rsidRDefault="0086049E">
            <w:pPr>
              <w:jc w:val="left"/>
            </w:pPr>
            <w:r>
              <w:rPr>
                <w:color w:val="000000"/>
                <w:sz w:val="24"/>
              </w:rPr>
              <w:lastRenderedPageBreak/>
              <w:t>过去三个月</w:t>
            </w:r>
          </w:p>
        </w:tc>
        <w:tc>
          <w:tcPr>
            <w:tcW w:w="1267" w:type="dxa"/>
            <w:vAlign w:val="center"/>
          </w:tcPr>
          <w:p w:rsidR="008F6942" w:rsidRDefault="0086049E">
            <w:pPr>
              <w:jc w:val="center"/>
            </w:pPr>
            <w:r>
              <w:rPr>
                <w:color w:val="000000"/>
                <w:sz w:val="24"/>
              </w:rPr>
              <w:t>0.09%</w:t>
            </w:r>
          </w:p>
        </w:tc>
        <w:tc>
          <w:tcPr>
            <w:tcW w:w="1267" w:type="dxa"/>
            <w:vAlign w:val="center"/>
          </w:tcPr>
          <w:p w:rsidR="008F6942" w:rsidRDefault="0086049E">
            <w:pPr>
              <w:jc w:val="center"/>
            </w:pPr>
            <w:r>
              <w:rPr>
                <w:color w:val="000000"/>
                <w:sz w:val="24"/>
              </w:rPr>
              <w:t>0.06%</w:t>
            </w:r>
          </w:p>
        </w:tc>
        <w:tc>
          <w:tcPr>
            <w:tcW w:w="1267" w:type="dxa"/>
            <w:vAlign w:val="center"/>
          </w:tcPr>
          <w:p w:rsidR="008F6942" w:rsidRDefault="0086049E">
            <w:pPr>
              <w:jc w:val="center"/>
            </w:pPr>
            <w:r>
              <w:rPr>
                <w:color w:val="000000"/>
                <w:sz w:val="24"/>
              </w:rPr>
              <w:t>0.50%</w:t>
            </w:r>
          </w:p>
        </w:tc>
        <w:tc>
          <w:tcPr>
            <w:tcW w:w="1267" w:type="dxa"/>
            <w:vAlign w:val="center"/>
          </w:tcPr>
          <w:p w:rsidR="008F6942" w:rsidRDefault="0086049E">
            <w:pPr>
              <w:jc w:val="center"/>
            </w:pPr>
            <w:r>
              <w:rPr>
                <w:color w:val="000000"/>
                <w:sz w:val="24"/>
              </w:rPr>
              <w:t>0.13%</w:t>
            </w:r>
          </w:p>
        </w:tc>
        <w:tc>
          <w:tcPr>
            <w:tcW w:w="1267" w:type="dxa"/>
            <w:vAlign w:val="center"/>
          </w:tcPr>
          <w:p w:rsidR="008F6942" w:rsidRDefault="0086049E">
            <w:pPr>
              <w:jc w:val="center"/>
            </w:pPr>
            <w:r>
              <w:rPr>
                <w:color w:val="000000"/>
                <w:sz w:val="24"/>
              </w:rPr>
              <w:t>-0.41%</w:t>
            </w:r>
          </w:p>
        </w:tc>
        <w:tc>
          <w:tcPr>
            <w:tcW w:w="1267" w:type="dxa"/>
            <w:vAlign w:val="center"/>
          </w:tcPr>
          <w:p w:rsidR="008F6942" w:rsidRDefault="0086049E">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交银裕兴纯债债券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F6942">
        <w:trPr>
          <w:jc w:val="center"/>
        </w:trPr>
        <w:tc>
          <w:tcPr>
            <w:tcW w:w="1266" w:type="dxa"/>
            <w:vAlign w:val="center"/>
          </w:tcPr>
          <w:p w:rsidR="008F6942" w:rsidRDefault="0086049E">
            <w:pPr>
              <w:jc w:val="left"/>
            </w:pPr>
            <w:r>
              <w:rPr>
                <w:color w:val="000000"/>
                <w:sz w:val="24"/>
              </w:rPr>
              <w:t>过去三个月</w:t>
            </w:r>
          </w:p>
        </w:tc>
        <w:tc>
          <w:tcPr>
            <w:tcW w:w="1267" w:type="dxa"/>
            <w:vAlign w:val="center"/>
          </w:tcPr>
          <w:p w:rsidR="008F6942" w:rsidRDefault="0086049E">
            <w:pPr>
              <w:jc w:val="center"/>
            </w:pPr>
            <w:r>
              <w:rPr>
                <w:color w:val="000000"/>
                <w:sz w:val="24"/>
              </w:rPr>
              <w:t>0.10%</w:t>
            </w:r>
          </w:p>
        </w:tc>
        <w:tc>
          <w:tcPr>
            <w:tcW w:w="1267" w:type="dxa"/>
            <w:vAlign w:val="center"/>
          </w:tcPr>
          <w:p w:rsidR="008F6942" w:rsidRDefault="0086049E">
            <w:pPr>
              <w:jc w:val="center"/>
            </w:pPr>
            <w:r>
              <w:rPr>
                <w:color w:val="000000"/>
                <w:sz w:val="24"/>
              </w:rPr>
              <w:t>0.05%</w:t>
            </w:r>
          </w:p>
        </w:tc>
        <w:tc>
          <w:tcPr>
            <w:tcW w:w="1267" w:type="dxa"/>
            <w:vAlign w:val="center"/>
          </w:tcPr>
          <w:p w:rsidR="008F6942" w:rsidRDefault="0086049E">
            <w:pPr>
              <w:jc w:val="center"/>
            </w:pPr>
            <w:r>
              <w:rPr>
                <w:color w:val="000000"/>
                <w:sz w:val="24"/>
              </w:rPr>
              <w:t>0.50%</w:t>
            </w:r>
          </w:p>
        </w:tc>
        <w:tc>
          <w:tcPr>
            <w:tcW w:w="1267" w:type="dxa"/>
            <w:vAlign w:val="center"/>
          </w:tcPr>
          <w:p w:rsidR="008F6942" w:rsidRDefault="0086049E">
            <w:pPr>
              <w:jc w:val="center"/>
            </w:pPr>
            <w:r>
              <w:rPr>
                <w:color w:val="000000"/>
                <w:sz w:val="24"/>
              </w:rPr>
              <w:t>0.13%</w:t>
            </w:r>
          </w:p>
        </w:tc>
        <w:tc>
          <w:tcPr>
            <w:tcW w:w="1267" w:type="dxa"/>
            <w:vAlign w:val="center"/>
          </w:tcPr>
          <w:p w:rsidR="008F6942" w:rsidRDefault="0086049E">
            <w:pPr>
              <w:jc w:val="center"/>
            </w:pPr>
            <w:r>
              <w:rPr>
                <w:color w:val="000000"/>
                <w:sz w:val="24"/>
              </w:rPr>
              <w:t>-0.40%</w:t>
            </w:r>
          </w:p>
        </w:tc>
        <w:tc>
          <w:tcPr>
            <w:tcW w:w="1267" w:type="dxa"/>
            <w:vAlign w:val="center"/>
          </w:tcPr>
          <w:p w:rsidR="008F6942" w:rsidRDefault="0086049E">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交银施罗德裕兴纯债债券型证券投资基金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00B53BE8">
        <w:rPr>
          <w:rFonts w:ascii="Times New Roman" w:hAnsi="Times New Roman"/>
          <w:sz w:val="24"/>
          <w:szCs w:val="24"/>
        </w:rPr>
        <w:t>5</w:t>
      </w:r>
      <w:r w:rsidRPr="007F52FA">
        <w:rPr>
          <w:rFonts w:ascii="Times New Roman" w:hAnsi="Times New Roman"/>
          <w:sz w:val="24"/>
          <w:szCs w:val="24"/>
        </w:rPr>
        <w:t>月</w:t>
      </w:r>
      <w:r w:rsidR="00B53BE8">
        <w:rPr>
          <w:rFonts w:ascii="Times New Roman" w:hAnsi="Times New Roman"/>
          <w:sz w:val="24"/>
          <w:szCs w:val="24"/>
        </w:rPr>
        <w:t>16</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交银裕兴纯债债券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17</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16</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交银裕兴纯债债券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17</w:t>
      </w:r>
      <w:r w:rsidRPr="007F52FA">
        <w:rPr>
          <w:color w:val="000000"/>
          <w:sz w:val="24"/>
        </w:rPr>
        <w:t>日起，本基金进入清算程序，图示日期为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16</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F6942">
        <w:trPr>
          <w:jc w:val="center"/>
        </w:trPr>
        <w:tc>
          <w:tcPr>
            <w:tcW w:w="946" w:type="dxa"/>
            <w:vAlign w:val="center"/>
          </w:tcPr>
          <w:p w:rsidR="008F6942" w:rsidRDefault="0086049E">
            <w:pPr>
              <w:jc w:val="center"/>
            </w:pPr>
            <w:r>
              <w:rPr>
                <w:color w:val="000000"/>
                <w:sz w:val="24"/>
              </w:rPr>
              <w:t>连端清</w:t>
            </w:r>
          </w:p>
        </w:tc>
        <w:tc>
          <w:tcPr>
            <w:tcW w:w="924" w:type="dxa"/>
            <w:vAlign w:val="center"/>
          </w:tcPr>
          <w:p w:rsidR="008F6942" w:rsidRDefault="0086049E">
            <w:pPr>
              <w:jc w:val="center"/>
            </w:pPr>
            <w:r>
              <w:rPr>
                <w:color w:val="000000"/>
                <w:sz w:val="24"/>
              </w:rPr>
              <w:t>交银货币、交银理财</w:t>
            </w:r>
            <w:r>
              <w:rPr>
                <w:color w:val="000000"/>
                <w:sz w:val="24"/>
              </w:rPr>
              <w:t>60</w:t>
            </w:r>
            <w:r>
              <w:rPr>
                <w:color w:val="000000"/>
                <w:sz w:val="24"/>
              </w:rPr>
              <w:t>天债券、交银丰盈收益</w:t>
            </w:r>
            <w:r>
              <w:rPr>
                <w:color w:val="000000"/>
                <w:sz w:val="24"/>
              </w:rPr>
              <w:lastRenderedPageBreak/>
              <w:t>债券、交银现金宝货币、交银丰润收益债券、交银活期通货币、交银天利宝货币、交银裕兴纯债债券、交银裕盈纯债债券、交银裕利纯债债券、交银裕隆纯债债券、交银天鑫宝货币、交银天益宝货币、交银境尚收益债券、交银天</w:t>
            </w:r>
            <w:r>
              <w:rPr>
                <w:color w:val="000000"/>
                <w:sz w:val="24"/>
              </w:rPr>
              <w:lastRenderedPageBreak/>
              <w:t>运宝货币的基金经理</w:t>
            </w:r>
          </w:p>
        </w:tc>
        <w:tc>
          <w:tcPr>
            <w:tcW w:w="1202" w:type="dxa"/>
            <w:vAlign w:val="center"/>
          </w:tcPr>
          <w:p w:rsidR="008F6942" w:rsidRDefault="0086049E">
            <w:pPr>
              <w:jc w:val="center"/>
            </w:pPr>
            <w:r>
              <w:rPr>
                <w:color w:val="000000"/>
                <w:sz w:val="24"/>
              </w:rPr>
              <w:lastRenderedPageBreak/>
              <w:t>2017-03-31</w:t>
            </w:r>
          </w:p>
        </w:tc>
        <w:tc>
          <w:tcPr>
            <w:tcW w:w="1300" w:type="dxa"/>
            <w:vAlign w:val="center"/>
          </w:tcPr>
          <w:p w:rsidR="008F6942" w:rsidRDefault="0086049E">
            <w:pPr>
              <w:jc w:val="center"/>
            </w:pPr>
            <w:r>
              <w:rPr>
                <w:color w:val="000000"/>
                <w:sz w:val="24"/>
              </w:rPr>
              <w:t>-</w:t>
            </w:r>
          </w:p>
        </w:tc>
        <w:tc>
          <w:tcPr>
            <w:tcW w:w="1245" w:type="dxa"/>
            <w:vAlign w:val="center"/>
          </w:tcPr>
          <w:p w:rsidR="008F6942" w:rsidRDefault="0086049E">
            <w:pPr>
              <w:jc w:val="center"/>
            </w:pPr>
            <w:r>
              <w:rPr>
                <w:color w:val="000000"/>
                <w:sz w:val="24"/>
              </w:rPr>
              <w:t>5</w:t>
            </w:r>
            <w:r>
              <w:rPr>
                <w:color w:val="000000"/>
                <w:sz w:val="24"/>
              </w:rPr>
              <w:t>年</w:t>
            </w:r>
          </w:p>
        </w:tc>
        <w:tc>
          <w:tcPr>
            <w:tcW w:w="3251" w:type="dxa"/>
            <w:vAlign w:val="center"/>
          </w:tcPr>
          <w:p w:rsidR="008F6942" w:rsidRDefault="0086049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8F6942" w:rsidRDefault="0086049E">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8F6942" w:rsidRDefault="0086049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F6942" w:rsidRDefault="008604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F6942" w:rsidRDefault="008604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6942" w:rsidRDefault="008604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w:t>
      </w:r>
      <w:r w:rsidRPr="007F52FA">
        <w:rPr>
          <w:color w:val="000000"/>
          <w:sz w:val="24"/>
        </w:rPr>
        <w:lastRenderedPageBreak/>
        <w:t>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F6942" w:rsidRDefault="0086049E">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房地产投资增速保持两位数以上高速增长，但基建投资增速五月份下滑至低位且拖累固定资产投资增速下行。消费延续年初以来下行的态势。由于美国发起贸易战，我国短期内面临较为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8F6942" w:rsidRDefault="0086049E">
      <w:pPr>
        <w:spacing w:before="29" w:line="288" w:lineRule="auto"/>
        <w:ind w:firstLineChars="200" w:firstLine="480"/>
        <w:rPr>
          <w:color w:val="000000"/>
          <w:sz w:val="24"/>
        </w:rPr>
      </w:pPr>
      <w:r>
        <w:rPr>
          <w:color w:val="000000"/>
          <w:sz w:val="24"/>
        </w:rPr>
        <w:t>资金面上，除了四月下旬的几个交易日比较紧张之外，二季度其他时间段市场资金面均比较宽松，二季末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同业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952A72" w:rsidRPr="007F52FA" w:rsidRDefault="00323F25" w:rsidP="007C14DF">
      <w:pPr>
        <w:spacing w:before="29" w:line="288" w:lineRule="auto"/>
        <w:ind w:firstLineChars="200" w:firstLine="480"/>
        <w:rPr>
          <w:color w:val="000000"/>
          <w:sz w:val="24"/>
        </w:rPr>
      </w:pPr>
      <w:r w:rsidRPr="007F52FA">
        <w:rPr>
          <w:color w:val="000000"/>
          <w:sz w:val="24"/>
        </w:rPr>
        <w:t>基金操作方面，报告期内本基金已进入清盘程序，按照要求进行产品清盘操作。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16</w:t>
      </w:r>
      <w:r w:rsidRPr="007F52FA">
        <w:rPr>
          <w:color w:val="000000"/>
          <w:sz w:val="24"/>
        </w:rPr>
        <w:t>日，交银裕兴纯债</w:t>
      </w:r>
      <w:r w:rsidRPr="007F52FA">
        <w:rPr>
          <w:color w:val="000000"/>
          <w:sz w:val="24"/>
        </w:rPr>
        <w:t>A</w:t>
      </w:r>
      <w:r w:rsidRPr="007F52FA">
        <w:rPr>
          <w:color w:val="000000"/>
          <w:sz w:val="24"/>
        </w:rPr>
        <w:t>份额净值为</w:t>
      </w:r>
      <w:r w:rsidRPr="007F52FA">
        <w:rPr>
          <w:color w:val="000000"/>
          <w:sz w:val="24"/>
        </w:rPr>
        <w:t>1.054</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0.50%</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1.019</w:t>
      </w:r>
      <w:r w:rsidRPr="007F52FA">
        <w:rPr>
          <w:color w:val="000000"/>
          <w:sz w:val="24"/>
        </w:rPr>
        <w:t>元，本报告期份额净值增长率为</w:t>
      </w:r>
      <w:r w:rsidRPr="007F52FA">
        <w:rPr>
          <w:color w:val="000000"/>
          <w:sz w:val="24"/>
        </w:rPr>
        <w:t>0.10%</w:t>
      </w:r>
      <w:r w:rsidRPr="007F52FA">
        <w:rPr>
          <w:color w:val="000000"/>
          <w:sz w:val="24"/>
        </w:rPr>
        <w:t>，同期业绩比较基准增长率为</w:t>
      </w:r>
      <w:r w:rsidRPr="007F52FA">
        <w:rPr>
          <w:color w:val="000000"/>
          <w:sz w:val="24"/>
        </w:rPr>
        <w:t>0.50%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本基金本报告期内连续六十个工作日出现基金资产净值低于</w:t>
      </w:r>
      <w:r w:rsidRPr="002070B4">
        <w:rPr>
          <w:color w:val="000000"/>
          <w:sz w:val="24"/>
        </w:rPr>
        <w:t>5000</w:t>
      </w:r>
      <w:r w:rsidRPr="002070B4">
        <w:rPr>
          <w:color w:val="000000"/>
          <w:sz w:val="24"/>
        </w:rPr>
        <w:t>万元、连续六十个工作日出现基金份额持有人数量不满</w:t>
      </w:r>
      <w:r w:rsidRPr="002070B4">
        <w:rPr>
          <w:color w:val="000000"/>
          <w:sz w:val="24"/>
        </w:rPr>
        <w:t>200</w:t>
      </w:r>
      <w:r w:rsidRPr="002070B4">
        <w:rPr>
          <w:color w:val="000000"/>
          <w:sz w:val="24"/>
        </w:rPr>
        <w:t>人的情形。根据本基金基金合同、本基金基金份额持有人大会于</w:t>
      </w:r>
      <w:r w:rsidRPr="002070B4">
        <w:rPr>
          <w:color w:val="000000"/>
          <w:sz w:val="24"/>
        </w:rPr>
        <w:t>2018</w:t>
      </w:r>
      <w:r w:rsidRPr="002070B4">
        <w:rPr>
          <w:color w:val="000000"/>
          <w:sz w:val="24"/>
        </w:rPr>
        <w:t>年</w:t>
      </w:r>
      <w:r w:rsidRPr="002070B4">
        <w:rPr>
          <w:color w:val="000000"/>
          <w:sz w:val="24"/>
        </w:rPr>
        <w:t>5</w:t>
      </w:r>
      <w:r w:rsidRPr="002070B4">
        <w:rPr>
          <w:color w:val="000000"/>
          <w:sz w:val="24"/>
        </w:rPr>
        <w:t>月</w:t>
      </w:r>
      <w:r w:rsidRPr="002070B4">
        <w:rPr>
          <w:color w:val="000000"/>
          <w:sz w:val="24"/>
        </w:rPr>
        <w:t>15</w:t>
      </w:r>
      <w:r w:rsidRPr="002070B4">
        <w:rPr>
          <w:color w:val="000000"/>
          <w:sz w:val="24"/>
        </w:rPr>
        <w:t>日表决通过的《关于终止交银施罗德裕兴纯债债券型证券投资基金基金合同有关事项的议案》以及本基金管理人于</w:t>
      </w:r>
      <w:r w:rsidRPr="002070B4">
        <w:rPr>
          <w:color w:val="000000"/>
          <w:sz w:val="24"/>
        </w:rPr>
        <w:t>2018</w:t>
      </w:r>
      <w:r w:rsidRPr="002070B4">
        <w:rPr>
          <w:color w:val="000000"/>
          <w:sz w:val="24"/>
        </w:rPr>
        <w:t>年</w:t>
      </w:r>
      <w:r w:rsidRPr="002070B4">
        <w:rPr>
          <w:color w:val="000000"/>
          <w:sz w:val="24"/>
        </w:rPr>
        <w:t>5</w:t>
      </w:r>
      <w:r w:rsidRPr="002070B4">
        <w:rPr>
          <w:color w:val="000000"/>
          <w:sz w:val="24"/>
        </w:rPr>
        <w:t>月</w:t>
      </w:r>
      <w:r w:rsidRPr="002070B4">
        <w:rPr>
          <w:color w:val="000000"/>
          <w:sz w:val="24"/>
        </w:rPr>
        <w:t>16</w:t>
      </w:r>
      <w:r w:rsidRPr="002070B4">
        <w:rPr>
          <w:color w:val="000000"/>
          <w:sz w:val="24"/>
        </w:rPr>
        <w:t>日发布的《交银施罗德基金管理有限公司关于交银施罗德裕兴纯债债券型证券投资基金基金份额持有人大会表决结果暨决议生效的公告》，自</w:t>
      </w:r>
      <w:r w:rsidRPr="002070B4">
        <w:rPr>
          <w:color w:val="000000"/>
          <w:sz w:val="24"/>
        </w:rPr>
        <w:t>2018</w:t>
      </w:r>
      <w:r w:rsidRPr="002070B4">
        <w:rPr>
          <w:color w:val="000000"/>
          <w:sz w:val="24"/>
        </w:rPr>
        <w:t>年</w:t>
      </w:r>
      <w:r w:rsidRPr="002070B4">
        <w:rPr>
          <w:color w:val="000000"/>
          <w:sz w:val="24"/>
        </w:rPr>
        <w:t>5</w:t>
      </w:r>
      <w:r w:rsidRPr="002070B4">
        <w:rPr>
          <w:color w:val="000000"/>
          <w:sz w:val="24"/>
        </w:rPr>
        <w:t>月</w:t>
      </w:r>
      <w:r w:rsidRPr="002070B4">
        <w:rPr>
          <w:color w:val="000000"/>
          <w:sz w:val="24"/>
        </w:rPr>
        <w:t>17</w:t>
      </w:r>
      <w:r w:rsidRPr="002070B4">
        <w:rPr>
          <w:color w:val="000000"/>
          <w:sz w:val="24"/>
        </w:rPr>
        <w:t>日起，本基金进入清算程序。</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12,012,000.00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12,895.54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347,660.23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12,372,555.77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12,012,000.00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F6942">
        <w:trPr>
          <w:jc w:val="center"/>
        </w:trPr>
        <w:tc>
          <w:tcPr>
            <w:tcW w:w="1075" w:type="dxa"/>
            <w:vAlign w:val="center"/>
          </w:tcPr>
          <w:p w:rsidR="008F6942" w:rsidRDefault="0086049E">
            <w:pPr>
              <w:jc w:val="center"/>
            </w:pPr>
            <w:r>
              <w:rPr>
                <w:color w:val="000000"/>
                <w:sz w:val="24"/>
              </w:rPr>
              <w:t>1</w:t>
            </w:r>
          </w:p>
        </w:tc>
        <w:tc>
          <w:tcPr>
            <w:tcW w:w="1533" w:type="dxa"/>
            <w:vAlign w:val="center"/>
          </w:tcPr>
          <w:p w:rsidR="008F6942" w:rsidRDefault="0086049E">
            <w:pPr>
              <w:jc w:val="center"/>
            </w:pPr>
            <w:r>
              <w:rPr>
                <w:color w:val="000000"/>
                <w:sz w:val="24"/>
              </w:rPr>
              <w:t>170410</w:t>
            </w:r>
          </w:p>
        </w:tc>
        <w:tc>
          <w:tcPr>
            <w:tcW w:w="1533" w:type="dxa"/>
            <w:vAlign w:val="center"/>
          </w:tcPr>
          <w:p w:rsidR="008F6942" w:rsidRDefault="0086049E">
            <w:pPr>
              <w:jc w:val="center"/>
            </w:pPr>
            <w:r>
              <w:rPr>
                <w:color w:val="000000"/>
                <w:sz w:val="24"/>
              </w:rPr>
              <w:t>17</w:t>
            </w:r>
            <w:r>
              <w:rPr>
                <w:color w:val="000000"/>
                <w:sz w:val="24"/>
              </w:rPr>
              <w:t>农发</w:t>
            </w:r>
            <w:r>
              <w:rPr>
                <w:color w:val="000000"/>
                <w:sz w:val="24"/>
              </w:rPr>
              <w:t>10</w:t>
            </w:r>
          </w:p>
        </w:tc>
        <w:tc>
          <w:tcPr>
            <w:tcW w:w="1394" w:type="dxa"/>
            <w:vAlign w:val="center"/>
          </w:tcPr>
          <w:p w:rsidR="008F6942" w:rsidRDefault="0086049E">
            <w:pPr>
              <w:jc w:val="right"/>
            </w:pPr>
            <w:r>
              <w:rPr>
                <w:color w:val="000000"/>
                <w:sz w:val="24"/>
              </w:rPr>
              <w:t>120,000</w:t>
            </w:r>
          </w:p>
        </w:tc>
        <w:tc>
          <w:tcPr>
            <w:tcW w:w="1944" w:type="dxa"/>
            <w:vAlign w:val="center"/>
          </w:tcPr>
          <w:p w:rsidR="008F6942" w:rsidRDefault="0086049E">
            <w:pPr>
              <w:jc w:val="right"/>
            </w:pPr>
            <w:r>
              <w:rPr>
                <w:color w:val="000000"/>
                <w:sz w:val="24"/>
              </w:rPr>
              <w:t>12,012,000.00</w:t>
            </w:r>
          </w:p>
        </w:tc>
        <w:tc>
          <w:tcPr>
            <w:tcW w:w="1389" w:type="dxa"/>
            <w:vAlign w:val="center"/>
          </w:tcPr>
          <w:p w:rsidR="008F6942" w:rsidRDefault="0086049E">
            <w:pPr>
              <w:jc w:val="right"/>
            </w:pPr>
            <w:r>
              <w:rPr>
                <w:color w:val="000000"/>
                <w:sz w:val="24"/>
              </w:rPr>
              <w:t>97.80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347,660.23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347,660.23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Default="006E0D2B" w:rsidP="00A0678E">
      <w:pPr>
        <w:spacing w:before="29" w:line="288" w:lineRule="auto"/>
        <w:rPr>
          <w:rFonts w:eastAsiaTheme="minorEastAsia"/>
          <w:color w:val="000000"/>
          <w:sz w:val="24"/>
        </w:rPr>
      </w:pPr>
      <w:r>
        <w:rPr>
          <w:rFonts w:eastAsiaTheme="minorEastAsia" w:hint="eastAsia"/>
          <w:color w:val="000000"/>
          <w:sz w:val="24"/>
        </w:rPr>
        <w:t>1</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6E0D2B" w:rsidRPr="006E0D2B" w:rsidRDefault="006E0D2B" w:rsidP="00A0678E">
      <w:pPr>
        <w:spacing w:before="29" w:line="288" w:lineRule="auto"/>
        <w:rPr>
          <w:rFonts w:eastAsiaTheme="minorEastAsia"/>
          <w:color w:val="000000"/>
          <w:sz w:val="24"/>
        </w:rPr>
      </w:pPr>
      <w:r w:rsidRPr="006E0D2B">
        <w:rPr>
          <w:rFonts w:eastAsiaTheme="minorEastAsia" w:hint="eastAsia"/>
          <w:color w:val="000000"/>
          <w:sz w:val="24"/>
        </w:rPr>
        <w:t>2</w:t>
      </w:r>
      <w:r w:rsidRPr="006E0D2B">
        <w:rPr>
          <w:rFonts w:eastAsiaTheme="minorEastAsia" w:hint="eastAsia"/>
          <w:color w:val="000000"/>
          <w:sz w:val="24"/>
        </w:rPr>
        <w:t>、上述投资组合报告期末是指基金合同最后运作日，即</w:t>
      </w:r>
      <w:r>
        <w:rPr>
          <w:rFonts w:eastAsiaTheme="minorEastAsia"/>
          <w:color w:val="000000"/>
          <w:sz w:val="24"/>
        </w:rPr>
        <w:t>2018</w:t>
      </w:r>
      <w:r w:rsidRPr="006E0D2B">
        <w:rPr>
          <w:rFonts w:eastAsiaTheme="minorEastAsia" w:hint="eastAsia"/>
          <w:color w:val="000000"/>
          <w:sz w:val="24"/>
        </w:rPr>
        <w:t>年</w:t>
      </w:r>
      <w:r>
        <w:rPr>
          <w:rFonts w:eastAsiaTheme="minorEastAsia"/>
          <w:color w:val="000000"/>
          <w:sz w:val="24"/>
        </w:rPr>
        <w:t>5</w:t>
      </w:r>
      <w:r w:rsidRPr="006E0D2B">
        <w:rPr>
          <w:rFonts w:eastAsiaTheme="minorEastAsia" w:hint="eastAsia"/>
          <w:color w:val="000000"/>
          <w:sz w:val="24"/>
        </w:rPr>
        <w:t>月</w:t>
      </w:r>
      <w:r>
        <w:rPr>
          <w:rFonts w:eastAsiaTheme="minorEastAsia"/>
          <w:color w:val="000000"/>
          <w:sz w:val="24"/>
        </w:rPr>
        <w:t>16</w:t>
      </w:r>
      <w:r w:rsidRPr="006E0D2B">
        <w:rPr>
          <w:rFonts w:eastAsiaTheme="minorEastAsia" w:hint="eastAsia"/>
          <w:color w:val="000000"/>
          <w:sz w:val="24"/>
        </w:rPr>
        <w:t>日。</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lastRenderedPageBreak/>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8B501A" w:rsidRPr="00C51B4E" w:rsidRDefault="008B501A" w:rsidP="008B501A">
      <w:pPr>
        <w:adjustRightInd w:val="0"/>
        <w:snapToGrid w:val="0"/>
        <w:spacing w:beforeLines="50" w:before="156" w:line="360" w:lineRule="auto"/>
        <w:ind w:firstLineChars="200" w:firstLine="420"/>
        <w:rPr>
          <w:rFonts w:eastAsiaTheme="minorEastAsia" w:hint="eastAsia"/>
          <w:b/>
          <w:color w:val="000000" w:themeColor="text1"/>
          <w:kern w:val="0"/>
          <w:szCs w:val="21"/>
        </w:rPr>
      </w:pPr>
      <w:bookmarkStart w:id="0" w:name="_GoBack"/>
      <w:bookmarkEnd w:id="0"/>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3,955,832.28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8,008,698.32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378.84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43,914.54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3,912,296.58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8,008,638.27</w:t>
            </w:r>
          </w:p>
        </w:tc>
      </w:tr>
    </w:tbl>
    <w:p w:rsidR="008F6942" w:rsidRDefault="0086049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F6942">
        <w:tc>
          <w:tcPr>
            <w:tcW w:w="992" w:type="dxa"/>
            <w:vMerge w:val="restart"/>
          </w:tcPr>
          <w:p w:rsidR="008F6942" w:rsidRDefault="008F6942"/>
          <w:p w:rsidR="008F6942" w:rsidRDefault="0086049E">
            <w:r>
              <w:rPr>
                <w:rFonts w:ascii="宋体" w:hAnsi="宋体" w:hint="eastAsia"/>
                <w:bCs/>
                <w:color w:val="000000"/>
                <w:kern w:val="0"/>
                <w:szCs w:val="21"/>
              </w:rPr>
              <w:t>机构</w:t>
            </w:r>
          </w:p>
        </w:tc>
        <w:tc>
          <w:tcPr>
            <w:tcW w:w="991" w:type="dxa"/>
            <w:vAlign w:val="center"/>
          </w:tcPr>
          <w:p w:rsidR="008F6942" w:rsidRDefault="0086049E">
            <w:pPr>
              <w:jc w:val="center"/>
            </w:pPr>
            <w:r>
              <w:rPr>
                <w:rFonts w:ascii="宋体" w:hAnsi="宋体" w:hint="eastAsia"/>
                <w:color w:val="000000"/>
                <w:kern w:val="0"/>
                <w:szCs w:val="21"/>
              </w:rPr>
              <w:t>1</w:t>
            </w:r>
          </w:p>
        </w:tc>
        <w:tc>
          <w:tcPr>
            <w:tcW w:w="1843" w:type="dxa"/>
            <w:vAlign w:val="center"/>
          </w:tcPr>
          <w:p w:rsidR="008F6942" w:rsidRDefault="0086049E">
            <w:pPr>
              <w:jc w:val="center"/>
            </w:pPr>
            <w:r>
              <w:rPr>
                <w:rFonts w:ascii="宋体" w:hAnsi="宋体" w:hint="eastAsia"/>
                <w:color w:val="000000"/>
                <w:kern w:val="0"/>
                <w:szCs w:val="21"/>
              </w:rPr>
              <w:t>2018/4/1-2018/6/30</w:t>
            </w:r>
          </w:p>
        </w:tc>
        <w:tc>
          <w:tcPr>
            <w:tcW w:w="851" w:type="dxa"/>
            <w:vAlign w:val="center"/>
          </w:tcPr>
          <w:p w:rsidR="008F6942" w:rsidRDefault="0086049E">
            <w:pPr>
              <w:jc w:val="center"/>
            </w:pPr>
            <w:r>
              <w:rPr>
                <w:rFonts w:ascii="宋体" w:hAnsi="宋体" w:hint="eastAsia"/>
                <w:color w:val="000000"/>
                <w:kern w:val="0"/>
                <w:szCs w:val="21"/>
              </w:rPr>
              <w:t>8,008,008.01</w:t>
            </w:r>
          </w:p>
        </w:tc>
        <w:tc>
          <w:tcPr>
            <w:tcW w:w="850" w:type="dxa"/>
            <w:vAlign w:val="center"/>
          </w:tcPr>
          <w:p w:rsidR="008F6942" w:rsidRDefault="0086049E">
            <w:pPr>
              <w:jc w:val="center"/>
            </w:pPr>
            <w:r>
              <w:rPr>
                <w:rFonts w:ascii="宋体" w:hAnsi="宋体" w:hint="eastAsia"/>
                <w:color w:val="000000"/>
                <w:kern w:val="0"/>
                <w:szCs w:val="21"/>
              </w:rPr>
              <w:t>-</w:t>
            </w:r>
          </w:p>
        </w:tc>
        <w:tc>
          <w:tcPr>
            <w:tcW w:w="1134" w:type="dxa"/>
            <w:vAlign w:val="center"/>
          </w:tcPr>
          <w:p w:rsidR="008F6942" w:rsidRDefault="0086049E">
            <w:pPr>
              <w:jc w:val="center"/>
            </w:pPr>
            <w:r>
              <w:rPr>
                <w:rFonts w:ascii="宋体" w:hAnsi="宋体" w:hint="eastAsia"/>
                <w:color w:val="000000"/>
                <w:kern w:val="0"/>
                <w:szCs w:val="21"/>
              </w:rPr>
              <w:t>-</w:t>
            </w:r>
          </w:p>
        </w:tc>
        <w:tc>
          <w:tcPr>
            <w:tcW w:w="1419" w:type="dxa"/>
            <w:vAlign w:val="center"/>
          </w:tcPr>
          <w:p w:rsidR="008F6942" w:rsidRDefault="0086049E">
            <w:pPr>
              <w:jc w:val="center"/>
            </w:pPr>
            <w:r>
              <w:rPr>
                <w:rFonts w:ascii="宋体" w:hAnsi="宋体" w:hint="eastAsia"/>
                <w:color w:val="000000"/>
                <w:kern w:val="0"/>
                <w:szCs w:val="21"/>
              </w:rPr>
              <w:t>8,008,008.01</w:t>
            </w:r>
          </w:p>
        </w:tc>
        <w:tc>
          <w:tcPr>
            <w:tcW w:w="1130" w:type="dxa"/>
            <w:vAlign w:val="center"/>
          </w:tcPr>
          <w:p w:rsidR="008F6942" w:rsidRDefault="0086049E">
            <w:pPr>
              <w:jc w:val="center"/>
            </w:pPr>
            <w:r>
              <w:rPr>
                <w:rFonts w:ascii="宋体" w:hAnsi="宋体" w:hint="eastAsia"/>
                <w:color w:val="000000"/>
                <w:kern w:val="0"/>
                <w:szCs w:val="21"/>
              </w:rPr>
              <w:t>67.18%</w:t>
            </w:r>
          </w:p>
        </w:tc>
      </w:tr>
      <w:tr w:rsidR="008F6942">
        <w:tc>
          <w:tcPr>
            <w:tcW w:w="992" w:type="dxa"/>
            <w:vMerge/>
          </w:tcPr>
          <w:p w:rsidR="008F6942" w:rsidRDefault="008F6942"/>
        </w:tc>
        <w:tc>
          <w:tcPr>
            <w:tcW w:w="991" w:type="dxa"/>
            <w:vAlign w:val="center"/>
          </w:tcPr>
          <w:p w:rsidR="008F6942" w:rsidRDefault="0086049E">
            <w:pPr>
              <w:jc w:val="center"/>
            </w:pPr>
            <w:r>
              <w:rPr>
                <w:rFonts w:ascii="宋体" w:hAnsi="宋体" w:hint="eastAsia"/>
                <w:color w:val="000000"/>
                <w:kern w:val="0"/>
                <w:szCs w:val="21"/>
              </w:rPr>
              <w:t>2</w:t>
            </w:r>
          </w:p>
        </w:tc>
        <w:tc>
          <w:tcPr>
            <w:tcW w:w="1843" w:type="dxa"/>
            <w:vAlign w:val="center"/>
          </w:tcPr>
          <w:p w:rsidR="008F6942" w:rsidRDefault="0086049E">
            <w:pPr>
              <w:jc w:val="center"/>
            </w:pPr>
            <w:r>
              <w:rPr>
                <w:rFonts w:ascii="宋体" w:hAnsi="宋体" w:hint="eastAsia"/>
                <w:color w:val="000000"/>
                <w:kern w:val="0"/>
                <w:szCs w:val="21"/>
              </w:rPr>
              <w:t>2018/4/1-2018/6/30</w:t>
            </w:r>
          </w:p>
        </w:tc>
        <w:tc>
          <w:tcPr>
            <w:tcW w:w="851" w:type="dxa"/>
            <w:vAlign w:val="center"/>
          </w:tcPr>
          <w:p w:rsidR="008F6942" w:rsidRDefault="0086049E">
            <w:pPr>
              <w:jc w:val="center"/>
            </w:pPr>
            <w:r>
              <w:rPr>
                <w:rFonts w:ascii="宋体" w:hAnsi="宋体" w:hint="eastAsia"/>
                <w:color w:val="000000"/>
                <w:kern w:val="0"/>
                <w:szCs w:val="21"/>
              </w:rPr>
              <w:t>3,878,564.85</w:t>
            </w:r>
          </w:p>
        </w:tc>
        <w:tc>
          <w:tcPr>
            <w:tcW w:w="850" w:type="dxa"/>
            <w:vAlign w:val="center"/>
          </w:tcPr>
          <w:p w:rsidR="008F6942" w:rsidRDefault="0086049E">
            <w:pPr>
              <w:jc w:val="center"/>
            </w:pPr>
            <w:r>
              <w:rPr>
                <w:rFonts w:ascii="宋体" w:hAnsi="宋体" w:hint="eastAsia"/>
                <w:color w:val="000000"/>
                <w:kern w:val="0"/>
                <w:szCs w:val="21"/>
              </w:rPr>
              <w:t>-</w:t>
            </w:r>
          </w:p>
        </w:tc>
        <w:tc>
          <w:tcPr>
            <w:tcW w:w="1134" w:type="dxa"/>
            <w:vAlign w:val="center"/>
          </w:tcPr>
          <w:p w:rsidR="008F6942" w:rsidRDefault="0086049E">
            <w:pPr>
              <w:jc w:val="center"/>
            </w:pPr>
            <w:r>
              <w:rPr>
                <w:rFonts w:ascii="宋体" w:hAnsi="宋体" w:hint="eastAsia"/>
                <w:color w:val="000000"/>
                <w:kern w:val="0"/>
                <w:szCs w:val="21"/>
              </w:rPr>
              <w:t>-</w:t>
            </w:r>
          </w:p>
        </w:tc>
        <w:tc>
          <w:tcPr>
            <w:tcW w:w="1419" w:type="dxa"/>
            <w:vAlign w:val="center"/>
          </w:tcPr>
          <w:p w:rsidR="008F6942" w:rsidRDefault="0086049E">
            <w:pPr>
              <w:jc w:val="center"/>
            </w:pPr>
            <w:r>
              <w:rPr>
                <w:rFonts w:ascii="宋体" w:hAnsi="宋体" w:hint="eastAsia"/>
                <w:color w:val="000000"/>
                <w:kern w:val="0"/>
                <w:szCs w:val="21"/>
              </w:rPr>
              <w:t>3,878,564.85</w:t>
            </w:r>
          </w:p>
        </w:tc>
        <w:tc>
          <w:tcPr>
            <w:tcW w:w="1130" w:type="dxa"/>
            <w:vAlign w:val="center"/>
          </w:tcPr>
          <w:p w:rsidR="008F6942" w:rsidRDefault="0086049E">
            <w:pPr>
              <w:jc w:val="center"/>
            </w:pPr>
            <w:r>
              <w:rPr>
                <w:rFonts w:ascii="宋体" w:hAnsi="宋体" w:hint="eastAsia"/>
                <w:color w:val="000000"/>
                <w:kern w:val="0"/>
                <w:szCs w:val="21"/>
              </w:rPr>
              <w:t>32.54%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基金管理人于2018年4月10日起至2018年5月14日17：00止以通讯方式召开本基金的基金份额持有人大会，就本基金终止基金合同有关事项的议案进行表决。根据基金份额持有人大会的决议，本基金终止基金合同并于2018年5月17日起进入清算程序。本次基金份额持有人大会决议于2018年5月15日生效，自本次基金份额持有人大会决议公告的下一个工作日即2018年5月17日起，本基金进入清算程序。详情请查阅本基金管理人于2018年5月16日发布的《交银施罗德基金管理有限公司关于交银施罗德裕兴纯债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、中国证监会准予交银施罗德裕兴纯债债券型证券投资基金募集注册的文件；</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、《交银施罗德裕兴纯债债券型证券投资基金基金合同》；</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、《交银施罗德裕兴纯债债券型证券投资基金招募说明书》；</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、《交银施罗德裕兴纯债债券型证券投资基金托管协议》；</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、关于申请募集注册交银施罗德裕兴纯债债券型证券投资基金的法律意见书；</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、报告期内交银施罗德裕兴纯债债券型证券投资基金在指定报刊上各项公告的原稿。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10.3</w:t>
      </w:r>
      <w:r w:rsidR="00FB3C94" w:rsidRPr="007F52FA">
        <w:rPr>
          <w:rFonts w:eastAsiaTheme="minorEastAsia"/>
          <w:b/>
          <w:bCs/>
          <w:color w:val="000000"/>
          <w:kern w:val="0"/>
          <w:sz w:val="24"/>
        </w:rPr>
        <w:t>查阅方式</w:t>
      </w:r>
    </w:p>
    <w:p w:rsidR="008F6942" w:rsidRDefault="0086049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7A" w:rsidRDefault="000D037A">
      <w:r>
        <w:separator/>
      </w:r>
    </w:p>
  </w:endnote>
  <w:endnote w:type="continuationSeparator" w:id="0">
    <w:p w:rsidR="000D037A" w:rsidRDefault="000D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8B501A">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8B501A">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7A" w:rsidRDefault="000D037A">
      <w:r>
        <w:separator/>
      </w:r>
    </w:p>
  </w:footnote>
  <w:footnote w:type="continuationSeparator" w:id="0">
    <w:p w:rsidR="000D037A" w:rsidRDefault="000D0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兴纯债</w:t>
    </w:r>
    <w:proofErr w:type="gramEnd"/>
    <w:r w:rsidRPr="00D3445F">
      <w:rPr>
        <w:rFonts w:eastAsiaTheme="minorEastAsia"/>
        <w:sz w:val="24"/>
      </w:rPr>
      <w:t>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037A"/>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2B"/>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049E"/>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01A"/>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6942"/>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652"/>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3BE8"/>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75D0B-1E46-4BE7-B6EA-8B1AAF77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14</Pages>
  <Words>1140</Words>
  <Characters>6500</Characters>
  <Application>Microsoft Office Word</Application>
  <DocSecurity>0</DocSecurity>
  <Lines>54</Lines>
  <Paragraphs>15</Paragraphs>
  <ScaleCrop>false</ScaleCrop>
  <Company>TRT. Ltd. Co.</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2018-07-16T08:22:00Z</dcterms:modified>
</cp:coreProperties>
</file>