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375CC" w:rsidRDefault="00BF1ED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986,084,960.13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A1378" w:rsidRPr="00414345" w:rsidTr="003A137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A1378" w:rsidRPr="00414345" w:rsidTr="003A13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25,378,217.07</w:t>
            </w:r>
          </w:p>
        </w:tc>
      </w:tr>
      <w:tr w:rsidR="003A1378" w:rsidRPr="00414345" w:rsidTr="003A13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-106,911,667.01</w:t>
            </w:r>
          </w:p>
        </w:tc>
      </w:tr>
      <w:tr w:rsidR="003A1378" w:rsidRPr="00414345" w:rsidTr="003A13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-0.1149</w:t>
            </w:r>
          </w:p>
        </w:tc>
      </w:tr>
      <w:tr w:rsidR="003A1378" w:rsidRPr="00414345" w:rsidTr="003A13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770,860,262.74</w:t>
            </w:r>
          </w:p>
        </w:tc>
      </w:tr>
      <w:tr w:rsidR="003A1378" w:rsidRPr="00414345" w:rsidTr="003A137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0.782</w:t>
            </w:r>
          </w:p>
        </w:tc>
      </w:tr>
    </w:tbl>
    <w:p w:rsidR="004375CC" w:rsidRDefault="00BF1ED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375CC">
        <w:trPr>
          <w:jc w:val="center"/>
        </w:trPr>
        <w:tc>
          <w:tcPr>
            <w:tcW w:w="1701" w:type="dxa"/>
            <w:vAlign w:val="center"/>
          </w:tcPr>
          <w:p w:rsidR="004375CC" w:rsidRDefault="00BF1ED9">
            <w:pPr>
              <w:jc w:val="left"/>
            </w:pPr>
            <w:r>
              <w:rPr>
                <w:color w:val="000000"/>
                <w:sz w:val="24"/>
                <w:szCs w:val="24"/>
              </w:rPr>
              <w:t>过去三个月</w:t>
            </w:r>
          </w:p>
        </w:tc>
        <w:tc>
          <w:tcPr>
            <w:tcW w:w="1045" w:type="dxa"/>
            <w:vAlign w:val="center"/>
          </w:tcPr>
          <w:p w:rsidR="004375CC" w:rsidRDefault="00BF1ED9">
            <w:pPr>
              <w:jc w:val="center"/>
            </w:pPr>
            <w:r>
              <w:rPr>
                <w:color w:val="000000"/>
                <w:sz w:val="24"/>
                <w:szCs w:val="24"/>
              </w:rPr>
              <w:t>-12.82%</w:t>
            </w:r>
          </w:p>
        </w:tc>
        <w:tc>
          <w:tcPr>
            <w:tcW w:w="1344" w:type="dxa"/>
            <w:vAlign w:val="center"/>
          </w:tcPr>
          <w:p w:rsidR="004375CC" w:rsidRDefault="00BF1ED9">
            <w:pPr>
              <w:jc w:val="center"/>
            </w:pPr>
            <w:r>
              <w:rPr>
                <w:color w:val="000000"/>
                <w:sz w:val="24"/>
                <w:szCs w:val="24"/>
              </w:rPr>
              <w:t>2.09%</w:t>
            </w:r>
          </w:p>
        </w:tc>
        <w:tc>
          <w:tcPr>
            <w:tcW w:w="1194" w:type="dxa"/>
            <w:vAlign w:val="center"/>
          </w:tcPr>
          <w:p w:rsidR="004375CC" w:rsidRDefault="00BF1ED9">
            <w:pPr>
              <w:jc w:val="center"/>
            </w:pPr>
            <w:r>
              <w:rPr>
                <w:color w:val="000000"/>
                <w:sz w:val="24"/>
                <w:szCs w:val="24"/>
              </w:rPr>
              <w:t>-5.26%</w:t>
            </w:r>
          </w:p>
        </w:tc>
        <w:tc>
          <w:tcPr>
            <w:tcW w:w="1492" w:type="dxa"/>
            <w:vAlign w:val="center"/>
          </w:tcPr>
          <w:p w:rsidR="004375CC" w:rsidRDefault="00BF1ED9">
            <w:pPr>
              <w:jc w:val="center"/>
            </w:pPr>
            <w:r>
              <w:rPr>
                <w:color w:val="000000"/>
                <w:sz w:val="24"/>
                <w:szCs w:val="24"/>
              </w:rPr>
              <w:t>0.68%</w:t>
            </w:r>
          </w:p>
        </w:tc>
        <w:tc>
          <w:tcPr>
            <w:tcW w:w="1194" w:type="dxa"/>
            <w:vAlign w:val="center"/>
          </w:tcPr>
          <w:p w:rsidR="004375CC" w:rsidRDefault="00BF1ED9">
            <w:pPr>
              <w:jc w:val="center"/>
            </w:pPr>
            <w:r>
              <w:rPr>
                <w:color w:val="000000"/>
                <w:sz w:val="24"/>
                <w:szCs w:val="24"/>
              </w:rPr>
              <w:t>-7.56%</w:t>
            </w:r>
          </w:p>
        </w:tc>
        <w:tc>
          <w:tcPr>
            <w:tcW w:w="898" w:type="dxa"/>
            <w:vAlign w:val="center"/>
          </w:tcPr>
          <w:p w:rsidR="004375CC" w:rsidRDefault="00BF1ED9">
            <w:pPr>
              <w:jc w:val="center"/>
            </w:pPr>
            <w:r>
              <w:rPr>
                <w:color w:val="000000"/>
                <w:sz w:val="24"/>
                <w:szCs w:val="24"/>
              </w:rPr>
              <w:t>1.41%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375CC">
        <w:trPr>
          <w:jc w:val="center"/>
        </w:trPr>
        <w:tc>
          <w:tcPr>
            <w:tcW w:w="846" w:type="dxa"/>
            <w:vAlign w:val="center"/>
          </w:tcPr>
          <w:p w:rsidR="004375CC" w:rsidRDefault="00BF1ED9">
            <w:pPr>
              <w:jc w:val="center"/>
            </w:pPr>
            <w:r>
              <w:rPr>
                <w:color w:val="000000"/>
                <w:sz w:val="24"/>
                <w:szCs w:val="24"/>
              </w:rPr>
              <w:t>芮晨</w:t>
            </w:r>
          </w:p>
        </w:tc>
        <w:tc>
          <w:tcPr>
            <w:tcW w:w="845" w:type="dxa"/>
            <w:vAlign w:val="center"/>
          </w:tcPr>
          <w:p w:rsidR="004375CC" w:rsidRDefault="00BF1ED9">
            <w:pPr>
              <w:jc w:val="center"/>
            </w:pPr>
            <w:r>
              <w:rPr>
                <w:color w:val="000000"/>
                <w:sz w:val="24"/>
                <w:szCs w:val="24"/>
              </w:rPr>
              <w:t>交银先锋混合、交银科技创新灵活配置混合、</w:t>
            </w:r>
            <w:r>
              <w:rPr>
                <w:color w:val="000000"/>
                <w:sz w:val="24"/>
                <w:szCs w:val="24"/>
              </w:rPr>
              <w:lastRenderedPageBreak/>
              <w:t>交银数据产业灵活配置混合的基金经理</w:t>
            </w:r>
          </w:p>
        </w:tc>
        <w:tc>
          <w:tcPr>
            <w:tcW w:w="1549" w:type="dxa"/>
            <w:vAlign w:val="center"/>
          </w:tcPr>
          <w:p w:rsidR="004375CC" w:rsidRDefault="00BF1ED9">
            <w:pPr>
              <w:jc w:val="center"/>
            </w:pPr>
            <w:r>
              <w:rPr>
                <w:color w:val="000000"/>
                <w:sz w:val="24"/>
                <w:szCs w:val="24"/>
              </w:rPr>
              <w:lastRenderedPageBreak/>
              <w:t>2016-08-16</w:t>
            </w:r>
          </w:p>
        </w:tc>
        <w:tc>
          <w:tcPr>
            <w:tcW w:w="1548" w:type="dxa"/>
            <w:vAlign w:val="center"/>
          </w:tcPr>
          <w:p w:rsidR="004375CC" w:rsidRDefault="00BF1ED9">
            <w:pPr>
              <w:jc w:val="center"/>
            </w:pPr>
            <w:r>
              <w:rPr>
                <w:color w:val="000000"/>
                <w:sz w:val="24"/>
                <w:szCs w:val="24"/>
              </w:rPr>
              <w:t>-</w:t>
            </w:r>
          </w:p>
        </w:tc>
        <w:tc>
          <w:tcPr>
            <w:tcW w:w="1407" w:type="dxa"/>
            <w:vAlign w:val="center"/>
          </w:tcPr>
          <w:p w:rsidR="004375CC" w:rsidRDefault="00BF1ED9">
            <w:pPr>
              <w:jc w:val="center"/>
            </w:pPr>
            <w:r>
              <w:rPr>
                <w:color w:val="000000"/>
                <w:sz w:val="24"/>
                <w:szCs w:val="24"/>
              </w:rPr>
              <w:t>11</w:t>
            </w:r>
            <w:r>
              <w:rPr>
                <w:color w:val="000000"/>
                <w:sz w:val="24"/>
                <w:szCs w:val="24"/>
              </w:rPr>
              <w:t>年</w:t>
            </w:r>
          </w:p>
        </w:tc>
        <w:tc>
          <w:tcPr>
            <w:tcW w:w="2673" w:type="dxa"/>
            <w:vAlign w:val="center"/>
          </w:tcPr>
          <w:p w:rsidR="004375CC" w:rsidRDefault="00BF1ED9">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w:t>
            </w:r>
            <w:r>
              <w:rPr>
                <w:color w:val="000000"/>
                <w:sz w:val="24"/>
                <w:szCs w:val="24"/>
              </w:rPr>
              <w:lastRenderedPageBreak/>
              <w:t>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375CC" w:rsidRDefault="00BF1ED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375CC" w:rsidRDefault="00BF1ED9">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375CC" w:rsidRDefault="00BF1ED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w:t>
      </w:r>
      <w:r w:rsidRPr="00414345">
        <w:rPr>
          <w:color w:val="000000"/>
          <w:sz w:val="24"/>
          <w:szCs w:val="24"/>
        </w:rPr>
        <w:lastRenderedPageBreak/>
        <w:t>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375CC" w:rsidRDefault="00BF1ED9">
      <w:pPr>
        <w:spacing w:before="29" w:line="288" w:lineRule="auto"/>
        <w:ind w:firstLineChars="200" w:firstLine="480"/>
        <w:rPr>
          <w:color w:val="000000"/>
          <w:sz w:val="24"/>
          <w:szCs w:val="24"/>
        </w:rPr>
      </w:pPr>
      <w:r>
        <w:rPr>
          <w:color w:val="000000"/>
          <w:sz w:val="24"/>
          <w:szCs w:val="24"/>
        </w:rPr>
        <w:t>2018</w:t>
      </w:r>
      <w:r>
        <w:rPr>
          <w:color w:val="000000"/>
          <w:sz w:val="24"/>
          <w:szCs w:val="24"/>
        </w:rPr>
        <w:t>二季度，宏观经济表现出较强韧性，所以利率水平保持高位震荡，中美贸易战反复发酵，市场调整幅度较大。</w:t>
      </w:r>
    </w:p>
    <w:p w:rsidR="004375CC" w:rsidRDefault="00BF1ED9">
      <w:pPr>
        <w:spacing w:before="29" w:line="288" w:lineRule="auto"/>
        <w:ind w:firstLineChars="200" w:firstLine="480"/>
        <w:rPr>
          <w:color w:val="000000"/>
          <w:sz w:val="24"/>
          <w:szCs w:val="24"/>
        </w:rPr>
      </w:pPr>
      <w:r>
        <w:rPr>
          <w:color w:val="000000"/>
          <w:sz w:val="24"/>
          <w:szCs w:val="24"/>
        </w:rPr>
        <w:t>前期一季度调整较多的消费类股票，由于调整后的估值相对于业绩较为合理，所以二季度表现较好。一季度中表现较好的成长类股票，上涨后估值有所上升，同时相对于消费股的性价比降低，所以二季度表现一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综上，我们看到今年市场就像我们在</w:t>
      </w:r>
      <w:r w:rsidRPr="00414345">
        <w:rPr>
          <w:color w:val="000000"/>
          <w:sz w:val="24"/>
          <w:szCs w:val="24"/>
        </w:rPr>
        <w:t>2017</w:t>
      </w:r>
      <w:r w:rsidRPr="00414345">
        <w:rPr>
          <w:color w:val="000000"/>
          <w:sz w:val="24"/>
          <w:szCs w:val="24"/>
        </w:rPr>
        <w:t>年年报中所预计的一样：风格切换较难发生，更多是个股间性价比的比较，着重在于成长性和估值的匹配度。具体到组合，经过二季度的调整，成长和估值的匹配度又回到了非常有吸引力的程度，同时经过半年的观察，我们发现组合持有的部分公司的盈利还在加速，这将进一步提高组合的性价比。展望三季度，我们认为性价比好的公司将有所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0.782</w:t>
      </w:r>
      <w:r w:rsidRPr="00414345">
        <w:rPr>
          <w:color w:val="000000"/>
          <w:sz w:val="24"/>
          <w:szCs w:val="24"/>
        </w:rPr>
        <w:t>元，本报告期份额净值增长率为</w:t>
      </w:r>
      <w:r w:rsidRPr="00414345">
        <w:rPr>
          <w:color w:val="000000"/>
          <w:sz w:val="24"/>
          <w:szCs w:val="24"/>
        </w:rPr>
        <w:t>-12.82%</w:t>
      </w:r>
      <w:r w:rsidRPr="00414345">
        <w:rPr>
          <w:color w:val="000000"/>
          <w:sz w:val="24"/>
          <w:szCs w:val="24"/>
        </w:rPr>
        <w:t>，同期业绩比较基准增长率</w:t>
      </w:r>
      <w:r w:rsidRPr="00414345">
        <w:rPr>
          <w:color w:val="000000"/>
          <w:sz w:val="24"/>
          <w:szCs w:val="24"/>
        </w:rPr>
        <w:t>-5.26%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727,282,802.24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727,282,802.24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94.11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24,005,600.00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24,005,600.00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20,310,518.04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1,190,596.98</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772,789,517.26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357,402,707.44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38,607,167.28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294,555,869.52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36,717,058.00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727,282,802.24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94.35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375CC">
        <w:trPr>
          <w:jc w:val="center"/>
        </w:trPr>
        <w:tc>
          <w:tcPr>
            <w:tcW w:w="855" w:type="dxa"/>
            <w:vAlign w:val="center"/>
          </w:tcPr>
          <w:p w:rsidR="004375CC" w:rsidRDefault="00BF1ED9">
            <w:pPr>
              <w:jc w:val="center"/>
            </w:pPr>
            <w:r>
              <w:rPr>
                <w:color w:val="000000"/>
                <w:sz w:val="24"/>
                <w:szCs w:val="24"/>
              </w:rPr>
              <w:t>1</w:t>
            </w:r>
          </w:p>
        </w:tc>
        <w:tc>
          <w:tcPr>
            <w:tcW w:w="1334" w:type="dxa"/>
            <w:vAlign w:val="center"/>
          </w:tcPr>
          <w:p w:rsidR="004375CC" w:rsidRDefault="00BF1ED9">
            <w:pPr>
              <w:jc w:val="center"/>
            </w:pPr>
            <w:r>
              <w:rPr>
                <w:color w:val="000000"/>
                <w:sz w:val="24"/>
                <w:szCs w:val="24"/>
              </w:rPr>
              <w:t>300365</w:t>
            </w:r>
          </w:p>
        </w:tc>
        <w:tc>
          <w:tcPr>
            <w:tcW w:w="1777" w:type="dxa"/>
            <w:vAlign w:val="center"/>
          </w:tcPr>
          <w:p w:rsidR="004375CC" w:rsidRDefault="00BF1ED9">
            <w:pPr>
              <w:jc w:val="center"/>
            </w:pPr>
            <w:r>
              <w:rPr>
                <w:color w:val="000000"/>
                <w:sz w:val="24"/>
                <w:szCs w:val="24"/>
              </w:rPr>
              <w:t>恒华科技</w:t>
            </w:r>
          </w:p>
        </w:tc>
        <w:tc>
          <w:tcPr>
            <w:tcW w:w="1334" w:type="dxa"/>
            <w:vAlign w:val="center"/>
          </w:tcPr>
          <w:p w:rsidR="004375CC" w:rsidRDefault="00BF1ED9">
            <w:pPr>
              <w:jc w:val="right"/>
            </w:pPr>
            <w:r>
              <w:rPr>
                <w:color w:val="000000"/>
                <w:sz w:val="24"/>
                <w:szCs w:val="24"/>
              </w:rPr>
              <w:t>3,602,456</w:t>
            </w:r>
          </w:p>
        </w:tc>
        <w:tc>
          <w:tcPr>
            <w:tcW w:w="1924" w:type="dxa"/>
            <w:vAlign w:val="center"/>
          </w:tcPr>
          <w:p w:rsidR="004375CC" w:rsidRDefault="00BF1ED9">
            <w:pPr>
              <w:jc w:val="right"/>
            </w:pPr>
            <w:r>
              <w:rPr>
                <w:color w:val="000000"/>
                <w:sz w:val="24"/>
                <w:szCs w:val="24"/>
              </w:rPr>
              <w:t>74,318,667.28</w:t>
            </w:r>
          </w:p>
        </w:tc>
        <w:tc>
          <w:tcPr>
            <w:tcW w:w="1644" w:type="dxa"/>
            <w:vAlign w:val="center"/>
          </w:tcPr>
          <w:p w:rsidR="004375CC" w:rsidRDefault="00BF1ED9">
            <w:pPr>
              <w:jc w:val="right"/>
            </w:pPr>
            <w:r>
              <w:rPr>
                <w:color w:val="000000"/>
                <w:sz w:val="24"/>
                <w:szCs w:val="24"/>
              </w:rPr>
              <w:t>9.64</w:t>
            </w:r>
          </w:p>
        </w:tc>
      </w:tr>
      <w:tr w:rsidR="004375CC">
        <w:trPr>
          <w:jc w:val="center"/>
        </w:trPr>
        <w:tc>
          <w:tcPr>
            <w:tcW w:w="855" w:type="dxa"/>
            <w:vAlign w:val="center"/>
          </w:tcPr>
          <w:p w:rsidR="004375CC" w:rsidRDefault="00BF1ED9">
            <w:pPr>
              <w:jc w:val="center"/>
            </w:pPr>
            <w:r>
              <w:rPr>
                <w:color w:val="000000"/>
                <w:sz w:val="24"/>
                <w:szCs w:val="24"/>
              </w:rPr>
              <w:t>2</w:t>
            </w:r>
          </w:p>
        </w:tc>
        <w:tc>
          <w:tcPr>
            <w:tcW w:w="1334" w:type="dxa"/>
            <w:vAlign w:val="center"/>
          </w:tcPr>
          <w:p w:rsidR="004375CC" w:rsidRDefault="00BF1ED9">
            <w:pPr>
              <w:jc w:val="center"/>
            </w:pPr>
            <w:r>
              <w:rPr>
                <w:color w:val="000000"/>
                <w:sz w:val="24"/>
                <w:szCs w:val="24"/>
              </w:rPr>
              <w:t>300253</w:t>
            </w:r>
          </w:p>
        </w:tc>
        <w:tc>
          <w:tcPr>
            <w:tcW w:w="1777" w:type="dxa"/>
            <w:vAlign w:val="center"/>
          </w:tcPr>
          <w:p w:rsidR="004375CC" w:rsidRDefault="00BF1ED9">
            <w:pPr>
              <w:jc w:val="center"/>
            </w:pPr>
            <w:r>
              <w:rPr>
                <w:color w:val="000000"/>
                <w:sz w:val="24"/>
                <w:szCs w:val="24"/>
              </w:rPr>
              <w:t>卫宁健康</w:t>
            </w:r>
          </w:p>
        </w:tc>
        <w:tc>
          <w:tcPr>
            <w:tcW w:w="1334" w:type="dxa"/>
            <w:vAlign w:val="center"/>
          </w:tcPr>
          <w:p w:rsidR="004375CC" w:rsidRDefault="00BF1ED9">
            <w:pPr>
              <w:jc w:val="right"/>
            </w:pPr>
            <w:r>
              <w:rPr>
                <w:color w:val="000000"/>
                <w:sz w:val="24"/>
                <w:szCs w:val="24"/>
              </w:rPr>
              <w:t>5,641,532</w:t>
            </w:r>
          </w:p>
        </w:tc>
        <w:tc>
          <w:tcPr>
            <w:tcW w:w="1924" w:type="dxa"/>
            <w:vAlign w:val="center"/>
          </w:tcPr>
          <w:p w:rsidR="004375CC" w:rsidRDefault="00BF1ED9">
            <w:pPr>
              <w:jc w:val="right"/>
            </w:pPr>
            <w:r>
              <w:rPr>
                <w:color w:val="000000"/>
                <w:sz w:val="24"/>
                <w:szCs w:val="24"/>
              </w:rPr>
              <w:t>69,898,581.48</w:t>
            </w:r>
          </w:p>
        </w:tc>
        <w:tc>
          <w:tcPr>
            <w:tcW w:w="1644" w:type="dxa"/>
            <w:vAlign w:val="center"/>
          </w:tcPr>
          <w:p w:rsidR="004375CC" w:rsidRDefault="00BF1ED9">
            <w:pPr>
              <w:jc w:val="right"/>
            </w:pPr>
            <w:r>
              <w:rPr>
                <w:color w:val="000000"/>
                <w:sz w:val="24"/>
                <w:szCs w:val="24"/>
              </w:rPr>
              <w:t>9.07</w:t>
            </w:r>
          </w:p>
        </w:tc>
      </w:tr>
      <w:tr w:rsidR="004375CC">
        <w:trPr>
          <w:jc w:val="center"/>
        </w:trPr>
        <w:tc>
          <w:tcPr>
            <w:tcW w:w="855" w:type="dxa"/>
            <w:vAlign w:val="center"/>
          </w:tcPr>
          <w:p w:rsidR="004375CC" w:rsidRDefault="00BF1ED9">
            <w:pPr>
              <w:jc w:val="center"/>
            </w:pPr>
            <w:r>
              <w:rPr>
                <w:color w:val="000000"/>
                <w:sz w:val="24"/>
                <w:szCs w:val="24"/>
              </w:rPr>
              <w:t>3</w:t>
            </w:r>
          </w:p>
        </w:tc>
        <w:tc>
          <w:tcPr>
            <w:tcW w:w="1334" w:type="dxa"/>
            <w:vAlign w:val="center"/>
          </w:tcPr>
          <w:p w:rsidR="004375CC" w:rsidRDefault="00BF1ED9">
            <w:pPr>
              <w:jc w:val="center"/>
            </w:pPr>
            <w:r>
              <w:rPr>
                <w:color w:val="000000"/>
                <w:sz w:val="24"/>
                <w:szCs w:val="24"/>
              </w:rPr>
              <w:t>000977</w:t>
            </w:r>
          </w:p>
        </w:tc>
        <w:tc>
          <w:tcPr>
            <w:tcW w:w="1777" w:type="dxa"/>
            <w:vAlign w:val="center"/>
          </w:tcPr>
          <w:p w:rsidR="004375CC" w:rsidRDefault="00BF1ED9">
            <w:pPr>
              <w:jc w:val="center"/>
            </w:pPr>
            <w:r>
              <w:rPr>
                <w:color w:val="000000"/>
                <w:sz w:val="24"/>
                <w:szCs w:val="24"/>
              </w:rPr>
              <w:t>浪潮信息</w:t>
            </w:r>
          </w:p>
        </w:tc>
        <w:tc>
          <w:tcPr>
            <w:tcW w:w="1334" w:type="dxa"/>
            <w:vAlign w:val="center"/>
          </w:tcPr>
          <w:p w:rsidR="004375CC" w:rsidRDefault="00BF1ED9">
            <w:pPr>
              <w:jc w:val="right"/>
            </w:pPr>
            <w:r>
              <w:rPr>
                <w:color w:val="000000"/>
                <w:sz w:val="24"/>
                <w:szCs w:val="24"/>
              </w:rPr>
              <w:t>2,636,100</w:t>
            </w:r>
          </w:p>
        </w:tc>
        <w:tc>
          <w:tcPr>
            <w:tcW w:w="1924" w:type="dxa"/>
            <w:vAlign w:val="center"/>
          </w:tcPr>
          <w:p w:rsidR="004375CC" w:rsidRDefault="00BF1ED9">
            <w:pPr>
              <w:jc w:val="right"/>
            </w:pPr>
            <w:r>
              <w:rPr>
                <w:color w:val="000000"/>
                <w:sz w:val="24"/>
                <w:szCs w:val="24"/>
              </w:rPr>
              <w:t>62,870,985.00</w:t>
            </w:r>
          </w:p>
        </w:tc>
        <w:tc>
          <w:tcPr>
            <w:tcW w:w="1644" w:type="dxa"/>
            <w:vAlign w:val="center"/>
          </w:tcPr>
          <w:p w:rsidR="004375CC" w:rsidRDefault="00BF1ED9">
            <w:pPr>
              <w:jc w:val="right"/>
            </w:pPr>
            <w:r>
              <w:rPr>
                <w:color w:val="000000"/>
                <w:sz w:val="24"/>
                <w:szCs w:val="24"/>
              </w:rPr>
              <w:t>8.16</w:t>
            </w:r>
          </w:p>
        </w:tc>
      </w:tr>
      <w:tr w:rsidR="004375CC">
        <w:trPr>
          <w:jc w:val="center"/>
        </w:trPr>
        <w:tc>
          <w:tcPr>
            <w:tcW w:w="855" w:type="dxa"/>
            <w:vAlign w:val="center"/>
          </w:tcPr>
          <w:p w:rsidR="004375CC" w:rsidRDefault="00BF1ED9">
            <w:pPr>
              <w:jc w:val="center"/>
            </w:pPr>
            <w:r>
              <w:rPr>
                <w:color w:val="000000"/>
                <w:sz w:val="24"/>
                <w:szCs w:val="24"/>
              </w:rPr>
              <w:t>4</w:t>
            </w:r>
          </w:p>
        </w:tc>
        <w:tc>
          <w:tcPr>
            <w:tcW w:w="1334" w:type="dxa"/>
            <w:vAlign w:val="center"/>
          </w:tcPr>
          <w:p w:rsidR="004375CC" w:rsidRDefault="00BF1ED9">
            <w:pPr>
              <w:jc w:val="center"/>
            </w:pPr>
            <w:r>
              <w:rPr>
                <w:color w:val="000000"/>
                <w:sz w:val="24"/>
                <w:szCs w:val="24"/>
              </w:rPr>
              <w:t>002599</w:t>
            </w:r>
          </w:p>
        </w:tc>
        <w:tc>
          <w:tcPr>
            <w:tcW w:w="1777" w:type="dxa"/>
            <w:vAlign w:val="center"/>
          </w:tcPr>
          <w:p w:rsidR="004375CC" w:rsidRDefault="00BF1ED9">
            <w:pPr>
              <w:jc w:val="center"/>
            </w:pPr>
            <w:r>
              <w:rPr>
                <w:color w:val="000000"/>
                <w:sz w:val="24"/>
                <w:szCs w:val="24"/>
              </w:rPr>
              <w:t>盛通股份</w:t>
            </w:r>
          </w:p>
        </w:tc>
        <w:tc>
          <w:tcPr>
            <w:tcW w:w="1334" w:type="dxa"/>
            <w:vAlign w:val="center"/>
          </w:tcPr>
          <w:p w:rsidR="004375CC" w:rsidRDefault="00BF1ED9">
            <w:pPr>
              <w:jc w:val="right"/>
            </w:pPr>
            <w:r>
              <w:rPr>
                <w:color w:val="000000"/>
                <w:sz w:val="24"/>
                <w:szCs w:val="24"/>
              </w:rPr>
              <w:t>5,369,302</w:t>
            </w:r>
          </w:p>
        </w:tc>
        <w:tc>
          <w:tcPr>
            <w:tcW w:w="1924" w:type="dxa"/>
            <w:vAlign w:val="center"/>
          </w:tcPr>
          <w:p w:rsidR="004375CC" w:rsidRDefault="00BF1ED9">
            <w:pPr>
              <w:jc w:val="right"/>
            </w:pPr>
            <w:r>
              <w:rPr>
                <w:color w:val="000000"/>
                <w:sz w:val="24"/>
                <w:szCs w:val="24"/>
              </w:rPr>
              <w:t>56,001,819.86</w:t>
            </w:r>
          </w:p>
        </w:tc>
        <w:tc>
          <w:tcPr>
            <w:tcW w:w="1644" w:type="dxa"/>
            <w:vAlign w:val="center"/>
          </w:tcPr>
          <w:p w:rsidR="004375CC" w:rsidRDefault="00BF1ED9">
            <w:pPr>
              <w:jc w:val="right"/>
            </w:pPr>
            <w:r>
              <w:rPr>
                <w:color w:val="000000"/>
                <w:sz w:val="24"/>
                <w:szCs w:val="24"/>
              </w:rPr>
              <w:t>7.26</w:t>
            </w:r>
          </w:p>
        </w:tc>
      </w:tr>
      <w:tr w:rsidR="004375CC">
        <w:trPr>
          <w:jc w:val="center"/>
        </w:trPr>
        <w:tc>
          <w:tcPr>
            <w:tcW w:w="855" w:type="dxa"/>
            <w:vAlign w:val="center"/>
          </w:tcPr>
          <w:p w:rsidR="004375CC" w:rsidRDefault="00BF1ED9">
            <w:pPr>
              <w:jc w:val="center"/>
            </w:pPr>
            <w:r>
              <w:rPr>
                <w:color w:val="000000"/>
                <w:sz w:val="24"/>
                <w:szCs w:val="24"/>
              </w:rPr>
              <w:t>5</w:t>
            </w:r>
          </w:p>
        </w:tc>
        <w:tc>
          <w:tcPr>
            <w:tcW w:w="1334" w:type="dxa"/>
            <w:vAlign w:val="center"/>
          </w:tcPr>
          <w:p w:rsidR="004375CC" w:rsidRDefault="00BF1ED9">
            <w:pPr>
              <w:jc w:val="center"/>
            </w:pPr>
            <w:r>
              <w:rPr>
                <w:color w:val="000000"/>
                <w:sz w:val="24"/>
                <w:szCs w:val="24"/>
              </w:rPr>
              <w:t>300271</w:t>
            </w:r>
          </w:p>
        </w:tc>
        <w:tc>
          <w:tcPr>
            <w:tcW w:w="1777" w:type="dxa"/>
            <w:vAlign w:val="center"/>
          </w:tcPr>
          <w:p w:rsidR="004375CC" w:rsidRDefault="00BF1ED9">
            <w:pPr>
              <w:jc w:val="center"/>
            </w:pPr>
            <w:r>
              <w:rPr>
                <w:color w:val="000000"/>
                <w:sz w:val="24"/>
                <w:szCs w:val="24"/>
              </w:rPr>
              <w:t>华宇软件</w:t>
            </w:r>
          </w:p>
        </w:tc>
        <w:tc>
          <w:tcPr>
            <w:tcW w:w="1334" w:type="dxa"/>
            <w:vAlign w:val="center"/>
          </w:tcPr>
          <w:p w:rsidR="004375CC" w:rsidRDefault="00BF1ED9">
            <w:pPr>
              <w:jc w:val="right"/>
            </w:pPr>
            <w:r>
              <w:rPr>
                <w:color w:val="000000"/>
                <w:sz w:val="24"/>
                <w:szCs w:val="24"/>
              </w:rPr>
              <w:t>2,958,809</w:t>
            </w:r>
          </w:p>
        </w:tc>
        <w:tc>
          <w:tcPr>
            <w:tcW w:w="1924" w:type="dxa"/>
            <w:vAlign w:val="center"/>
          </w:tcPr>
          <w:p w:rsidR="004375CC" w:rsidRDefault="00BF1ED9">
            <w:pPr>
              <w:jc w:val="right"/>
            </w:pPr>
            <w:r>
              <w:rPr>
                <w:color w:val="000000"/>
                <w:sz w:val="24"/>
                <w:szCs w:val="24"/>
              </w:rPr>
              <w:t>52,311,743.12</w:t>
            </w:r>
          </w:p>
        </w:tc>
        <w:tc>
          <w:tcPr>
            <w:tcW w:w="1644" w:type="dxa"/>
            <w:vAlign w:val="center"/>
          </w:tcPr>
          <w:p w:rsidR="004375CC" w:rsidRDefault="00BF1ED9">
            <w:pPr>
              <w:jc w:val="right"/>
            </w:pPr>
            <w:r>
              <w:rPr>
                <w:color w:val="000000"/>
                <w:sz w:val="24"/>
                <w:szCs w:val="24"/>
              </w:rPr>
              <w:t>6.79</w:t>
            </w:r>
          </w:p>
        </w:tc>
      </w:tr>
      <w:tr w:rsidR="004375CC">
        <w:trPr>
          <w:jc w:val="center"/>
        </w:trPr>
        <w:tc>
          <w:tcPr>
            <w:tcW w:w="855" w:type="dxa"/>
            <w:vAlign w:val="center"/>
          </w:tcPr>
          <w:p w:rsidR="004375CC" w:rsidRDefault="00BF1ED9">
            <w:pPr>
              <w:jc w:val="center"/>
            </w:pPr>
            <w:r>
              <w:rPr>
                <w:color w:val="000000"/>
                <w:sz w:val="24"/>
                <w:szCs w:val="24"/>
              </w:rPr>
              <w:t>6</w:t>
            </w:r>
          </w:p>
        </w:tc>
        <w:tc>
          <w:tcPr>
            <w:tcW w:w="1334" w:type="dxa"/>
            <w:vAlign w:val="center"/>
          </w:tcPr>
          <w:p w:rsidR="004375CC" w:rsidRDefault="00BF1ED9">
            <w:pPr>
              <w:jc w:val="center"/>
            </w:pPr>
            <w:r>
              <w:rPr>
                <w:color w:val="000000"/>
                <w:sz w:val="24"/>
                <w:szCs w:val="24"/>
              </w:rPr>
              <w:t>300130</w:t>
            </w:r>
          </w:p>
        </w:tc>
        <w:tc>
          <w:tcPr>
            <w:tcW w:w="1777" w:type="dxa"/>
            <w:vAlign w:val="center"/>
          </w:tcPr>
          <w:p w:rsidR="004375CC" w:rsidRDefault="00BF1ED9">
            <w:pPr>
              <w:jc w:val="center"/>
            </w:pPr>
            <w:r>
              <w:rPr>
                <w:color w:val="000000"/>
                <w:sz w:val="24"/>
                <w:szCs w:val="24"/>
              </w:rPr>
              <w:t>新国都</w:t>
            </w:r>
          </w:p>
        </w:tc>
        <w:tc>
          <w:tcPr>
            <w:tcW w:w="1334" w:type="dxa"/>
            <w:vAlign w:val="center"/>
          </w:tcPr>
          <w:p w:rsidR="004375CC" w:rsidRDefault="00BF1ED9">
            <w:pPr>
              <w:jc w:val="right"/>
            </w:pPr>
            <w:r>
              <w:rPr>
                <w:color w:val="000000"/>
                <w:sz w:val="24"/>
                <w:szCs w:val="24"/>
              </w:rPr>
              <w:t>3,262,548</w:t>
            </w:r>
          </w:p>
        </w:tc>
        <w:tc>
          <w:tcPr>
            <w:tcW w:w="1924" w:type="dxa"/>
            <w:vAlign w:val="center"/>
          </w:tcPr>
          <w:p w:rsidR="004375CC" w:rsidRDefault="00BF1ED9">
            <w:pPr>
              <w:jc w:val="right"/>
            </w:pPr>
            <w:r>
              <w:rPr>
                <w:color w:val="000000"/>
                <w:sz w:val="24"/>
                <w:szCs w:val="24"/>
              </w:rPr>
              <w:t>44,011,772.52</w:t>
            </w:r>
          </w:p>
        </w:tc>
        <w:tc>
          <w:tcPr>
            <w:tcW w:w="1644" w:type="dxa"/>
            <w:vAlign w:val="center"/>
          </w:tcPr>
          <w:p w:rsidR="004375CC" w:rsidRDefault="00BF1ED9">
            <w:pPr>
              <w:jc w:val="right"/>
            </w:pPr>
            <w:r>
              <w:rPr>
                <w:color w:val="000000"/>
                <w:sz w:val="24"/>
                <w:szCs w:val="24"/>
              </w:rPr>
              <w:t>5.71</w:t>
            </w:r>
          </w:p>
        </w:tc>
      </w:tr>
      <w:tr w:rsidR="004375CC">
        <w:trPr>
          <w:jc w:val="center"/>
        </w:trPr>
        <w:tc>
          <w:tcPr>
            <w:tcW w:w="855" w:type="dxa"/>
            <w:vAlign w:val="center"/>
          </w:tcPr>
          <w:p w:rsidR="004375CC" w:rsidRDefault="00BF1ED9">
            <w:pPr>
              <w:jc w:val="center"/>
            </w:pPr>
            <w:r>
              <w:rPr>
                <w:color w:val="000000"/>
                <w:sz w:val="24"/>
                <w:szCs w:val="24"/>
              </w:rPr>
              <w:t>7</w:t>
            </w:r>
          </w:p>
        </w:tc>
        <w:tc>
          <w:tcPr>
            <w:tcW w:w="1334" w:type="dxa"/>
            <w:vAlign w:val="center"/>
          </w:tcPr>
          <w:p w:rsidR="004375CC" w:rsidRDefault="00BF1ED9">
            <w:pPr>
              <w:jc w:val="center"/>
            </w:pPr>
            <w:r>
              <w:rPr>
                <w:color w:val="000000"/>
                <w:sz w:val="24"/>
                <w:szCs w:val="24"/>
              </w:rPr>
              <w:t>603108</w:t>
            </w:r>
          </w:p>
        </w:tc>
        <w:tc>
          <w:tcPr>
            <w:tcW w:w="1777" w:type="dxa"/>
            <w:vAlign w:val="center"/>
          </w:tcPr>
          <w:p w:rsidR="004375CC" w:rsidRDefault="00BF1ED9">
            <w:pPr>
              <w:jc w:val="center"/>
            </w:pPr>
            <w:r>
              <w:rPr>
                <w:color w:val="000000"/>
                <w:sz w:val="24"/>
                <w:szCs w:val="24"/>
              </w:rPr>
              <w:t>润达医疗</w:t>
            </w:r>
          </w:p>
        </w:tc>
        <w:tc>
          <w:tcPr>
            <w:tcW w:w="1334" w:type="dxa"/>
            <w:vAlign w:val="center"/>
          </w:tcPr>
          <w:p w:rsidR="004375CC" w:rsidRDefault="00BF1ED9">
            <w:pPr>
              <w:jc w:val="right"/>
            </w:pPr>
            <w:r>
              <w:rPr>
                <w:color w:val="000000"/>
                <w:sz w:val="24"/>
                <w:szCs w:val="24"/>
              </w:rPr>
              <w:t>3,440,924</w:t>
            </w:r>
          </w:p>
        </w:tc>
        <w:tc>
          <w:tcPr>
            <w:tcW w:w="1924" w:type="dxa"/>
            <w:vAlign w:val="center"/>
          </w:tcPr>
          <w:p w:rsidR="004375CC" w:rsidRDefault="00BF1ED9">
            <w:pPr>
              <w:jc w:val="right"/>
            </w:pPr>
            <w:r>
              <w:rPr>
                <w:color w:val="000000"/>
                <w:sz w:val="24"/>
                <w:szCs w:val="24"/>
              </w:rPr>
              <w:t>38,607,167.28</w:t>
            </w:r>
          </w:p>
        </w:tc>
        <w:tc>
          <w:tcPr>
            <w:tcW w:w="1644" w:type="dxa"/>
            <w:vAlign w:val="center"/>
          </w:tcPr>
          <w:p w:rsidR="004375CC" w:rsidRDefault="00BF1ED9">
            <w:pPr>
              <w:jc w:val="right"/>
            </w:pPr>
            <w:r>
              <w:rPr>
                <w:color w:val="000000"/>
                <w:sz w:val="24"/>
                <w:szCs w:val="24"/>
              </w:rPr>
              <w:t>5.01</w:t>
            </w:r>
          </w:p>
        </w:tc>
      </w:tr>
      <w:tr w:rsidR="004375CC">
        <w:trPr>
          <w:jc w:val="center"/>
        </w:trPr>
        <w:tc>
          <w:tcPr>
            <w:tcW w:w="855" w:type="dxa"/>
            <w:vAlign w:val="center"/>
          </w:tcPr>
          <w:p w:rsidR="004375CC" w:rsidRDefault="00BF1ED9">
            <w:pPr>
              <w:jc w:val="center"/>
            </w:pPr>
            <w:r>
              <w:rPr>
                <w:color w:val="000000"/>
                <w:sz w:val="24"/>
                <w:szCs w:val="24"/>
              </w:rPr>
              <w:t>8</w:t>
            </w:r>
          </w:p>
        </w:tc>
        <w:tc>
          <w:tcPr>
            <w:tcW w:w="1334" w:type="dxa"/>
            <w:vAlign w:val="center"/>
          </w:tcPr>
          <w:p w:rsidR="004375CC" w:rsidRDefault="00BF1ED9">
            <w:pPr>
              <w:jc w:val="center"/>
            </w:pPr>
            <w:r>
              <w:rPr>
                <w:color w:val="000000"/>
                <w:sz w:val="24"/>
                <w:szCs w:val="24"/>
              </w:rPr>
              <w:t>300012</w:t>
            </w:r>
          </w:p>
        </w:tc>
        <w:tc>
          <w:tcPr>
            <w:tcW w:w="1777" w:type="dxa"/>
            <w:vAlign w:val="center"/>
          </w:tcPr>
          <w:p w:rsidR="004375CC" w:rsidRDefault="00BF1ED9">
            <w:pPr>
              <w:jc w:val="center"/>
            </w:pPr>
            <w:r>
              <w:rPr>
                <w:color w:val="000000"/>
                <w:sz w:val="24"/>
                <w:szCs w:val="24"/>
              </w:rPr>
              <w:t>华测检测</w:t>
            </w:r>
          </w:p>
        </w:tc>
        <w:tc>
          <w:tcPr>
            <w:tcW w:w="1334" w:type="dxa"/>
            <w:vAlign w:val="center"/>
          </w:tcPr>
          <w:p w:rsidR="004375CC" w:rsidRDefault="00BF1ED9">
            <w:pPr>
              <w:jc w:val="right"/>
            </w:pPr>
            <w:r>
              <w:rPr>
                <w:color w:val="000000"/>
                <w:sz w:val="24"/>
                <w:szCs w:val="24"/>
              </w:rPr>
              <w:t>6,396,700</w:t>
            </w:r>
          </w:p>
        </w:tc>
        <w:tc>
          <w:tcPr>
            <w:tcW w:w="1924" w:type="dxa"/>
            <w:vAlign w:val="center"/>
          </w:tcPr>
          <w:p w:rsidR="004375CC" w:rsidRDefault="00BF1ED9">
            <w:pPr>
              <w:jc w:val="right"/>
            </w:pPr>
            <w:r>
              <w:rPr>
                <w:color w:val="000000"/>
                <w:sz w:val="24"/>
                <w:szCs w:val="24"/>
              </w:rPr>
              <w:t>36,717,058.00</w:t>
            </w:r>
          </w:p>
        </w:tc>
        <w:tc>
          <w:tcPr>
            <w:tcW w:w="1644" w:type="dxa"/>
            <w:vAlign w:val="center"/>
          </w:tcPr>
          <w:p w:rsidR="004375CC" w:rsidRDefault="00BF1ED9">
            <w:pPr>
              <w:jc w:val="right"/>
            </w:pPr>
            <w:r>
              <w:rPr>
                <w:color w:val="000000"/>
                <w:sz w:val="24"/>
                <w:szCs w:val="24"/>
              </w:rPr>
              <w:t>4.76</w:t>
            </w:r>
          </w:p>
        </w:tc>
      </w:tr>
      <w:tr w:rsidR="004375CC">
        <w:trPr>
          <w:jc w:val="center"/>
        </w:trPr>
        <w:tc>
          <w:tcPr>
            <w:tcW w:w="855" w:type="dxa"/>
            <w:vAlign w:val="center"/>
          </w:tcPr>
          <w:p w:rsidR="004375CC" w:rsidRDefault="00BF1ED9">
            <w:pPr>
              <w:jc w:val="center"/>
            </w:pPr>
            <w:r>
              <w:rPr>
                <w:color w:val="000000"/>
                <w:sz w:val="24"/>
                <w:szCs w:val="24"/>
              </w:rPr>
              <w:t>9</w:t>
            </w:r>
          </w:p>
        </w:tc>
        <w:tc>
          <w:tcPr>
            <w:tcW w:w="1334" w:type="dxa"/>
            <w:vAlign w:val="center"/>
          </w:tcPr>
          <w:p w:rsidR="004375CC" w:rsidRDefault="00BF1ED9">
            <w:pPr>
              <w:jc w:val="center"/>
            </w:pPr>
            <w:r>
              <w:rPr>
                <w:color w:val="000000"/>
                <w:sz w:val="24"/>
                <w:szCs w:val="24"/>
              </w:rPr>
              <w:t>300212</w:t>
            </w:r>
          </w:p>
        </w:tc>
        <w:tc>
          <w:tcPr>
            <w:tcW w:w="1777" w:type="dxa"/>
            <w:vAlign w:val="center"/>
          </w:tcPr>
          <w:p w:rsidR="004375CC" w:rsidRDefault="00BF1ED9">
            <w:pPr>
              <w:jc w:val="center"/>
            </w:pPr>
            <w:r>
              <w:rPr>
                <w:color w:val="000000"/>
                <w:sz w:val="24"/>
                <w:szCs w:val="24"/>
              </w:rPr>
              <w:t>易华录</w:t>
            </w:r>
          </w:p>
        </w:tc>
        <w:tc>
          <w:tcPr>
            <w:tcW w:w="1334" w:type="dxa"/>
            <w:vAlign w:val="center"/>
          </w:tcPr>
          <w:p w:rsidR="004375CC" w:rsidRDefault="00BF1ED9">
            <w:pPr>
              <w:jc w:val="right"/>
            </w:pPr>
            <w:r>
              <w:rPr>
                <w:color w:val="000000"/>
                <w:sz w:val="24"/>
                <w:szCs w:val="24"/>
              </w:rPr>
              <w:t>1,419,500</w:t>
            </w:r>
          </w:p>
        </w:tc>
        <w:tc>
          <w:tcPr>
            <w:tcW w:w="1924" w:type="dxa"/>
            <w:vAlign w:val="center"/>
          </w:tcPr>
          <w:p w:rsidR="004375CC" w:rsidRDefault="00BF1ED9">
            <w:pPr>
              <w:jc w:val="right"/>
            </w:pPr>
            <w:r>
              <w:rPr>
                <w:color w:val="000000"/>
                <w:sz w:val="24"/>
                <w:szCs w:val="24"/>
              </w:rPr>
              <w:t>33,571,175.00</w:t>
            </w:r>
          </w:p>
        </w:tc>
        <w:tc>
          <w:tcPr>
            <w:tcW w:w="1644" w:type="dxa"/>
            <w:vAlign w:val="center"/>
          </w:tcPr>
          <w:p w:rsidR="004375CC" w:rsidRDefault="00BF1ED9">
            <w:pPr>
              <w:jc w:val="right"/>
            </w:pPr>
            <w:r>
              <w:rPr>
                <w:color w:val="000000"/>
                <w:sz w:val="24"/>
                <w:szCs w:val="24"/>
              </w:rPr>
              <w:t>4.36</w:t>
            </w:r>
          </w:p>
        </w:tc>
      </w:tr>
      <w:tr w:rsidR="004375CC">
        <w:trPr>
          <w:jc w:val="center"/>
        </w:trPr>
        <w:tc>
          <w:tcPr>
            <w:tcW w:w="855" w:type="dxa"/>
            <w:vAlign w:val="center"/>
          </w:tcPr>
          <w:p w:rsidR="004375CC" w:rsidRDefault="00BF1ED9">
            <w:pPr>
              <w:jc w:val="center"/>
            </w:pPr>
            <w:r>
              <w:rPr>
                <w:color w:val="000000"/>
                <w:sz w:val="24"/>
                <w:szCs w:val="24"/>
              </w:rPr>
              <w:t>10</w:t>
            </w:r>
          </w:p>
        </w:tc>
        <w:tc>
          <w:tcPr>
            <w:tcW w:w="1334" w:type="dxa"/>
            <w:vAlign w:val="center"/>
          </w:tcPr>
          <w:p w:rsidR="004375CC" w:rsidRDefault="00BF1ED9">
            <w:pPr>
              <w:jc w:val="center"/>
            </w:pPr>
            <w:r>
              <w:rPr>
                <w:color w:val="000000"/>
                <w:sz w:val="24"/>
                <w:szCs w:val="24"/>
              </w:rPr>
              <w:t>300572</w:t>
            </w:r>
          </w:p>
        </w:tc>
        <w:tc>
          <w:tcPr>
            <w:tcW w:w="1777" w:type="dxa"/>
            <w:vAlign w:val="center"/>
          </w:tcPr>
          <w:p w:rsidR="004375CC" w:rsidRDefault="00BF1ED9">
            <w:pPr>
              <w:jc w:val="center"/>
            </w:pPr>
            <w:r>
              <w:rPr>
                <w:color w:val="000000"/>
                <w:sz w:val="24"/>
                <w:szCs w:val="24"/>
              </w:rPr>
              <w:t>安车检测</w:t>
            </w:r>
          </w:p>
        </w:tc>
        <w:tc>
          <w:tcPr>
            <w:tcW w:w="1334" w:type="dxa"/>
            <w:vAlign w:val="center"/>
          </w:tcPr>
          <w:p w:rsidR="004375CC" w:rsidRDefault="00BF1ED9">
            <w:pPr>
              <w:jc w:val="right"/>
            </w:pPr>
            <w:r>
              <w:rPr>
                <w:color w:val="000000"/>
                <w:sz w:val="24"/>
                <w:szCs w:val="24"/>
              </w:rPr>
              <w:t>679,101</w:t>
            </w:r>
          </w:p>
        </w:tc>
        <w:tc>
          <w:tcPr>
            <w:tcW w:w="1924" w:type="dxa"/>
            <w:vAlign w:val="center"/>
          </w:tcPr>
          <w:p w:rsidR="004375CC" w:rsidRDefault="00BF1ED9">
            <w:pPr>
              <w:jc w:val="right"/>
            </w:pPr>
            <w:r>
              <w:rPr>
                <w:color w:val="000000"/>
                <w:sz w:val="24"/>
                <w:szCs w:val="24"/>
              </w:rPr>
              <w:t>33,418,560.21</w:t>
            </w:r>
          </w:p>
        </w:tc>
        <w:tc>
          <w:tcPr>
            <w:tcW w:w="1644" w:type="dxa"/>
            <w:vAlign w:val="center"/>
          </w:tcPr>
          <w:p w:rsidR="004375CC" w:rsidRDefault="00BF1ED9">
            <w:pPr>
              <w:jc w:val="right"/>
            </w:pPr>
            <w:r>
              <w:rPr>
                <w:color w:val="000000"/>
                <w:sz w:val="24"/>
                <w:szCs w:val="24"/>
              </w:rPr>
              <w:t>4.34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8,000,800.00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16,004,800.00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16,004,800.00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24,005,600.00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375CC">
        <w:trPr>
          <w:jc w:val="center"/>
        </w:trPr>
        <w:tc>
          <w:tcPr>
            <w:tcW w:w="850" w:type="dxa"/>
            <w:vAlign w:val="center"/>
          </w:tcPr>
          <w:p w:rsidR="004375CC" w:rsidRDefault="00BF1ED9">
            <w:pPr>
              <w:jc w:val="center"/>
            </w:pPr>
            <w:r>
              <w:rPr>
                <w:color w:val="000000"/>
                <w:sz w:val="24"/>
                <w:szCs w:val="24"/>
              </w:rPr>
              <w:t>1</w:t>
            </w:r>
          </w:p>
        </w:tc>
        <w:tc>
          <w:tcPr>
            <w:tcW w:w="1475" w:type="dxa"/>
            <w:vAlign w:val="center"/>
          </w:tcPr>
          <w:p w:rsidR="004375CC" w:rsidRDefault="00BF1ED9">
            <w:pPr>
              <w:jc w:val="center"/>
            </w:pPr>
            <w:r>
              <w:rPr>
                <w:color w:val="000000"/>
                <w:sz w:val="24"/>
                <w:szCs w:val="24"/>
              </w:rPr>
              <w:t>170410</w:t>
            </w:r>
          </w:p>
        </w:tc>
        <w:tc>
          <w:tcPr>
            <w:tcW w:w="1769" w:type="dxa"/>
            <w:vAlign w:val="center"/>
          </w:tcPr>
          <w:p w:rsidR="004375CC" w:rsidRDefault="00BF1ED9">
            <w:pPr>
              <w:jc w:val="center"/>
            </w:pPr>
            <w:r>
              <w:rPr>
                <w:color w:val="000000"/>
                <w:sz w:val="24"/>
                <w:szCs w:val="24"/>
              </w:rPr>
              <w:t>17</w:t>
            </w:r>
            <w:r>
              <w:rPr>
                <w:color w:val="000000"/>
                <w:sz w:val="24"/>
                <w:szCs w:val="24"/>
              </w:rPr>
              <w:t>农发</w:t>
            </w:r>
            <w:r>
              <w:rPr>
                <w:color w:val="000000"/>
                <w:sz w:val="24"/>
                <w:szCs w:val="24"/>
              </w:rPr>
              <w:t>10</w:t>
            </w:r>
          </w:p>
        </w:tc>
        <w:tc>
          <w:tcPr>
            <w:tcW w:w="1387" w:type="dxa"/>
            <w:vAlign w:val="center"/>
          </w:tcPr>
          <w:p w:rsidR="004375CC" w:rsidRDefault="00BF1ED9">
            <w:pPr>
              <w:jc w:val="right"/>
            </w:pPr>
            <w:r>
              <w:rPr>
                <w:color w:val="000000"/>
                <w:sz w:val="24"/>
                <w:szCs w:val="24"/>
              </w:rPr>
              <w:t>160,000</w:t>
            </w:r>
          </w:p>
        </w:tc>
        <w:tc>
          <w:tcPr>
            <w:tcW w:w="2150" w:type="dxa"/>
            <w:vAlign w:val="center"/>
          </w:tcPr>
          <w:p w:rsidR="004375CC" w:rsidRDefault="00BF1ED9">
            <w:pPr>
              <w:jc w:val="right"/>
            </w:pPr>
            <w:r>
              <w:rPr>
                <w:color w:val="000000"/>
                <w:sz w:val="24"/>
                <w:szCs w:val="24"/>
              </w:rPr>
              <w:t>16,004,800.00</w:t>
            </w:r>
          </w:p>
        </w:tc>
        <w:tc>
          <w:tcPr>
            <w:tcW w:w="1237" w:type="dxa"/>
            <w:vAlign w:val="center"/>
          </w:tcPr>
          <w:p w:rsidR="004375CC" w:rsidRDefault="00BF1ED9">
            <w:pPr>
              <w:jc w:val="right"/>
            </w:pPr>
            <w:r>
              <w:rPr>
                <w:color w:val="000000"/>
                <w:sz w:val="24"/>
                <w:szCs w:val="24"/>
              </w:rPr>
              <w:t>2.08</w:t>
            </w:r>
          </w:p>
        </w:tc>
      </w:tr>
      <w:tr w:rsidR="004375CC">
        <w:trPr>
          <w:jc w:val="center"/>
        </w:trPr>
        <w:tc>
          <w:tcPr>
            <w:tcW w:w="850" w:type="dxa"/>
            <w:vAlign w:val="center"/>
          </w:tcPr>
          <w:p w:rsidR="004375CC" w:rsidRDefault="00BF1ED9">
            <w:pPr>
              <w:jc w:val="center"/>
            </w:pPr>
            <w:r>
              <w:rPr>
                <w:color w:val="000000"/>
                <w:sz w:val="24"/>
                <w:szCs w:val="24"/>
              </w:rPr>
              <w:t>2</w:t>
            </w:r>
          </w:p>
        </w:tc>
        <w:tc>
          <w:tcPr>
            <w:tcW w:w="1475" w:type="dxa"/>
            <w:vAlign w:val="center"/>
          </w:tcPr>
          <w:p w:rsidR="004375CC" w:rsidRDefault="00BF1ED9">
            <w:pPr>
              <w:jc w:val="center"/>
            </w:pPr>
            <w:r>
              <w:rPr>
                <w:color w:val="000000"/>
                <w:sz w:val="24"/>
                <w:szCs w:val="24"/>
              </w:rPr>
              <w:t>019571</w:t>
            </w:r>
          </w:p>
        </w:tc>
        <w:tc>
          <w:tcPr>
            <w:tcW w:w="1769" w:type="dxa"/>
            <w:vAlign w:val="center"/>
          </w:tcPr>
          <w:p w:rsidR="004375CC" w:rsidRDefault="00BF1ED9">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4375CC" w:rsidRDefault="00BF1ED9">
            <w:pPr>
              <w:jc w:val="right"/>
            </w:pPr>
            <w:r>
              <w:rPr>
                <w:color w:val="000000"/>
                <w:sz w:val="24"/>
                <w:szCs w:val="24"/>
              </w:rPr>
              <w:t>80,000</w:t>
            </w:r>
          </w:p>
        </w:tc>
        <w:tc>
          <w:tcPr>
            <w:tcW w:w="2150" w:type="dxa"/>
            <w:vAlign w:val="center"/>
          </w:tcPr>
          <w:p w:rsidR="004375CC" w:rsidRDefault="00BF1ED9">
            <w:pPr>
              <w:jc w:val="right"/>
            </w:pPr>
            <w:r>
              <w:rPr>
                <w:color w:val="000000"/>
                <w:sz w:val="24"/>
                <w:szCs w:val="24"/>
              </w:rPr>
              <w:t>8,000,800.00</w:t>
            </w:r>
          </w:p>
        </w:tc>
        <w:tc>
          <w:tcPr>
            <w:tcW w:w="1237" w:type="dxa"/>
            <w:vAlign w:val="center"/>
          </w:tcPr>
          <w:p w:rsidR="004375CC" w:rsidRDefault="00BF1ED9">
            <w:pPr>
              <w:jc w:val="right"/>
            </w:pPr>
            <w:r>
              <w:rPr>
                <w:color w:val="000000"/>
                <w:sz w:val="24"/>
                <w:szCs w:val="24"/>
              </w:rPr>
              <w:t>1.04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报告期内本基金投资的前十名证券的发行主体除新国都（证券代码：</w:t>
      </w:r>
      <w:r w:rsidRPr="00BE5388">
        <w:rPr>
          <w:bCs/>
          <w:color w:val="000000"/>
          <w:kern w:val="0"/>
          <w:sz w:val="24"/>
          <w:szCs w:val="24"/>
        </w:rPr>
        <w:t>300130</w:t>
      </w:r>
      <w:r w:rsidRPr="00BE5388">
        <w:rPr>
          <w:bCs/>
          <w:color w:val="000000"/>
          <w:kern w:val="0"/>
          <w:sz w:val="24"/>
          <w:szCs w:val="24"/>
        </w:rPr>
        <w:t>）外，未出现被监管部门立案调查，或在报告编制日前一年内受到公开谴责、处罚的情形。</w:t>
      </w:r>
    </w:p>
    <w:p w:rsidR="004375CC" w:rsidRDefault="00BF1ED9">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报告期内本基金投资的前十名证券之一新国都（证券代码：</w:t>
      </w:r>
      <w:r>
        <w:rPr>
          <w:bCs/>
          <w:color w:val="000000"/>
          <w:kern w:val="0"/>
          <w:sz w:val="24"/>
          <w:szCs w:val="24"/>
        </w:rPr>
        <w:t>300130</w:t>
      </w:r>
      <w:r>
        <w:rPr>
          <w:bCs/>
          <w:color w:val="000000"/>
          <w:kern w:val="0"/>
          <w:sz w:val="24"/>
          <w:szCs w:val="24"/>
        </w:rPr>
        <w:t>）于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28</w:t>
      </w:r>
      <w:r>
        <w:rPr>
          <w:bCs/>
          <w:color w:val="000000"/>
          <w:kern w:val="0"/>
          <w:sz w:val="24"/>
          <w:szCs w:val="24"/>
        </w:rPr>
        <w:t>日收到已收购的嘉联支付有限公司的通知说明，获悉嘉联支付宁波分公司于</w:t>
      </w:r>
      <w:r>
        <w:rPr>
          <w:bCs/>
          <w:color w:val="000000"/>
          <w:kern w:val="0"/>
          <w:sz w:val="24"/>
          <w:szCs w:val="24"/>
        </w:rPr>
        <w:t>2017</w:t>
      </w:r>
      <w:r>
        <w:rPr>
          <w:bCs/>
          <w:color w:val="000000"/>
          <w:kern w:val="0"/>
          <w:sz w:val="24"/>
          <w:szCs w:val="24"/>
        </w:rPr>
        <w:t>年</w:t>
      </w:r>
      <w:r>
        <w:rPr>
          <w:bCs/>
          <w:color w:val="000000"/>
          <w:kern w:val="0"/>
          <w:sz w:val="24"/>
          <w:szCs w:val="24"/>
        </w:rPr>
        <w:t>12</w:t>
      </w:r>
      <w:r>
        <w:rPr>
          <w:bCs/>
          <w:color w:val="000000"/>
          <w:kern w:val="0"/>
          <w:sz w:val="24"/>
          <w:szCs w:val="24"/>
        </w:rPr>
        <w:t>月</w:t>
      </w:r>
      <w:r>
        <w:rPr>
          <w:bCs/>
          <w:color w:val="000000"/>
          <w:kern w:val="0"/>
          <w:sz w:val="24"/>
          <w:szCs w:val="24"/>
        </w:rPr>
        <w:t>27</w:t>
      </w:r>
      <w:r>
        <w:rPr>
          <w:bCs/>
          <w:color w:val="000000"/>
          <w:kern w:val="0"/>
          <w:sz w:val="24"/>
          <w:szCs w:val="24"/>
        </w:rPr>
        <w:t>日收到中国人民银行宁波市中心支行出具的行政处罚决定书（甬银处罚字〔</w:t>
      </w:r>
      <w:r>
        <w:rPr>
          <w:bCs/>
          <w:color w:val="000000"/>
          <w:kern w:val="0"/>
          <w:sz w:val="24"/>
          <w:szCs w:val="24"/>
        </w:rPr>
        <w:t>2017</w:t>
      </w:r>
      <w:r>
        <w:rPr>
          <w:bCs/>
          <w:color w:val="000000"/>
          <w:kern w:val="0"/>
          <w:sz w:val="24"/>
          <w:szCs w:val="24"/>
        </w:rPr>
        <w:t>〕</w:t>
      </w:r>
      <w:r>
        <w:rPr>
          <w:bCs/>
          <w:color w:val="000000"/>
          <w:kern w:val="0"/>
          <w:sz w:val="24"/>
          <w:szCs w:val="24"/>
        </w:rPr>
        <w:t>42</w:t>
      </w:r>
      <w:r>
        <w:rPr>
          <w:bCs/>
          <w:color w:val="000000"/>
          <w:kern w:val="0"/>
          <w:sz w:val="24"/>
          <w:szCs w:val="24"/>
        </w:rPr>
        <w:t>号），嘉联支付宁波分公司因阻碍反洗钱检查、未按照规定履行客户身份识别义务、</w:t>
      </w:r>
      <w:r>
        <w:rPr>
          <w:bCs/>
          <w:color w:val="000000"/>
          <w:kern w:val="0"/>
          <w:sz w:val="24"/>
          <w:szCs w:val="24"/>
        </w:rPr>
        <w:lastRenderedPageBreak/>
        <w:t>与身份不明的客户进行交易或者为客户开立匿名账户、假名账户、未按照规定报送可疑交易报告的行为予以罚款，共计人民币</w:t>
      </w:r>
      <w:r>
        <w:rPr>
          <w:bCs/>
          <w:color w:val="000000"/>
          <w:kern w:val="0"/>
          <w:sz w:val="24"/>
          <w:szCs w:val="24"/>
        </w:rPr>
        <w:t>138</w:t>
      </w:r>
      <w:r>
        <w:rPr>
          <w:bCs/>
          <w:color w:val="000000"/>
          <w:kern w:val="0"/>
          <w:sz w:val="24"/>
          <w:szCs w:val="24"/>
        </w:rPr>
        <w:t>万元。</w:t>
      </w:r>
    </w:p>
    <w:p w:rsidR="004375CC" w:rsidRDefault="00BF1ED9">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189,952.89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779,792.06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220,852.03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1,190,596.98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Default="003A1378" w:rsidP="00C15CAC">
      <w:pPr>
        <w:spacing w:before="29" w:line="288" w:lineRule="auto"/>
        <w:ind w:firstLineChars="200" w:firstLine="480"/>
        <w:rPr>
          <w:color w:val="000000"/>
          <w:sz w:val="24"/>
          <w:szCs w:val="24"/>
        </w:rPr>
      </w:pPr>
      <w:r w:rsidRPr="003A1378">
        <w:rPr>
          <w:rFonts w:hint="eastAsia"/>
          <w:color w:val="000000"/>
          <w:sz w:val="24"/>
          <w:szCs w:val="24"/>
        </w:rPr>
        <w:t>无。</w:t>
      </w:r>
    </w:p>
    <w:p w:rsidR="003A1378" w:rsidRPr="00414345" w:rsidRDefault="003A1378" w:rsidP="00C15CAC">
      <w:pPr>
        <w:spacing w:before="29" w:line="288" w:lineRule="auto"/>
        <w:ind w:firstLineChars="200" w:firstLine="480"/>
        <w:rPr>
          <w:color w:val="000000"/>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917,879,095.27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137,014,619.20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68,808,754.34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986,084,960.13</w:t>
            </w:r>
          </w:p>
        </w:tc>
      </w:tr>
    </w:tbl>
    <w:p w:rsidR="004375CC" w:rsidRDefault="00BF1ED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375CC" w:rsidRDefault="00BF1ED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375CC" w:rsidRDefault="00BF1ED9">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375CC" w:rsidRDefault="00BF1ED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ABA" w:rsidRDefault="00512ABA" w:rsidP="00876D65">
      <w:r>
        <w:separator/>
      </w:r>
    </w:p>
  </w:endnote>
  <w:endnote w:type="continuationSeparator" w:id="0">
    <w:p w:rsidR="00512ABA" w:rsidRDefault="00512AB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E70D52">
      <w:rPr>
        <w:noProof/>
        <w:kern w:val="0"/>
        <w:szCs w:val="21"/>
      </w:rPr>
      <w:t>2</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E70D52">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ABA" w:rsidRDefault="00512ABA" w:rsidP="00876D65">
      <w:r>
        <w:separator/>
      </w:r>
    </w:p>
  </w:footnote>
  <w:footnote w:type="continuationSeparator" w:id="0">
    <w:p w:rsidR="00512ABA" w:rsidRDefault="00512AB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1378"/>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375CC"/>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2ABA"/>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BF1ED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70D52"/>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3A1378"/>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3B3C-5368-46F2-A52A-0C1C1B505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1808</TotalTime>
  <Pages>12</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578</cp:revision>
  <dcterms:created xsi:type="dcterms:W3CDTF">2012-10-16T06:07:00Z</dcterms:created>
  <dcterms:modified xsi:type="dcterms:W3CDTF">2018-07-16T07:52:00Z</dcterms:modified>
</cp:coreProperties>
</file>