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D81B77">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815B6" w:rsidRDefault="00D81B7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81B7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151,445,828.33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81B7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1B77" w:rsidRPr="00414345" w:rsidTr="00D81B7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81B77" w:rsidRPr="00414345" w:rsidTr="00D81B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-5,963,683.04</w:t>
            </w:r>
          </w:p>
        </w:tc>
      </w:tr>
      <w:tr w:rsidR="00D81B77" w:rsidRPr="00414345" w:rsidTr="00D81B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-15,771,243.28</w:t>
            </w:r>
          </w:p>
        </w:tc>
      </w:tr>
      <w:tr w:rsidR="00D81B77" w:rsidRPr="00414345" w:rsidTr="00D81B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-0.1039</w:t>
            </w:r>
          </w:p>
        </w:tc>
      </w:tr>
      <w:tr w:rsidR="00D81B77" w:rsidRPr="00414345" w:rsidTr="00D81B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154,428,942.21</w:t>
            </w:r>
          </w:p>
        </w:tc>
      </w:tr>
      <w:tr w:rsidR="00D81B77" w:rsidRPr="00414345" w:rsidTr="00D81B7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1.020</w:t>
            </w:r>
          </w:p>
        </w:tc>
      </w:tr>
    </w:tbl>
    <w:p w:rsidR="009815B6" w:rsidRDefault="00D81B7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815B6">
        <w:trPr>
          <w:jc w:val="center"/>
        </w:trPr>
        <w:tc>
          <w:tcPr>
            <w:tcW w:w="1701" w:type="dxa"/>
            <w:vAlign w:val="center"/>
          </w:tcPr>
          <w:p w:rsidR="009815B6" w:rsidRDefault="00D81B77">
            <w:pPr>
              <w:jc w:val="left"/>
            </w:pPr>
            <w:r>
              <w:rPr>
                <w:color w:val="000000"/>
                <w:sz w:val="24"/>
                <w:szCs w:val="24"/>
              </w:rPr>
              <w:t>过去三个月</w:t>
            </w:r>
          </w:p>
        </w:tc>
        <w:tc>
          <w:tcPr>
            <w:tcW w:w="1045" w:type="dxa"/>
            <w:vAlign w:val="center"/>
          </w:tcPr>
          <w:p w:rsidR="009815B6" w:rsidRDefault="00D81B77">
            <w:pPr>
              <w:jc w:val="center"/>
            </w:pPr>
            <w:r>
              <w:rPr>
                <w:color w:val="000000"/>
                <w:sz w:val="24"/>
                <w:szCs w:val="24"/>
              </w:rPr>
              <w:t>-7.69%</w:t>
            </w:r>
          </w:p>
        </w:tc>
        <w:tc>
          <w:tcPr>
            <w:tcW w:w="1344" w:type="dxa"/>
            <w:vAlign w:val="center"/>
          </w:tcPr>
          <w:p w:rsidR="009815B6" w:rsidRDefault="00D81B77" w:rsidP="00B53FAB">
            <w:pPr>
              <w:jc w:val="center"/>
            </w:pPr>
            <w:r>
              <w:rPr>
                <w:color w:val="000000"/>
                <w:sz w:val="24"/>
                <w:szCs w:val="24"/>
              </w:rPr>
              <w:t>2.2</w:t>
            </w:r>
            <w:r w:rsidR="00B53FAB">
              <w:rPr>
                <w:color w:val="000000"/>
                <w:sz w:val="24"/>
                <w:szCs w:val="24"/>
              </w:rPr>
              <w:t>3</w:t>
            </w:r>
            <w:r>
              <w:rPr>
                <w:color w:val="000000"/>
                <w:sz w:val="24"/>
                <w:szCs w:val="24"/>
              </w:rPr>
              <w:t>%</w:t>
            </w:r>
          </w:p>
        </w:tc>
        <w:tc>
          <w:tcPr>
            <w:tcW w:w="1194" w:type="dxa"/>
            <w:vAlign w:val="center"/>
          </w:tcPr>
          <w:p w:rsidR="009815B6" w:rsidRDefault="00D81B77">
            <w:pPr>
              <w:jc w:val="center"/>
            </w:pPr>
            <w:r>
              <w:rPr>
                <w:color w:val="000000"/>
                <w:sz w:val="24"/>
                <w:szCs w:val="24"/>
              </w:rPr>
              <w:t>-5.26%</w:t>
            </w:r>
          </w:p>
        </w:tc>
        <w:tc>
          <w:tcPr>
            <w:tcW w:w="1492" w:type="dxa"/>
            <w:vAlign w:val="center"/>
          </w:tcPr>
          <w:p w:rsidR="009815B6" w:rsidRDefault="00D81B77" w:rsidP="00B53FAB">
            <w:pPr>
              <w:jc w:val="center"/>
            </w:pPr>
            <w:r>
              <w:rPr>
                <w:color w:val="000000"/>
                <w:sz w:val="24"/>
                <w:szCs w:val="24"/>
              </w:rPr>
              <w:t>0.6</w:t>
            </w:r>
            <w:r w:rsidR="00B53FAB">
              <w:rPr>
                <w:color w:val="000000"/>
                <w:sz w:val="24"/>
                <w:szCs w:val="24"/>
              </w:rPr>
              <w:t>8</w:t>
            </w:r>
            <w:bookmarkStart w:id="0" w:name="_GoBack"/>
            <w:bookmarkEnd w:id="0"/>
            <w:r>
              <w:rPr>
                <w:color w:val="000000"/>
                <w:sz w:val="24"/>
                <w:szCs w:val="24"/>
              </w:rPr>
              <w:t>%</w:t>
            </w:r>
          </w:p>
        </w:tc>
        <w:tc>
          <w:tcPr>
            <w:tcW w:w="1194" w:type="dxa"/>
            <w:vAlign w:val="center"/>
          </w:tcPr>
          <w:p w:rsidR="009815B6" w:rsidRDefault="00D81B77">
            <w:pPr>
              <w:jc w:val="center"/>
            </w:pPr>
            <w:r>
              <w:rPr>
                <w:color w:val="000000"/>
                <w:sz w:val="24"/>
                <w:szCs w:val="24"/>
              </w:rPr>
              <w:t>-2.43%</w:t>
            </w:r>
          </w:p>
        </w:tc>
        <w:tc>
          <w:tcPr>
            <w:tcW w:w="898" w:type="dxa"/>
            <w:vAlign w:val="center"/>
          </w:tcPr>
          <w:p w:rsidR="009815B6" w:rsidRDefault="00D81B77">
            <w:pPr>
              <w:jc w:val="center"/>
            </w:pPr>
            <w:r>
              <w:rPr>
                <w:color w:val="000000"/>
                <w:sz w:val="24"/>
                <w:szCs w:val="24"/>
              </w:rPr>
              <w:t>1.55%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81B77">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815B6">
        <w:trPr>
          <w:jc w:val="center"/>
        </w:trPr>
        <w:tc>
          <w:tcPr>
            <w:tcW w:w="846" w:type="dxa"/>
            <w:vAlign w:val="center"/>
          </w:tcPr>
          <w:p w:rsidR="009815B6" w:rsidRDefault="00D81B77">
            <w:pPr>
              <w:jc w:val="center"/>
            </w:pPr>
            <w:r>
              <w:rPr>
                <w:color w:val="000000"/>
                <w:sz w:val="24"/>
                <w:szCs w:val="24"/>
              </w:rPr>
              <w:t>芮晨</w:t>
            </w:r>
          </w:p>
        </w:tc>
        <w:tc>
          <w:tcPr>
            <w:tcW w:w="845" w:type="dxa"/>
            <w:vAlign w:val="center"/>
          </w:tcPr>
          <w:p w:rsidR="009815B6" w:rsidRDefault="00D81B77">
            <w:pPr>
              <w:jc w:val="center"/>
            </w:pPr>
            <w:r>
              <w:rPr>
                <w:color w:val="000000"/>
                <w:sz w:val="24"/>
                <w:szCs w:val="24"/>
              </w:rPr>
              <w:t>交银先锋混合、交银科技创新灵活配置混合、交银数据产业灵活配置混合的基金经理</w:t>
            </w:r>
          </w:p>
        </w:tc>
        <w:tc>
          <w:tcPr>
            <w:tcW w:w="1549" w:type="dxa"/>
            <w:vAlign w:val="center"/>
          </w:tcPr>
          <w:p w:rsidR="009815B6" w:rsidRDefault="00D81B77">
            <w:pPr>
              <w:jc w:val="center"/>
            </w:pPr>
            <w:r>
              <w:rPr>
                <w:color w:val="000000"/>
                <w:sz w:val="24"/>
                <w:szCs w:val="24"/>
              </w:rPr>
              <w:t>2016-05-05</w:t>
            </w:r>
          </w:p>
        </w:tc>
        <w:tc>
          <w:tcPr>
            <w:tcW w:w="1548" w:type="dxa"/>
            <w:vAlign w:val="center"/>
          </w:tcPr>
          <w:p w:rsidR="009815B6" w:rsidRDefault="00D81B77">
            <w:pPr>
              <w:jc w:val="center"/>
            </w:pPr>
            <w:r>
              <w:rPr>
                <w:color w:val="000000"/>
                <w:sz w:val="24"/>
                <w:szCs w:val="24"/>
              </w:rPr>
              <w:t>-</w:t>
            </w:r>
          </w:p>
        </w:tc>
        <w:tc>
          <w:tcPr>
            <w:tcW w:w="1407" w:type="dxa"/>
            <w:vAlign w:val="center"/>
          </w:tcPr>
          <w:p w:rsidR="009815B6" w:rsidRDefault="00D81B77">
            <w:pPr>
              <w:jc w:val="center"/>
            </w:pPr>
            <w:r>
              <w:rPr>
                <w:color w:val="000000"/>
                <w:sz w:val="24"/>
                <w:szCs w:val="24"/>
              </w:rPr>
              <w:t>11</w:t>
            </w:r>
            <w:r>
              <w:rPr>
                <w:color w:val="000000"/>
                <w:sz w:val="24"/>
                <w:szCs w:val="24"/>
              </w:rPr>
              <w:t>年</w:t>
            </w:r>
          </w:p>
        </w:tc>
        <w:tc>
          <w:tcPr>
            <w:tcW w:w="2673" w:type="dxa"/>
            <w:vAlign w:val="center"/>
          </w:tcPr>
          <w:p w:rsidR="009815B6" w:rsidRDefault="00D81B77">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815B6" w:rsidRDefault="00D81B7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815B6" w:rsidRDefault="00D81B7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815B6" w:rsidRDefault="00D81B7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815B6" w:rsidRDefault="00D81B77">
      <w:pPr>
        <w:spacing w:before="29" w:line="288" w:lineRule="auto"/>
        <w:ind w:firstLineChars="200" w:firstLine="480"/>
        <w:rPr>
          <w:color w:val="000000"/>
          <w:sz w:val="24"/>
          <w:szCs w:val="24"/>
        </w:rPr>
      </w:pPr>
      <w:r>
        <w:rPr>
          <w:color w:val="000000"/>
          <w:sz w:val="24"/>
          <w:szCs w:val="24"/>
        </w:rPr>
        <w:t>2018</w:t>
      </w:r>
      <w:r>
        <w:rPr>
          <w:color w:val="000000"/>
          <w:sz w:val="24"/>
          <w:szCs w:val="24"/>
        </w:rPr>
        <w:t>二季度，宏观经济表现出较强韧性，所以利率水平保持高位震荡，中美贸易战反复发酵，市场调整幅度较大。</w:t>
      </w:r>
    </w:p>
    <w:p w:rsidR="009815B6" w:rsidRDefault="00D81B77">
      <w:pPr>
        <w:spacing w:before="29" w:line="288" w:lineRule="auto"/>
        <w:ind w:firstLineChars="200" w:firstLine="480"/>
        <w:rPr>
          <w:color w:val="000000"/>
          <w:sz w:val="24"/>
          <w:szCs w:val="24"/>
        </w:rPr>
      </w:pPr>
      <w:r>
        <w:rPr>
          <w:color w:val="000000"/>
          <w:sz w:val="24"/>
          <w:szCs w:val="24"/>
        </w:rPr>
        <w:t>前期一季度调整较多的消费类股票，由于调整后的估值相对于业绩较为合理，所以二季度表现较好。一季度中表现较好的成长类股票，上涨后估值有所上升，同时相对于消费股的性价比降低，所以二季度表现一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综上，我们看到今年市场就像我们在</w:t>
      </w:r>
      <w:r w:rsidRPr="00414345">
        <w:rPr>
          <w:color w:val="000000"/>
          <w:sz w:val="24"/>
          <w:szCs w:val="24"/>
        </w:rPr>
        <w:t>2017</w:t>
      </w:r>
      <w:r w:rsidRPr="00414345">
        <w:rPr>
          <w:color w:val="000000"/>
          <w:sz w:val="24"/>
          <w:szCs w:val="24"/>
        </w:rPr>
        <w:t>年年报中所预计的一样：风格切换较难发生，更多是个股间性价比的比较，着重在于成长性和估值的匹配度。具体到组合，经过二季度的调整，成长和估值的匹配度又回到了非常有吸引力的程度，同时经过半年的观察，我们发现组合持有的部分公司的盈利还在加速，这将进一步提高组合的性价比。展望三季度，我们认为性价比好的公司将有所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9815B6" w:rsidRDefault="00D81B77">
      <w:pPr>
        <w:spacing w:before="29" w:line="288" w:lineRule="auto"/>
        <w:ind w:firstLineChars="200" w:firstLine="480"/>
        <w:rPr>
          <w:color w:val="000000"/>
          <w:sz w:val="24"/>
          <w:szCs w:val="24"/>
        </w:rPr>
      </w:pPr>
      <w:r>
        <w:rPr>
          <w:color w:val="000000"/>
          <w:sz w:val="24"/>
          <w:szCs w:val="24"/>
        </w:rPr>
        <w:t>截至</w:t>
      </w:r>
      <w:r>
        <w:rPr>
          <w:color w:val="000000"/>
          <w:sz w:val="24"/>
          <w:szCs w:val="24"/>
        </w:rPr>
        <w:t>2018</w:t>
      </w:r>
      <w:r>
        <w:rPr>
          <w:color w:val="000000"/>
          <w:sz w:val="24"/>
          <w:szCs w:val="24"/>
        </w:rPr>
        <w:t>年</w:t>
      </w:r>
      <w:r>
        <w:rPr>
          <w:color w:val="000000"/>
          <w:sz w:val="24"/>
          <w:szCs w:val="24"/>
        </w:rPr>
        <w:t>06</w:t>
      </w:r>
      <w:r>
        <w:rPr>
          <w:color w:val="000000"/>
          <w:sz w:val="24"/>
          <w:szCs w:val="24"/>
        </w:rPr>
        <w:t>月</w:t>
      </w:r>
      <w:r>
        <w:rPr>
          <w:color w:val="000000"/>
          <w:sz w:val="24"/>
          <w:szCs w:val="24"/>
        </w:rPr>
        <w:t>30</w:t>
      </w:r>
      <w:r>
        <w:rPr>
          <w:color w:val="000000"/>
          <w:sz w:val="24"/>
          <w:szCs w:val="24"/>
        </w:rPr>
        <w:t>日，本基金份额净值为</w:t>
      </w:r>
      <w:r>
        <w:rPr>
          <w:color w:val="000000"/>
          <w:sz w:val="24"/>
          <w:szCs w:val="24"/>
        </w:rPr>
        <w:t>1.020</w:t>
      </w:r>
      <w:r>
        <w:rPr>
          <w:color w:val="000000"/>
          <w:sz w:val="24"/>
          <w:szCs w:val="24"/>
        </w:rPr>
        <w:t>元，本报告期份额净值增长率为</w:t>
      </w:r>
      <w:r w:rsidR="00C450E9">
        <w:rPr>
          <w:color w:val="000000"/>
          <w:sz w:val="24"/>
          <w:szCs w:val="24"/>
        </w:rPr>
        <w:t>-7.69%</w:t>
      </w:r>
      <w:r>
        <w:rPr>
          <w:color w:val="000000"/>
          <w:sz w:val="24"/>
          <w:szCs w:val="24"/>
        </w:rPr>
        <w:t>，业绩比较基准增长率为</w:t>
      </w:r>
      <w:r w:rsidR="00C450E9">
        <w:rPr>
          <w:color w:val="000000"/>
          <w:sz w:val="24"/>
          <w:szCs w:val="24"/>
        </w:rPr>
        <w:t>-5.26</w:t>
      </w:r>
      <w:r>
        <w:rPr>
          <w:color w:val="000000"/>
          <w:sz w:val="24"/>
          <w:szCs w:val="24"/>
        </w:rPr>
        <w:t>%</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D81B7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145,222,462.24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145,222,462.24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93.14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1,500,150.00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1,500,150.00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0.96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8,464,134.45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733,244.29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155,919,990.98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61,879,694.40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4,668,462.48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68,814,707.36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9,859,598.00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145,222,462.24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94.04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815B6">
        <w:trPr>
          <w:jc w:val="center"/>
        </w:trPr>
        <w:tc>
          <w:tcPr>
            <w:tcW w:w="855" w:type="dxa"/>
            <w:vAlign w:val="center"/>
          </w:tcPr>
          <w:p w:rsidR="009815B6" w:rsidRDefault="00D81B77">
            <w:pPr>
              <w:jc w:val="center"/>
            </w:pPr>
            <w:r>
              <w:rPr>
                <w:color w:val="000000"/>
                <w:sz w:val="24"/>
                <w:szCs w:val="24"/>
              </w:rPr>
              <w:t>1</w:t>
            </w:r>
          </w:p>
        </w:tc>
        <w:tc>
          <w:tcPr>
            <w:tcW w:w="1334" w:type="dxa"/>
            <w:vAlign w:val="center"/>
          </w:tcPr>
          <w:p w:rsidR="009815B6" w:rsidRDefault="00D81B77">
            <w:pPr>
              <w:jc w:val="center"/>
            </w:pPr>
            <w:r>
              <w:rPr>
                <w:color w:val="000000"/>
                <w:sz w:val="24"/>
                <w:szCs w:val="24"/>
              </w:rPr>
              <w:t>000977</w:t>
            </w:r>
          </w:p>
        </w:tc>
        <w:tc>
          <w:tcPr>
            <w:tcW w:w="1777" w:type="dxa"/>
            <w:vAlign w:val="center"/>
          </w:tcPr>
          <w:p w:rsidR="009815B6" w:rsidRDefault="00D81B77">
            <w:pPr>
              <w:jc w:val="center"/>
            </w:pPr>
            <w:r>
              <w:rPr>
                <w:color w:val="000000"/>
                <w:sz w:val="24"/>
                <w:szCs w:val="24"/>
              </w:rPr>
              <w:t>浪潮信息</w:t>
            </w:r>
          </w:p>
        </w:tc>
        <w:tc>
          <w:tcPr>
            <w:tcW w:w="1334" w:type="dxa"/>
            <w:vAlign w:val="center"/>
          </w:tcPr>
          <w:p w:rsidR="009815B6" w:rsidRDefault="00D81B77">
            <w:pPr>
              <w:jc w:val="right"/>
            </w:pPr>
            <w:r>
              <w:rPr>
                <w:color w:val="000000"/>
                <w:sz w:val="24"/>
                <w:szCs w:val="24"/>
              </w:rPr>
              <w:t>651,545</w:t>
            </w:r>
          </w:p>
        </w:tc>
        <w:tc>
          <w:tcPr>
            <w:tcW w:w="1924" w:type="dxa"/>
            <w:vAlign w:val="center"/>
          </w:tcPr>
          <w:p w:rsidR="009815B6" w:rsidRDefault="00D81B77">
            <w:pPr>
              <w:jc w:val="right"/>
            </w:pPr>
            <w:r>
              <w:rPr>
                <w:color w:val="000000"/>
                <w:sz w:val="24"/>
                <w:szCs w:val="24"/>
              </w:rPr>
              <w:t>15,539,348.25</w:t>
            </w:r>
          </w:p>
        </w:tc>
        <w:tc>
          <w:tcPr>
            <w:tcW w:w="1644" w:type="dxa"/>
            <w:vAlign w:val="center"/>
          </w:tcPr>
          <w:p w:rsidR="009815B6" w:rsidRDefault="00D81B77">
            <w:pPr>
              <w:jc w:val="right"/>
            </w:pPr>
            <w:r>
              <w:rPr>
                <w:color w:val="000000"/>
                <w:sz w:val="24"/>
                <w:szCs w:val="24"/>
              </w:rPr>
              <w:t>10.06</w:t>
            </w:r>
          </w:p>
        </w:tc>
      </w:tr>
      <w:tr w:rsidR="009815B6">
        <w:trPr>
          <w:jc w:val="center"/>
        </w:trPr>
        <w:tc>
          <w:tcPr>
            <w:tcW w:w="855" w:type="dxa"/>
            <w:vAlign w:val="center"/>
          </w:tcPr>
          <w:p w:rsidR="009815B6" w:rsidRDefault="00D81B77">
            <w:pPr>
              <w:jc w:val="center"/>
            </w:pPr>
            <w:r>
              <w:rPr>
                <w:color w:val="000000"/>
                <w:sz w:val="24"/>
                <w:szCs w:val="24"/>
              </w:rPr>
              <w:t>2</w:t>
            </w:r>
          </w:p>
        </w:tc>
        <w:tc>
          <w:tcPr>
            <w:tcW w:w="1334" w:type="dxa"/>
            <w:vAlign w:val="center"/>
          </w:tcPr>
          <w:p w:rsidR="009815B6" w:rsidRDefault="00D81B77">
            <w:pPr>
              <w:jc w:val="center"/>
            </w:pPr>
            <w:r>
              <w:rPr>
                <w:color w:val="000000"/>
                <w:sz w:val="24"/>
                <w:szCs w:val="24"/>
              </w:rPr>
              <w:t>300365</w:t>
            </w:r>
          </w:p>
        </w:tc>
        <w:tc>
          <w:tcPr>
            <w:tcW w:w="1777" w:type="dxa"/>
            <w:vAlign w:val="center"/>
          </w:tcPr>
          <w:p w:rsidR="009815B6" w:rsidRDefault="00D81B77">
            <w:pPr>
              <w:jc w:val="center"/>
            </w:pPr>
            <w:r>
              <w:rPr>
                <w:color w:val="000000"/>
                <w:sz w:val="24"/>
                <w:szCs w:val="24"/>
              </w:rPr>
              <w:t>恒华科技</w:t>
            </w:r>
          </w:p>
        </w:tc>
        <w:tc>
          <w:tcPr>
            <w:tcW w:w="1334" w:type="dxa"/>
            <w:vAlign w:val="center"/>
          </w:tcPr>
          <w:p w:rsidR="009815B6" w:rsidRDefault="00D81B77">
            <w:pPr>
              <w:jc w:val="right"/>
            </w:pPr>
            <w:r>
              <w:rPr>
                <w:color w:val="000000"/>
                <w:sz w:val="24"/>
                <w:szCs w:val="24"/>
              </w:rPr>
              <w:t>713,160</w:t>
            </w:r>
          </w:p>
        </w:tc>
        <w:tc>
          <w:tcPr>
            <w:tcW w:w="1924" w:type="dxa"/>
            <w:vAlign w:val="center"/>
          </w:tcPr>
          <w:p w:rsidR="009815B6" w:rsidRDefault="00D81B77">
            <w:pPr>
              <w:jc w:val="right"/>
            </w:pPr>
            <w:r>
              <w:rPr>
                <w:color w:val="000000"/>
                <w:sz w:val="24"/>
                <w:szCs w:val="24"/>
              </w:rPr>
              <w:t>14,712,490.80</w:t>
            </w:r>
          </w:p>
        </w:tc>
        <w:tc>
          <w:tcPr>
            <w:tcW w:w="1644" w:type="dxa"/>
            <w:vAlign w:val="center"/>
          </w:tcPr>
          <w:p w:rsidR="009815B6" w:rsidRDefault="00D81B77">
            <w:pPr>
              <w:jc w:val="right"/>
            </w:pPr>
            <w:r>
              <w:rPr>
                <w:color w:val="000000"/>
                <w:sz w:val="24"/>
                <w:szCs w:val="24"/>
              </w:rPr>
              <w:t>9.53</w:t>
            </w:r>
          </w:p>
        </w:tc>
      </w:tr>
      <w:tr w:rsidR="009815B6">
        <w:trPr>
          <w:jc w:val="center"/>
        </w:trPr>
        <w:tc>
          <w:tcPr>
            <w:tcW w:w="855" w:type="dxa"/>
            <w:vAlign w:val="center"/>
          </w:tcPr>
          <w:p w:rsidR="009815B6" w:rsidRDefault="00D81B77">
            <w:pPr>
              <w:jc w:val="center"/>
            </w:pPr>
            <w:r>
              <w:rPr>
                <w:color w:val="000000"/>
                <w:sz w:val="24"/>
                <w:szCs w:val="24"/>
              </w:rPr>
              <w:t>3</w:t>
            </w:r>
          </w:p>
        </w:tc>
        <w:tc>
          <w:tcPr>
            <w:tcW w:w="1334" w:type="dxa"/>
            <w:vAlign w:val="center"/>
          </w:tcPr>
          <w:p w:rsidR="009815B6" w:rsidRDefault="00D81B77">
            <w:pPr>
              <w:jc w:val="center"/>
            </w:pPr>
            <w:r>
              <w:rPr>
                <w:color w:val="000000"/>
                <w:sz w:val="24"/>
                <w:szCs w:val="24"/>
              </w:rPr>
              <w:t>300253</w:t>
            </w:r>
          </w:p>
        </w:tc>
        <w:tc>
          <w:tcPr>
            <w:tcW w:w="1777" w:type="dxa"/>
            <w:vAlign w:val="center"/>
          </w:tcPr>
          <w:p w:rsidR="009815B6" w:rsidRDefault="00D81B77">
            <w:pPr>
              <w:jc w:val="center"/>
            </w:pPr>
            <w:r>
              <w:rPr>
                <w:color w:val="000000"/>
                <w:sz w:val="24"/>
                <w:szCs w:val="24"/>
              </w:rPr>
              <w:t>卫宁健康</w:t>
            </w:r>
          </w:p>
        </w:tc>
        <w:tc>
          <w:tcPr>
            <w:tcW w:w="1334" w:type="dxa"/>
            <w:vAlign w:val="center"/>
          </w:tcPr>
          <w:p w:rsidR="009815B6" w:rsidRDefault="00D81B77">
            <w:pPr>
              <w:jc w:val="right"/>
            </w:pPr>
            <w:r>
              <w:rPr>
                <w:color w:val="000000"/>
                <w:sz w:val="24"/>
                <w:szCs w:val="24"/>
              </w:rPr>
              <w:t>1,128,758</w:t>
            </w:r>
          </w:p>
        </w:tc>
        <w:tc>
          <w:tcPr>
            <w:tcW w:w="1924" w:type="dxa"/>
            <w:vAlign w:val="center"/>
          </w:tcPr>
          <w:p w:rsidR="009815B6" w:rsidRDefault="00D81B77">
            <w:pPr>
              <w:jc w:val="right"/>
            </w:pPr>
            <w:r>
              <w:rPr>
                <w:color w:val="000000"/>
                <w:sz w:val="24"/>
                <w:szCs w:val="24"/>
              </w:rPr>
              <w:t>13,985,311.62</w:t>
            </w:r>
          </w:p>
        </w:tc>
        <w:tc>
          <w:tcPr>
            <w:tcW w:w="1644" w:type="dxa"/>
            <w:vAlign w:val="center"/>
          </w:tcPr>
          <w:p w:rsidR="009815B6" w:rsidRDefault="00D81B77">
            <w:pPr>
              <w:jc w:val="right"/>
            </w:pPr>
            <w:r>
              <w:rPr>
                <w:color w:val="000000"/>
                <w:sz w:val="24"/>
                <w:szCs w:val="24"/>
              </w:rPr>
              <w:t>9.06</w:t>
            </w:r>
          </w:p>
        </w:tc>
      </w:tr>
      <w:tr w:rsidR="009815B6">
        <w:trPr>
          <w:jc w:val="center"/>
        </w:trPr>
        <w:tc>
          <w:tcPr>
            <w:tcW w:w="855" w:type="dxa"/>
            <w:vAlign w:val="center"/>
          </w:tcPr>
          <w:p w:rsidR="009815B6" w:rsidRDefault="00D81B77">
            <w:pPr>
              <w:jc w:val="center"/>
            </w:pPr>
            <w:r>
              <w:rPr>
                <w:color w:val="000000"/>
                <w:sz w:val="24"/>
                <w:szCs w:val="24"/>
              </w:rPr>
              <w:t>4</w:t>
            </w:r>
          </w:p>
        </w:tc>
        <w:tc>
          <w:tcPr>
            <w:tcW w:w="1334" w:type="dxa"/>
            <w:vAlign w:val="center"/>
          </w:tcPr>
          <w:p w:rsidR="009815B6" w:rsidRDefault="00D81B77">
            <w:pPr>
              <w:jc w:val="center"/>
            </w:pPr>
            <w:r>
              <w:rPr>
                <w:color w:val="000000"/>
                <w:sz w:val="24"/>
                <w:szCs w:val="24"/>
              </w:rPr>
              <w:t>300572</w:t>
            </w:r>
          </w:p>
        </w:tc>
        <w:tc>
          <w:tcPr>
            <w:tcW w:w="1777" w:type="dxa"/>
            <w:vAlign w:val="center"/>
          </w:tcPr>
          <w:p w:rsidR="009815B6" w:rsidRDefault="00D81B77">
            <w:pPr>
              <w:jc w:val="center"/>
            </w:pPr>
            <w:r>
              <w:rPr>
                <w:color w:val="000000"/>
                <w:sz w:val="24"/>
                <w:szCs w:val="24"/>
              </w:rPr>
              <w:t>安车检测</w:t>
            </w:r>
          </w:p>
        </w:tc>
        <w:tc>
          <w:tcPr>
            <w:tcW w:w="1334" w:type="dxa"/>
            <w:vAlign w:val="center"/>
          </w:tcPr>
          <w:p w:rsidR="009815B6" w:rsidRDefault="00D81B77">
            <w:pPr>
              <w:jc w:val="right"/>
            </w:pPr>
            <w:r>
              <w:rPr>
                <w:color w:val="000000"/>
                <w:sz w:val="24"/>
                <w:szCs w:val="24"/>
              </w:rPr>
              <w:t>267,133</w:t>
            </w:r>
          </w:p>
        </w:tc>
        <w:tc>
          <w:tcPr>
            <w:tcW w:w="1924" w:type="dxa"/>
            <w:vAlign w:val="center"/>
          </w:tcPr>
          <w:p w:rsidR="009815B6" w:rsidRDefault="00D81B77">
            <w:pPr>
              <w:jc w:val="right"/>
            </w:pPr>
            <w:r>
              <w:rPr>
                <w:color w:val="000000"/>
                <w:sz w:val="24"/>
                <w:szCs w:val="24"/>
              </w:rPr>
              <w:t>13,145,614.93</w:t>
            </w:r>
          </w:p>
        </w:tc>
        <w:tc>
          <w:tcPr>
            <w:tcW w:w="1644" w:type="dxa"/>
            <w:vAlign w:val="center"/>
          </w:tcPr>
          <w:p w:rsidR="009815B6" w:rsidRDefault="00D81B77">
            <w:pPr>
              <w:jc w:val="right"/>
            </w:pPr>
            <w:r>
              <w:rPr>
                <w:color w:val="000000"/>
                <w:sz w:val="24"/>
                <w:szCs w:val="24"/>
              </w:rPr>
              <w:t>8.51</w:t>
            </w:r>
          </w:p>
        </w:tc>
      </w:tr>
      <w:tr w:rsidR="009815B6">
        <w:trPr>
          <w:jc w:val="center"/>
        </w:trPr>
        <w:tc>
          <w:tcPr>
            <w:tcW w:w="855" w:type="dxa"/>
            <w:vAlign w:val="center"/>
          </w:tcPr>
          <w:p w:rsidR="009815B6" w:rsidRDefault="00D81B77">
            <w:pPr>
              <w:jc w:val="center"/>
            </w:pPr>
            <w:r>
              <w:rPr>
                <w:color w:val="000000"/>
                <w:sz w:val="24"/>
                <w:szCs w:val="24"/>
              </w:rPr>
              <w:t>5</w:t>
            </w:r>
          </w:p>
        </w:tc>
        <w:tc>
          <w:tcPr>
            <w:tcW w:w="1334" w:type="dxa"/>
            <w:vAlign w:val="center"/>
          </w:tcPr>
          <w:p w:rsidR="009815B6" w:rsidRDefault="00D81B77">
            <w:pPr>
              <w:jc w:val="center"/>
            </w:pPr>
            <w:r>
              <w:rPr>
                <w:color w:val="000000"/>
                <w:sz w:val="24"/>
                <w:szCs w:val="24"/>
              </w:rPr>
              <w:t>300012</w:t>
            </w:r>
          </w:p>
        </w:tc>
        <w:tc>
          <w:tcPr>
            <w:tcW w:w="1777" w:type="dxa"/>
            <w:vAlign w:val="center"/>
          </w:tcPr>
          <w:p w:rsidR="009815B6" w:rsidRDefault="00D81B77">
            <w:pPr>
              <w:jc w:val="center"/>
            </w:pPr>
            <w:r>
              <w:rPr>
                <w:color w:val="000000"/>
                <w:sz w:val="24"/>
                <w:szCs w:val="24"/>
              </w:rPr>
              <w:t>华测检测</w:t>
            </w:r>
          </w:p>
        </w:tc>
        <w:tc>
          <w:tcPr>
            <w:tcW w:w="1334" w:type="dxa"/>
            <w:vAlign w:val="center"/>
          </w:tcPr>
          <w:p w:rsidR="009815B6" w:rsidRDefault="00D81B77">
            <w:pPr>
              <w:jc w:val="right"/>
            </w:pPr>
            <w:r>
              <w:rPr>
                <w:color w:val="000000"/>
                <w:sz w:val="24"/>
                <w:szCs w:val="24"/>
              </w:rPr>
              <w:t>1,717,700</w:t>
            </w:r>
          </w:p>
        </w:tc>
        <w:tc>
          <w:tcPr>
            <w:tcW w:w="1924" w:type="dxa"/>
            <w:vAlign w:val="center"/>
          </w:tcPr>
          <w:p w:rsidR="009815B6" w:rsidRDefault="00D81B77">
            <w:pPr>
              <w:jc w:val="right"/>
            </w:pPr>
            <w:r>
              <w:rPr>
                <w:color w:val="000000"/>
                <w:sz w:val="24"/>
                <w:szCs w:val="24"/>
              </w:rPr>
              <w:t>9,859,598.00</w:t>
            </w:r>
          </w:p>
        </w:tc>
        <w:tc>
          <w:tcPr>
            <w:tcW w:w="1644" w:type="dxa"/>
            <w:vAlign w:val="center"/>
          </w:tcPr>
          <w:p w:rsidR="009815B6" w:rsidRDefault="00D81B77">
            <w:pPr>
              <w:jc w:val="right"/>
            </w:pPr>
            <w:r>
              <w:rPr>
                <w:color w:val="000000"/>
                <w:sz w:val="24"/>
                <w:szCs w:val="24"/>
              </w:rPr>
              <w:t>6.38</w:t>
            </w:r>
          </w:p>
        </w:tc>
      </w:tr>
      <w:tr w:rsidR="009815B6">
        <w:trPr>
          <w:jc w:val="center"/>
        </w:trPr>
        <w:tc>
          <w:tcPr>
            <w:tcW w:w="855" w:type="dxa"/>
            <w:vAlign w:val="center"/>
          </w:tcPr>
          <w:p w:rsidR="009815B6" w:rsidRDefault="00D81B77">
            <w:pPr>
              <w:jc w:val="center"/>
            </w:pPr>
            <w:r>
              <w:rPr>
                <w:color w:val="000000"/>
                <w:sz w:val="24"/>
                <w:szCs w:val="24"/>
              </w:rPr>
              <w:t>6</w:t>
            </w:r>
          </w:p>
        </w:tc>
        <w:tc>
          <w:tcPr>
            <w:tcW w:w="1334" w:type="dxa"/>
            <w:vAlign w:val="center"/>
          </w:tcPr>
          <w:p w:rsidR="009815B6" w:rsidRDefault="00D81B77">
            <w:pPr>
              <w:jc w:val="center"/>
            </w:pPr>
            <w:r>
              <w:rPr>
                <w:color w:val="000000"/>
                <w:sz w:val="24"/>
                <w:szCs w:val="24"/>
              </w:rPr>
              <w:t>300271</w:t>
            </w:r>
          </w:p>
        </w:tc>
        <w:tc>
          <w:tcPr>
            <w:tcW w:w="1777" w:type="dxa"/>
            <w:vAlign w:val="center"/>
          </w:tcPr>
          <w:p w:rsidR="009815B6" w:rsidRDefault="00D81B77">
            <w:pPr>
              <w:jc w:val="center"/>
            </w:pPr>
            <w:r>
              <w:rPr>
                <w:color w:val="000000"/>
                <w:sz w:val="24"/>
                <w:szCs w:val="24"/>
              </w:rPr>
              <w:t>华宇软件</w:t>
            </w:r>
          </w:p>
        </w:tc>
        <w:tc>
          <w:tcPr>
            <w:tcW w:w="1334" w:type="dxa"/>
            <w:vAlign w:val="center"/>
          </w:tcPr>
          <w:p w:rsidR="009815B6" w:rsidRDefault="00D81B77">
            <w:pPr>
              <w:jc w:val="right"/>
            </w:pPr>
            <w:r>
              <w:rPr>
                <w:color w:val="000000"/>
                <w:sz w:val="24"/>
                <w:szCs w:val="24"/>
              </w:rPr>
              <w:t>537,651</w:t>
            </w:r>
          </w:p>
        </w:tc>
        <w:tc>
          <w:tcPr>
            <w:tcW w:w="1924" w:type="dxa"/>
            <w:vAlign w:val="center"/>
          </w:tcPr>
          <w:p w:rsidR="009815B6" w:rsidRDefault="00D81B77">
            <w:pPr>
              <w:jc w:val="right"/>
            </w:pPr>
            <w:r>
              <w:rPr>
                <w:color w:val="000000"/>
                <w:sz w:val="24"/>
                <w:szCs w:val="24"/>
              </w:rPr>
              <w:t>9,505,669.68</w:t>
            </w:r>
          </w:p>
        </w:tc>
        <w:tc>
          <w:tcPr>
            <w:tcW w:w="1644" w:type="dxa"/>
            <w:vAlign w:val="center"/>
          </w:tcPr>
          <w:p w:rsidR="009815B6" w:rsidRDefault="00D81B77">
            <w:pPr>
              <w:jc w:val="right"/>
            </w:pPr>
            <w:r>
              <w:rPr>
                <w:color w:val="000000"/>
                <w:sz w:val="24"/>
                <w:szCs w:val="24"/>
              </w:rPr>
              <w:t>6.16</w:t>
            </w:r>
          </w:p>
        </w:tc>
      </w:tr>
      <w:tr w:rsidR="009815B6">
        <w:trPr>
          <w:jc w:val="center"/>
        </w:trPr>
        <w:tc>
          <w:tcPr>
            <w:tcW w:w="855" w:type="dxa"/>
            <w:vAlign w:val="center"/>
          </w:tcPr>
          <w:p w:rsidR="009815B6" w:rsidRDefault="00D81B77">
            <w:pPr>
              <w:jc w:val="center"/>
            </w:pPr>
            <w:r>
              <w:rPr>
                <w:color w:val="000000"/>
                <w:sz w:val="24"/>
                <w:szCs w:val="24"/>
              </w:rPr>
              <w:t>7</w:t>
            </w:r>
          </w:p>
        </w:tc>
        <w:tc>
          <w:tcPr>
            <w:tcW w:w="1334" w:type="dxa"/>
            <w:vAlign w:val="center"/>
          </w:tcPr>
          <w:p w:rsidR="009815B6" w:rsidRDefault="00D81B77">
            <w:pPr>
              <w:jc w:val="center"/>
            </w:pPr>
            <w:r>
              <w:rPr>
                <w:color w:val="000000"/>
                <w:sz w:val="24"/>
                <w:szCs w:val="24"/>
              </w:rPr>
              <w:t>300130</w:t>
            </w:r>
          </w:p>
        </w:tc>
        <w:tc>
          <w:tcPr>
            <w:tcW w:w="1777" w:type="dxa"/>
            <w:vAlign w:val="center"/>
          </w:tcPr>
          <w:p w:rsidR="009815B6" w:rsidRDefault="00D81B77">
            <w:pPr>
              <w:jc w:val="center"/>
            </w:pPr>
            <w:r>
              <w:rPr>
                <w:color w:val="000000"/>
                <w:sz w:val="24"/>
                <w:szCs w:val="24"/>
              </w:rPr>
              <w:t>新国都</w:t>
            </w:r>
          </w:p>
        </w:tc>
        <w:tc>
          <w:tcPr>
            <w:tcW w:w="1334" w:type="dxa"/>
            <w:vAlign w:val="center"/>
          </w:tcPr>
          <w:p w:rsidR="009815B6" w:rsidRDefault="00D81B77">
            <w:pPr>
              <w:jc w:val="right"/>
            </w:pPr>
            <w:r>
              <w:rPr>
                <w:color w:val="000000"/>
                <w:sz w:val="24"/>
                <w:szCs w:val="24"/>
              </w:rPr>
              <w:t>639,746</w:t>
            </w:r>
          </w:p>
        </w:tc>
        <w:tc>
          <w:tcPr>
            <w:tcW w:w="1924" w:type="dxa"/>
            <w:vAlign w:val="center"/>
          </w:tcPr>
          <w:p w:rsidR="009815B6" w:rsidRDefault="00D81B77">
            <w:pPr>
              <w:jc w:val="right"/>
            </w:pPr>
            <w:r>
              <w:rPr>
                <w:color w:val="000000"/>
                <w:sz w:val="24"/>
                <w:szCs w:val="24"/>
              </w:rPr>
              <w:t>8,630,173.54</w:t>
            </w:r>
          </w:p>
        </w:tc>
        <w:tc>
          <w:tcPr>
            <w:tcW w:w="1644" w:type="dxa"/>
            <w:vAlign w:val="center"/>
          </w:tcPr>
          <w:p w:rsidR="009815B6" w:rsidRDefault="00D81B77">
            <w:pPr>
              <w:jc w:val="right"/>
            </w:pPr>
            <w:r>
              <w:rPr>
                <w:color w:val="000000"/>
                <w:sz w:val="24"/>
                <w:szCs w:val="24"/>
              </w:rPr>
              <w:t>5.59</w:t>
            </w:r>
          </w:p>
        </w:tc>
      </w:tr>
      <w:tr w:rsidR="009815B6">
        <w:trPr>
          <w:jc w:val="center"/>
        </w:trPr>
        <w:tc>
          <w:tcPr>
            <w:tcW w:w="855" w:type="dxa"/>
            <w:vAlign w:val="center"/>
          </w:tcPr>
          <w:p w:rsidR="009815B6" w:rsidRDefault="00D81B77">
            <w:pPr>
              <w:jc w:val="center"/>
            </w:pPr>
            <w:r>
              <w:rPr>
                <w:color w:val="000000"/>
                <w:sz w:val="24"/>
                <w:szCs w:val="24"/>
              </w:rPr>
              <w:t>8</w:t>
            </w:r>
          </w:p>
        </w:tc>
        <w:tc>
          <w:tcPr>
            <w:tcW w:w="1334" w:type="dxa"/>
            <w:vAlign w:val="center"/>
          </w:tcPr>
          <w:p w:rsidR="009815B6" w:rsidRDefault="00D81B77">
            <w:pPr>
              <w:jc w:val="center"/>
            </w:pPr>
            <w:r>
              <w:rPr>
                <w:color w:val="000000"/>
                <w:sz w:val="24"/>
                <w:szCs w:val="24"/>
              </w:rPr>
              <w:t>002371</w:t>
            </w:r>
          </w:p>
        </w:tc>
        <w:tc>
          <w:tcPr>
            <w:tcW w:w="1777" w:type="dxa"/>
            <w:vAlign w:val="center"/>
          </w:tcPr>
          <w:p w:rsidR="009815B6" w:rsidRDefault="00D81B77">
            <w:pPr>
              <w:jc w:val="center"/>
            </w:pPr>
            <w:r>
              <w:rPr>
                <w:color w:val="000000"/>
                <w:sz w:val="24"/>
                <w:szCs w:val="24"/>
              </w:rPr>
              <w:t>北方华创</w:t>
            </w:r>
          </w:p>
        </w:tc>
        <w:tc>
          <w:tcPr>
            <w:tcW w:w="1334" w:type="dxa"/>
            <w:vAlign w:val="center"/>
          </w:tcPr>
          <w:p w:rsidR="009815B6" w:rsidRDefault="00D81B77">
            <w:pPr>
              <w:jc w:val="right"/>
            </w:pPr>
            <w:r>
              <w:rPr>
                <w:color w:val="000000"/>
                <w:sz w:val="24"/>
                <w:szCs w:val="24"/>
              </w:rPr>
              <w:t>156,200</w:t>
            </w:r>
          </w:p>
        </w:tc>
        <w:tc>
          <w:tcPr>
            <w:tcW w:w="1924" w:type="dxa"/>
            <w:vAlign w:val="center"/>
          </w:tcPr>
          <w:p w:rsidR="009815B6" w:rsidRDefault="00D81B77">
            <w:pPr>
              <w:jc w:val="right"/>
            </w:pPr>
            <w:r>
              <w:rPr>
                <w:color w:val="000000"/>
                <w:sz w:val="24"/>
                <w:szCs w:val="24"/>
              </w:rPr>
              <w:t>7,758,454.00</w:t>
            </w:r>
          </w:p>
        </w:tc>
        <w:tc>
          <w:tcPr>
            <w:tcW w:w="1644" w:type="dxa"/>
            <w:vAlign w:val="center"/>
          </w:tcPr>
          <w:p w:rsidR="009815B6" w:rsidRDefault="00D81B77">
            <w:pPr>
              <w:jc w:val="right"/>
            </w:pPr>
            <w:r>
              <w:rPr>
                <w:color w:val="000000"/>
                <w:sz w:val="24"/>
                <w:szCs w:val="24"/>
              </w:rPr>
              <w:t>5.02</w:t>
            </w:r>
          </w:p>
        </w:tc>
      </w:tr>
      <w:tr w:rsidR="009815B6">
        <w:trPr>
          <w:jc w:val="center"/>
        </w:trPr>
        <w:tc>
          <w:tcPr>
            <w:tcW w:w="855" w:type="dxa"/>
            <w:vAlign w:val="center"/>
          </w:tcPr>
          <w:p w:rsidR="009815B6" w:rsidRDefault="00D81B77">
            <w:pPr>
              <w:jc w:val="center"/>
            </w:pPr>
            <w:r>
              <w:rPr>
                <w:color w:val="000000"/>
                <w:sz w:val="24"/>
                <w:szCs w:val="24"/>
              </w:rPr>
              <w:t>9</w:t>
            </w:r>
          </w:p>
        </w:tc>
        <w:tc>
          <w:tcPr>
            <w:tcW w:w="1334" w:type="dxa"/>
            <w:vAlign w:val="center"/>
          </w:tcPr>
          <w:p w:rsidR="009815B6" w:rsidRDefault="00D81B77">
            <w:pPr>
              <w:jc w:val="center"/>
            </w:pPr>
            <w:r>
              <w:rPr>
                <w:color w:val="000000"/>
                <w:sz w:val="24"/>
                <w:szCs w:val="24"/>
              </w:rPr>
              <w:t>000066</w:t>
            </w:r>
          </w:p>
        </w:tc>
        <w:tc>
          <w:tcPr>
            <w:tcW w:w="1777" w:type="dxa"/>
            <w:vAlign w:val="center"/>
          </w:tcPr>
          <w:p w:rsidR="009815B6" w:rsidRDefault="00D81B77">
            <w:pPr>
              <w:jc w:val="center"/>
            </w:pPr>
            <w:r>
              <w:rPr>
                <w:color w:val="000000"/>
                <w:sz w:val="24"/>
                <w:szCs w:val="24"/>
              </w:rPr>
              <w:t>中国长城</w:t>
            </w:r>
          </w:p>
        </w:tc>
        <w:tc>
          <w:tcPr>
            <w:tcW w:w="1334" w:type="dxa"/>
            <w:vAlign w:val="center"/>
          </w:tcPr>
          <w:p w:rsidR="009815B6" w:rsidRDefault="00D81B77">
            <w:pPr>
              <w:jc w:val="right"/>
            </w:pPr>
            <w:r>
              <w:rPr>
                <w:color w:val="000000"/>
                <w:sz w:val="24"/>
                <w:szCs w:val="24"/>
              </w:rPr>
              <w:t>1,027,550</w:t>
            </w:r>
          </w:p>
        </w:tc>
        <w:tc>
          <w:tcPr>
            <w:tcW w:w="1924" w:type="dxa"/>
            <w:vAlign w:val="center"/>
          </w:tcPr>
          <w:p w:rsidR="009815B6" w:rsidRDefault="00D81B77">
            <w:pPr>
              <w:jc w:val="right"/>
            </w:pPr>
            <w:r>
              <w:rPr>
                <w:color w:val="000000"/>
                <w:sz w:val="24"/>
                <w:szCs w:val="24"/>
              </w:rPr>
              <w:t>7,305,880.50</w:t>
            </w:r>
          </w:p>
        </w:tc>
        <w:tc>
          <w:tcPr>
            <w:tcW w:w="1644" w:type="dxa"/>
            <w:vAlign w:val="center"/>
          </w:tcPr>
          <w:p w:rsidR="009815B6" w:rsidRDefault="00D81B77">
            <w:pPr>
              <w:jc w:val="right"/>
            </w:pPr>
            <w:r>
              <w:rPr>
                <w:color w:val="000000"/>
                <w:sz w:val="24"/>
                <w:szCs w:val="24"/>
              </w:rPr>
              <w:t>4.73</w:t>
            </w:r>
          </w:p>
        </w:tc>
      </w:tr>
      <w:tr w:rsidR="009815B6">
        <w:trPr>
          <w:jc w:val="center"/>
        </w:trPr>
        <w:tc>
          <w:tcPr>
            <w:tcW w:w="855" w:type="dxa"/>
            <w:vAlign w:val="center"/>
          </w:tcPr>
          <w:p w:rsidR="009815B6" w:rsidRDefault="00D81B77">
            <w:pPr>
              <w:jc w:val="center"/>
            </w:pPr>
            <w:r>
              <w:rPr>
                <w:color w:val="000000"/>
                <w:sz w:val="24"/>
                <w:szCs w:val="24"/>
              </w:rPr>
              <w:t>10</w:t>
            </w:r>
          </w:p>
        </w:tc>
        <w:tc>
          <w:tcPr>
            <w:tcW w:w="1334" w:type="dxa"/>
            <w:vAlign w:val="center"/>
          </w:tcPr>
          <w:p w:rsidR="009815B6" w:rsidRDefault="00D81B77">
            <w:pPr>
              <w:jc w:val="center"/>
            </w:pPr>
            <w:r>
              <w:rPr>
                <w:color w:val="000000"/>
                <w:sz w:val="24"/>
                <w:szCs w:val="24"/>
              </w:rPr>
              <w:t>300532</w:t>
            </w:r>
          </w:p>
        </w:tc>
        <w:tc>
          <w:tcPr>
            <w:tcW w:w="1777" w:type="dxa"/>
            <w:vAlign w:val="center"/>
          </w:tcPr>
          <w:p w:rsidR="009815B6" w:rsidRDefault="00D81B77">
            <w:pPr>
              <w:jc w:val="center"/>
            </w:pPr>
            <w:r>
              <w:rPr>
                <w:color w:val="000000"/>
                <w:sz w:val="24"/>
                <w:szCs w:val="24"/>
              </w:rPr>
              <w:t>今天国际</w:t>
            </w:r>
          </w:p>
        </w:tc>
        <w:tc>
          <w:tcPr>
            <w:tcW w:w="1334" w:type="dxa"/>
            <w:vAlign w:val="center"/>
          </w:tcPr>
          <w:p w:rsidR="009815B6" w:rsidRDefault="00D81B77">
            <w:pPr>
              <w:jc w:val="right"/>
            </w:pPr>
            <w:r>
              <w:rPr>
                <w:color w:val="000000"/>
                <w:sz w:val="24"/>
                <w:szCs w:val="24"/>
              </w:rPr>
              <w:t>413,274</w:t>
            </w:r>
          </w:p>
        </w:tc>
        <w:tc>
          <w:tcPr>
            <w:tcW w:w="1924" w:type="dxa"/>
            <w:vAlign w:val="center"/>
          </w:tcPr>
          <w:p w:rsidR="009815B6" w:rsidRDefault="00D81B77">
            <w:pPr>
              <w:jc w:val="right"/>
            </w:pPr>
            <w:r>
              <w:rPr>
                <w:color w:val="000000"/>
                <w:sz w:val="24"/>
                <w:szCs w:val="24"/>
              </w:rPr>
              <w:t>7,219,896.78</w:t>
            </w:r>
          </w:p>
        </w:tc>
        <w:tc>
          <w:tcPr>
            <w:tcW w:w="1644" w:type="dxa"/>
            <w:vAlign w:val="center"/>
          </w:tcPr>
          <w:p w:rsidR="009815B6" w:rsidRDefault="00D81B77">
            <w:pPr>
              <w:jc w:val="right"/>
            </w:pPr>
            <w:r>
              <w:rPr>
                <w:color w:val="000000"/>
                <w:sz w:val="24"/>
                <w:szCs w:val="24"/>
              </w:rPr>
              <w:t>4.68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1,500,150.00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1,500,150.00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0.97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815B6">
        <w:trPr>
          <w:jc w:val="center"/>
        </w:trPr>
        <w:tc>
          <w:tcPr>
            <w:tcW w:w="850" w:type="dxa"/>
            <w:vAlign w:val="center"/>
          </w:tcPr>
          <w:p w:rsidR="009815B6" w:rsidRDefault="00D81B77">
            <w:pPr>
              <w:jc w:val="center"/>
            </w:pPr>
            <w:r>
              <w:rPr>
                <w:color w:val="000000"/>
                <w:sz w:val="24"/>
                <w:szCs w:val="24"/>
              </w:rPr>
              <w:t>1</w:t>
            </w:r>
          </w:p>
        </w:tc>
        <w:tc>
          <w:tcPr>
            <w:tcW w:w="1475" w:type="dxa"/>
            <w:vAlign w:val="center"/>
          </w:tcPr>
          <w:p w:rsidR="009815B6" w:rsidRDefault="00D81B77">
            <w:pPr>
              <w:jc w:val="center"/>
            </w:pPr>
            <w:r>
              <w:rPr>
                <w:color w:val="000000"/>
                <w:sz w:val="24"/>
                <w:szCs w:val="24"/>
              </w:rPr>
              <w:t>019571</w:t>
            </w:r>
          </w:p>
        </w:tc>
        <w:tc>
          <w:tcPr>
            <w:tcW w:w="1769" w:type="dxa"/>
            <w:vAlign w:val="center"/>
          </w:tcPr>
          <w:p w:rsidR="009815B6" w:rsidRDefault="00D81B77">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9815B6" w:rsidRDefault="00D81B77">
            <w:pPr>
              <w:jc w:val="right"/>
            </w:pPr>
            <w:r>
              <w:rPr>
                <w:color w:val="000000"/>
                <w:sz w:val="24"/>
                <w:szCs w:val="24"/>
              </w:rPr>
              <w:t>15,000</w:t>
            </w:r>
          </w:p>
        </w:tc>
        <w:tc>
          <w:tcPr>
            <w:tcW w:w="2150" w:type="dxa"/>
            <w:vAlign w:val="center"/>
          </w:tcPr>
          <w:p w:rsidR="009815B6" w:rsidRDefault="00D81B77">
            <w:pPr>
              <w:jc w:val="right"/>
            </w:pPr>
            <w:r>
              <w:rPr>
                <w:color w:val="000000"/>
                <w:sz w:val="24"/>
                <w:szCs w:val="24"/>
              </w:rPr>
              <w:t>1,500,150.00</w:t>
            </w:r>
          </w:p>
        </w:tc>
        <w:tc>
          <w:tcPr>
            <w:tcW w:w="1237" w:type="dxa"/>
            <w:vAlign w:val="center"/>
          </w:tcPr>
          <w:p w:rsidR="009815B6" w:rsidRDefault="00D81B77">
            <w:pPr>
              <w:jc w:val="right"/>
            </w:pPr>
            <w:r>
              <w:rPr>
                <w:color w:val="000000"/>
                <w:sz w:val="24"/>
                <w:szCs w:val="24"/>
              </w:rPr>
              <w:t>0.97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报告期内本基金投资的前十名证券的发行主体除新国都（证券代码：</w:t>
      </w:r>
      <w:r w:rsidRPr="00BE5388">
        <w:rPr>
          <w:bCs/>
          <w:color w:val="000000"/>
          <w:kern w:val="0"/>
          <w:sz w:val="24"/>
          <w:szCs w:val="24"/>
        </w:rPr>
        <w:t>300130</w:t>
      </w:r>
      <w:r w:rsidRPr="00BE5388">
        <w:rPr>
          <w:bCs/>
          <w:color w:val="000000"/>
          <w:kern w:val="0"/>
          <w:sz w:val="24"/>
          <w:szCs w:val="24"/>
        </w:rPr>
        <w:t>）外，未出现被监管部门立案调查，或在报告编制日前一年内受到公开谴责、处罚的情形。</w:t>
      </w:r>
    </w:p>
    <w:p w:rsidR="009815B6" w:rsidRDefault="00D81B77">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报告期内本基金投资的前十名证券之一新国都（证券代码：</w:t>
      </w:r>
      <w:r>
        <w:rPr>
          <w:bCs/>
          <w:color w:val="000000"/>
          <w:kern w:val="0"/>
          <w:sz w:val="24"/>
          <w:szCs w:val="24"/>
        </w:rPr>
        <w:t>300130</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28</w:t>
      </w:r>
      <w:r>
        <w:rPr>
          <w:bCs/>
          <w:color w:val="000000"/>
          <w:kern w:val="0"/>
          <w:sz w:val="24"/>
          <w:szCs w:val="24"/>
        </w:rPr>
        <w:t>日收到已收购的嘉联支付有限公司的通知说明，获悉嘉联支付宁波分公司于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27</w:t>
      </w:r>
      <w:r>
        <w:rPr>
          <w:bCs/>
          <w:color w:val="000000"/>
          <w:kern w:val="0"/>
          <w:sz w:val="24"/>
          <w:szCs w:val="24"/>
        </w:rPr>
        <w:t>日收到中国人民银行宁波市中心支行出具的行政处罚决定书（甬银处罚字〔</w:t>
      </w:r>
      <w:r>
        <w:rPr>
          <w:bCs/>
          <w:color w:val="000000"/>
          <w:kern w:val="0"/>
          <w:sz w:val="24"/>
          <w:szCs w:val="24"/>
        </w:rPr>
        <w:t>2017</w:t>
      </w:r>
      <w:r>
        <w:rPr>
          <w:bCs/>
          <w:color w:val="000000"/>
          <w:kern w:val="0"/>
          <w:sz w:val="24"/>
          <w:szCs w:val="24"/>
        </w:rPr>
        <w:t>〕</w:t>
      </w:r>
      <w:r>
        <w:rPr>
          <w:bCs/>
          <w:color w:val="000000"/>
          <w:kern w:val="0"/>
          <w:sz w:val="24"/>
          <w:szCs w:val="24"/>
        </w:rPr>
        <w:t>42</w:t>
      </w:r>
      <w:r>
        <w:rPr>
          <w:bCs/>
          <w:color w:val="000000"/>
          <w:kern w:val="0"/>
          <w:sz w:val="24"/>
          <w:szCs w:val="24"/>
        </w:rPr>
        <w:t>号），嘉联支付宁波分公司因阻碍反洗钱检查、未按照规定履行客户身份识别义务、与身份不明的客户进行交易或者为客户开立匿名账户、假名账户、未按照规定报送可疑交易报告的行为予以罚款，共计人民币</w:t>
      </w:r>
      <w:r>
        <w:rPr>
          <w:bCs/>
          <w:color w:val="000000"/>
          <w:kern w:val="0"/>
          <w:sz w:val="24"/>
          <w:szCs w:val="24"/>
        </w:rPr>
        <w:t>138</w:t>
      </w:r>
      <w:r>
        <w:rPr>
          <w:bCs/>
          <w:color w:val="000000"/>
          <w:kern w:val="0"/>
          <w:sz w:val="24"/>
          <w:szCs w:val="24"/>
        </w:rPr>
        <w:t>万元。</w:t>
      </w:r>
    </w:p>
    <w:p w:rsidR="009815B6" w:rsidRDefault="00D81B77">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54,197.34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47,318.14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631,728.81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733,244.29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D81B77">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D81B7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D81B77">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CA03E4"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p>
    <w:p w:rsidR="004061AC" w:rsidRPr="005A3D62" w:rsidRDefault="004061AC" w:rsidP="00D81B77">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90,593,981.41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169,772,952.21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108,921,105.29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151,445,828.33</w:t>
            </w:r>
          </w:p>
        </w:tc>
      </w:tr>
    </w:tbl>
    <w:p w:rsidR="009815B6" w:rsidRDefault="00D81B7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81B77">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D81B77">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815B6" w:rsidRDefault="00D81B7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815B6" w:rsidRDefault="00D81B7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81B77" w:rsidRPr="00D81B77" w:rsidRDefault="00D81B77" w:rsidP="00D81B77">
      <w:pPr>
        <w:spacing w:before="29" w:line="288" w:lineRule="auto"/>
        <w:ind w:firstLineChars="200" w:firstLine="480"/>
        <w:rPr>
          <w:color w:val="000000"/>
          <w:sz w:val="24"/>
          <w:szCs w:val="24"/>
        </w:rPr>
      </w:pPr>
      <w:r w:rsidRPr="00D81B77">
        <w:rPr>
          <w:rFonts w:hint="eastAsia"/>
          <w:color w:val="000000"/>
          <w:sz w:val="24"/>
          <w:szCs w:val="24"/>
        </w:rPr>
        <w:t>投资者可在办公时间内至基金管理人的办公场所免费查阅备查文件，或者登录基金管理人的网站</w:t>
      </w:r>
      <w:r w:rsidRPr="00D81B77">
        <w:rPr>
          <w:rFonts w:hint="eastAsia"/>
          <w:color w:val="000000"/>
          <w:sz w:val="24"/>
          <w:szCs w:val="24"/>
        </w:rPr>
        <w:t>(www.fund001.com)</w:t>
      </w:r>
      <w:r w:rsidRPr="00D81B77">
        <w:rPr>
          <w:rFonts w:hint="eastAsia"/>
          <w:color w:val="000000"/>
          <w:sz w:val="24"/>
          <w:szCs w:val="24"/>
        </w:rPr>
        <w:t>查阅。在支付工本费后，投资者可在合理时间内取得上述文件的复制件或复印件。</w:t>
      </w:r>
      <w:r w:rsidRPr="00D81B77">
        <w:rPr>
          <w:rFonts w:hint="eastAsia"/>
          <w:color w:val="000000"/>
          <w:sz w:val="24"/>
          <w:szCs w:val="24"/>
        </w:rPr>
        <w:t xml:space="preserve"> </w:t>
      </w:r>
    </w:p>
    <w:p w:rsidR="002C3C7A" w:rsidRPr="00414345" w:rsidRDefault="00D81B77" w:rsidP="00D81B77">
      <w:pPr>
        <w:spacing w:before="29" w:line="288" w:lineRule="auto"/>
        <w:ind w:firstLineChars="200" w:firstLine="480"/>
        <w:rPr>
          <w:color w:val="000000"/>
          <w:sz w:val="24"/>
          <w:szCs w:val="24"/>
        </w:rPr>
      </w:pPr>
      <w:r w:rsidRPr="00D81B77">
        <w:rPr>
          <w:rFonts w:hint="eastAsia"/>
          <w:color w:val="000000"/>
          <w:sz w:val="24"/>
          <w:szCs w:val="24"/>
        </w:rPr>
        <w:t>投资者对本报告书如有疑问，可咨询本基金管理人交银施罗德基金管理有限公司。本公司客户服务中心电话：</w:t>
      </w:r>
      <w:r w:rsidRPr="00D81B77">
        <w:rPr>
          <w:rFonts w:hint="eastAsia"/>
          <w:color w:val="000000"/>
          <w:sz w:val="24"/>
          <w:szCs w:val="24"/>
        </w:rPr>
        <w:t>400-700-5000</w:t>
      </w:r>
      <w:r w:rsidRPr="00D81B77">
        <w:rPr>
          <w:rFonts w:hint="eastAsia"/>
          <w:color w:val="000000"/>
          <w:sz w:val="24"/>
          <w:szCs w:val="24"/>
        </w:rPr>
        <w:t>（免长途话费），</w:t>
      </w:r>
      <w:r w:rsidRPr="00D81B77">
        <w:rPr>
          <w:rFonts w:hint="eastAsia"/>
          <w:color w:val="000000"/>
          <w:sz w:val="24"/>
          <w:szCs w:val="24"/>
        </w:rPr>
        <w:t>021-61055000</w:t>
      </w:r>
      <w:r w:rsidRPr="00D81B77">
        <w:rPr>
          <w:rFonts w:hint="eastAsia"/>
          <w:color w:val="000000"/>
          <w:sz w:val="24"/>
          <w:szCs w:val="24"/>
        </w:rPr>
        <w:t>，电子邮件：</w:t>
      </w:r>
      <w:r w:rsidRPr="00D81B77">
        <w:rPr>
          <w:rFonts w:hint="eastAsia"/>
          <w:color w:val="000000"/>
          <w:sz w:val="24"/>
          <w:szCs w:val="24"/>
        </w:rPr>
        <w:t>services@jysld.com</w:t>
      </w: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A3" w:rsidRDefault="00650AA3" w:rsidP="00876D65">
      <w:r>
        <w:separator/>
      </w:r>
    </w:p>
  </w:endnote>
  <w:endnote w:type="continuationSeparator" w:id="0">
    <w:p w:rsidR="00650AA3" w:rsidRDefault="00650AA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7" w:rsidRDefault="00D81B7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815B6">
      <w:rPr>
        <w:kern w:val="0"/>
        <w:szCs w:val="21"/>
      </w:rPr>
      <w:fldChar w:fldCharType="begin"/>
    </w:r>
    <w:r>
      <w:rPr>
        <w:kern w:val="0"/>
        <w:szCs w:val="21"/>
      </w:rPr>
      <w:instrText xml:space="preserve"> PAGE </w:instrText>
    </w:r>
    <w:r w:rsidR="009815B6">
      <w:rPr>
        <w:kern w:val="0"/>
        <w:szCs w:val="21"/>
      </w:rPr>
      <w:fldChar w:fldCharType="separate"/>
    </w:r>
    <w:r w:rsidR="00B53FAB">
      <w:rPr>
        <w:noProof/>
        <w:kern w:val="0"/>
        <w:szCs w:val="21"/>
      </w:rPr>
      <w:t>3</w:t>
    </w:r>
    <w:r w:rsidR="009815B6">
      <w:rPr>
        <w:kern w:val="0"/>
        <w:szCs w:val="21"/>
      </w:rPr>
      <w:fldChar w:fldCharType="end"/>
    </w:r>
    <w:r>
      <w:rPr>
        <w:rFonts w:hint="eastAsia"/>
        <w:kern w:val="0"/>
        <w:szCs w:val="21"/>
      </w:rPr>
      <w:t>页共</w:t>
    </w:r>
    <w:r w:rsidR="009815B6">
      <w:rPr>
        <w:kern w:val="0"/>
        <w:szCs w:val="21"/>
      </w:rPr>
      <w:fldChar w:fldCharType="begin"/>
    </w:r>
    <w:r>
      <w:rPr>
        <w:kern w:val="0"/>
        <w:szCs w:val="21"/>
      </w:rPr>
      <w:instrText xml:space="preserve"> NUMPAGES </w:instrText>
    </w:r>
    <w:r w:rsidR="009815B6">
      <w:rPr>
        <w:kern w:val="0"/>
        <w:szCs w:val="21"/>
      </w:rPr>
      <w:fldChar w:fldCharType="separate"/>
    </w:r>
    <w:r w:rsidR="00B53FAB">
      <w:rPr>
        <w:noProof/>
        <w:kern w:val="0"/>
        <w:szCs w:val="21"/>
      </w:rPr>
      <w:t>12</w:t>
    </w:r>
    <w:r w:rsidR="009815B6">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7" w:rsidRDefault="00D81B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A3" w:rsidRDefault="00650AA3" w:rsidP="00876D65">
      <w:r>
        <w:separator/>
      </w:r>
    </w:p>
  </w:footnote>
  <w:footnote w:type="continuationSeparator" w:id="0">
    <w:p w:rsidR="00650AA3" w:rsidRDefault="00650AA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7" w:rsidRDefault="00D81B77">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交银施罗德科技创新灵活配置混合型证券投资基金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B77" w:rsidRDefault="00D81B7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0AA3"/>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15B6"/>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3FAB"/>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0E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03E4"/>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B77"/>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A94656E-C65E-4972-BCFB-34667204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4680A-F482-4DC3-8F3A-260C8BB0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12</Pages>
  <Words>1054</Words>
  <Characters>6012</Characters>
  <Application>Microsoft Office Word</Application>
  <DocSecurity>0</DocSecurity>
  <Lines>50</Lines>
  <Paragraphs>14</Paragraphs>
  <ScaleCrop>false</ScaleCrop>
  <Company/>
  <LinksUpToDate>false</LinksUpToDate>
  <CharactersWithSpaces>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2018-07-17T03:25:00Z</dcterms:modified>
</cp:coreProperties>
</file>