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FC7F43" w:rsidRPr="007F52FA" w:rsidRDefault="00FC7F4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交银施罗德卓越回报灵活配置混合型证券投资基金</w:t>
      </w:r>
    </w:p>
    <w:p w:rsidR="002D2A00"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2018</w:t>
      </w:r>
      <w:r w:rsidRPr="005858C2">
        <w:rPr>
          <w:rFonts w:eastAsiaTheme="minorEastAsia"/>
          <w:b/>
          <w:sz w:val="36"/>
          <w:szCs w:val="36"/>
        </w:rPr>
        <w:t>年第</w:t>
      </w:r>
      <w:r w:rsidRPr="005858C2">
        <w:rPr>
          <w:rFonts w:eastAsiaTheme="minorEastAsia"/>
          <w:b/>
          <w:sz w:val="36"/>
          <w:szCs w:val="36"/>
        </w:rPr>
        <w:t>2</w:t>
      </w:r>
      <w:r w:rsidRPr="005858C2">
        <w:rPr>
          <w:rFonts w:eastAsiaTheme="minorEastAsia"/>
          <w:b/>
          <w:sz w:val="36"/>
          <w:szCs w:val="36"/>
        </w:rPr>
        <w:t>季度报告</w:t>
      </w:r>
    </w:p>
    <w:p w:rsidR="009A2283" w:rsidRPr="005858C2" w:rsidRDefault="00121533" w:rsidP="007C14DF">
      <w:pPr>
        <w:spacing w:before="29" w:line="288" w:lineRule="auto"/>
        <w:jc w:val="center"/>
        <w:rPr>
          <w:b/>
          <w:sz w:val="36"/>
          <w:szCs w:val="36"/>
        </w:rPr>
      </w:pPr>
      <w:r w:rsidRPr="005858C2">
        <w:rPr>
          <w:b/>
          <w:sz w:val="36"/>
          <w:szCs w:val="36"/>
        </w:rPr>
        <w:t>2018</w:t>
      </w:r>
      <w:r w:rsidRPr="005858C2">
        <w:rPr>
          <w:b/>
          <w:sz w:val="36"/>
          <w:szCs w:val="36"/>
        </w:rPr>
        <w:t>年</w:t>
      </w:r>
      <w:r w:rsidRPr="005858C2">
        <w:rPr>
          <w:b/>
          <w:sz w:val="36"/>
          <w:szCs w:val="36"/>
        </w:rPr>
        <w:t>6</w:t>
      </w:r>
      <w:r w:rsidRPr="005858C2">
        <w:rPr>
          <w:b/>
          <w:sz w:val="36"/>
          <w:szCs w:val="36"/>
        </w:rPr>
        <w:t>月</w:t>
      </w:r>
      <w:r w:rsidRPr="005858C2">
        <w:rPr>
          <w:b/>
          <w:sz w:val="36"/>
          <w:szCs w:val="36"/>
        </w:rPr>
        <w:t>30</w:t>
      </w:r>
      <w:r w:rsidRPr="005858C2">
        <w:rPr>
          <w:b/>
          <w:sz w:val="36"/>
          <w:szCs w:val="36"/>
        </w:rPr>
        <w:t>日</w:t>
      </w:r>
    </w:p>
    <w:p w:rsidR="009A2283" w:rsidRPr="007F52FA" w:rsidRDefault="009A2283" w:rsidP="007C14DF">
      <w:pPr>
        <w:spacing w:before="29" w:line="288" w:lineRule="auto"/>
        <w:jc w:val="center"/>
        <w:rPr>
          <w:rFonts w:eastAsiaTheme="minorEastAsia"/>
          <w:b/>
          <w:color w:val="000000"/>
          <w:sz w:val="24"/>
        </w:rPr>
      </w:pPr>
    </w:p>
    <w:p w:rsidR="009A2283" w:rsidRPr="00657487"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E27360" w:rsidRPr="007F52FA" w:rsidRDefault="00E27360"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rPr>
          <w:color w:val="000000"/>
          <w:sz w:val="24"/>
        </w:rPr>
      </w:pP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基金管理人：</w:t>
      </w:r>
      <w:r w:rsidR="00BF377F" w:rsidRPr="005858C2">
        <w:rPr>
          <w:b/>
          <w:color w:val="000000"/>
          <w:sz w:val="24"/>
        </w:rPr>
        <w:t>交银施罗德基金管理有限公司</w:t>
      </w: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基金托管人：</w:t>
      </w:r>
      <w:r w:rsidR="00BF377F" w:rsidRPr="005858C2">
        <w:rPr>
          <w:b/>
          <w:color w:val="000000"/>
          <w:sz w:val="24"/>
        </w:rPr>
        <w:t>中信银行股份有限公司</w:t>
      </w:r>
    </w:p>
    <w:p w:rsidR="009A2283" w:rsidRPr="005858C2" w:rsidRDefault="009A2283" w:rsidP="007C14DF">
      <w:pPr>
        <w:spacing w:before="29" w:line="288" w:lineRule="auto"/>
        <w:ind w:firstLineChars="900" w:firstLine="2168"/>
        <w:rPr>
          <w:b/>
          <w:sz w:val="24"/>
        </w:rPr>
        <w:sectPr w:rsidR="009A2283" w:rsidRPr="005858C2" w:rsidSect="00D3445F">
          <w:headerReference w:type="even" r:id="rId8"/>
          <w:headerReference w:type="default" r:id="rId9"/>
          <w:footerReference w:type="even" r:id="rId10"/>
          <w:footerReference w:type="default" r:id="rId11"/>
          <w:headerReference w:type="first" r:id="rId12"/>
          <w:footerReference w:type="first" r:id="rId13"/>
          <w:pgSz w:w="11926" w:h="15840"/>
          <w:pgMar w:top="1418" w:right="1440" w:bottom="851" w:left="1440" w:header="851" w:footer="992" w:gutter="0"/>
          <w:cols w:space="720"/>
          <w:noEndnote/>
          <w:titlePg/>
          <w:docGrid w:linePitch="286"/>
        </w:sectPr>
      </w:pPr>
      <w:r w:rsidRPr="005858C2">
        <w:rPr>
          <w:b/>
          <w:color w:val="000000"/>
          <w:sz w:val="24"/>
        </w:rPr>
        <w:t>报告送出日期：</w:t>
      </w:r>
      <w:r w:rsidR="00D04410" w:rsidRPr="005858C2">
        <w:rPr>
          <w:b/>
          <w:color w:val="000000"/>
          <w:sz w:val="24"/>
        </w:rPr>
        <w:t>二〇一八年七月十八日</w:t>
      </w:r>
    </w:p>
    <w:p w:rsidR="009238DB" w:rsidRPr="007F52FA" w:rsidRDefault="009238DB" w:rsidP="00F103C8">
      <w:pPr>
        <w:pStyle w:val="1"/>
        <w:spacing w:beforeLines="100" w:before="312" w:afterLines="100" w:after="312" w:line="288" w:lineRule="auto"/>
        <w:jc w:val="center"/>
        <w:rPr>
          <w:b w:val="0"/>
          <w:color w:val="000000"/>
          <w:kern w:val="0"/>
          <w:sz w:val="24"/>
          <w:szCs w:val="24"/>
        </w:rPr>
      </w:pPr>
      <w:r w:rsidRPr="007F52FA">
        <w:rPr>
          <w:color w:val="000000"/>
          <w:kern w:val="0"/>
          <w:sz w:val="24"/>
          <w:szCs w:val="24"/>
        </w:rPr>
        <w:lastRenderedPageBreak/>
        <w:t xml:space="preserve">§1  </w:t>
      </w:r>
      <w:r w:rsidRPr="007F52FA">
        <w:rPr>
          <w:color w:val="000000"/>
          <w:kern w:val="0"/>
          <w:sz w:val="24"/>
          <w:szCs w:val="24"/>
        </w:rPr>
        <w:t>重要提示</w:t>
      </w:r>
    </w:p>
    <w:p w:rsidR="00B20989" w:rsidRDefault="0087548B">
      <w:pPr>
        <w:spacing w:before="29" w:line="288" w:lineRule="auto"/>
        <w:ind w:firstLineChars="200" w:firstLine="480"/>
        <w:rPr>
          <w:rFonts w:eastAsiaTheme="minorEastAsia"/>
          <w:color w:val="000000"/>
          <w:sz w:val="24"/>
        </w:rPr>
      </w:pPr>
      <w:r>
        <w:rPr>
          <w:rFonts w:eastAsiaTheme="minorEastAsia"/>
          <w:color w:val="000000"/>
          <w:sz w:val="24"/>
        </w:rPr>
        <w:t>基金管理人的董事会及董事保证本报告所载资料不存在虚假记载、误导性陈述或重大遗漏，并对其内容的真实性、准确性和完整性承担个别及连带责任。</w:t>
      </w:r>
      <w:r>
        <w:rPr>
          <w:rFonts w:eastAsiaTheme="minorEastAsia"/>
          <w:color w:val="000000"/>
          <w:sz w:val="24"/>
        </w:rPr>
        <w:t xml:space="preserve"> </w:t>
      </w:r>
    </w:p>
    <w:p w:rsidR="00B20989" w:rsidRDefault="0087548B">
      <w:pPr>
        <w:spacing w:before="29" w:line="288" w:lineRule="auto"/>
        <w:ind w:firstLineChars="200" w:firstLine="480"/>
        <w:rPr>
          <w:rFonts w:eastAsiaTheme="minorEastAsia"/>
          <w:color w:val="000000"/>
          <w:sz w:val="24"/>
        </w:rPr>
      </w:pPr>
      <w:r>
        <w:rPr>
          <w:rFonts w:eastAsiaTheme="minorEastAsia"/>
          <w:color w:val="000000"/>
          <w:sz w:val="24"/>
        </w:rPr>
        <w:t>基金托管人中信银行股份有限公司根据本基金合同规定，于</w:t>
      </w:r>
      <w:r>
        <w:rPr>
          <w:rFonts w:eastAsiaTheme="minorEastAsia"/>
          <w:color w:val="000000"/>
          <w:sz w:val="24"/>
        </w:rPr>
        <w:t>2018</w:t>
      </w:r>
      <w:r>
        <w:rPr>
          <w:rFonts w:eastAsiaTheme="minorEastAsia"/>
          <w:color w:val="000000"/>
          <w:sz w:val="24"/>
        </w:rPr>
        <w:t>年</w:t>
      </w:r>
      <w:r>
        <w:rPr>
          <w:rFonts w:eastAsiaTheme="minorEastAsia"/>
          <w:color w:val="000000"/>
          <w:sz w:val="24"/>
        </w:rPr>
        <w:t>7</w:t>
      </w:r>
      <w:r>
        <w:rPr>
          <w:rFonts w:eastAsiaTheme="minorEastAsia"/>
          <w:color w:val="000000"/>
          <w:sz w:val="24"/>
        </w:rPr>
        <w:t>月</w:t>
      </w:r>
      <w:r>
        <w:rPr>
          <w:rFonts w:eastAsiaTheme="minorEastAsia"/>
          <w:color w:val="000000"/>
          <w:sz w:val="24"/>
        </w:rPr>
        <w:t>17</w:t>
      </w:r>
      <w:r>
        <w:rPr>
          <w:rFonts w:eastAsiaTheme="minorEastAsia"/>
          <w:color w:val="000000"/>
          <w:sz w:val="24"/>
        </w:rPr>
        <w:t>日复核了本报告中的财务指标、净值表现和投资组合报告等内容，保证复核内容不存在虚假记载、误导性陈述或者重大遗漏。</w:t>
      </w:r>
      <w:r>
        <w:rPr>
          <w:rFonts w:eastAsiaTheme="minorEastAsia"/>
          <w:color w:val="000000"/>
          <w:sz w:val="24"/>
        </w:rPr>
        <w:t xml:space="preserve"> </w:t>
      </w:r>
    </w:p>
    <w:p w:rsidR="00B20989" w:rsidRDefault="0087548B">
      <w:pPr>
        <w:spacing w:before="29" w:line="288" w:lineRule="auto"/>
        <w:ind w:firstLineChars="200" w:firstLine="480"/>
        <w:rPr>
          <w:rFonts w:eastAsiaTheme="minorEastAsia"/>
          <w:color w:val="000000"/>
          <w:sz w:val="24"/>
        </w:rPr>
      </w:pPr>
      <w:r>
        <w:rPr>
          <w:rFonts w:eastAsiaTheme="minorEastAsia"/>
          <w:color w:val="000000"/>
          <w:sz w:val="24"/>
        </w:rPr>
        <w:t>基金管理人承诺以诚实信用、勤勉尽责的原则管理和运用基金资产，但不保证基金一定盈利。</w:t>
      </w:r>
      <w:r>
        <w:rPr>
          <w:rFonts w:eastAsiaTheme="minorEastAsia"/>
          <w:color w:val="000000"/>
          <w:sz w:val="24"/>
        </w:rPr>
        <w:t xml:space="preserve"> </w:t>
      </w:r>
    </w:p>
    <w:p w:rsidR="00B20989" w:rsidRDefault="0087548B">
      <w:pPr>
        <w:spacing w:before="29" w:line="288" w:lineRule="auto"/>
        <w:ind w:firstLineChars="200" w:firstLine="480"/>
        <w:rPr>
          <w:rFonts w:eastAsiaTheme="minorEastAsia"/>
          <w:color w:val="000000"/>
          <w:sz w:val="24"/>
        </w:rPr>
      </w:pPr>
      <w:r>
        <w:rPr>
          <w:rFonts w:eastAsiaTheme="minorEastAsia"/>
          <w:color w:val="000000"/>
          <w:sz w:val="24"/>
        </w:rPr>
        <w:t>基金的过往业绩并不代表其未来表现。投资有风险，投资者在作出投资决策前应仔细阅读本基金的招募说明书。</w:t>
      </w:r>
      <w:r>
        <w:rPr>
          <w:rFonts w:eastAsiaTheme="minorEastAsia"/>
          <w:color w:val="000000"/>
          <w:sz w:val="24"/>
        </w:rPr>
        <w:t xml:space="preserve"> </w:t>
      </w:r>
    </w:p>
    <w:p w:rsidR="00B20989" w:rsidRDefault="0087548B">
      <w:pPr>
        <w:spacing w:before="29" w:line="288" w:lineRule="auto"/>
        <w:ind w:firstLineChars="200" w:firstLine="480"/>
        <w:rPr>
          <w:rFonts w:eastAsiaTheme="minorEastAsia"/>
          <w:color w:val="000000"/>
          <w:sz w:val="24"/>
        </w:rPr>
      </w:pPr>
      <w:r>
        <w:rPr>
          <w:rFonts w:eastAsiaTheme="minorEastAsia"/>
          <w:color w:val="000000"/>
          <w:sz w:val="24"/>
        </w:rPr>
        <w:t>本报告中财务资料未经审计。</w:t>
      </w:r>
    </w:p>
    <w:p w:rsidR="009238DB" w:rsidRPr="007F52FA" w:rsidRDefault="00267DA9" w:rsidP="007C14DF">
      <w:pPr>
        <w:spacing w:before="29" w:line="288" w:lineRule="auto"/>
        <w:ind w:firstLineChars="200" w:firstLine="480"/>
        <w:rPr>
          <w:rFonts w:eastAsiaTheme="minorEastAsia"/>
          <w:color w:val="000000"/>
          <w:sz w:val="24"/>
        </w:rPr>
      </w:pPr>
      <w:r w:rsidRPr="007F52FA">
        <w:rPr>
          <w:rFonts w:eastAsiaTheme="minorEastAsia"/>
          <w:color w:val="000000"/>
          <w:sz w:val="24"/>
        </w:rPr>
        <w:t>本报告期自</w:t>
      </w:r>
      <w:r w:rsidRPr="007F52FA">
        <w:rPr>
          <w:rFonts w:eastAsiaTheme="minorEastAsia"/>
          <w:color w:val="000000"/>
          <w:sz w:val="24"/>
        </w:rPr>
        <w:t>2018</w:t>
      </w:r>
      <w:r w:rsidRPr="007F52FA">
        <w:rPr>
          <w:rFonts w:eastAsiaTheme="minorEastAsia"/>
          <w:color w:val="000000"/>
          <w:sz w:val="24"/>
        </w:rPr>
        <w:t>年</w:t>
      </w:r>
      <w:r w:rsidRPr="007F52FA">
        <w:rPr>
          <w:rFonts w:eastAsiaTheme="minorEastAsia"/>
          <w:color w:val="000000"/>
          <w:sz w:val="24"/>
        </w:rPr>
        <w:t>4</w:t>
      </w:r>
      <w:r w:rsidRPr="007F52FA">
        <w:rPr>
          <w:rFonts w:eastAsiaTheme="minorEastAsia"/>
          <w:color w:val="000000"/>
          <w:sz w:val="24"/>
        </w:rPr>
        <w:t>月</w:t>
      </w:r>
      <w:r w:rsidRPr="007F52FA">
        <w:rPr>
          <w:rFonts w:eastAsiaTheme="minorEastAsia"/>
          <w:color w:val="000000"/>
          <w:sz w:val="24"/>
        </w:rPr>
        <w:t>1</w:t>
      </w:r>
      <w:r w:rsidRPr="007F52FA">
        <w:rPr>
          <w:rFonts w:eastAsiaTheme="minorEastAsia"/>
          <w:color w:val="000000"/>
          <w:sz w:val="24"/>
        </w:rPr>
        <w:t>日起至</w:t>
      </w:r>
      <w:r w:rsidRPr="007F52FA">
        <w:rPr>
          <w:rFonts w:eastAsiaTheme="minorEastAsia"/>
          <w:color w:val="000000"/>
          <w:sz w:val="24"/>
        </w:rPr>
        <w:t>6</w:t>
      </w:r>
      <w:r w:rsidRPr="007F52FA">
        <w:rPr>
          <w:rFonts w:eastAsiaTheme="minorEastAsia"/>
          <w:color w:val="000000"/>
          <w:sz w:val="24"/>
        </w:rPr>
        <w:t>月</w:t>
      </w:r>
      <w:r w:rsidRPr="007F52FA">
        <w:rPr>
          <w:rFonts w:eastAsiaTheme="minorEastAsia"/>
          <w:color w:val="000000"/>
          <w:sz w:val="24"/>
        </w:rPr>
        <w:t>30</w:t>
      </w:r>
      <w:r w:rsidRPr="007F52FA">
        <w:rPr>
          <w:rFonts w:eastAsiaTheme="minorEastAsia"/>
          <w:color w:val="000000"/>
          <w:sz w:val="24"/>
        </w:rPr>
        <w:t>日止。</w:t>
      </w:r>
    </w:p>
    <w:p w:rsidR="00740635" w:rsidRPr="007F52FA" w:rsidRDefault="00740635" w:rsidP="007C14DF">
      <w:pPr>
        <w:spacing w:before="29" w:line="288" w:lineRule="auto"/>
        <w:ind w:firstLineChars="200" w:firstLine="480"/>
        <w:rPr>
          <w:rFonts w:eastAsiaTheme="minorEastAsia"/>
          <w:color w:val="000000"/>
          <w:sz w:val="24"/>
        </w:rPr>
      </w:pPr>
    </w:p>
    <w:p w:rsidR="009238DB" w:rsidRPr="007F52FA" w:rsidRDefault="009238DB" w:rsidP="00F103C8">
      <w:pPr>
        <w:pStyle w:val="1"/>
        <w:spacing w:beforeLines="100" w:before="312" w:afterLines="100" w:after="312" w:line="288" w:lineRule="auto"/>
        <w:jc w:val="center"/>
        <w:rPr>
          <w:color w:val="000000"/>
          <w:kern w:val="0"/>
          <w:sz w:val="24"/>
          <w:szCs w:val="24"/>
        </w:rPr>
      </w:pPr>
      <w:r w:rsidRPr="007F52FA">
        <w:rPr>
          <w:color w:val="000000"/>
          <w:kern w:val="0"/>
          <w:sz w:val="24"/>
          <w:szCs w:val="24"/>
        </w:rPr>
        <w:t xml:space="preserve">§2  </w:t>
      </w:r>
      <w:r w:rsidRPr="007F52FA">
        <w:rPr>
          <w:color w:val="000000"/>
          <w:kern w:val="0"/>
          <w:sz w:val="24"/>
          <w:szCs w:val="24"/>
        </w:rPr>
        <w:t>基金产品概况</w:t>
      </w: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3048"/>
      </w:tblGrid>
      <w:tr w:rsidR="00A6200E" w:rsidRPr="007F52FA" w:rsidTr="009416C9">
        <w:trPr>
          <w:jc w:val="center"/>
        </w:trPr>
        <w:tc>
          <w:tcPr>
            <w:tcW w:w="3023" w:type="dxa"/>
            <w:vAlign w:val="center"/>
          </w:tcPr>
          <w:p w:rsidR="00A6200E" w:rsidRPr="007F52FA" w:rsidRDefault="00A6200E" w:rsidP="007C14DF">
            <w:pPr>
              <w:adjustRightInd w:val="0"/>
              <w:spacing w:before="29" w:line="288" w:lineRule="auto"/>
              <w:ind w:left="17"/>
              <w:jc w:val="left"/>
              <w:rPr>
                <w:kern w:val="0"/>
                <w:sz w:val="24"/>
              </w:rPr>
            </w:pPr>
            <w:r w:rsidRPr="007F52FA">
              <w:rPr>
                <w:kern w:val="0"/>
                <w:sz w:val="24"/>
              </w:rPr>
              <w:t>基金简称</w:t>
            </w:r>
          </w:p>
        </w:tc>
        <w:tc>
          <w:tcPr>
            <w:tcW w:w="5970" w:type="dxa"/>
            <w:gridSpan w:val="2"/>
            <w:vAlign w:val="center"/>
          </w:tcPr>
          <w:p w:rsidR="00A6200E" w:rsidRPr="007F52FA" w:rsidRDefault="00A6200E" w:rsidP="007C14DF">
            <w:pPr>
              <w:adjustRightInd w:val="0"/>
              <w:spacing w:before="29" w:line="288" w:lineRule="auto"/>
              <w:ind w:left="17"/>
              <w:jc w:val="left"/>
              <w:rPr>
                <w:color w:val="000000"/>
                <w:kern w:val="0"/>
                <w:sz w:val="24"/>
              </w:rPr>
            </w:pPr>
            <w:r w:rsidRPr="007F52FA">
              <w:rPr>
                <w:color w:val="000000"/>
                <w:kern w:val="0"/>
                <w:sz w:val="24"/>
              </w:rPr>
              <w:t>交银卓越回报灵活配置混合</w:t>
            </w:r>
          </w:p>
        </w:tc>
      </w:tr>
      <w:tr w:rsidR="00B95753" w:rsidRPr="007F52FA" w:rsidTr="009416C9">
        <w:trPr>
          <w:jc w:val="center"/>
        </w:trPr>
        <w:tc>
          <w:tcPr>
            <w:tcW w:w="3023" w:type="dxa"/>
            <w:vAlign w:val="center"/>
          </w:tcPr>
          <w:p w:rsidR="00B95753" w:rsidRPr="007F52FA" w:rsidRDefault="00B95753" w:rsidP="007C14DF">
            <w:pPr>
              <w:adjustRightInd w:val="0"/>
              <w:spacing w:before="29" w:line="288" w:lineRule="auto"/>
              <w:ind w:left="17"/>
              <w:jc w:val="left"/>
              <w:rPr>
                <w:kern w:val="0"/>
                <w:sz w:val="24"/>
              </w:rPr>
            </w:pPr>
            <w:r w:rsidRPr="007F52FA">
              <w:rPr>
                <w:kern w:val="0"/>
                <w:sz w:val="24"/>
              </w:rPr>
              <w:t>基金主代码</w:t>
            </w:r>
          </w:p>
        </w:tc>
        <w:tc>
          <w:tcPr>
            <w:tcW w:w="5970" w:type="dxa"/>
            <w:gridSpan w:val="2"/>
            <w:tcBorders>
              <w:bottom w:val="single" w:sz="4" w:space="0" w:color="auto"/>
            </w:tcBorders>
            <w:vAlign w:val="center"/>
          </w:tcPr>
          <w:p w:rsidR="00B95753" w:rsidRPr="007F52FA" w:rsidRDefault="00B95753" w:rsidP="007C14DF">
            <w:pPr>
              <w:adjustRightInd w:val="0"/>
              <w:spacing w:before="29" w:line="288" w:lineRule="auto"/>
              <w:ind w:left="17"/>
              <w:jc w:val="left"/>
              <w:rPr>
                <w:color w:val="000000"/>
                <w:kern w:val="0"/>
                <w:sz w:val="24"/>
              </w:rPr>
            </w:pPr>
            <w:r w:rsidRPr="007F52FA">
              <w:rPr>
                <w:color w:val="000000"/>
                <w:kern w:val="0"/>
                <w:sz w:val="24"/>
              </w:rPr>
              <w:t>519764</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基金运作方式</w:t>
            </w:r>
          </w:p>
        </w:tc>
        <w:tc>
          <w:tcPr>
            <w:tcW w:w="5970" w:type="dxa"/>
            <w:gridSpan w:val="2"/>
            <w:tcBorders>
              <w:top w:val="single" w:sz="4" w:space="0" w:color="auto"/>
            </w:tcBorders>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契约型开放式</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基金合同生效日</w:t>
            </w:r>
          </w:p>
        </w:tc>
        <w:tc>
          <w:tcPr>
            <w:tcW w:w="5970" w:type="dxa"/>
            <w:gridSpan w:val="2"/>
            <w:vAlign w:val="center"/>
          </w:tcPr>
          <w:p w:rsidR="008532F3" w:rsidRPr="007F52FA" w:rsidRDefault="008532F3" w:rsidP="007C14DF">
            <w:pPr>
              <w:adjustRightInd w:val="0"/>
              <w:spacing w:before="29" w:line="288" w:lineRule="auto"/>
              <w:ind w:left="17"/>
              <w:jc w:val="left"/>
              <w:rPr>
                <w:color w:val="000000"/>
                <w:kern w:val="0"/>
                <w:sz w:val="24"/>
              </w:rPr>
            </w:pPr>
            <w:r w:rsidRPr="007F52FA">
              <w:rPr>
                <w:color w:val="000000"/>
                <w:kern w:val="0"/>
                <w:sz w:val="24"/>
              </w:rPr>
              <w:t>2016</w:t>
            </w:r>
            <w:r w:rsidRPr="007F52FA">
              <w:rPr>
                <w:color w:val="000000"/>
                <w:kern w:val="0"/>
                <w:sz w:val="24"/>
              </w:rPr>
              <w:t>年</w:t>
            </w:r>
            <w:r w:rsidRPr="007F52FA">
              <w:rPr>
                <w:color w:val="000000"/>
                <w:kern w:val="0"/>
                <w:sz w:val="24"/>
              </w:rPr>
              <w:t>2</w:t>
            </w:r>
            <w:r w:rsidRPr="007F52FA">
              <w:rPr>
                <w:color w:val="000000"/>
                <w:kern w:val="0"/>
                <w:sz w:val="24"/>
              </w:rPr>
              <w:t>月</w:t>
            </w:r>
            <w:r w:rsidRPr="007F52FA">
              <w:rPr>
                <w:color w:val="000000"/>
                <w:kern w:val="0"/>
                <w:sz w:val="24"/>
              </w:rPr>
              <w:t>17</w:t>
            </w:r>
            <w:r w:rsidRPr="007F52FA">
              <w:rPr>
                <w:color w:val="000000"/>
                <w:kern w:val="0"/>
                <w:sz w:val="24"/>
              </w:rPr>
              <w:t>日</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报告期末基金份额总额</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27,592,352.13</w:t>
            </w:r>
            <w:r w:rsidRPr="007F52FA">
              <w:rPr>
                <w:color w:val="000000"/>
                <w:kern w:val="0"/>
                <w:sz w:val="24"/>
              </w:rPr>
              <w:t>份</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投资目标</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本基金在控制风险并保持基金资产良好的流动性的前提下，力争实现基金资产的长期稳定增值。</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投资策略</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充分发挥基金管理人的研究优势，在分析和判断宏观经济周期和金融市场运行趋势的基础上，自上而下灵活调整基金大类资产配置比例，确定债券组合久期和债券类别配置；在严谨深入的股票和债券研究分析基础上，自下而上精选股票和债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业绩比较基准</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50%×</w:t>
            </w:r>
            <w:r w:rsidRPr="007F52FA">
              <w:rPr>
                <w:color w:val="000000"/>
                <w:kern w:val="0"/>
                <w:sz w:val="24"/>
              </w:rPr>
              <w:t>沪深</w:t>
            </w:r>
            <w:r w:rsidRPr="007F52FA">
              <w:rPr>
                <w:color w:val="000000"/>
                <w:kern w:val="0"/>
                <w:sz w:val="24"/>
              </w:rPr>
              <w:t>300</w:t>
            </w:r>
            <w:r w:rsidRPr="007F52FA">
              <w:rPr>
                <w:color w:val="000000"/>
                <w:kern w:val="0"/>
                <w:sz w:val="24"/>
              </w:rPr>
              <w:t>指数收益率</w:t>
            </w:r>
            <w:r w:rsidRPr="007F52FA">
              <w:rPr>
                <w:color w:val="000000"/>
                <w:kern w:val="0"/>
                <w:sz w:val="24"/>
              </w:rPr>
              <w:t>+50%×</w:t>
            </w:r>
            <w:r w:rsidRPr="007F52FA">
              <w:rPr>
                <w:color w:val="000000"/>
                <w:kern w:val="0"/>
                <w:sz w:val="24"/>
              </w:rPr>
              <w:t>中债综合全价指数收益率</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风险收益特征</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本基金是一只混合型基金，其风险和预期收益高于债券型基金和货币市场基金，低于股票型基金。属于承担较高风险、预期收益较高的证券投资基金品种。</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基金管理人</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交银施罗德基金管理有限公司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lastRenderedPageBreak/>
              <w:t>基金托管人</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中信银行股份有限公司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kern w:val="0"/>
                <w:sz w:val="24"/>
              </w:rPr>
            </w:pPr>
            <w:r w:rsidRPr="007F52FA">
              <w:rPr>
                <w:color w:val="000000"/>
                <w:sz w:val="24"/>
              </w:rPr>
              <w:t>下属两级基金的基金简称</w:t>
            </w:r>
          </w:p>
        </w:tc>
        <w:tc>
          <w:tcPr>
            <w:tcW w:w="2922" w:type="dxa"/>
            <w:vAlign w:val="center"/>
          </w:tcPr>
          <w:p w:rsidR="008532F3" w:rsidRPr="007F52FA" w:rsidRDefault="008532F3" w:rsidP="007C14DF">
            <w:pPr>
              <w:spacing w:before="29" w:line="288" w:lineRule="auto"/>
              <w:jc w:val="left"/>
              <w:rPr>
                <w:sz w:val="24"/>
              </w:rPr>
            </w:pPr>
            <w:r w:rsidRPr="007F52FA">
              <w:rPr>
                <w:sz w:val="24"/>
              </w:rPr>
              <w:t>交银卓越回报灵活配置混合</w:t>
            </w:r>
            <w:r w:rsidRPr="007F52FA">
              <w:rPr>
                <w:sz w:val="24"/>
              </w:rPr>
              <w:t>A</w:t>
            </w:r>
          </w:p>
        </w:tc>
        <w:tc>
          <w:tcPr>
            <w:tcW w:w="3048" w:type="dxa"/>
            <w:vAlign w:val="center"/>
          </w:tcPr>
          <w:p w:rsidR="008532F3" w:rsidRPr="007F52FA" w:rsidRDefault="008532F3" w:rsidP="007C14DF">
            <w:pPr>
              <w:spacing w:before="29" w:line="288" w:lineRule="auto"/>
              <w:jc w:val="left"/>
              <w:rPr>
                <w:sz w:val="24"/>
              </w:rPr>
            </w:pPr>
            <w:r w:rsidRPr="007F52FA">
              <w:rPr>
                <w:sz w:val="24"/>
              </w:rPr>
              <w:t>交银卓越回报灵活配置混合</w:t>
            </w:r>
            <w:r w:rsidRPr="007F52FA">
              <w:rPr>
                <w:sz w:val="24"/>
              </w:rPr>
              <w:t>C</w:t>
            </w:r>
          </w:p>
        </w:tc>
      </w:tr>
      <w:tr w:rsidR="00C23B30" w:rsidRPr="007F52FA" w:rsidTr="009416C9">
        <w:trPr>
          <w:jc w:val="center"/>
        </w:trPr>
        <w:tc>
          <w:tcPr>
            <w:tcW w:w="3023" w:type="dxa"/>
            <w:vAlign w:val="center"/>
          </w:tcPr>
          <w:p w:rsidR="00C23B30" w:rsidRDefault="007C3DC6" w:rsidP="007C14DF">
            <w:pPr>
              <w:adjustRightInd w:val="0"/>
              <w:spacing w:before="29" w:line="288" w:lineRule="auto"/>
              <w:ind w:left="17"/>
              <w:jc w:val="left"/>
              <w:rPr>
                <w:color w:val="000000"/>
                <w:sz w:val="24"/>
              </w:rPr>
            </w:pPr>
            <w:r w:rsidRPr="007F52FA">
              <w:rPr>
                <w:color w:val="000000"/>
                <w:sz w:val="24"/>
              </w:rPr>
              <w:t>下属两级基金的交易代码</w:t>
            </w:r>
          </w:p>
          <w:p w:rsidR="00C01EF2" w:rsidRPr="007F52FA" w:rsidRDefault="00C01EF2" w:rsidP="00C01EF2">
            <w:pPr>
              <w:adjustRightInd w:val="0"/>
              <w:spacing w:before="29" w:line="288" w:lineRule="auto"/>
              <w:ind w:left="17"/>
              <w:jc w:val="left"/>
              <w:rPr>
                <w:color w:val="000000"/>
                <w:sz w:val="24"/>
              </w:rPr>
            </w:pPr>
          </w:p>
        </w:tc>
        <w:tc>
          <w:tcPr>
            <w:tcW w:w="2922" w:type="dxa"/>
            <w:vAlign w:val="center"/>
          </w:tcPr>
          <w:p w:rsidR="00C23B30" w:rsidRPr="000E4C40" w:rsidRDefault="00C23B30" w:rsidP="007F50FB">
            <w:pPr>
              <w:spacing w:before="29" w:line="288" w:lineRule="auto"/>
              <w:jc w:val="left"/>
              <w:rPr>
                <w:sz w:val="24"/>
              </w:rPr>
            </w:pPr>
            <w:r w:rsidRPr="000E4C40">
              <w:rPr>
                <w:sz w:val="24"/>
              </w:rPr>
              <w:t>519764</w:t>
            </w:r>
          </w:p>
        </w:tc>
        <w:tc>
          <w:tcPr>
            <w:tcW w:w="3048" w:type="dxa"/>
            <w:vAlign w:val="center"/>
          </w:tcPr>
          <w:p w:rsidR="00C23B30" w:rsidRPr="000E4C40" w:rsidRDefault="00C23B30" w:rsidP="00A52A9E">
            <w:pPr>
              <w:spacing w:before="29" w:line="288" w:lineRule="auto"/>
              <w:jc w:val="left"/>
              <w:rPr>
                <w:sz w:val="24"/>
              </w:rPr>
            </w:pPr>
            <w:r w:rsidRPr="000E4C40">
              <w:rPr>
                <w:sz w:val="24"/>
              </w:rPr>
              <w:t>519765</w:t>
            </w:r>
          </w:p>
        </w:tc>
      </w:tr>
      <w:tr w:rsidR="00C23B30" w:rsidRPr="007F52FA" w:rsidTr="009416C9">
        <w:trPr>
          <w:jc w:val="center"/>
        </w:trPr>
        <w:tc>
          <w:tcPr>
            <w:tcW w:w="3023" w:type="dxa"/>
            <w:vAlign w:val="center"/>
          </w:tcPr>
          <w:p w:rsidR="00C23B30" w:rsidRPr="007F52FA" w:rsidRDefault="00C23B30" w:rsidP="007C14DF">
            <w:pPr>
              <w:adjustRightInd w:val="0"/>
              <w:spacing w:before="29" w:line="288" w:lineRule="auto"/>
              <w:ind w:left="17"/>
              <w:jc w:val="left"/>
              <w:rPr>
                <w:color w:val="000000"/>
                <w:sz w:val="24"/>
              </w:rPr>
            </w:pPr>
            <w:r w:rsidRPr="007F52FA">
              <w:rPr>
                <w:color w:val="000000"/>
                <w:sz w:val="24"/>
              </w:rPr>
              <w:t>报告期末下属两级基金的份额总额</w:t>
            </w:r>
          </w:p>
        </w:tc>
        <w:tc>
          <w:tcPr>
            <w:tcW w:w="2922" w:type="dxa"/>
            <w:vAlign w:val="center"/>
          </w:tcPr>
          <w:p w:rsidR="00C23B30" w:rsidRPr="007F52FA" w:rsidRDefault="00C23B30" w:rsidP="007C14DF">
            <w:pPr>
              <w:spacing w:before="29" w:line="288" w:lineRule="auto"/>
              <w:jc w:val="left"/>
              <w:rPr>
                <w:sz w:val="24"/>
              </w:rPr>
            </w:pPr>
            <w:r w:rsidRPr="007F52FA">
              <w:rPr>
                <w:sz w:val="24"/>
              </w:rPr>
              <w:t>27,544,777.40</w:t>
            </w:r>
            <w:r w:rsidRPr="007F52FA">
              <w:rPr>
                <w:color w:val="000000"/>
                <w:kern w:val="0"/>
                <w:sz w:val="24"/>
              </w:rPr>
              <w:t>份</w:t>
            </w:r>
          </w:p>
        </w:tc>
        <w:tc>
          <w:tcPr>
            <w:tcW w:w="3048" w:type="dxa"/>
            <w:vAlign w:val="center"/>
          </w:tcPr>
          <w:p w:rsidR="00C23B30" w:rsidRPr="007F52FA" w:rsidRDefault="00C23B30" w:rsidP="007C14DF">
            <w:pPr>
              <w:spacing w:before="29" w:line="288" w:lineRule="auto"/>
              <w:jc w:val="left"/>
              <w:rPr>
                <w:sz w:val="24"/>
              </w:rPr>
            </w:pPr>
            <w:r w:rsidRPr="007F52FA">
              <w:rPr>
                <w:sz w:val="24"/>
              </w:rPr>
              <w:t>47,574.73</w:t>
            </w:r>
            <w:r w:rsidRPr="007F52FA">
              <w:rPr>
                <w:color w:val="000000"/>
                <w:kern w:val="0"/>
                <w:sz w:val="24"/>
              </w:rPr>
              <w:t>份</w:t>
            </w:r>
          </w:p>
        </w:tc>
      </w:tr>
    </w:tbl>
    <w:p w:rsidR="00740635" w:rsidRPr="007F52FA" w:rsidRDefault="00740635" w:rsidP="007C14DF">
      <w:pPr>
        <w:autoSpaceDE w:val="0"/>
        <w:autoSpaceDN w:val="0"/>
        <w:adjustRightInd w:val="0"/>
        <w:spacing w:before="29" w:line="288" w:lineRule="auto"/>
        <w:jc w:val="left"/>
        <w:rPr>
          <w:rFonts w:eastAsiaTheme="minorEastAsia"/>
          <w:color w:val="000000"/>
          <w:sz w:val="24"/>
        </w:rPr>
      </w:pPr>
    </w:p>
    <w:p w:rsidR="009238DB" w:rsidRPr="007F52FA" w:rsidRDefault="009238DB" w:rsidP="00F103C8">
      <w:pPr>
        <w:pStyle w:val="1"/>
        <w:spacing w:beforeLines="100" w:before="312" w:afterLines="100" w:after="312" w:line="288" w:lineRule="auto"/>
        <w:jc w:val="center"/>
        <w:rPr>
          <w:color w:val="000000"/>
          <w:kern w:val="0"/>
          <w:sz w:val="24"/>
          <w:szCs w:val="24"/>
        </w:rPr>
      </w:pPr>
      <w:r w:rsidRPr="007F52FA">
        <w:rPr>
          <w:color w:val="000000"/>
          <w:kern w:val="0"/>
          <w:sz w:val="24"/>
          <w:szCs w:val="24"/>
        </w:rPr>
        <w:t xml:space="preserve">§3  </w:t>
      </w:r>
      <w:r w:rsidRPr="007F52FA">
        <w:rPr>
          <w:color w:val="000000"/>
          <w:kern w:val="0"/>
          <w:sz w:val="24"/>
          <w:szCs w:val="24"/>
        </w:rPr>
        <w:t>主要财务指标和基金净值表现</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3.1 </w:t>
      </w:r>
      <w:r w:rsidRPr="007F52FA">
        <w:rPr>
          <w:b/>
          <w:color w:val="000000"/>
          <w:kern w:val="0"/>
          <w:sz w:val="24"/>
        </w:rPr>
        <w:t>主要财务指标</w:t>
      </w:r>
    </w:p>
    <w:p w:rsidR="009238DB" w:rsidRPr="007F52FA" w:rsidRDefault="009238DB" w:rsidP="007C14DF">
      <w:pPr>
        <w:autoSpaceDE w:val="0"/>
        <w:autoSpaceDN w:val="0"/>
        <w:adjustRightInd w:val="0"/>
        <w:spacing w:before="29" w:line="288" w:lineRule="auto"/>
        <w:ind w:left="15" w:right="480"/>
        <w:jc w:val="right"/>
        <w:rPr>
          <w:color w:val="000000"/>
          <w:kern w:val="0"/>
          <w:sz w:val="24"/>
        </w:rPr>
      </w:pPr>
      <w:r w:rsidRPr="007F52FA">
        <w:rPr>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6"/>
        <w:gridCol w:w="2631"/>
        <w:gridCol w:w="2631"/>
      </w:tblGrid>
      <w:tr w:rsidR="009E549D" w:rsidRPr="007F52FA" w:rsidTr="007A5233">
        <w:trPr>
          <w:jc w:val="center"/>
        </w:trPr>
        <w:tc>
          <w:tcPr>
            <w:tcW w:w="3402" w:type="dxa"/>
            <w:vMerge w:val="restart"/>
            <w:vAlign w:val="center"/>
          </w:tcPr>
          <w:p w:rsidR="009E549D" w:rsidRPr="007F52FA" w:rsidRDefault="009E549D" w:rsidP="007C14DF">
            <w:pPr>
              <w:adjustRightInd w:val="0"/>
              <w:spacing w:before="29" w:line="288" w:lineRule="auto"/>
              <w:ind w:left="17"/>
              <w:jc w:val="center"/>
              <w:rPr>
                <w:kern w:val="0"/>
                <w:sz w:val="24"/>
              </w:rPr>
            </w:pPr>
            <w:r w:rsidRPr="007F52FA">
              <w:rPr>
                <w:kern w:val="0"/>
                <w:sz w:val="24"/>
              </w:rPr>
              <w:t>主要财务指标</w:t>
            </w:r>
          </w:p>
        </w:tc>
        <w:tc>
          <w:tcPr>
            <w:tcW w:w="4962" w:type="dxa"/>
            <w:gridSpan w:val="2"/>
            <w:vAlign w:val="center"/>
          </w:tcPr>
          <w:p w:rsidR="00BF5A58" w:rsidRPr="00414345" w:rsidRDefault="00BF5A58" w:rsidP="00BF5A58">
            <w:pPr>
              <w:adjustRightInd w:val="0"/>
              <w:spacing w:before="29" w:line="288" w:lineRule="auto"/>
              <w:ind w:left="17"/>
              <w:jc w:val="center"/>
              <w:rPr>
                <w:color w:val="000000"/>
                <w:sz w:val="24"/>
              </w:rPr>
            </w:pPr>
            <w:r w:rsidRPr="00414345">
              <w:rPr>
                <w:color w:val="000000"/>
                <w:sz w:val="24"/>
              </w:rPr>
              <w:t>报告期</w:t>
            </w:r>
          </w:p>
          <w:p w:rsidR="009E549D" w:rsidRPr="007F52FA" w:rsidRDefault="00BF5A58" w:rsidP="00BF5A58">
            <w:pPr>
              <w:adjustRightInd w:val="0"/>
              <w:spacing w:before="29" w:line="288" w:lineRule="auto"/>
              <w:ind w:left="17"/>
              <w:jc w:val="center"/>
              <w:rPr>
                <w:color w:val="000000"/>
                <w:sz w:val="24"/>
              </w:rPr>
            </w:pPr>
            <w:r w:rsidRPr="00414345">
              <w:rPr>
                <w:color w:val="000000"/>
                <w:sz w:val="24"/>
              </w:rPr>
              <w:t>(2018</w:t>
            </w:r>
            <w:r w:rsidRPr="00414345">
              <w:rPr>
                <w:color w:val="000000"/>
                <w:sz w:val="24"/>
              </w:rPr>
              <w:t>年</w:t>
            </w:r>
            <w:r w:rsidRPr="00414345">
              <w:rPr>
                <w:color w:val="000000"/>
                <w:sz w:val="24"/>
              </w:rPr>
              <w:t>4</w:t>
            </w:r>
            <w:r w:rsidRPr="00414345">
              <w:rPr>
                <w:color w:val="000000"/>
                <w:sz w:val="24"/>
              </w:rPr>
              <w:t>月</w:t>
            </w:r>
            <w:r w:rsidRPr="00414345">
              <w:rPr>
                <w:color w:val="000000"/>
                <w:sz w:val="24"/>
              </w:rPr>
              <w:t>1</w:t>
            </w:r>
            <w:r w:rsidRPr="00414345">
              <w:rPr>
                <w:color w:val="000000"/>
                <w:sz w:val="24"/>
              </w:rPr>
              <w:t>日</w:t>
            </w:r>
            <w:r w:rsidRPr="00414345">
              <w:rPr>
                <w:color w:val="000000"/>
                <w:sz w:val="24"/>
              </w:rPr>
              <w:t>-2018</w:t>
            </w:r>
            <w:r w:rsidRPr="00414345">
              <w:rPr>
                <w:color w:val="000000"/>
                <w:sz w:val="24"/>
              </w:rPr>
              <w:t>年</w:t>
            </w:r>
            <w:r w:rsidRPr="00414345">
              <w:rPr>
                <w:color w:val="000000"/>
                <w:sz w:val="24"/>
              </w:rPr>
              <w:t>6</w:t>
            </w:r>
            <w:r w:rsidRPr="00414345">
              <w:rPr>
                <w:color w:val="000000"/>
                <w:sz w:val="24"/>
              </w:rPr>
              <w:t>月</w:t>
            </w:r>
            <w:r w:rsidRPr="00414345">
              <w:rPr>
                <w:color w:val="000000"/>
                <w:sz w:val="24"/>
              </w:rPr>
              <w:t>30</w:t>
            </w:r>
            <w:r w:rsidRPr="00414345">
              <w:rPr>
                <w:color w:val="000000"/>
                <w:sz w:val="24"/>
              </w:rPr>
              <w:t>日</w:t>
            </w:r>
            <w:r w:rsidRPr="00414345">
              <w:rPr>
                <w:color w:val="000000"/>
                <w:sz w:val="24"/>
              </w:rPr>
              <w:t>)</w:t>
            </w:r>
          </w:p>
        </w:tc>
      </w:tr>
      <w:tr w:rsidR="009E549D" w:rsidRPr="007F52FA" w:rsidTr="007A5233">
        <w:trPr>
          <w:jc w:val="center"/>
        </w:trPr>
        <w:tc>
          <w:tcPr>
            <w:tcW w:w="3402" w:type="dxa"/>
            <w:vMerge/>
            <w:vAlign w:val="center"/>
          </w:tcPr>
          <w:p w:rsidR="009E549D" w:rsidRPr="007F52FA" w:rsidRDefault="009E549D" w:rsidP="007C14DF">
            <w:pPr>
              <w:adjustRightInd w:val="0"/>
              <w:spacing w:before="29" w:line="288" w:lineRule="auto"/>
              <w:ind w:left="17"/>
              <w:jc w:val="center"/>
              <w:rPr>
                <w:kern w:val="0"/>
                <w:sz w:val="24"/>
              </w:rPr>
            </w:pPr>
          </w:p>
        </w:tc>
        <w:tc>
          <w:tcPr>
            <w:tcW w:w="2481" w:type="dxa"/>
            <w:vAlign w:val="center"/>
          </w:tcPr>
          <w:p w:rsidR="009E549D" w:rsidRPr="007F52FA" w:rsidRDefault="009E549D" w:rsidP="007C14DF">
            <w:pPr>
              <w:adjustRightInd w:val="0"/>
              <w:spacing w:before="29" w:line="288" w:lineRule="auto"/>
              <w:ind w:left="17"/>
              <w:jc w:val="center"/>
              <w:rPr>
                <w:color w:val="000000"/>
                <w:sz w:val="24"/>
              </w:rPr>
            </w:pPr>
            <w:r w:rsidRPr="007F52FA">
              <w:rPr>
                <w:sz w:val="24"/>
              </w:rPr>
              <w:t>交银卓越回报灵活配置混合</w:t>
            </w:r>
            <w:r w:rsidRPr="007F52FA">
              <w:rPr>
                <w:sz w:val="24"/>
              </w:rPr>
              <w:t>A</w:t>
            </w:r>
          </w:p>
        </w:tc>
        <w:tc>
          <w:tcPr>
            <w:tcW w:w="2481" w:type="dxa"/>
            <w:vAlign w:val="center"/>
          </w:tcPr>
          <w:p w:rsidR="009E549D" w:rsidRPr="007F52FA" w:rsidRDefault="00FE7FBD" w:rsidP="007C14DF">
            <w:pPr>
              <w:adjustRightInd w:val="0"/>
              <w:spacing w:before="29" w:line="288" w:lineRule="auto"/>
              <w:ind w:left="17"/>
              <w:jc w:val="center"/>
              <w:rPr>
                <w:color w:val="000000"/>
                <w:sz w:val="24"/>
              </w:rPr>
            </w:pPr>
            <w:r w:rsidRPr="007F52FA">
              <w:rPr>
                <w:sz w:val="24"/>
              </w:rPr>
              <w:t>交银卓越回报灵活配置混合</w:t>
            </w:r>
            <w:r w:rsidRPr="007F52FA">
              <w:rPr>
                <w:sz w:val="24"/>
              </w:rPr>
              <w:t>C</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1.</w:t>
            </w:r>
            <w:r w:rsidRPr="007F52FA">
              <w:rPr>
                <w:kern w:val="0"/>
                <w:sz w:val="24"/>
              </w:rPr>
              <w:t>本期已实现收益</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-719,606.74</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-3,248,662.71</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2.</w:t>
            </w:r>
            <w:r w:rsidRPr="007F52FA">
              <w:rPr>
                <w:kern w:val="0"/>
                <w:sz w:val="24"/>
              </w:rPr>
              <w:t>本期利润</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461,302.47</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1,164,516.50</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3.</w:t>
            </w:r>
            <w:r w:rsidRPr="007F52FA">
              <w:rPr>
                <w:kern w:val="0"/>
                <w:sz w:val="24"/>
              </w:rPr>
              <w:t>加权平均基金份额本期利润</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0.0154</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0.0125</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4.</w:t>
            </w:r>
            <w:r w:rsidRPr="007F52FA">
              <w:rPr>
                <w:kern w:val="0"/>
                <w:sz w:val="24"/>
              </w:rPr>
              <w:t>期末基金资产净值</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29,201,179.77</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49,863.83</w:t>
            </w:r>
          </w:p>
        </w:tc>
      </w:tr>
      <w:tr w:rsidR="005F293E" w:rsidRPr="007F52FA" w:rsidTr="007A5233">
        <w:trPr>
          <w:trHeight w:val="158"/>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5.</w:t>
            </w:r>
            <w:r w:rsidRPr="007F52FA">
              <w:rPr>
                <w:kern w:val="0"/>
                <w:sz w:val="24"/>
              </w:rPr>
              <w:t>期末基金份额净值</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1.060</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1.048</w:t>
            </w:r>
          </w:p>
        </w:tc>
      </w:tr>
    </w:tbl>
    <w:p w:rsidR="00B20989" w:rsidRDefault="0087548B">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、上述基金业绩指标不包括持有人认购或交易基金的各项费用，计入费用后的实际收益水平要低于所列数字；</w:t>
      </w:r>
      <w:r>
        <w:rPr>
          <w:rFonts w:eastAsiaTheme="minorEastAsia"/>
          <w:color w:val="000000"/>
          <w:sz w:val="24"/>
        </w:rPr>
        <w:t xml:space="preserve"> </w:t>
      </w:r>
    </w:p>
    <w:p w:rsidR="005E01A3" w:rsidRPr="007F52FA" w:rsidRDefault="005E01A3"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    2</w:t>
      </w:r>
      <w:r w:rsidRPr="007F52FA">
        <w:rPr>
          <w:rFonts w:eastAsiaTheme="minorEastAsia"/>
          <w:color w:val="000000"/>
          <w:sz w:val="24"/>
        </w:rPr>
        <w:t>、本期已实现收益指基金本期利息收入、投资收益、其他收入（不含公允价值变动收益）扣除相关费用后的余额，本期利润为本期已实现收益加上本期公允价值变动收益。</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3.2 </w:t>
      </w:r>
      <w:r w:rsidRPr="007F52FA">
        <w:rPr>
          <w:b/>
          <w:color w:val="000000"/>
          <w:kern w:val="0"/>
          <w:sz w:val="24"/>
        </w:rPr>
        <w:t>基金净值表现</w:t>
      </w:r>
    </w:p>
    <w:p w:rsidR="009238DB" w:rsidRPr="007F52FA" w:rsidRDefault="009238DB" w:rsidP="007C14DF">
      <w:pPr>
        <w:autoSpaceDE w:val="0"/>
        <w:autoSpaceDN w:val="0"/>
        <w:adjustRightInd w:val="0"/>
        <w:spacing w:before="29" w:line="288" w:lineRule="auto"/>
        <w:jc w:val="left"/>
        <w:rPr>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7F52FA">
          <w:rPr>
            <w:b/>
            <w:color w:val="000000"/>
            <w:kern w:val="0"/>
            <w:sz w:val="24"/>
          </w:rPr>
          <w:t>3.2.1</w:t>
        </w:r>
      </w:smartTag>
      <w:r w:rsidRPr="007F52FA">
        <w:rPr>
          <w:b/>
          <w:color w:val="000000"/>
          <w:kern w:val="0"/>
          <w:sz w:val="24"/>
        </w:rPr>
        <w:t>本报告期基金份额净值增长率及其与同期业绩比较基准收益率的比较</w:t>
      </w:r>
    </w:p>
    <w:p w:rsidR="009238DB" w:rsidRPr="007F52FA" w:rsidRDefault="009238DB" w:rsidP="007C14DF">
      <w:pPr>
        <w:spacing w:before="29" w:line="288" w:lineRule="auto"/>
        <w:rPr>
          <w:b/>
          <w:sz w:val="24"/>
        </w:rPr>
      </w:pPr>
      <w:r w:rsidRPr="007F52FA">
        <w:rPr>
          <w:b/>
          <w:sz w:val="24"/>
        </w:rPr>
        <w:t>1</w:t>
      </w:r>
      <w:r w:rsidRPr="007F52FA">
        <w:rPr>
          <w:b/>
          <w:sz w:val="24"/>
        </w:rPr>
        <w:t>、</w:t>
      </w:r>
      <w:r w:rsidR="00A5643A" w:rsidRPr="007F52FA">
        <w:rPr>
          <w:b/>
          <w:color w:val="000000"/>
          <w:kern w:val="0"/>
          <w:sz w:val="24"/>
        </w:rPr>
        <w:t>交银卓越回报灵活配置混合</w:t>
      </w:r>
      <w:r w:rsidR="00A5643A" w:rsidRPr="007F52FA">
        <w:rPr>
          <w:b/>
          <w:color w:val="000000"/>
          <w:kern w:val="0"/>
          <w:sz w:val="24"/>
        </w:rPr>
        <w:t>A</w:t>
      </w:r>
      <w:r w:rsidRPr="007F52FA">
        <w:rPr>
          <w:b/>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685FFC" w:rsidRPr="007F52FA" w:rsidTr="00054F34">
        <w:trPr>
          <w:jc w:val="center"/>
        </w:trPr>
        <w:tc>
          <w:tcPr>
            <w:tcW w:w="1290"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w:t>
            </w:r>
            <w:r w:rsidRPr="007F52FA">
              <w:rPr>
                <w:rFonts w:ascii="宋体" w:hAnsi="宋体"/>
                <w:color w:val="000000"/>
                <w:sz w:val="24"/>
              </w:rPr>
              <w:t>①</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净值增长率标准差</w:t>
            </w:r>
            <w:r w:rsidRPr="007F52FA">
              <w:rPr>
                <w:rFonts w:ascii="宋体" w:hAnsi="宋体"/>
                <w:color w:val="000000"/>
                <w:sz w:val="24"/>
              </w:rPr>
              <w:t>②</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B20989">
        <w:trPr>
          <w:jc w:val="center"/>
        </w:trPr>
        <w:tc>
          <w:tcPr>
            <w:tcW w:w="1266" w:type="dxa"/>
            <w:vAlign w:val="center"/>
          </w:tcPr>
          <w:p w:rsidR="00B20989" w:rsidRDefault="0087548B">
            <w:pPr>
              <w:jc w:val="left"/>
            </w:pPr>
            <w:r>
              <w:rPr>
                <w:color w:val="000000"/>
                <w:sz w:val="24"/>
              </w:rPr>
              <w:lastRenderedPageBreak/>
              <w:t>过去三个月</w:t>
            </w:r>
          </w:p>
        </w:tc>
        <w:tc>
          <w:tcPr>
            <w:tcW w:w="1267" w:type="dxa"/>
            <w:vAlign w:val="center"/>
          </w:tcPr>
          <w:p w:rsidR="00B20989" w:rsidRDefault="0087548B">
            <w:pPr>
              <w:jc w:val="center"/>
            </w:pPr>
            <w:r>
              <w:rPr>
                <w:color w:val="000000"/>
                <w:sz w:val="24"/>
              </w:rPr>
              <w:t>1.63%</w:t>
            </w:r>
          </w:p>
        </w:tc>
        <w:tc>
          <w:tcPr>
            <w:tcW w:w="1267" w:type="dxa"/>
            <w:vAlign w:val="center"/>
          </w:tcPr>
          <w:p w:rsidR="00B20989" w:rsidRDefault="0087548B">
            <w:pPr>
              <w:jc w:val="center"/>
            </w:pPr>
            <w:r>
              <w:rPr>
                <w:color w:val="000000"/>
                <w:sz w:val="24"/>
              </w:rPr>
              <w:t>0.58%</w:t>
            </w:r>
          </w:p>
        </w:tc>
        <w:tc>
          <w:tcPr>
            <w:tcW w:w="1267" w:type="dxa"/>
            <w:vAlign w:val="center"/>
          </w:tcPr>
          <w:p w:rsidR="00B20989" w:rsidRDefault="0087548B">
            <w:pPr>
              <w:jc w:val="center"/>
            </w:pPr>
            <w:r>
              <w:rPr>
                <w:color w:val="000000"/>
                <w:sz w:val="24"/>
              </w:rPr>
              <w:t>-4.52%</w:t>
            </w:r>
          </w:p>
        </w:tc>
        <w:tc>
          <w:tcPr>
            <w:tcW w:w="1267" w:type="dxa"/>
            <w:vAlign w:val="center"/>
          </w:tcPr>
          <w:p w:rsidR="00B20989" w:rsidRDefault="0087548B">
            <w:pPr>
              <w:jc w:val="center"/>
            </w:pPr>
            <w:r>
              <w:rPr>
                <w:color w:val="000000"/>
                <w:sz w:val="24"/>
              </w:rPr>
              <w:t>0.57%</w:t>
            </w:r>
          </w:p>
        </w:tc>
        <w:tc>
          <w:tcPr>
            <w:tcW w:w="1267" w:type="dxa"/>
            <w:vAlign w:val="center"/>
          </w:tcPr>
          <w:p w:rsidR="00B20989" w:rsidRDefault="0087548B">
            <w:pPr>
              <w:jc w:val="center"/>
            </w:pPr>
            <w:r>
              <w:rPr>
                <w:color w:val="000000"/>
                <w:sz w:val="24"/>
              </w:rPr>
              <w:t>6.15%</w:t>
            </w:r>
          </w:p>
        </w:tc>
        <w:tc>
          <w:tcPr>
            <w:tcW w:w="1267" w:type="dxa"/>
            <w:vAlign w:val="center"/>
          </w:tcPr>
          <w:p w:rsidR="00B20989" w:rsidRDefault="0087548B">
            <w:pPr>
              <w:jc w:val="center"/>
            </w:pPr>
            <w:r>
              <w:rPr>
                <w:color w:val="000000"/>
                <w:sz w:val="24"/>
              </w:rPr>
              <w:t>0.01%</w:t>
            </w:r>
          </w:p>
        </w:tc>
      </w:tr>
    </w:tbl>
    <w:p w:rsidR="004425E8" w:rsidRPr="007F52FA" w:rsidRDefault="004425E8" w:rsidP="007C14DF">
      <w:pPr>
        <w:pStyle w:val="20"/>
        <w:spacing w:before="29" w:line="288" w:lineRule="auto"/>
        <w:ind w:firstLineChars="0" w:firstLine="0"/>
        <w:rPr>
          <w:rFonts w:ascii="Times New Roman" w:eastAsiaTheme="minorEastAsia" w:hAnsi="Times New Roman"/>
          <w:color w:val="000000"/>
        </w:rPr>
      </w:pPr>
    </w:p>
    <w:p w:rsidR="009238DB" w:rsidRPr="007F52FA" w:rsidRDefault="009238DB" w:rsidP="007C14DF">
      <w:pPr>
        <w:adjustRightInd w:val="0"/>
        <w:spacing w:before="29" w:line="288" w:lineRule="auto"/>
        <w:rPr>
          <w:rFonts w:eastAsiaTheme="minorEastAsia"/>
          <w:b/>
          <w:color w:val="000000"/>
          <w:kern w:val="0"/>
          <w:sz w:val="24"/>
        </w:rPr>
      </w:pPr>
      <w:r w:rsidRPr="007F52FA">
        <w:rPr>
          <w:rFonts w:eastAsiaTheme="minorEastAsia"/>
          <w:b/>
          <w:sz w:val="24"/>
        </w:rPr>
        <w:t>2</w:t>
      </w:r>
      <w:r w:rsidRPr="007F52FA">
        <w:rPr>
          <w:rFonts w:eastAsiaTheme="minorEastAsia"/>
          <w:b/>
          <w:sz w:val="24"/>
        </w:rPr>
        <w:t>、</w:t>
      </w:r>
      <w:r w:rsidR="00FE7FBD" w:rsidRPr="007F52FA">
        <w:rPr>
          <w:b/>
          <w:color w:val="000000"/>
          <w:kern w:val="0"/>
          <w:sz w:val="24"/>
        </w:rPr>
        <w:t>交银卓越回报灵活配置混合</w:t>
      </w:r>
      <w:r w:rsidR="00FE7FBD" w:rsidRPr="007F52FA">
        <w:rPr>
          <w:b/>
          <w:color w:val="000000"/>
          <w:kern w:val="0"/>
          <w:sz w:val="24"/>
        </w:rPr>
        <w:t>C</w:t>
      </w:r>
      <w:r w:rsidRPr="007F52FA">
        <w:rPr>
          <w:b/>
          <w:color w:val="000000"/>
          <w:kern w:val="0"/>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685FFC" w:rsidRPr="007F52FA" w:rsidTr="00054F34">
        <w:trPr>
          <w:jc w:val="center"/>
        </w:trPr>
        <w:tc>
          <w:tcPr>
            <w:tcW w:w="1290"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291"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w:t>
            </w:r>
            <w:r w:rsidRPr="007F52FA">
              <w:rPr>
                <w:rFonts w:ascii="宋体" w:hAnsi="宋体"/>
                <w:color w:val="000000"/>
                <w:sz w:val="24"/>
              </w:rPr>
              <w:t>①</w:t>
            </w:r>
          </w:p>
        </w:tc>
        <w:tc>
          <w:tcPr>
            <w:tcW w:w="1291"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净值增长率标准差</w:t>
            </w:r>
            <w:r w:rsidRPr="007F52FA">
              <w:rPr>
                <w:rFonts w:ascii="宋体" w:hAnsi="宋体"/>
                <w:color w:val="000000"/>
                <w:sz w:val="24"/>
              </w:rPr>
              <w:t>②</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B20989">
        <w:trPr>
          <w:jc w:val="center"/>
        </w:trPr>
        <w:tc>
          <w:tcPr>
            <w:tcW w:w="1266" w:type="dxa"/>
            <w:vAlign w:val="center"/>
          </w:tcPr>
          <w:p w:rsidR="00B20989" w:rsidRDefault="0087548B">
            <w:pPr>
              <w:jc w:val="left"/>
            </w:pPr>
            <w:r>
              <w:rPr>
                <w:color w:val="000000"/>
                <w:sz w:val="24"/>
              </w:rPr>
              <w:t>过去三个月</w:t>
            </w:r>
          </w:p>
        </w:tc>
        <w:tc>
          <w:tcPr>
            <w:tcW w:w="1267" w:type="dxa"/>
            <w:vAlign w:val="center"/>
          </w:tcPr>
          <w:p w:rsidR="00B20989" w:rsidRDefault="0087548B">
            <w:pPr>
              <w:jc w:val="center"/>
            </w:pPr>
            <w:r>
              <w:rPr>
                <w:color w:val="000000"/>
                <w:sz w:val="24"/>
              </w:rPr>
              <w:t>0.77%</w:t>
            </w:r>
          </w:p>
        </w:tc>
        <w:tc>
          <w:tcPr>
            <w:tcW w:w="1267" w:type="dxa"/>
            <w:vAlign w:val="center"/>
          </w:tcPr>
          <w:p w:rsidR="00B20989" w:rsidRDefault="0087548B">
            <w:pPr>
              <w:jc w:val="center"/>
            </w:pPr>
            <w:r>
              <w:rPr>
                <w:color w:val="000000"/>
                <w:sz w:val="24"/>
              </w:rPr>
              <w:t>0.59%</w:t>
            </w:r>
          </w:p>
        </w:tc>
        <w:tc>
          <w:tcPr>
            <w:tcW w:w="1267" w:type="dxa"/>
            <w:vAlign w:val="center"/>
          </w:tcPr>
          <w:p w:rsidR="00B20989" w:rsidRDefault="0087548B">
            <w:pPr>
              <w:jc w:val="center"/>
            </w:pPr>
            <w:r>
              <w:rPr>
                <w:color w:val="000000"/>
                <w:sz w:val="24"/>
              </w:rPr>
              <w:t>-4.52%</w:t>
            </w:r>
          </w:p>
        </w:tc>
        <w:tc>
          <w:tcPr>
            <w:tcW w:w="1267" w:type="dxa"/>
            <w:vAlign w:val="center"/>
          </w:tcPr>
          <w:p w:rsidR="00B20989" w:rsidRDefault="0087548B">
            <w:pPr>
              <w:jc w:val="center"/>
            </w:pPr>
            <w:r>
              <w:rPr>
                <w:color w:val="000000"/>
                <w:sz w:val="24"/>
              </w:rPr>
              <w:t>0.57%</w:t>
            </w:r>
          </w:p>
        </w:tc>
        <w:tc>
          <w:tcPr>
            <w:tcW w:w="1267" w:type="dxa"/>
            <w:vAlign w:val="center"/>
          </w:tcPr>
          <w:p w:rsidR="00B20989" w:rsidRDefault="0087548B">
            <w:pPr>
              <w:jc w:val="center"/>
            </w:pPr>
            <w:r>
              <w:rPr>
                <w:color w:val="000000"/>
                <w:sz w:val="24"/>
              </w:rPr>
              <w:t>5.29%</w:t>
            </w:r>
          </w:p>
        </w:tc>
        <w:tc>
          <w:tcPr>
            <w:tcW w:w="1267" w:type="dxa"/>
            <w:vAlign w:val="center"/>
          </w:tcPr>
          <w:p w:rsidR="00B20989" w:rsidRDefault="0087548B">
            <w:pPr>
              <w:jc w:val="center"/>
            </w:pPr>
            <w:r>
              <w:rPr>
                <w:color w:val="000000"/>
                <w:sz w:val="24"/>
              </w:rPr>
              <w:t>0.02%</w:t>
            </w:r>
          </w:p>
        </w:tc>
      </w:tr>
    </w:tbl>
    <w:p w:rsidR="009238DB" w:rsidRPr="007F52FA" w:rsidRDefault="009238DB" w:rsidP="007C14DF">
      <w:pPr>
        <w:autoSpaceDE w:val="0"/>
        <w:autoSpaceDN w:val="0"/>
        <w:adjustRightInd w:val="0"/>
        <w:spacing w:before="29" w:line="288" w:lineRule="auto"/>
        <w:ind w:left="15"/>
        <w:jc w:val="left"/>
        <w:rPr>
          <w:rFonts w:eastAsiaTheme="minorEastAsia"/>
          <w:b/>
          <w:color w:val="000000"/>
          <w:kern w:val="0"/>
          <w:sz w:val="24"/>
        </w:rPr>
      </w:pPr>
    </w:p>
    <w:p w:rsidR="009238DB" w:rsidRPr="007F52FA" w:rsidRDefault="009238DB" w:rsidP="007C14DF">
      <w:pPr>
        <w:spacing w:before="29" w:line="288" w:lineRule="auto"/>
        <w:rPr>
          <w:b/>
          <w:color w:val="000000"/>
          <w:kern w:val="0"/>
          <w:sz w:val="24"/>
        </w:rPr>
      </w:pPr>
      <w:r w:rsidRPr="007F52FA">
        <w:rPr>
          <w:b/>
          <w:color w:val="000000"/>
          <w:kern w:val="0"/>
          <w:sz w:val="24"/>
        </w:rPr>
        <w:t>3.2.2</w:t>
      </w:r>
      <w:r w:rsidRPr="007F52FA">
        <w:rPr>
          <w:b/>
          <w:color w:val="000000"/>
          <w:kern w:val="0"/>
          <w:sz w:val="24"/>
        </w:rPr>
        <w:t xml:space="preserve">　</w:t>
      </w:r>
      <w:r w:rsidR="00C02900" w:rsidRPr="000B2C04">
        <w:rPr>
          <w:rFonts w:hint="eastAsia"/>
          <w:b/>
          <w:color w:val="000000"/>
          <w:kern w:val="0"/>
          <w:sz w:val="24"/>
        </w:rPr>
        <w:t>自基金合同生效以来</w:t>
      </w:r>
      <w:r w:rsidR="00BF57BE" w:rsidRPr="007F52FA">
        <w:rPr>
          <w:b/>
          <w:color w:val="000000"/>
          <w:sz w:val="24"/>
        </w:rPr>
        <w:t>基金</w:t>
      </w:r>
      <w:r w:rsidR="0001164A" w:rsidRPr="007F52FA">
        <w:rPr>
          <w:b/>
          <w:color w:val="000000"/>
          <w:sz w:val="24"/>
        </w:rPr>
        <w:t>份额</w:t>
      </w:r>
      <w:r w:rsidR="00BF57BE" w:rsidRPr="007F52FA">
        <w:rPr>
          <w:b/>
          <w:color w:val="000000"/>
          <w:sz w:val="24"/>
        </w:rPr>
        <w:t>累计净值增长率变动及其与同期业绩比较基准收益率变动的比较</w:t>
      </w:r>
    </w:p>
    <w:p w:rsidR="009A045B" w:rsidRPr="007F52FA" w:rsidRDefault="009A045B" w:rsidP="007C14DF">
      <w:pPr>
        <w:spacing w:before="29" w:line="288" w:lineRule="auto"/>
        <w:jc w:val="center"/>
        <w:rPr>
          <w:color w:val="000000"/>
          <w:sz w:val="24"/>
        </w:rPr>
      </w:pPr>
      <w:r w:rsidRPr="007F52FA">
        <w:rPr>
          <w:color w:val="000000"/>
          <w:sz w:val="24"/>
        </w:rPr>
        <w:t>交银施罗德卓越回报灵活配置混合型证券投资基金</w:t>
      </w:r>
    </w:p>
    <w:p w:rsidR="00022396" w:rsidRPr="007F52FA" w:rsidRDefault="0001164A" w:rsidP="007C14DF">
      <w:pPr>
        <w:pStyle w:val="a5"/>
        <w:snapToGrid w:val="0"/>
        <w:spacing w:before="29" w:line="288" w:lineRule="auto"/>
        <w:jc w:val="center"/>
        <w:rPr>
          <w:rFonts w:ascii="Times New Roman" w:hAnsi="Times New Roman"/>
          <w:color w:val="000000"/>
          <w:sz w:val="24"/>
          <w:szCs w:val="24"/>
        </w:rPr>
      </w:pPr>
      <w:r w:rsidRPr="007F52FA">
        <w:rPr>
          <w:rFonts w:ascii="Times New Roman" w:hAnsi="Times New Roman"/>
          <w:color w:val="000000"/>
          <w:sz w:val="24"/>
          <w:szCs w:val="24"/>
        </w:rPr>
        <w:t>份额</w:t>
      </w:r>
      <w:r w:rsidR="00022396" w:rsidRPr="007F52FA">
        <w:rPr>
          <w:rFonts w:ascii="Times New Roman" w:hAnsi="Times New Roman"/>
          <w:color w:val="000000"/>
          <w:sz w:val="24"/>
          <w:szCs w:val="24"/>
        </w:rPr>
        <w:t>累计净值增长率与业绩比较基准收益率的历史走势对比图</w:t>
      </w:r>
    </w:p>
    <w:p w:rsidR="009A045B" w:rsidRPr="007F52FA" w:rsidRDefault="00CC1636" w:rsidP="007C14DF">
      <w:pPr>
        <w:pStyle w:val="a5"/>
        <w:snapToGrid w:val="0"/>
        <w:spacing w:before="29" w:line="288" w:lineRule="auto"/>
        <w:ind w:firstLine="480"/>
        <w:jc w:val="center"/>
        <w:rPr>
          <w:rFonts w:ascii="Times New Roman" w:hAnsi="Times New Roman"/>
          <w:sz w:val="24"/>
          <w:szCs w:val="24"/>
        </w:rPr>
      </w:pPr>
      <w:r w:rsidRPr="007F52FA">
        <w:rPr>
          <w:rFonts w:ascii="Times New Roman" w:hAnsi="Times New Roman"/>
          <w:sz w:val="24"/>
          <w:szCs w:val="24"/>
        </w:rPr>
        <w:t>（</w:t>
      </w:r>
      <w:r w:rsidR="00D04410" w:rsidRPr="007F52FA">
        <w:rPr>
          <w:rFonts w:ascii="Times New Roman" w:hAnsi="Times New Roman"/>
          <w:sz w:val="24"/>
          <w:szCs w:val="24"/>
        </w:rPr>
        <w:t>2016</w:t>
      </w:r>
      <w:r w:rsidR="00D04410" w:rsidRPr="007F52FA">
        <w:rPr>
          <w:rFonts w:ascii="Times New Roman" w:hAnsi="Times New Roman"/>
          <w:sz w:val="24"/>
          <w:szCs w:val="24"/>
        </w:rPr>
        <w:t>年</w:t>
      </w:r>
      <w:r w:rsidR="00D04410" w:rsidRPr="007F52FA">
        <w:rPr>
          <w:rFonts w:ascii="Times New Roman" w:hAnsi="Times New Roman"/>
          <w:sz w:val="24"/>
          <w:szCs w:val="24"/>
        </w:rPr>
        <w:t>2</w:t>
      </w:r>
      <w:r w:rsidR="00D04410" w:rsidRPr="007F52FA">
        <w:rPr>
          <w:rFonts w:ascii="Times New Roman" w:hAnsi="Times New Roman"/>
          <w:sz w:val="24"/>
          <w:szCs w:val="24"/>
        </w:rPr>
        <w:t>月</w:t>
      </w:r>
      <w:r w:rsidR="00D04410" w:rsidRPr="007F52FA">
        <w:rPr>
          <w:rFonts w:ascii="Times New Roman" w:hAnsi="Times New Roman"/>
          <w:sz w:val="24"/>
          <w:szCs w:val="24"/>
        </w:rPr>
        <w:t>17</w:t>
      </w:r>
      <w:r w:rsidR="00D04410" w:rsidRPr="007F52FA">
        <w:rPr>
          <w:rFonts w:ascii="Times New Roman" w:hAnsi="Times New Roman"/>
          <w:sz w:val="24"/>
          <w:szCs w:val="24"/>
        </w:rPr>
        <w:t>日</w:t>
      </w:r>
      <w:r w:rsidR="009A045B" w:rsidRPr="007F52FA">
        <w:rPr>
          <w:rFonts w:ascii="Times New Roman" w:hAnsi="Times New Roman"/>
          <w:sz w:val="24"/>
          <w:szCs w:val="24"/>
        </w:rPr>
        <w:t>至</w:t>
      </w:r>
      <w:r w:rsidRPr="007F52FA">
        <w:rPr>
          <w:rFonts w:ascii="Times New Roman" w:hAnsi="Times New Roman"/>
          <w:sz w:val="24"/>
          <w:szCs w:val="24"/>
        </w:rPr>
        <w:t>2018</w:t>
      </w:r>
      <w:r w:rsidRPr="007F52FA">
        <w:rPr>
          <w:rFonts w:ascii="Times New Roman" w:hAnsi="Times New Roman"/>
          <w:sz w:val="24"/>
          <w:szCs w:val="24"/>
        </w:rPr>
        <w:t>年</w:t>
      </w:r>
      <w:r w:rsidRPr="007F52FA">
        <w:rPr>
          <w:rFonts w:ascii="Times New Roman" w:hAnsi="Times New Roman"/>
          <w:sz w:val="24"/>
          <w:szCs w:val="24"/>
        </w:rPr>
        <w:t>6</w:t>
      </w:r>
      <w:r w:rsidRPr="007F52FA">
        <w:rPr>
          <w:rFonts w:ascii="Times New Roman" w:hAnsi="Times New Roman"/>
          <w:sz w:val="24"/>
          <w:szCs w:val="24"/>
        </w:rPr>
        <w:t>月</w:t>
      </w:r>
      <w:r w:rsidRPr="007F52FA">
        <w:rPr>
          <w:rFonts w:ascii="Times New Roman" w:hAnsi="Times New Roman"/>
          <w:sz w:val="24"/>
          <w:szCs w:val="24"/>
        </w:rPr>
        <w:t>30</w:t>
      </w:r>
      <w:r w:rsidRPr="007F52FA">
        <w:rPr>
          <w:rFonts w:ascii="Times New Roman" w:hAnsi="Times New Roman"/>
          <w:sz w:val="24"/>
          <w:szCs w:val="24"/>
        </w:rPr>
        <w:t>日）</w:t>
      </w:r>
    </w:p>
    <w:p w:rsidR="009238DB" w:rsidRPr="007F52FA" w:rsidRDefault="009238DB" w:rsidP="007C14DF">
      <w:pPr>
        <w:snapToGrid w:val="0"/>
        <w:spacing w:before="29" w:line="288" w:lineRule="auto"/>
        <w:rPr>
          <w:color w:val="000000"/>
          <w:sz w:val="24"/>
        </w:rPr>
      </w:pPr>
      <w:r w:rsidRPr="007F52FA">
        <w:rPr>
          <w:color w:val="000000"/>
          <w:sz w:val="24"/>
        </w:rPr>
        <w:t>1</w:t>
      </w:r>
      <w:r w:rsidRPr="007F52FA">
        <w:rPr>
          <w:color w:val="000000"/>
          <w:sz w:val="24"/>
        </w:rPr>
        <w:t>．</w:t>
      </w:r>
      <w:r w:rsidR="0042785F" w:rsidRPr="007F52FA">
        <w:rPr>
          <w:color w:val="000000"/>
          <w:sz w:val="24"/>
        </w:rPr>
        <w:t>交银卓越回报灵活配置混合</w:t>
      </w:r>
      <w:r w:rsidR="0042785F" w:rsidRPr="007F52FA">
        <w:rPr>
          <w:color w:val="000000"/>
          <w:sz w:val="24"/>
        </w:rPr>
        <w:t>A</w:t>
      </w:r>
    </w:p>
    <w:p w:rsidR="00807B81" w:rsidRPr="007F52FA" w:rsidRDefault="00562709" w:rsidP="007C14DF">
      <w:pPr>
        <w:pStyle w:val="20"/>
        <w:spacing w:before="29" w:line="288" w:lineRule="auto"/>
        <w:ind w:firstLineChars="0" w:firstLine="0"/>
        <w:jc w:val="center"/>
        <w:rPr>
          <w:rFonts w:ascii="Times New Roman" w:eastAsiaTheme="minorEastAsia" w:hAnsi="Times New Roman"/>
          <w:color w:val="000000"/>
        </w:rPr>
      </w:pPr>
      <w:r w:rsidRPr="007F52FA">
        <w:rPr>
          <w:rFonts w:ascii="Times New Roman" w:eastAsiaTheme="minorEastAsia" w:hAnsi="Times New Roman"/>
          <w:noProof/>
          <w:color w:val="000000"/>
        </w:rPr>
        <w:drawing>
          <wp:inline distT="0" distB="0" distL="0" distR="0">
            <wp:extent cx="5731510" cy="3356610"/>
            <wp:effectExtent l="19050" t="0" r="2540" b="0"/>
            <wp:docPr id="4" name="图片 3"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4" cstate="print"/>
                    <a:stretch>
                      <a:fillRect/>
                    </a:stretch>
                  </pic:blipFill>
                  <pic:spPr>
                    <a:xfrm>
                      <a:off x="0" y="0"/>
                      <a:ext cx="5731510" cy="3356610"/>
                    </a:xfrm>
                    <a:prstGeom prst="rect">
                      <a:avLst/>
                    </a:prstGeom>
                  </pic:spPr>
                </pic:pic>
              </a:graphicData>
            </a:graphic>
          </wp:inline>
        </w:drawing>
      </w:r>
    </w:p>
    <w:p w:rsidR="009238DB" w:rsidRPr="007F52FA" w:rsidRDefault="0042785F" w:rsidP="007C14DF">
      <w:pPr>
        <w:spacing w:before="29" w:line="288" w:lineRule="auto"/>
        <w:ind w:firstLineChars="200" w:firstLine="480"/>
        <w:rPr>
          <w:color w:val="000000"/>
          <w:sz w:val="24"/>
        </w:rPr>
      </w:pPr>
      <w:r w:rsidRPr="007F52FA">
        <w:rPr>
          <w:color w:val="000000"/>
          <w:sz w:val="24"/>
        </w:rPr>
        <w:t>注：图示日期为</w:t>
      </w:r>
      <w:r w:rsidRPr="007F52FA">
        <w:rPr>
          <w:color w:val="000000"/>
          <w:sz w:val="24"/>
        </w:rPr>
        <w:t>2016</w:t>
      </w:r>
      <w:r w:rsidRPr="007F52FA">
        <w:rPr>
          <w:color w:val="000000"/>
          <w:sz w:val="24"/>
        </w:rPr>
        <w:t>年</w:t>
      </w:r>
      <w:r w:rsidRPr="007F52FA">
        <w:rPr>
          <w:color w:val="000000"/>
          <w:sz w:val="24"/>
        </w:rPr>
        <w:t>2</w:t>
      </w:r>
      <w:r w:rsidRPr="007F52FA">
        <w:rPr>
          <w:color w:val="000000"/>
          <w:sz w:val="24"/>
        </w:rPr>
        <w:t>月</w:t>
      </w:r>
      <w:r w:rsidRPr="007F52FA">
        <w:rPr>
          <w:color w:val="000000"/>
          <w:sz w:val="24"/>
        </w:rPr>
        <w:t>17</w:t>
      </w:r>
      <w:r w:rsidRPr="007F52FA">
        <w:rPr>
          <w:color w:val="000000"/>
          <w:sz w:val="24"/>
        </w:rPr>
        <w:t>日至</w:t>
      </w:r>
      <w:r w:rsidRPr="007F52FA">
        <w:rPr>
          <w:color w:val="000000"/>
          <w:sz w:val="24"/>
        </w:rPr>
        <w:t>2018</w:t>
      </w:r>
      <w:r w:rsidRPr="007F52FA">
        <w:rPr>
          <w:color w:val="000000"/>
          <w:sz w:val="24"/>
        </w:rPr>
        <w:t>年</w:t>
      </w:r>
      <w:r w:rsidRPr="007F52FA">
        <w:rPr>
          <w:color w:val="000000"/>
          <w:sz w:val="24"/>
        </w:rPr>
        <w:t>6</w:t>
      </w:r>
      <w:r w:rsidRPr="007F52FA">
        <w:rPr>
          <w:color w:val="000000"/>
          <w:sz w:val="24"/>
        </w:rPr>
        <w:t>月</w:t>
      </w:r>
      <w:r w:rsidRPr="007F52FA">
        <w:rPr>
          <w:color w:val="000000"/>
          <w:sz w:val="24"/>
        </w:rPr>
        <w:t>30</w:t>
      </w:r>
      <w:r w:rsidRPr="007F52FA">
        <w:rPr>
          <w:color w:val="000000"/>
          <w:sz w:val="24"/>
        </w:rPr>
        <w:t>日。本基金建仓期为自基金合同生效日起的</w:t>
      </w:r>
      <w:r w:rsidRPr="007F52FA">
        <w:rPr>
          <w:color w:val="000000"/>
          <w:sz w:val="24"/>
        </w:rPr>
        <w:t>6</w:t>
      </w:r>
      <w:r w:rsidRPr="007F52FA">
        <w:rPr>
          <w:color w:val="000000"/>
          <w:sz w:val="24"/>
        </w:rPr>
        <w:t>个月。截至建仓期结束，本基金各项资产配置比例符合基金合同及招募说明书有关投资比例的约定。</w:t>
      </w:r>
    </w:p>
    <w:p w:rsidR="0042785F" w:rsidRPr="007F52FA" w:rsidRDefault="0042785F" w:rsidP="007C14DF">
      <w:pPr>
        <w:pStyle w:val="20"/>
        <w:spacing w:before="29" w:line="288" w:lineRule="auto"/>
        <w:ind w:firstLineChars="0" w:firstLine="0"/>
        <w:rPr>
          <w:rFonts w:ascii="Times New Roman" w:hAnsi="Times New Roman"/>
          <w:color w:val="000000"/>
        </w:rPr>
      </w:pPr>
    </w:p>
    <w:p w:rsidR="009238DB" w:rsidRPr="007F52FA" w:rsidRDefault="009238DB" w:rsidP="007C14DF">
      <w:pPr>
        <w:snapToGrid w:val="0"/>
        <w:spacing w:before="29" w:line="288" w:lineRule="auto"/>
        <w:rPr>
          <w:color w:val="000000"/>
          <w:sz w:val="24"/>
        </w:rPr>
      </w:pPr>
      <w:r w:rsidRPr="007F52FA">
        <w:rPr>
          <w:color w:val="000000"/>
          <w:sz w:val="24"/>
        </w:rPr>
        <w:lastRenderedPageBreak/>
        <w:t>2</w:t>
      </w:r>
      <w:r w:rsidRPr="007F52FA">
        <w:rPr>
          <w:color w:val="000000"/>
          <w:sz w:val="24"/>
        </w:rPr>
        <w:t>．</w:t>
      </w:r>
      <w:r w:rsidR="00FE7FBD" w:rsidRPr="007F52FA">
        <w:rPr>
          <w:color w:val="000000"/>
          <w:sz w:val="24"/>
        </w:rPr>
        <w:t>交银卓越回报灵活配置混合</w:t>
      </w:r>
      <w:r w:rsidR="00FE7FBD" w:rsidRPr="007F52FA">
        <w:rPr>
          <w:color w:val="000000"/>
          <w:sz w:val="24"/>
        </w:rPr>
        <w:t>C</w:t>
      </w:r>
    </w:p>
    <w:p w:rsidR="00D12D04" w:rsidRPr="007F52FA" w:rsidRDefault="00562709" w:rsidP="007C14DF">
      <w:pPr>
        <w:pStyle w:val="20"/>
        <w:spacing w:before="29" w:line="288" w:lineRule="auto"/>
        <w:ind w:firstLineChars="0" w:firstLine="0"/>
        <w:jc w:val="center"/>
        <w:rPr>
          <w:rFonts w:ascii="Times New Roman" w:eastAsiaTheme="minorEastAsia" w:hAnsi="Times New Roman"/>
          <w:color w:val="000000"/>
        </w:rPr>
      </w:pPr>
      <w:r w:rsidRPr="007F52FA">
        <w:rPr>
          <w:rFonts w:ascii="Times New Roman" w:eastAsiaTheme="minorEastAsia" w:hAnsi="Times New Roman"/>
          <w:noProof/>
          <w:color w:val="000000"/>
        </w:rPr>
        <w:drawing>
          <wp:inline distT="0" distB="0" distL="0" distR="0">
            <wp:extent cx="5731510" cy="3356610"/>
            <wp:effectExtent l="19050" t="0" r="2540" b="0"/>
            <wp:docPr id="5" name="图片 4" descr="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r:embed="rId15" cstate="print"/>
                    <a:stretch>
                      <a:fillRect/>
                    </a:stretch>
                  </pic:blipFill>
                  <pic:spPr>
                    <a:xfrm>
                      <a:off x="0" y="0"/>
                      <a:ext cx="5731510" cy="3356610"/>
                    </a:xfrm>
                    <a:prstGeom prst="rect">
                      <a:avLst/>
                    </a:prstGeom>
                  </pic:spPr>
                </pic:pic>
              </a:graphicData>
            </a:graphic>
          </wp:inline>
        </w:drawing>
      </w:r>
    </w:p>
    <w:p w:rsidR="0042785F" w:rsidRPr="007F52FA" w:rsidRDefault="00FE7FBD" w:rsidP="007C14DF">
      <w:pPr>
        <w:spacing w:before="29" w:line="288" w:lineRule="auto"/>
        <w:ind w:firstLineChars="200" w:firstLine="480"/>
        <w:rPr>
          <w:color w:val="000000"/>
          <w:sz w:val="24"/>
        </w:rPr>
      </w:pPr>
      <w:r w:rsidRPr="007F52FA">
        <w:rPr>
          <w:color w:val="000000"/>
          <w:sz w:val="24"/>
        </w:rPr>
        <w:t>注：本基金自</w:t>
      </w:r>
      <w:r w:rsidRPr="007F52FA">
        <w:rPr>
          <w:color w:val="000000"/>
          <w:sz w:val="24"/>
        </w:rPr>
        <w:t>2016</w:t>
      </w:r>
      <w:r w:rsidRPr="007F52FA">
        <w:rPr>
          <w:color w:val="000000"/>
          <w:sz w:val="24"/>
        </w:rPr>
        <w:t>年</w:t>
      </w:r>
      <w:r w:rsidRPr="007F52FA">
        <w:rPr>
          <w:color w:val="000000"/>
          <w:sz w:val="24"/>
        </w:rPr>
        <w:t>12</w:t>
      </w:r>
      <w:r w:rsidRPr="007F52FA">
        <w:rPr>
          <w:color w:val="000000"/>
          <w:sz w:val="24"/>
        </w:rPr>
        <w:t>月</w:t>
      </w:r>
      <w:r w:rsidRPr="007F52FA">
        <w:rPr>
          <w:color w:val="000000"/>
          <w:sz w:val="24"/>
        </w:rPr>
        <w:t>27</w:t>
      </w:r>
      <w:r w:rsidRPr="007F52FA">
        <w:rPr>
          <w:color w:val="000000"/>
          <w:sz w:val="24"/>
        </w:rPr>
        <w:t>日起增加</w:t>
      </w:r>
      <w:r w:rsidRPr="007F52FA">
        <w:rPr>
          <w:color w:val="000000"/>
          <w:sz w:val="24"/>
        </w:rPr>
        <w:t>C</w:t>
      </w:r>
      <w:r w:rsidRPr="007F52FA">
        <w:rPr>
          <w:color w:val="000000"/>
          <w:sz w:val="24"/>
        </w:rPr>
        <w:t>类份额，投资者提交的申购申请于</w:t>
      </w:r>
      <w:r w:rsidRPr="007F52FA">
        <w:rPr>
          <w:color w:val="000000"/>
          <w:sz w:val="24"/>
        </w:rPr>
        <w:t>2016</w:t>
      </w:r>
      <w:r w:rsidRPr="007F52FA">
        <w:rPr>
          <w:color w:val="000000"/>
          <w:sz w:val="24"/>
        </w:rPr>
        <w:t>年</w:t>
      </w:r>
      <w:r w:rsidRPr="007F52FA">
        <w:rPr>
          <w:color w:val="000000"/>
          <w:sz w:val="24"/>
        </w:rPr>
        <w:t>12</w:t>
      </w:r>
      <w:r w:rsidRPr="007F52FA">
        <w:rPr>
          <w:color w:val="000000"/>
          <w:sz w:val="24"/>
        </w:rPr>
        <w:t>月</w:t>
      </w:r>
      <w:r w:rsidRPr="007F52FA">
        <w:rPr>
          <w:color w:val="000000"/>
          <w:sz w:val="24"/>
        </w:rPr>
        <w:t>29</w:t>
      </w:r>
      <w:r w:rsidRPr="007F52FA">
        <w:rPr>
          <w:color w:val="000000"/>
          <w:sz w:val="24"/>
        </w:rPr>
        <w:t>日被确认并将有效份额登记在册。图示日期为</w:t>
      </w:r>
      <w:r w:rsidRPr="007F52FA">
        <w:rPr>
          <w:color w:val="000000"/>
          <w:sz w:val="24"/>
        </w:rPr>
        <w:t>2016</w:t>
      </w:r>
      <w:r w:rsidRPr="007F52FA">
        <w:rPr>
          <w:color w:val="000000"/>
          <w:sz w:val="24"/>
        </w:rPr>
        <w:t>年</w:t>
      </w:r>
      <w:r w:rsidRPr="007F52FA">
        <w:rPr>
          <w:color w:val="000000"/>
          <w:sz w:val="24"/>
        </w:rPr>
        <w:t>12</w:t>
      </w:r>
      <w:r w:rsidRPr="007F52FA">
        <w:rPr>
          <w:color w:val="000000"/>
          <w:sz w:val="24"/>
        </w:rPr>
        <w:t>月</w:t>
      </w:r>
      <w:r w:rsidRPr="007F52FA">
        <w:rPr>
          <w:color w:val="000000"/>
          <w:sz w:val="24"/>
        </w:rPr>
        <w:t>29</w:t>
      </w:r>
      <w:r w:rsidRPr="007F52FA">
        <w:rPr>
          <w:color w:val="000000"/>
          <w:sz w:val="24"/>
        </w:rPr>
        <w:t>日至</w:t>
      </w:r>
      <w:r w:rsidRPr="007F52FA">
        <w:rPr>
          <w:color w:val="000000"/>
          <w:sz w:val="24"/>
        </w:rPr>
        <w:t>2018</w:t>
      </w:r>
      <w:r w:rsidRPr="007F52FA">
        <w:rPr>
          <w:color w:val="000000"/>
          <w:sz w:val="24"/>
        </w:rPr>
        <w:t>年</w:t>
      </w:r>
      <w:r w:rsidRPr="007F52FA">
        <w:rPr>
          <w:color w:val="000000"/>
          <w:sz w:val="24"/>
        </w:rPr>
        <w:t>6</w:t>
      </w:r>
      <w:r w:rsidRPr="007F52FA">
        <w:rPr>
          <w:color w:val="000000"/>
          <w:sz w:val="24"/>
        </w:rPr>
        <w:t>月</w:t>
      </w:r>
      <w:r w:rsidRPr="007F52FA">
        <w:rPr>
          <w:color w:val="000000"/>
          <w:sz w:val="24"/>
        </w:rPr>
        <w:t>30</w:t>
      </w:r>
      <w:r w:rsidRPr="007F52FA">
        <w:rPr>
          <w:color w:val="000000"/>
          <w:sz w:val="24"/>
        </w:rPr>
        <w:t>日。</w:t>
      </w:r>
    </w:p>
    <w:p w:rsidR="006C5BC9" w:rsidRPr="007F52FA" w:rsidRDefault="006C5BC9" w:rsidP="007C14DF">
      <w:pPr>
        <w:tabs>
          <w:tab w:val="left" w:pos="1800"/>
        </w:tabs>
        <w:spacing w:before="29" w:line="288" w:lineRule="auto"/>
        <w:rPr>
          <w:rFonts w:eastAsiaTheme="minorEastAsia" w:hint="eastAsia"/>
          <w:color w:val="000000"/>
          <w:sz w:val="24"/>
        </w:rPr>
      </w:pPr>
    </w:p>
    <w:p w:rsidR="009238DB" w:rsidRPr="007F52FA" w:rsidRDefault="009238DB" w:rsidP="00F103C8">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 xml:space="preserve">§4  </w:t>
      </w:r>
      <w:r w:rsidRPr="007F52FA">
        <w:rPr>
          <w:rFonts w:eastAsiaTheme="minorEastAsia"/>
          <w:color w:val="000000"/>
          <w:kern w:val="0"/>
          <w:sz w:val="24"/>
          <w:szCs w:val="24"/>
        </w:rPr>
        <w:t>管理人报告</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4.1 </w:t>
      </w:r>
      <w:r w:rsidRPr="007F52FA">
        <w:rPr>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46"/>
        <w:gridCol w:w="924"/>
        <w:gridCol w:w="1202"/>
        <w:gridCol w:w="1300"/>
        <w:gridCol w:w="1245"/>
        <w:gridCol w:w="3251"/>
      </w:tblGrid>
      <w:tr w:rsidR="00C41617" w:rsidRPr="007F52FA" w:rsidTr="00370FE2">
        <w:trPr>
          <w:jc w:val="center"/>
        </w:trPr>
        <w:tc>
          <w:tcPr>
            <w:tcW w:w="952"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姓名</w:t>
            </w:r>
          </w:p>
        </w:tc>
        <w:tc>
          <w:tcPr>
            <w:tcW w:w="930"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职务</w:t>
            </w:r>
          </w:p>
        </w:tc>
        <w:tc>
          <w:tcPr>
            <w:tcW w:w="2519" w:type="dxa"/>
            <w:gridSpan w:val="2"/>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任本基金的基金经理期限</w:t>
            </w:r>
          </w:p>
        </w:tc>
        <w:tc>
          <w:tcPr>
            <w:tcW w:w="1254"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证券从业年限</w:t>
            </w:r>
          </w:p>
        </w:tc>
        <w:tc>
          <w:tcPr>
            <w:tcW w:w="3276"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说明</w:t>
            </w:r>
          </w:p>
        </w:tc>
      </w:tr>
      <w:tr w:rsidR="00C41617" w:rsidRPr="007F52FA" w:rsidTr="00370FE2">
        <w:trPr>
          <w:jc w:val="center"/>
        </w:trPr>
        <w:tc>
          <w:tcPr>
            <w:tcW w:w="952"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930"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1210"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任职日期</w:t>
            </w:r>
          </w:p>
        </w:tc>
        <w:tc>
          <w:tcPr>
            <w:tcW w:w="1309"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离任日期</w:t>
            </w:r>
          </w:p>
        </w:tc>
        <w:tc>
          <w:tcPr>
            <w:tcW w:w="1254"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3276"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r>
      <w:tr w:rsidR="00B20989">
        <w:trPr>
          <w:jc w:val="center"/>
        </w:trPr>
        <w:tc>
          <w:tcPr>
            <w:tcW w:w="946" w:type="dxa"/>
            <w:vAlign w:val="center"/>
          </w:tcPr>
          <w:p w:rsidR="00B20989" w:rsidRDefault="0087548B">
            <w:pPr>
              <w:jc w:val="center"/>
            </w:pPr>
            <w:r>
              <w:rPr>
                <w:color w:val="000000"/>
                <w:sz w:val="24"/>
              </w:rPr>
              <w:t>李娜</w:t>
            </w:r>
          </w:p>
        </w:tc>
        <w:tc>
          <w:tcPr>
            <w:tcW w:w="924" w:type="dxa"/>
            <w:vAlign w:val="center"/>
          </w:tcPr>
          <w:p w:rsidR="00B20989" w:rsidRDefault="0087548B">
            <w:pPr>
              <w:jc w:val="center"/>
            </w:pPr>
            <w:r>
              <w:rPr>
                <w:color w:val="000000"/>
                <w:sz w:val="24"/>
              </w:rPr>
              <w:t>交银周期回报灵活配置混合、交银新回报灵活配置混合、交</w:t>
            </w:r>
            <w:r>
              <w:rPr>
                <w:color w:val="000000"/>
                <w:sz w:val="24"/>
              </w:rPr>
              <w:lastRenderedPageBreak/>
              <w:t>银多策略回报灵活配置混合、交银卓越回报灵活配置混合、交银优选回报灵活配置混合、交银优择回报灵活配置混合、交银领先回报灵活配置混合、交银瑞鑫定期开放灵活配置混合、交银瑞景定期开放灵活配置混合、</w:t>
            </w:r>
            <w:r>
              <w:rPr>
                <w:color w:val="000000"/>
                <w:sz w:val="24"/>
              </w:rPr>
              <w:lastRenderedPageBreak/>
              <w:t>交银启通灵活配置混合、交银瑞利定期开放灵活配置混合的基金经理</w:t>
            </w:r>
          </w:p>
        </w:tc>
        <w:tc>
          <w:tcPr>
            <w:tcW w:w="1202" w:type="dxa"/>
            <w:vAlign w:val="center"/>
          </w:tcPr>
          <w:p w:rsidR="00B20989" w:rsidRDefault="0087548B">
            <w:pPr>
              <w:jc w:val="center"/>
            </w:pPr>
            <w:r>
              <w:rPr>
                <w:color w:val="000000"/>
                <w:sz w:val="24"/>
              </w:rPr>
              <w:lastRenderedPageBreak/>
              <w:t>2016-02-17</w:t>
            </w:r>
          </w:p>
        </w:tc>
        <w:tc>
          <w:tcPr>
            <w:tcW w:w="1300" w:type="dxa"/>
            <w:vAlign w:val="center"/>
          </w:tcPr>
          <w:p w:rsidR="00B20989" w:rsidRDefault="0087548B">
            <w:pPr>
              <w:jc w:val="center"/>
            </w:pPr>
            <w:r>
              <w:rPr>
                <w:color w:val="000000"/>
                <w:sz w:val="24"/>
              </w:rPr>
              <w:t>-</w:t>
            </w:r>
          </w:p>
        </w:tc>
        <w:tc>
          <w:tcPr>
            <w:tcW w:w="1245" w:type="dxa"/>
            <w:vAlign w:val="center"/>
          </w:tcPr>
          <w:p w:rsidR="00B20989" w:rsidRDefault="0087548B">
            <w:pPr>
              <w:jc w:val="center"/>
            </w:pPr>
            <w:r>
              <w:rPr>
                <w:color w:val="000000"/>
                <w:sz w:val="24"/>
              </w:rPr>
              <w:t>8</w:t>
            </w:r>
            <w:r>
              <w:rPr>
                <w:color w:val="000000"/>
                <w:sz w:val="24"/>
              </w:rPr>
              <w:t>年</w:t>
            </w:r>
          </w:p>
        </w:tc>
        <w:tc>
          <w:tcPr>
            <w:tcW w:w="3251" w:type="dxa"/>
            <w:vAlign w:val="center"/>
          </w:tcPr>
          <w:p w:rsidR="00B20989" w:rsidRDefault="0087548B">
            <w:r>
              <w:rPr>
                <w:color w:val="000000"/>
                <w:sz w:val="24"/>
              </w:rPr>
              <w:t>李娜女士，美国宾夕法尼亚大学应用数学与计算科学硕士。历任国泰基金管理有限公司研究员。</w:t>
            </w:r>
            <w:r>
              <w:rPr>
                <w:color w:val="000000"/>
                <w:sz w:val="24"/>
              </w:rPr>
              <w:t>2012</w:t>
            </w:r>
            <w:r>
              <w:rPr>
                <w:color w:val="000000"/>
                <w:sz w:val="24"/>
              </w:rPr>
              <w:t>年加入交银施罗德基金管理有限公司，历任债券分析师、基金经理助理。</w:t>
            </w:r>
            <w:r>
              <w:rPr>
                <w:color w:val="000000"/>
                <w:sz w:val="24"/>
              </w:rPr>
              <w:t>2017</w:t>
            </w:r>
            <w:r>
              <w:rPr>
                <w:color w:val="000000"/>
                <w:sz w:val="24"/>
              </w:rPr>
              <w:t>年</w:t>
            </w:r>
            <w:r>
              <w:rPr>
                <w:color w:val="000000"/>
                <w:sz w:val="24"/>
              </w:rPr>
              <w:t>3</w:t>
            </w:r>
            <w:r>
              <w:rPr>
                <w:color w:val="000000"/>
                <w:sz w:val="24"/>
              </w:rPr>
              <w:t>月</w:t>
            </w:r>
            <w:r>
              <w:rPr>
                <w:color w:val="000000"/>
                <w:sz w:val="24"/>
              </w:rPr>
              <w:t>2</w:t>
            </w:r>
            <w:r>
              <w:rPr>
                <w:color w:val="000000"/>
                <w:sz w:val="24"/>
              </w:rPr>
              <w:t>日至</w:t>
            </w:r>
            <w:r>
              <w:rPr>
                <w:color w:val="000000"/>
                <w:sz w:val="24"/>
              </w:rPr>
              <w:t>2018</w:t>
            </w:r>
            <w:r>
              <w:rPr>
                <w:color w:val="000000"/>
                <w:sz w:val="24"/>
              </w:rPr>
              <w:t>年</w:t>
            </w:r>
            <w:r>
              <w:rPr>
                <w:color w:val="000000"/>
                <w:sz w:val="24"/>
              </w:rPr>
              <w:t>4</w:t>
            </w:r>
            <w:r>
              <w:rPr>
                <w:color w:val="000000"/>
                <w:sz w:val="24"/>
              </w:rPr>
              <w:t>月</w:t>
            </w:r>
            <w:r>
              <w:rPr>
                <w:color w:val="000000"/>
                <w:sz w:val="24"/>
              </w:rPr>
              <w:t>10</w:t>
            </w:r>
            <w:r>
              <w:rPr>
                <w:color w:val="000000"/>
                <w:sz w:val="24"/>
              </w:rPr>
              <w:t>日担任交银施罗德瑞安定期开放灵活配置混合型证券投资基金基金经理。</w:t>
            </w:r>
          </w:p>
        </w:tc>
      </w:tr>
    </w:tbl>
    <w:p w:rsidR="009238DB" w:rsidRPr="007F52FA" w:rsidRDefault="00062E1F" w:rsidP="007C14DF">
      <w:pPr>
        <w:autoSpaceDE w:val="0"/>
        <w:autoSpaceDN w:val="0"/>
        <w:adjustRightInd w:val="0"/>
        <w:spacing w:before="29" w:line="288" w:lineRule="auto"/>
        <w:jc w:val="left"/>
        <w:rPr>
          <w:color w:val="000000"/>
          <w:sz w:val="24"/>
        </w:rPr>
      </w:pPr>
      <w:r w:rsidRPr="007F52FA">
        <w:rPr>
          <w:color w:val="000000"/>
          <w:sz w:val="24"/>
        </w:rPr>
        <w:lastRenderedPageBreak/>
        <w:t>注：基金经理（或基金经理小组）期后变动（如有）敬请关注基金管理人发布的相关公告。</w:t>
      </w:r>
    </w:p>
    <w:p w:rsidR="005C7D00" w:rsidRPr="007F52FA" w:rsidRDefault="005C7D00" w:rsidP="007C14DF">
      <w:pPr>
        <w:pStyle w:val="20"/>
        <w:spacing w:before="29" w:line="288" w:lineRule="auto"/>
        <w:ind w:firstLineChars="0" w:firstLine="0"/>
        <w:rPr>
          <w:rFonts w:ascii="Times New Roman" w:eastAsiaTheme="minorEastAsia" w:hAnsi="Times New Roman"/>
          <w:color w:val="auto"/>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4.2</w:t>
      </w:r>
      <w:r w:rsidR="00FA7737" w:rsidRPr="007F52FA">
        <w:rPr>
          <w:b/>
          <w:color w:val="000000"/>
          <w:kern w:val="0"/>
          <w:sz w:val="24"/>
        </w:rPr>
        <w:t>管理人对报告期内本基金运作遵规守信情况的说明</w:t>
      </w:r>
    </w:p>
    <w:p w:rsidR="009238DB" w:rsidRPr="007F52FA" w:rsidRDefault="00323F25" w:rsidP="007C14DF">
      <w:pPr>
        <w:spacing w:before="29" w:line="288" w:lineRule="auto"/>
        <w:ind w:firstLineChars="200" w:firstLine="480"/>
        <w:rPr>
          <w:color w:val="000000"/>
          <w:sz w:val="24"/>
        </w:rPr>
      </w:pPr>
      <w:r w:rsidRPr="007F52FA">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9238DB" w:rsidRPr="007F52FA" w:rsidRDefault="009238DB" w:rsidP="007C14DF">
      <w:pPr>
        <w:autoSpaceDE w:val="0"/>
        <w:autoSpaceDN w:val="0"/>
        <w:adjustRightInd w:val="0"/>
        <w:spacing w:before="29" w:line="288" w:lineRule="auto"/>
        <w:jc w:val="left"/>
        <w:rPr>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4.3 </w:t>
      </w:r>
      <w:r w:rsidRPr="007F52FA">
        <w:rPr>
          <w:b/>
          <w:color w:val="000000"/>
          <w:kern w:val="0"/>
          <w:sz w:val="24"/>
        </w:rPr>
        <w:t>公平交易专项说明</w:t>
      </w:r>
    </w:p>
    <w:p w:rsidR="00D15733" w:rsidRPr="007F52FA" w:rsidRDefault="00D15733" w:rsidP="007C14DF">
      <w:pPr>
        <w:spacing w:before="29" w:line="288" w:lineRule="auto"/>
        <w:rPr>
          <w:sz w:val="24"/>
        </w:rPr>
      </w:pPr>
      <w:smartTag w:uri="urn:schemas-microsoft-com:office:smarttags" w:element="chsdate">
        <w:smartTagPr>
          <w:attr w:name="IsROCDate" w:val="False"/>
          <w:attr w:name="IsLunarDate" w:val="False"/>
          <w:attr w:name="Day" w:val="30"/>
          <w:attr w:name="Month" w:val="12"/>
          <w:attr w:name="Year" w:val="1899"/>
        </w:smartTagPr>
        <w:r w:rsidRPr="007F52FA">
          <w:rPr>
            <w:sz w:val="24"/>
          </w:rPr>
          <w:t>4.3.1</w:t>
        </w:r>
      </w:smartTag>
      <w:r w:rsidRPr="007F52FA">
        <w:rPr>
          <w:sz w:val="24"/>
        </w:rPr>
        <w:t>公平交易制度的执行情况</w:t>
      </w:r>
    </w:p>
    <w:p w:rsidR="00B20989" w:rsidRDefault="0087548B">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B20989" w:rsidRDefault="0087548B">
      <w:pPr>
        <w:spacing w:before="29" w:line="288" w:lineRule="auto"/>
        <w:ind w:firstLineChars="200" w:firstLine="480"/>
        <w:rPr>
          <w:color w:val="000000"/>
          <w:sz w:val="24"/>
        </w:rPr>
      </w:pPr>
      <w:r>
        <w:rPr>
          <w:color w:val="000000"/>
          <w:sz w:val="24"/>
        </w:rPr>
        <w:t>公司建立资源共享的投资研究信息平台，确保各投资组合在获得</w:t>
      </w:r>
      <w:r>
        <w:rPr>
          <w:color w:val="000000"/>
          <w:sz w:val="24"/>
        </w:rPr>
        <w:t>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B20989" w:rsidRDefault="0087548B">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w:t>
      </w:r>
      <w:r>
        <w:rPr>
          <w:color w:val="000000"/>
          <w:sz w:val="24"/>
        </w:rPr>
        <w:t>异以及不同时间窗口同向交易的交易价差进行分析，通过分析评估和信息披露来加强对公平交易过程和结果的监督。</w:t>
      </w:r>
    </w:p>
    <w:p w:rsidR="00D15733" w:rsidRPr="007F52FA" w:rsidRDefault="00323F25" w:rsidP="007C14DF">
      <w:pPr>
        <w:spacing w:before="29" w:line="288" w:lineRule="auto"/>
        <w:ind w:firstLineChars="200" w:firstLine="480"/>
        <w:rPr>
          <w:color w:val="000000"/>
          <w:sz w:val="24"/>
        </w:rPr>
      </w:pPr>
      <w:r w:rsidRPr="007F52FA">
        <w:rPr>
          <w:color w:val="000000"/>
          <w:sz w:val="24"/>
        </w:rPr>
        <w:lastRenderedPageBreak/>
        <w:t>报告期内本公司严格执行公平交易制度，公平对待旗下各投资组合，未发现任何违反公平交易的行为。</w:t>
      </w:r>
    </w:p>
    <w:p w:rsidR="00D15733" w:rsidRPr="007F52FA" w:rsidRDefault="00D15733" w:rsidP="007C14DF">
      <w:pPr>
        <w:spacing w:before="29" w:line="288" w:lineRule="auto"/>
        <w:rPr>
          <w:sz w:val="24"/>
        </w:rPr>
      </w:pPr>
      <w:r w:rsidRPr="007F52FA">
        <w:rPr>
          <w:sz w:val="24"/>
        </w:rPr>
        <w:t>4.3.</w:t>
      </w:r>
      <w:r w:rsidR="005B6047" w:rsidRPr="007F52FA">
        <w:rPr>
          <w:sz w:val="24"/>
        </w:rPr>
        <w:t>2</w:t>
      </w:r>
      <w:r w:rsidRPr="007F52FA">
        <w:rPr>
          <w:sz w:val="24"/>
        </w:rPr>
        <w:t>异常交易行为的专项说明</w:t>
      </w:r>
    </w:p>
    <w:p w:rsidR="00D15733" w:rsidRPr="007F52FA" w:rsidRDefault="00323F25" w:rsidP="007C14DF">
      <w:pPr>
        <w:spacing w:before="29" w:line="288" w:lineRule="auto"/>
        <w:ind w:firstLineChars="200" w:firstLine="480"/>
        <w:rPr>
          <w:color w:val="000000"/>
          <w:sz w:val="24"/>
        </w:rPr>
      </w:pPr>
      <w:r w:rsidRPr="007F52FA">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7F52FA">
        <w:rPr>
          <w:color w:val="000000"/>
          <w:sz w:val="24"/>
        </w:rPr>
        <w:t>5%</w:t>
      </w:r>
      <w:r w:rsidRPr="007F52FA">
        <w:rPr>
          <w:color w:val="000000"/>
          <w:sz w:val="24"/>
        </w:rPr>
        <w:t>的情形，本基金与本公司管理的其他投资组合在不同时间窗下（如日内、</w:t>
      </w:r>
      <w:r w:rsidRPr="007F52FA">
        <w:rPr>
          <w:color w:val="000000"/>
          <w:sz w:val="24"/>
        </w:rPr>
        <w:t>3</w:t>
      </w:r>
      <w:r w:rsidRPr="007F52FA">
        <w:rPr>
          <w:color w:val="000000"/>
          <w:sz w:val="24"/>
        </w:rPr>
        <w:t>日内、</w:t>
      </w:r>
      <w:r w:rsidRPr="007F52FA">
        <w:rPr>
          <w:color w:val="000000"/>
          <w:sz w:val="24"/>
        </w:rPr>
        <w:t>5</w:t>
      </w:r>
      <w:r w:rsidRPr="007F52FA">
        <w:rPr>
          <w:color w:val="000000"/>
          <w:sz w:val="24"/>
        </w:rPr>
        <w:t>日内）同向交易的交易价差未出现异常。</w:t>
      </w:r>
    </w:p>
    <w:p w:rsidR="009238DB" w:rsidRPr="007F52FA" w:rsidRDefault="009238DB" w:rsidP="007C14DF">
      <w:pPr>
        <w:autoSpaceDE w:val="0"/>
        <w:autoSpaceDN w:val="0"/>
        <w:adjustRightInd w:val="0"/>
        <w:spacing w:before="29" w:line="288" w:lineRule="auto"/>
        <w:jc w:val="left"/>
        <w:rPr>
          <w:color w:val="000000"/>
          <w:kern w:val="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4.4</w:t>
      </w:r>
      <w:r w:rsidRPr="007F52FA">
        <w:rPr>
          <w:rFonts w:hAnsi="宋体"/>
          <w:b/>
          <w:bCs/>
          <w:color w:val="000000"/>
          <w:sz w:val="24"/>
        </w:rPr>
        <w:t>报告期内基金的投资策略和运作分析</w:t>
      </w:r>
    </w:p>
    <w:p w:rsidR="00B20989" w:rsidRDefault="0087548B">
      <w:pPr>
        <w:spacing w:before="29" w:line="288" w:lineRule="auto"/>
        <w:ind w:firstLineChars="200" w:firstLine="480"/>
        <w:rPr>
          <w:color w:val="000000"/>
          <w:sz w:val="24"/>
        </w:rPr>
      </w:pPr>
      <w:r>
        <w:rPr>
          <w:color w:val="000000"/>
          <w:sz w:val="24"/>
        </w:rPr>
        <w:t>本报告期内，经济增长以及市场预期在内部去杠杆进程和外部中美贸易摩擦的双重影响下呈现趋缓态势。固定资产投资逐步走低，增速从二月份的</w:t>
      </w:r>
      <w:r>
        <w:rPr>
          <w:color w:val="000000"/>
          <w:sz w:val="24"/>
        </w:rPr>
        <w:t>7.9%</w:t>
      </w:r>
      <w:r>
        <w:rPr>
          <w:color w:val="000000"/>
          <w:sz w:val="24"/>
        </w:rPr>
        <w:t>回落至五月的</w:t>
      </w:r>
      <w:r>
        <w:rPr>
          <w:color w:val="000000"/>
          <w:sz w:val="24"/>
        </w:rPr>
        <w:t>6.1%</w:t>
      </w:r>
      <w:r>
        <w:rPr>
          <w:color w:val="000000"/>
          <w:sz w:val="24"/>
        </w:rPr>
        <w:t>。社会融资总量同比增速更是在五月份创出新低，表外融资在资管新规正式发布后基本停滞，金融信贷数据的走弱使得市场隐含了对未来基本面走弱的部分预期。然而中国经济的韧性仍有些许表征，一方面是工业品价格企稳回升带动</w:t>
      </w:r>
      <w:r>
        <w:rPr>
          <w:color w:val="000000"/>
          <w:sz w:val="24"/>
        </w:rPr>
        <w:t>PPI</w:t>
      </w:r>
      <w:r>
        <w:rPr>
          <w:color w:val="000000"/>
          <w:sz w:val="24"/>
        </w:rPr>
        <w:t>增速上行至</w:t>
      </w:r>
      <w:r>
        <w:rPr>
          <w:color w:val="000000"/>
          <w:sz w:val="24"/>
        </w:rPr>
        <w:t>4.1%</w:t>
      </w:r>
      <w:r>
        <w:rPr>
          <w:color w:val="000000"/>
          <w:sz w:val="24"/>
        </w:rPr>
        <w:t>的水平，另一方面出口增速和贸易顺差在中美贸易摩擦发酵中继续保持稳步增长。货币政策方面，央行在稳</w:t>
      </w:r>
      <w:r>
        <w:rPr>
          <w:color w:val="000000"/>
          <w:sz w:val="24"/>
        </w:rPr>
        <w:t>健中性的基调中呈现结构性特点，六月美联储加息后并未上调公开市场操作利率，并在四月、六月相继下调存款准备金率，或意在缓解紧信用格局下实体部门的结构性问题。银行间流动性在六月份边际宽松，除了受到降准的影响外，短端的资金供需格局有所变化，资金价格持续走低。股票市场则在资管新规开始落地、独角兽回归和中美贸易摩擦超预期发酵下，风险偏好出现走弱。同期债券收益率继续下行，其中经济增长预期放缓、央行超预期降准、狭义流动性边际宽松等因素成为债券市场收益率变动的主要原因。报告期内，上证综指和创业板指分别下行</w:t>
      </w:r>
      <w:r>
        <w:rPr>
          <w:color w:val="000000"/>
          <w:sz w:val="24"/>
        </w:rPr>
        <w:t>10.1%</w:t>
      </w:r>
      <w:r>
        <w:rPr>
          <w:color w:val="000000"/>
          <w:sz w:val="24"/>
        </w:rPr>
        <w:t>和</w:t>
      </w:r>
      <w:r>
        <w:rPr>
          <w:color w:val="000000"/>
          <w:sz w:val="24"/>
        </w:rPr>
        <w:t>15.5</w:t>
      </w:r>
      <w:r>
        <w:rPr>
          <w:color w:val="000000"/>
          <w:sz w:val="24"/>
        </w:rPr>
        <w:t>%</w:t>
      </w:r>
      <w:r>
        <w:rPr>
          <w:color w:val="000000"/>
          <w:sz w:val="24"/>
        </w:rPr>
        <w:t>，</w:t>
      </w:r>
      <w:r>
        <w:rPr>
          <w:color w:val="000000"/>
          <w:sz w:val="24"/>
        </w:rPr>
        <w:t>10</w:t>
      </w:r>
      <w:r>
        <w:rPr>
          <w:color w:val="000000"/>
          <w:sz w:val="24"/>
        </w:rPr>
        <w:t>年期国债收益率下行</w:t>
      </w:r>
      <w:r>
        <w:rPr>
          <w:color w:val="000000"/>
          <w:sz w:val="24"/>
        </w:rPr>
        <w:t>27BP</w:t>
      </w:r>
      <w:r>
        <w:rPr>
          <w:color w:val="000000"/>
          <w:sz w:val="24"/>
        </w:rPr>
        <w:t>至</w:t>
      </w:r>
      <w:r>
        <w:rPr>
          <w:color w:val="000000"/>
          <w:sz w:val="24"/>
        </w:rPr>
        <w:t>3.48%</w:t>
      </w:r>
      <w:r>
        <w:rPr>
          <w:color w:val="000000"/>
          <w:sz w:val="24"/>
        </w:rPr>
        <w:t>，</w:t>
      </w:r>
      <w:r>
        <w:rPr>
          <w:color w:val="000000"/>
          <w:sz w:val="24"/>
        </w:rPr>
        <w:t>10</w:t>
      </w:r>
      <w:r>
        <w:rPr>
          <w:color w:val="000000"/>
          <w:sz w:val="24"/>
        </w:rPr>
        <w:t>年期国开债收益率下行</w:t>
      </w:r>
      <w:r>
        <w:rPr>
          <w:color w:val="000000"/>
          <w:sz w:val="24"/>
        </w:rPr>
        <w:t>39BP</w:t>
      </w:r>
      <w:r>
        <w:rPr>
          <w:color w:val="000000"/>
          <w:sz w:val="24"/>
        </w:rPr>
        <w:t>到</w:t>
      </w:r>
      <w:r>
        <w:rPr>
          <w:color w:val="000000"/>
          <w:sz w:val="24"/>
        </w:rPr>
        <w:t>4.25%</w:t>
      </w:r>
      <w:r>
        <w:rPr>
          <w:color w:val="000000"/>
          <w:sz w:val="24"/>
        </w:rPr>
        <w:t>。</w:t>
      </w:r>
    </w:p>
    <w:p w:rsidR="00B20989" w:rsidRDefault="0087548B">
      <w:pPr>
        <w:spacing w:before="29" w:line="288" w:lineRule="auto"/>
        <w:ind w:firstLineChars="200" w:firstLine="480"/>
        <w:rPr>
          <w:color w:val="000000"/>
          <w:sz w:val="24"/>
        </w:rPr>
      </w:pPr>
      <w:r>
        <w:rPr>
          <w:color w:val="000000"/>
          <w:sz w:val="24"/>
        </w:rPr>
        <w:t>策略层面，本基金重点关注中短久期信用债的配置价值，保持适度久期，同时保持组合流动性。积极关注新股发行动态，进行权益一级市场投资，同时也关注二级市场的投资机会，从各方面争取为持有人赚取回报。</w:t>
      </w:r>
    </w:p>
    <w:p w:rsidR="00952A72" w:rsidRPr="007F52FA" w:rsidRDefault="00323F25" w:rsidP="007C14DF">
      <w:pPr>
        <w:spacing w:before="29" w:line="288" w:lineRule="auto"/>
        <w:ind w:firstLineChars="200" w:firstLine="480"/>
        <w:rPr>
          <w:color w:val="000000"/>
          <w:sz w:val="24"/>
        </w:rPr>
      </w:pPr>
      <w:r w:rsidRPr="007F52FA">
        <w:rPr>
          <w:color w:val="000000"/>
          <w:sz w:val="24"/>
        </w:rPr>
        <w:t>展望</w:t>
      </w:r>
      <w:r w:rsidRPr="007F52FA">
        <w:rPr>
          <w:color w:val="000000"/>
          <w:sz w:val="24"/>
        </w:rPr>
        <w:t>2018</w:t>
      </w:r>
      <w:r w:rsidRPr="007F52FA">
        <w:rPr>
          <w:color w:val="000000"/>
          <w:sz w:val="24"/>
        </w:rPr>
        <w:t>年三季度，经济增长在二季度末的放缓需要继续观察，中美贸易摩擦引发人民币持续贬值的担忧，同时国际原油价格在美伊核协议的不确定性下高位波动，关注下半年可能的输入性通胀风险。在货币政策结构性宽松的变化下，长端债券有望继续获得基本面和政策面双重支撑，但行情的纵深可能仍受到资管新规落地节奏等因素的影响。此外，我们还将密切关注低评级信用债风险的演化、中美贸易战摩擦的政策应对、内外货币政策变化等因素对市场的影响。股票方面，力争继续保持稳健、审慎投资，积极关注一级市场动态。债券方面，在保持组合流动性的前提下关注交易窗口，把握适度久期，同时特别关注信用风险。</w:t>
      </w:r>
    </w:p>
    <w:p w:rsidR="00EC41BC" w:rsidRPr="007F52FA" w:rsidRDefault="00EC41BC" w:rsidP="007C14DF">
      <w:pPr>
        <w:spacing w:before="29" w:line="288" w:lineRule="auto"/>
        <w:ind w:firstLineChars="200" w:firstLine="480"/>
        <w:rPr>
          <w:color w:val="00000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4.5</w:t>
      </w:r>
      <w:r w:rsidRPr="007F52FA">
        <w:rPr>
          <w:b/>
          <w:color w:val="000000"/>
          <w:kern w:val="0"/>
          <w:sz w:val="24"/>
        </w:rPr>
        <w:t>报告期内基金的业绩表现</w:t>
      </w:r>
    </w:p>
    <w:p w:rsidR="00952A72" w:rsidRPr="007F52FA" w:rsidRDefault="00323F25" w:rsidP="007C14DF">
      <w:pPr>
        <w:spacing w:before="29" w:line="288" w:lineRule="auto"/>
        <w:ind w:firstLineChars="200" w:firstLine="480"/>
        <w:rPr>
          <w:color w:val="000000"/>
          <w:sz w:val="24"/>
        </w:rPr>
      </w:pPr>
      <w:r w:rsidRPr="007F52FA">
        <w:rPr>
          <w:color w:val="000000"/>
          <w:sz w:val="24"/>
        </w:rPr>
        <w:lastRenderedPageBreak/>
        <w:t>截至</w:t>
      </w:r>
      <w:r w:rsidRPr="007F52FA">
        <w:rPr>
          <w:color w:val="000000"/>
          <w:sz w:val="24"/>
        </w:rPr>
        <w:t>2018</w:t>
      </w:r>
      <w:r w:rsidRPr="007F52FA">
        <w:rPr>
          <w:color w:val="000000"/>
          <w:sz w:val="24"/>
        </w:rPr>
        <w:t>年</w:t>
      </w:r>
      <w:r w:rsidRPr="007F52FA">
        <w:rPr>
          <w:color w:val="000000"/>
          <w:sz w:val="24"/>
        </w:rPr>
        <w:t>6</w:t>
      </w:r>
      <w:r w:rsidRPr="007F52FA">
        <w:rPr>
          <w:color w:val="000000"/>
          <w:sz w:val="24"/>
        </w:rPr>
        <w:t>月</w:t>
      </w:r>
      <w:r w:rsidRPr="007F52FA">
        <w:rPr>
          <w:color w:val="000000"/>
          <w:sz w:val="24"/>
        </w:rPr>
        <w:t>30</w:t>
      </w:r>
      <w:r w:rsidRPr="007F52FA">
        <w:rPr>
          <w:color w:val="000000"/>
          <w:sz w:val="24"/>
        </w:rPr>
        <w:t>日，交银卓越回报</w:t>
      </w:r>
      <w:r w:rsidRPr="007F52FA">
        <w:rPr>
          <w:color w:val="000000"/>
          <w:sz w:val="24"/>
        </w:rPr>
        <w:t>A</w:t>
      </w:r>
      <w:r w:rsidRPr="007F52FA">
        <w:rPr>
          <w:color w:val="000000"/>
          <w:sz w:val="24"/>
        </w:rPr>
        <w:t>份额净值为</w:t>
      </w:r>
      <w:r w:rsidRPr="007F52FA">
        <w:rPr>
          <w:color w:val="000000"/>
          <w:sz w:val="24"/>
        </w:rPr>
        <w:t>1.060</w:t>
      </w:r>
      <w:r w:rsidRPr="007F52FA">
        <w:rPr>
          <w:color w:val="000000"/>
          <w:sz w:val="24"/>
        </w:rPr>
        <w:t>元，本报告期份额净值增长率为</w:t>
      </w:r>
      <w:r w:rsidRPr="007F52FA">
        <w:rPr>
          <w:color w:val="000000"/>
          <w:sz w:val="24"/>
        </w:rPr>
        <w:t>1.63%</w:t>
      </w:r>
      <w:r w:rsidRPr="007F52FA">
        <w:rPr>
          <w:color w:val="000000"/>
          <w:sz w:val="24"/>
        </w:rPr>
        <w:t>，同期业绩比较基准增长率为</w:t>
      </w:r>
      <w:r w:rsidRPr="007F52FA">
        <w:rPr>
          <w:color w:val="000000"/>
          <w:sz w:val="24"/>
        </w:rPr>
        <w:t>-4.52%</w:t>
      </w:r>
      <w:r w:rsidRPr="007F52FA">
        <w:rPr>
          <w:color w:val="000000"/>
          <w:sz w:val="24"/>
        </w:rPr>
        <w:t>；交银卓越回报</w:t>
      </w:r>
      <w:r w:rsidRPr="007F52FA">
        <w:rPr>
          <w:color w:val="000000"/>
          <w:sz w:val="24"/>
        </w:rPr>
        <w:t>C</w:t>
      </w:r>
      <w:r w:rsidRPr="007F52FA">
        <w:rPr>
          <w:color w:val="000000"/>
          <w:sz w:val="24"/>
        </w:rPr>
        <w:t>份额净值为</w:t>
      </w:r>
      <w:r w:rsidRPr="007F52FA">
        <w:rPr>
          <w:color w:val="000000"/>
          <w:sz w:val="24"/>
        </w:rPr>
        <w:t>1.048</w:t>
      </w:r>
      <w:r w:rsidRPr="007F52FA">
        <w:rPr>
          <w:color w:val="000000"/>
          <w:sz w:val="24"/>
        </w:rPr>
        <w:t>元，本报告期份额净值增长率为</w:t>
      </w:r>
      <w:r w:rsidRPr="007F52FA">
        <w:rPr>
          <w:color w:val="000000"/>
          <w:sz w:val="24"/>
        </w:rPr>
        <w:t>0.77%</w:t>
      </w:r>
      <w:r w:rsidRPr="007F52FA">
        <w:rPr>
          <w:color w:val="000000"/>
          <w:sz w:val="24"/>
        </w:rPr>
        <w:t>，同期业绩比较基准增长率为</w:t>
      </w:r>
      <w:r w:rsidRPr="007F52FA">
        <w:rPr>
          <w:color w:val="000000"/>
          <w:sz w:val="24"/>
        </w:rPr>
        <w:t>-4.52%</w:t>
      </w:r>
      <w:r w:rsidRPr="007F52FA">
        <w:rPr>
          <w:color w:val="000000"/>
          <w:sz w:val="24"/>
        </w:rPr>
        <w:t>。</w:t>
      </w:r>
    </w:p>
    <w:p w:rsidR="00400FA6" w:rsidRPr="007F52FA" w:rsidRDefault="00400FA6" w:rsidP="007C14DF">
      <w:pPr>
        <w:spacing w:before="29" w:line="288" w:lineRule="auto"/>
        <w:ind w:firstLineChars="200" w:firstLine="480"/>
        <w:rPr>
          <w:color w:val="000000"/>
          <w:sz w:val="24"/>
        </w:rPr>
      </w:pPr>
    </w:p>
    <w:p w:rsidR="00274444" w:rsidRPr="002070B4" w:rsidRDefault="00274444" w:rsidP="00274444">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274444" w:rsidRDefault="00274444" w:rsidP="00274444">
      <w:pPr>
        <w:spacing w:before="29" w:line="288" w:lineRule="auto"/>
        <w:ind w:firstLineChars="200" w:firstLine="480"/>
        <w:rPr>
          <w:color w:val="000000"/>
          <w:sz w:val="24"/>
        </w:rPr>
      </w:pPr>
      <w:r w:rsidRPr="002070B4">
        <w:rPr>
          <w:color w:val="000000"/>
          <w:sz w:val="24"/>
        </w:rPr>
        <w:t>本基金本报告期内无需预警说明。</w:t>
      </w:r>
    </w:p>
    <w:p w:rsidR="00400FA6" w:rsidRPr="007F52FA" w:rsidRDefault="00400FA6" w:rsidP="007C14DF">
      <w:pPr>
        <w:spacing w:before="29" w:line="288" w:lineRule="auto"/>
        <w:ind w:firstLineChars="200" w:firstLine="480"/>
        <w:rPr>
          <w:color w:val="000000"/>
          <w:sz w:val="24"/>
        </w:rPr>
      </w:pPr>
    </w:p>
    <w:p w:rsidR="009238DB" w:rsidRPr="007C6127" w:rsidRDefault="009238DB" w:rsidP="00F103C8">
      <w:pPr>
        <w:pStyle w:val="1"/>
        <w:spacing w:beforeLines="100" w:before="312" w:afterLines="100" w:after="312" w:line="288" w:lineRule="auto"/>
        <w:jc w:val="center"/>
        <w:rPr>
          <w:rFonts w:eastAsiaTheme="minorEastAsia"/>
          <w:color w:val="000000"/>
          <w:kern w:val="0"/>
          <w:sz w:val="24"/>
          <w:szCs w:val="24"/>
        </w:rPr>
      </w:pPr>
      <w:r w:rsidRPr="007C6127">
        <w:rPr>
          <w:rFonts w:eastAsiaTheme="minorEastAsia"/>
          <w:color w:val="000000"/>
          <w:kern w:val="0"/>
          <w:sz w:val="24"/>
          <w:szCs w:val="24"/>
        </w:rPr>
        <w:t xml:space="preserve">§5  </w:t>
      </w:r>
      <w:r w:rsidRPr="007C6127">
        <w:rPr>
          <w:rFonts w:eastAsiaTheme="minorEastAsia"/>
          <w:color w:val="000000"/>
          <w:kern w:val="0"/>
          <w:sz w:val="24"/>
          <w:szCs w:val="24"/>
        </w:rPr>
        <w:t>投资组合报告</w:t>
      </w:r>
    </w:p>
    <w:p w:rsidR="00C51B4E" w:rsidRPr="0028293E" w:rsidRDefault="00C51B4E" w:rsidP="00C51B4E">
      <w:pPr>
        <w:autoSpaceDE w:val="0"/>
        <w:autoSpaceDN w:val="0"/>
        <w:adjustRightInd w:val="0"/>
        <w:spacing w:line="360" w:lineRule="auto"/>
        <w:jc w:val="left"/>
        <w:rPr>
          <w:rFonts w:eastAsiaTheme="minorEastAsia"/>
          <w:b/>
          <w:color w:val="000000" w:themeColor="text1"/>
          <w:kern w:val="0"/>
          <w:sz w:val="24"/>
        </w:rPr>
      </w:pPr>
      <w:r w:rsidRPr="0028293E">
        <w:rPr>
          <w:rFonts w:eastAsiaTheme="minorEastAsia"/>
          <w:b/>
          <w:color w:val="000000" w:themeColor="text1"/>
          <w:kern w:val="0"/>
          <w:sz w:val="24"/>
        </w:rPr>
        <w:t xml:space="preserve">5.1 </w:t>
      </w:r>
      <w:r w:rsidRPr="0028293E">
        <w:rPr>
          <w:rFonts w:eastAsiaTheme="minorEastAsia"/>
          <w:b/>
          <w:color w:val="000000" w:themeColor="text1"/>
          <w:kern w:val="0"/>
          <w:sz w:val="24"/>
        </w:rPr>
        <w:t>报告期末基金资产组合情况</w:t>
      </w:r>
    </w:p>
    <w:tbl>
      <w:tblPr>
        <w:tblStyle w:val="af2"/>
        <w:tblW w:w="8897" w:type="dxa"/>
        <w:tblInd w:w="108" w:type="dxa"/>
        <w:tblLayout w:type="fixed"/>
        <w:tblLook w:val="04A0" w:firstRow="1" w:lastRow="0" w:firstColumn="1" w:lastColumn="0" w:noHBand="0" w:noVBand="1"/>
      </w:tblPr>
      <w:tblGrid>
        <w:gridCol w:w="720"/>
        <w:gridCol w:w="2824"/>
        <w:gridCol w:w="2552"/>
        <w:gridCol w:w="2801"/>
      </w:tblGrid>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序号</w:t>
            </w:r>
          </w:p>
        </w:tc>
        <w:tc>
          <w:tcPr>
            <w:tcW w:w="2824"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项目</w:t>
            </w:r>
          </w:p>
        </w:tc>
        <w:tc>
          <w:tcPr>
            <w:tcW w:w="2552"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金额</w:t>
            </w:r>
            <w:r w:rsidRPr="0028293E">
              <w:rPr>
                <w:rFonts w:eastAsiaTheme="minorEastAsia"/>
                <w:color w:val="000000" w:themeColor="text1"/>
                <w:sz w:val="24"/>
              </w:rPr>
              <w:t>(</w:t>
            </w:r>
            <w:r w:rsidRPr="0028293E">
              <w:rPr>
                <w:rFonts w:eastAsiaTheme="minorEastAsia"/>
                <w:color w:val="000000" w:themeColor="text1"/>
                <w:sz w:val="24"/>
              </w:rPr>
              <w:t>元</w:t>
            </w: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占基金总资产的比例</w:t>
            </w: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1</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权益投资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220,245.25</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0.73</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其中：股票</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220,245.25</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0.73</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2</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ascii="宋体" w:hAnsi="宋体" w:hint="eastAsia"/>
                <w:sz w:val="24"/>
              </w:rPr>
              <w:t>基金投资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hint="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hint="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3</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固定收益投资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28,072,400.00</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93.51</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其中：债券</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28,072,400.00</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93.51</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p>
        </w:tc>
        <w:tc>
          <w:tcPr>
            <w:tcW w:w="2824" w:type="dxa"/>
            <w:vAlign w:val="center"/>
          </w:tcPr>
          <w:p w:rsidR="00C51B4E" w:rsidRPr="0028293E" w:rsidRDefault="00C51B4E" w:rsidP="0028293E">
            <w:pPr>
              <w:autoSpaceDE w:val="0"/>
              <w:autoSpaceDN w:val="0"/>
              <w:adjustRightInd w:val="0"/>
              <w:spacing w:before="29" w:line="360" w:lineRule="auto"/>
              <w:ind w:left="17" w:firstLineChars="300" w:firstLine="720"/>
              <w:jc w:val="left"/>
              <w:rPr>
                <w:rFonts w:eastAsiaTheme="minorEastAsia"/>
                <w:color w:val="000000" w:themeColor="text1"/>
                <w:sz w:val="24"/>
              </w:rPr>
            </w:pPr>
            <w:r w:rsidRPr="0028293E">
              <w:rPr>
                <w:rFonts w:eastAsiaTheme="minorEastAsia"/>
                <w:color w:val="000000" w:themeColor="text1"/>
                <w:sz w:val="24"/>
              </w:rPr>
              <w:t>资产支持证券</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4</w:t>
            </w:r>
          </w:p>
        </w:tc>
        <w:tc>
          <w:tcPr>
            <w:tcW w:w="2824" w:type="dxa"/>
            <w:vAlign w:val="center"/>
          </w:tcPr>
          <w:p w:rsidR="00C51B4E" w:rsidRPr="0028293E" w:rsidRDefault="00C51B4E" w:rsidP="002D2971">
            <w:pPr>
              <w:spacing w:before="29" w:line="360" w:lineRule="auto"/>
              <w:ind w:leftChars="50" w:left="105"/>
              <w:rPr>
                <w:rFonts w:eastAsiaTheme="minorEastAsia"/>
                <w:color w:val="000000" w:themeColor="text1"/>
                <w:sz w:val="24"/>
              </w:rPr>
            </w:pPr>
            <w:r w:rsidRPr="0028293E">
              <w:rPr>
                <w:rFonts w:eastAsiaTheme="minorEastAsia"/>
                <w:color w:val="000000" w:themeColor="text1"/>
                <w:sz w:val="24"/>
              </w:rPr>
              <w:t>贵金属投资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5</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金融衍生品投资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6</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买入返售金融资产</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其中：买断式回购的买入返售金融资产</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7</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银行存款和结算备付金合计</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962,320.96</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3.21</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8</w:t>
            </w:r>
          </w:p>
        </w:tc>
        <w:tc>
          <w:tcPr>
            <w:tcW w:w="2824" w:type="dxa"/>
            <w:vAlign w:val="center"/>
          </w:tcPr>
          <w:p w:rsidR="00C51B4E" w:rsidRPr="0028293E" w:rsidRDefault="00C51B4E" w:rsidP="002D2971">
            <w:pPr>
              <w:spacing w:line="360" w:lineRule="auto"/>
              <w:rPr>
                <w:rFonts w:eastAsiaTheme="minorEastAsia"/>
                <w:color w:val="000000" w:themeColor="text1"/>
                <w:sz w:val="24"/>
              </w:rPr>
            </w:pPr>
            <w:r w:rsidRPr="0028293E">
              <w:rPr>
                <w:rFonts w:eastAsiaTheme="minorEastAsia"/>
                <w:color w:val="000000" w:themeColor="text1"/>
                <w:sz w:val="24"/>
              </w:rPr>
              <w:t>其他各项资产</w:t>
            </w:r>
          </w:p>
        </w:tc>
        <w:tc>
          <w:tcPr>
            <w:tcW w:w="2552" w:type="dxa"/>
            <w:vAlign w:val="center"/>
          </w:tcPr>
          <w:p w:rsidR="00C51B4E" w:rsidRPr="0028293E" w:rsidRDefault="00C51B4E" w:rsidP="002D2971">
            <w:pPr>
              <w:spacing w:line="360" w:lineRule="auto"/>
              <w:jc w:val="right"/>
              <w:rPr>
                <w:rFonts w:eastAsiaTheme="minorEastAsia"/>
                <w:color w:val="000000" w:themeColor="text1"/>
                <w:sz w:val="24"/>
              </w:rPr>
            </w:pPr>
            <w:r w:rsidRPr="0028293E">
              <w:rPr>
                <w:rFonts w:eastAsiaTheme="minorEastAsia"/>
                <w:color w:val="000000" w:themeColor="text1"/>
                <w:sz w:val="24"/>
              </w:rPr>
              <w:t>766,399.65</w:t>
            </w:r>
          </w:p>
        </w:tc>
        <w:tc>
          <w:tcPr>
            <w:tcW w:w="2801" w:type="dxa"/>
            <w:vAlign w:val="center"/>
          </w:tcPr>
          <w:p w:rsidR="00C51B4E" w:rsidRPr="0028293E" w:rsidRDefault="00C51B4E" w:rsidP="002D2971">
            <w:pPr>
              <w:spacing w:line="360" w:lineRule="auto"/>
              <w:jc w:val="right"/>
              <w:rPr>
                <w:rFonts w:eastAsiaTheme="minorEastAsia"/>
                <w:color w:val="000000" w:themeColor="text1"/>
                <w:sz w:val="24"/>
              </w:rPr>
            </w:pPr>
            <w:r w:rsidRPr="0028293E">
              <w:rPr>
                <w:rFonts w:eastAsiaTheme="minorEastAsia"/>
                <w:color w:val="000000" w:themeColor="text1"/>
                <w:sz w:val="24"/>
              </w:rPr>
              <w:t>2.55</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9</w:t>
            </w:r>
          </w:p>
        </w:tc>
        <w:tc>
          <w:tcPr>
            <w:tcW w:w="2824" w:type="dxa"/>
            <w:vAlign w:val="center"/>
          </w:tcPr>
          <w:p w:rsidR="00C51B4E" w:rsidRPr="0028293E" w:rsidRDefault="00C51B4E" w:rsidP="002D2971">
            <w:pPr>
              <w:spacing w:line="360" w:lineRule="auto"/>
              <w:rPr>
                <w:rFonts w:eastAsiaTheme="minorEastAsia"/>
                <w:color w:val="000000" w:themeColor="text1"/>
                <w:sz w:val="24"/>
              </w:rPr>
            </w:pPr>
            <w:r w:rsidRPr="0028293E">
              <w:rPr>
                <w:rFonts w:eastAsiaTheme="minorEastAsia"/>
                <w:color w:val="000000" w:themeColor="text1"/>
                <w:sz w:val="24"/>
              </w:rPr>
              <w:t>合计</w:t>
            </w:r>
          </w:p>
        </w:tc>
        <w:tc>
          <w:tcPr>
            <w:tcW w:w="2552" w:type="dxa"/>
            <w:vAlign w:val="center"/>
          </w:tcPr>
          <w:p w:rsidR="00C51B4E" w:rsidRPr="0028293E" w:rsidRDefault="00C51B4E" w:rsidP="002D2971">
            <w:pPr>
              <w:spacing w:line="360" w:lineRule="auto"/>
              <w:jc w:val="right"/>
              <w:rPr>
                <w:rFonts w:eastAsiaTheme="minorEastAsia"/>
                <w:color w:val="000000" w:themeColor="text1"/>
                <w:sz w:val="24"/>
              </w:rPr>
            </w:pPr>
            <w:r w:rsidRPr="0028293E">
              <w:rPr>
                <w:rFonts w:eastAsiaTheme="minorEastAsia"/>
                <w:color w:val="000000" w:themeColor="text1"/>
                <w:sz w:val="24"/>
              </w:rPr>
              <w:t>30,021,365.86</w:t>
            </w:r>
          </w:p>
        </w:tc>
        <w:tc>
          <w:tcPr>
            <w:tcW w:w="2801" w:type="dxa"/>
            <w:vAlign w:val="center"/>
          </w:tcPr>
          <w:p w:rsidR="00C51B4E" w:rsidRPr="0028293E" w:rsidRDefault="00C51B4E" w:rsidP="002D2971">
            <w:pPr>
              <w:spacing w:line="360" w:lineRule="auto"/>
              <w:jc w:val="right"/>
              <w:rPr>
                <w:rFonts w:eastAsiaTheme="minorEastAsia"/>
                <w:color w:val="000000" w:themeColor="text1"/>
                <w:sz w:val="24"/>
              </w:rPr>
            </w:pPr>
            <w:r w:rsidRPr="0028293E">
              <w:rPr>
                <w:rFonts w:eastAsiaTheme="minorEastAsia"/>
                <w:color w:val="000000" w:themeColor="text1"/>
                <w:sz w:val="24"/>
              </w:rPr>
              <w:t>100.00</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Default="009238DB" w:rsidP="007C14DF">
      <w:pPr>
        <w:autoSpaceDE w:val="0"/>
        <w:autoSpaceDN w:val="0"/>
        <w:adjustRightInd w:val="0"/>
        <w:spacing w:before="29" w:line="288" w:lineRule="auto"/>
        <w:jc w:val="left"/>
        <w:rPr>
          <w:rFonts w:eastAsiaTheme="minorEastAsia"/>
          <w:b/>
          <w:color w:val="000000"/>
          <w:kern w:val="0"/>
          <w:sz w:val="24"/>
        </w:rPr>
      </w:pPr>
      <w:r w:rsidRPr="007F52FA">
        <w:rPr>
          <w:rFonts w:eastAsiaTheme="minorEastAsia"/>
          <w:b/>
          <w:color w:val="000000"/>
          <w:kern w:val="0"/>
          <w:sz w:val="24"/>
        </w:rPr>
        <w:t xml:space="preserve">5.2 </w:t>
      </w:r>
      <w:r w:rsidRPr="007F52FA">
        <w:rPr>
          <w:rFonts w:eastAsiaTheme="minorEastAsia"/>
          <w:b/>
          <w:color w:val="000000"/>
          <w:kern w:val="0"/>
          <w:sz w:val="24"/>
        </w:rPr>
        <w:t>报告期末按行业分类的股票投资组合</w:t>
      </w:r>
    </w:p>
    <w:p w:rsidR="001A5D39" w:rsidRPr="001A5D39" w:rsidRDefault="001A5D39" w:rsidP="001A5D39">
      <w:pPr>
        <w:rPr>
          <w:b/>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000" w:firstRow="0" w:lastRow="0" w:firstColumn="0" w:lastColumn="0" w:noHBand="0" w:noVBand="0"/>
      </w:tblPr>
      <w:tblGrid>
        <w:gridCol w:w="772"/>
        <w:gridCol w:w="3525"/>
        <w:gridCol w:w="2897"/>
        <w:gridCol w:w="1674"/>
      </w:tblGrid>
      <w:tr w:rsidR="005F458B" w:rsidRPr="007F52FA" w:rsidTr="004D7E11">
        <w:trPr>
          <w:trHeight w:val="390"/>
          <w:jc w:val="center"/>
        </w:trPr>
        <w:tc>
          <w:tcPr>
            <w:tcW w:w="772" w:type="dxa"/>
            <w:tcBorders>
              <w:top w:val="single" w:sz="4" w:space="0" w:color="000000"/>
              <w:left w:val="single" w:sz="4" w:space="0" w:color="000000"/>
              <w:bottom w:val="single" w:sz="4" w:space="0" w:color="000000"/>
              <w:right w:val="single" w:sz="4" w:space="0" w:color="000000"/>
            </w:tcBorders>
            <w:vAlign w:val="center"/>
          </w:tcPr>
          <w:p w:rsidR="005F458B" w:rsidRPr="007F52FA" w:rsidRDefault="005F458B" w:rsidP="007C14DF">
            <w:pPr>
              <w:adjustRightInd w:val="0"/>
              <w:snapToGrid w:val="0"/>
              <w:spacing w:before="29" w:line="288" w:lineRule="auto"/>
              <w:jc w:val="center"/>
              <w:rPr>
                <w:sz w:val="24"/>
              </w:rPr>
            </w:pPr>
            <w:r w:rsidRPr="007F52FA">
              <w:rPr>
                <w:sz w:val="24"/>
              </w:rPr>
              <w:t>代码</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行业类别</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adjustRightInd w:val="0"/>
              <w:snapToGrid w:val="0"/>
              <w:spacing w:before="29" w:line="288" w:lineRule="auto"/>
              <w:jc w:val="center"/>
              <w:rPr>
                <w:sz w:val="24"/>
              </w:rPr>
            </w:pPr>
            <w:r w:rsidRPr="007F52FA">
              <w:rPr>
                <w:sz w:val="24"/>
              </w:rPr>
              <w:t>公允价值（元）</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占基金资产净</w:t>
            </w:r>
            <w:r w:rsidRPr="007F52FA">
              <w:rPr>
                <w:sz w:val="24"/>
              </w:rPr>
              <w:lastRenderedPageBreak/>
              <w:t>值比例（％）</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lastRenderedPageBreak/>
              <w:t>A</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农、林、牧、渔业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autoSpaceDE w:val="0"/>
              <w:autoSpaceDN w:val="0"/>
              <w:adjustRightInd w:val="0"/>
              <w:spacing w:before="29" w:line="288" w:lineRule="auto"/>
              <w:ind w:left="15"/>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utoSpaceDE w:val="0"/>
              <w:autoSpaceDN w:val="0"/>
              <w:adjustRightInd w:val="0"/>
              <w:spacing w:before="29" w:line="288" w:lineRule="auto"/>
              <w:ind w:left="15"/>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B</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采矿业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DF744A">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DF744A">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C</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制造业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67,459.26</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0.23</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D</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电力、热力、燃气及水生产和供应业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71,559.85</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0.24</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E</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建筑业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F</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批发和零售业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G</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交通运输、仓储和邮政业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H</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住宿和餐饮业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240CA0">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I</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240CA0">
            <w:pPr>
              <w:adjustRightInd w:val="0"/>
              <w:snapToGrid w:val="0"/>
              <w:spacing w:before="29" w:line="288" w:lineRule="auto"/>
              <w:rPr>
                <w:sz w:val="24"/>
              </w:rPr>
            </w:pPr>
            <w:r w:rsidRPr="007F52FA">
              <w:rPr>
                <w:sz w:val="24"/>
              </w:rPr>
              <w:t>信息传输、软件和信息技术服务业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J</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金融业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K</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房地产业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L</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租赁和商务服务业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M</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科学研究和技术服务业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N</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水利、环境和公共设施管理业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81,226.14</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0.28</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O</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居民服务、修理和其他服务业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P</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教育</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Q</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卫生和社会工作</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R</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文化、体育和娱乐业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S</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综合</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合计</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220,245.25</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0.75</w:t>
            </w:r>
          </w:p>
        </w:tc>
      </w:tr>
    </w:tbl>
    <w:p w:rsidR="00CB1FEE" w:rsidRDefault="00CB1FEE" w:rsidP="001A5D39">
      <w:pPr>
        <w:jc w:val="left"/>
        <w:rPr>
          <w:rFonts w:asciiTheme="minorEastAsia" w:eastAsiaTheme="minorEastAsia" w:hAnsiTheme="minorEastAsia"/>
          <w:b/>
          <w:bCs/>
          <w:color w:val="000000" w:themeColor="text1"/>
          <w:kern w:val="0"/>
          <w:sz w:val="24"/>
        </w:rPr>
      </w:pPr>
    </w:p>
    <w:p w:rsidR="001A5D39" w:rsidRPr="008A409E" w:rsidRDefault="001A5D39" w:rsidP="001A5D39">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w:t>
      </w:r>
      <w:r w:rsidR="00BE251D">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p w:rsidR="001A5D39" w:rsidRDefault="001A5D39" w:rsidP="001A5D39">
      <w:pPr>
        <w:spacing w:before="29" w:line="360" w:lineRule="auto"/>
        <w:ind w:left="17"/>
        <w:rPr>
          <w:color w:val="000000"/>
          <w:sz w:val="24"/>
        </w:rPr>
      </w:pPr>
      <w:r w:rsidRPr="00FF0BBF">
        <w:rPr>
          <w:color w:val="000000"/>
          <w:sz w:val="24"/>
        </w:rPr>
        <w:t>本基金本报告期末未持有通过港股通投资的股票。</w:t>
      </w:r>
    </w:p>
    <w:p w:rsidR="009238DB" w:rsidRPr="001A5D39"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5.3 </w:t>
      </w:r>
      <w:r w:rsidRPr="007F52FA">
        <w:rPr>
          <w:b/>
          <w:color w:val="000000"/>
          <w:kern w:val="0"/>
          <w:sz w:val="24"/>
        </w:rPr>
        <w:t>报告期末按公允价值占基金资产净值比例大小排序的前十名股票投资明细</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850"/>
        <w:gridCol w:w="1327"/>
        <w:gridCol w:w="1769"/>
        <w:gridCol w:w="1327"/>
        <w:gridCol w:w="1915"/>
        <w:gridCol w:w="1680"/>
      </w:tblGrid>
      <w:tr w:rsidR="000871DB" w:rsidRPr="007F52FA" w:rsidTr="00481DB2">
        <w:trPr>
          <w:jc w:val="center"/>
        </w:trPr>
        <w:tc>
          <w:tcPr>
            <w:tcW w:w="817"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序号</w:t>
            </w:r>
          </w:p>
        </w:tc>
        <w:tc>
          <w:tcPr>
            <w:tcW w:w="1276"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股票代码</w:t>
            </w:r>
          </w:p>
        </w:tc>
        <w:tc>
          <w:tcPr>
            <w:tcW w:w="1701"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股票名称</w:t>
            </w:r>
          </w:p>
        </w:tc>
        <w:tc>
          <w:tcPr>
            <w:tcW w:w="1276"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数量</w:t>
            </w:r>
            <w:r w:rsidR="00C44F1F" w:rsidRPr="007F52FA">
              <w:rPr>
                <w:sz w:val="24"/>
              </w:rPr>
              <w:t>（</w:t>
            </w:r>
            <w:r w:rsidRPr="007F52FA">
              <w:rPr>
                <w:color w:val="000000"/>
                <w:sz w:val="24"/>
              </w:rPr>
              <w:t>股</w:t>
            </w:r>
            <w:r w:rsidR="00C44F1F" w:rsidRPr="007F52FA">
              <w:rPr>
                <w:sz w:val="24"/>
              </w:rPr>
              <w:t>）</w:t>
            </w:r>
          </w:p>
        </w:tc>
        <w:tc>
          <w:tcPr>
            <w:tcW w:w="1842" w:type="dxa"/>
            <w:vAlign w:val="center"/>
          </w:tcPr>
          <w:p w:rsidR="000871DB" w:rsidRPr="007F52FA" w:rsidRDefault="000871DB" w:rsidP="007C14DF">
            <w:pPr>
              <w:autoSpaceDE w:val="0"/>
              <w:autoSpaceDN w:val="0"/>
              <w:adjustRightInd w:val="0"/>
              <w:spacing w:before="29" w:line="288" w:lineRule="auto"/>
              <w:ind w:left="17"/>
              <w:jc w:val="center"/>
              <w:rPr>
                <w:color w:val="000000"/>
                <w:sz w:val="24"/>
              </w:rPr>
            </w:pPr>
            <w:r w:rsidRPr="007F52FA">
              <w:rPr>
                <w:color w:val="000000"/>
                <w:sz w:val="24"/>
              </w:rPr>
              <w:t>公允价值</w:t>
            </w:r>
            <w:r w:rsidR="002D3BDD" w:rsidRPr="007F52FA">
              <w:rPr>
                <w:color w:val="000000"/>
                <w:kern w:val="0"/>
                <w:sz w:val="24"/>
              </w:rPr>
              <w:t>(</w:t>
            </w:r>
            <w:r w:rsidR="00C44F1F" w:rsidRPr="007F52FA">
              <w:rPr>
                <w:sz w:val="24"/>
              </w:rPr>
              <w:t>元</w:t>
            </w:r>
            <w:r w:rsidR="002D3BDD" w:rsidRPr="007F52FA">
              <w:rPr>
                <w:color w:val="000000"/>
                <w:kern w:val="0"/>
                <w:sz w:val="24"/>
              </w:rPr>
              <w:t>)</w:t>
            </w:r>
          </w:p>
        </w:tc>
        <w:tc>
          <w:tcPr>
            <w:tcW w:w="1616"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占基金资产净值比例</w:t>
            </w:r>
            <w:r w:rsidR="00C44F1F" w:rsidRPr="007F52FA">
              <w:rPr>
                <w:sz w:val="24"/>
              </w:rPr>
              <w:t>（</w:t>
            </w:r>
            <w:r w:rsidRPr="007F52FA">
              <w:rPr>
                <w:color w:val="000000"/>
                <w:sz w:val="24"/>
              </w:rPr>
              <w:t>％</w:t>
            </w:r>
            <w:r w:rsidR="00C44F1F" w:rsidRPr="007F52FA">
              <w:rPr>
                <w:sz w:val="24"/>
              </w:rPr>
              <w:t>）</w:t>
            </w:r>
          </w:p>
        </w:tc>
      </w:tr>
      <w:tr w:rsidR="00B20989">
        <w:trPr>
          <w:jc w:val="center"/>
        </w:trPr>
        <w:tc>
          <w:tcPr>
            <w:tcW w:w="850" w:type="dxa"/>
            <w:vAlign w:val="center"/>
          </w:tcPr>
          <w:p w:rsidR="00B20989" w:rsidRDefault="0087548B">
            <w:pPr>
              <w:jc w:val="center"/>
            </w:pPr>
            <w:r>
              <w:rPr>
                <w:color w:val="000000"/>
                <w:sz w:val="24"/>
              </w:rPr>
              <w:t>1</w:t>
            </w:r>
          </w:p>
        </w:tc>
        <w:tc>
          <w:tcPr>
            <w:tcW w:w="1327" w:type="dxa"/>
            <w:vAlign w:val="center"/>
          </w:tcPr>
          <w:p w:rsidR="00B20989" w:rsidRDefault="0087548B">
            <w:pPr>
              <w:jc w:val="center"/>
            </w:pPr>
            <w:r>
              <w:rPr>
                <w:color w:val="000000"/>
                <w:sz w:val="24"/>
              </w:rPr>
              <w:t>601330</w:t>
            </w:r>
          </w:p>
        </w:tc>
        <w:tc>
          <w:tcPr>
            <w:tcW w:w="1769" w:type="dxa"/>
            <w:vAlign w:val="center"/>
          </w:tcPr>
          <w:p w:rsidR="00B20989" w:rsidRDefault="0087548B">
            <w:pPr>
              <w:jc w:val="center"/>
            </w:pPr>
            <w:r>
              <w:rPr>
                <w:color w:val="000000"/>
                <w:sz w:val="24"/>
              </w:rPr>
              <w:t>绿色动力</w:t>
            </w:r>
          </w:p>
        </w:tc>
        <w:tc>
          <w:tcPr>
            <w:tcW w:w="1327" w:type="dxa"/>
            <w:vAlign w:val="center"/>
          </w:tcPr>
          <w:p w:rsidR="00B20989" w:rsidRDefault="0087548B">
            <w:pPr>
              <w:jc w:val="right"/>
            </w:pPr>
            <w:r>
              <w:rPr>
                <w:color w:val="000000"/>
                <w:sz w:val="24"/>
              </w:rPr>
              <w:t>4,971</w:t>
            </w:r>
          </w:p>
        </w:tc>
        <w:tc>
          <w:tcPr>
            <w:tcW w:w="1915" w:type="dxa"/>
            <w:vAlign w:val="center"/>
          </w:tcPr>
          <w:p w:rsidR="00B20989" w:rsidRDefault="0087548B">
            <w:pPr>
              <w:jc w:val="right"/>
            </w:pPr>
            <w:r>
              <w:rPr>
                <w:color w:val="000000"/>
                <w:sz w:val="24"/>
              </w:rPr>
              <w:t>81,226.14</w:t>
            </w:r>
          </w:p>
        </w:tc>
        <w:tc>
          <w:tcPr>
            <w:tcW w:w="1680" w:type="dxa"/>
            <w:vAlign w:val="center"/>
          </w:tcPr>
          <w:p w:rsidR="00B20989" w:rsidRDefault="0087548B">
            <w:pPr>
              <w:jc w:val="right"/>
            </w:pPr>
            <w:r>
              <w:rPr>
                <w:color w:val="000000"/>
                <w:sz w:val="24"/>
              </w:rPr>
              <w:t>0.28</w:t>
            </w:r>
          </w:p>
        </w:tc>
      </w:tr>
      <w:tr w:rsidR="00B20989">
        <w:trPr>
          <w:jc w:val="center"/>
        </w:trPr>
        <w:tc>
          <w:tcPr>
            <w:tcW w:w="850" w:type="dxa"/>
            <w:vAlign w:val="center"/>
          </w:tcPr>
          <w:p w:rsidR="00B20989" w:rsidRDefault="0087548B">
            <w:pPr>
              <w:jc w:val="center"/>
            </w:pPr>
            <w:r>
              <w:rPr>
                <w:color w:val="000000"/>
                <w:sz w:val="24"/>
              </w:rPr>
              <w:t>2</w:t>
            </w:r>
          </w:p>
        </w:tc>
        <w:tc>
          <w:tcPr>
            <w:tcW w:w="1327" w:type="dxa"/>
            <w:vAlign w:val="center"/>
          </w:tcPr>
          <w:p w:rsidR="00B20989" w:rsidRDefault="0087548B">
            <w:pPr>
              <w:jc w:val="center"/>
            </w:pPr>
            <w:r>
              <w:rPr>
                <w:color w:val="000000"/>
                <w:sz w:val="24"/>
              </w:rPr>
              <w:t>603650</w:t>
            </w:r>
          </w:p>
        </w:tc>
        <w:tc>
          <w:tcPr>
            <w:tcW w:w="1769" w:type="dxa"/>
            <w:vAlign w:val="center"/>
          </w:tcPr>
          <w:p w:rsidR="00B20989" w:rsidRDefault="0087548B">
            <w:pPr>
              <w:jc w:val="center"/>
            </w:pPr>
            <w:r>
              <w:rPr>
                <w:color w:val="000000"/>
                <w:sz w:val="24"/>
              </w:rPr>
              <w:t>彤程新材</w:t>
            </w:r>
          </w:p>
        </w:tc>
        <w:tc>
          <w:tcPr>
            <w:tcW w:w="1327" w:type="dxa"/>
            <w:vAlign w:val="center"/>
          </w:tcPr>
          <w:p w:rsidR="00B20989" w:rsidRDefault="0087548B">
            <w:pPr>
              <w:jc w:val="right"/>
            </w:pPr>
            <w:r>
              <w:rPr>
                <w:color w:val="000000"/>
                <w:sz w:val="24"/>
              </w:rPr>
              <w:t>2,376</w:t>
            </w:r>
          </w:p>
        </w:tc>
        <w:tc>
          <w:tcPr>
            <w:tcW w:w="1915" w:type="dxa"/>
            <w:vAlign w:val="center"/>
          </w:tcPr>
          <w:p w:rsidR="00B20989" w:rsidRDefault="0087548B">
            <w:pPr>
              <w:jc w:val="right"/>
            </w:pPr>
            <w:r>
              <w:rPr>
                <w:color w:val="000000"/>
                <w:sz w:val="24"/>
              </w:rPr>
              <w:t>50,988.96</w:t>
            </w:r>
          </w:p>
        </w:tc>
        <w:tc>
          <w:tcPr>
            <w:tcW w:w="1680" w:type="dxa"/>
            <w:vAlign w:val="center"/>
          </w:tcPr>
          <w:p w:rsidR="00B20989" w:rsidRDefault="0087548B">
            <w:pPr>
              <w:jc w:val="right"/>
            </w:pPr>
            <w:r>
              <w:rPr>
                <w:color w:val="000000"/>
                <w:sz w:val="24"/>
              </w:rPr>
              <w:t>0.17</w:t>
            </w:r>
          </w:p>
        </w:tc>
      </w:tr>
      <w:tr w:rsidR="00B20989">
        <w:trPr>
          <w:jc w:val="center"/>
        </w:trPr>
        <w:tc>
          <w:tcPr>
            <w:tcW w:w="850" w:type="dxa"/>
            <w:vAlign w:val="center"/>
          </w:tcPr>
          <w:p w:rsidR="00B20989" w:rsidRDefault="0087548B">
            <w:pPr>
              <w:jc w:val="center"/>
            </w:pPr>
            <w:r>
              <w:rPr>
                <w:color w:val="000000"/>
                <w:sz w:val="24"/>
              </w:rPr>
              <w:t>3</w:t>
            </w:r>
          </w:p>
        </w:tc>
        <w:tc>
          <w:tcPr>
            <w:tcW w:w="1327" w:type="dxa"/>
            <w:vAlign w:val="center"/>
          </w:tcPr>
          <w:p w:rsidR="00B20989" w:rsidRDefault="0087548B">
            <w:pPr>
              <w:jc w:val="center"/>
            </w:pPr>
            <w:r>
              <w:rPr>
                <w:color w:val="000000"/>
                <w:sz w:val="24"/>
              </w:rPr>
              <w:t>603693</w:t>
            </w:r>
          </w:p>
        </w:tc>
        <w:tc>
          <w:tcPr>
            <w:tcW w:w="1769" w:type="dxa"/>
            <w:vAlign w:val="center"/>
          </w:tcPr>
          <w:p w:rsidR="00B20989" w:rsidRDefault="0087548B">
            <w:pPr>
              <w:jc w:val="center"/>
            </w:pPr>
            <w:r>
              <w:rPr>
                <w:color w:val="000000"/>
                <w:sz w:val="24"/>
              </w:rPr>
              <w:t>江苏新能</w:t>
            </w:r>
          </w:p>
        </w:tc>
        <w:tc>
          <w:tcPr>
            <w:tcW w:w="1327" w:type="dxa"/>
            <w:vAlign w:val="center"/>
          </w:tcPr>
          <w:p w:rsidR="00B20989" w:rsidRDefault="0087548B">
            <w:pPr>
              <w:jc w:val="right"/>
            </w:pPr>
            <w:r>
              <w:rPr>
                <w:color w:val="000000"/>
                <w:sz w:val="24"/>
              </w:rPr>
              <w:t>5,384</w:t>
            </w:r>
          </w:p>
        </w:tc>
        <w:tc>
          <w:tcPr>
            <w:tcW w:w="1915" w:type="dxa"/>
            <w:vAlign w:val="center"/>
          </w:tcPr>
          <w:p w:rsidR="00B20989" w:rsidRDefault="0087548B">
            <w:pPr>
              <w:jc w:val="right"/>
            </w:pPr>
            <w:r>
              <w:rPr>
                <w:color w:val="000000"/>
                <w:sz w:val="24"/>
              </w:rPr>
              <w:t>48,456.00</w:t>
            </w:r>
          </w:p>
        </w:tc>
        <w:tc>
          <w:tcPr>
            <w:tcW w:w="1680" w:type="dxa"/>
            <w:vAlign w:val="center"/>
          </w:tcPr>
          <w:p w:rsidR="00B20989" w:rsidRDefault="0087548B">
            <w:pPr>
              <w:jc w:val="right"/>
            </w:pPr>
            <w:r>
              <w:rPr>
                <w:color w:val="000000"/>
                <w:sz w:val="24"/>
              </w:rPr>
              <w:t>0.17</w:t>
            </w:r>
          </w:p>
        </w:tc>
      </w:tr>
      <w:tr w:rsidR="00B20989">
        <w:trPr>
          <w:jc w:val="center"/>
        </w:trPr>
        <w:tc>
          <w:tcPr>
            <w:tcW w:w="850" w:type="dxa"/>
            <w:vAlign w:val="center"/>
          </w:tcPr>
          <w:p w:rsidR="00B20989" w:rsidRDefault="0087548B">
            <w:pPr>
              <w:jc w:val="center"/>
            </w:pPr>
            <w:r>
              <w:rPr>
                <w:color w:val="000000"/>
                <w:sz w:val="24"/>
              </w:rPr>
              <w:lastRenderedPageBreak/>
              <w:t>4</w:t>
            </w:r>
          </w:p>
        </w:tc>
        <w:tc>
          <w:tcPr>
            <w:tcW w:w="1327" w:type="dxa"/>
            <w:vAlign w:val="center"/>
          </w:tcPr>
          <w:p w:rsidR="00B20989" w:rsidRDefault="0087548B">
            <w:pPr>
              <w:jc w:val="center"/>
            </w:pPr>
            <w:r>
              <w:rPr>
                <w:color w:val="000000"/>
                <w:sz w:val="24"/>
              </w:rPr>
              <w:t>603706</w:t>
            </w:r>
          </w:p>
        </w:tc>
        <w:tc>
          <w:tcPr>
            <w:tcW w:w="1769" w:type="dxa"/>
            <w:vAlign w:val="center"/>
          </w:tcPr>
          <w:p w:rsidR="00B20989" w:rsidRDefault="0087548B">
            <w:pPr>
              <w:jc w:val="center"/>
            </w:pPr>
            <w:r>
              <w:rPr>
                <w:color w:val="000000"/>
                <w:sz w:val="24"/>
              </w:rPr>
              <w:t>东方环宇</w:t>
            </w:r>
          </w:p>
        </w:tc>
        <w:tc>
          <w:tcPr>
            <w:tcW w:w="1327" w:type="dxa"/>
            <w:vAlign w:val="center"/>
          </w:tcPr>
          <w:p w:rsidR="00B20989" w:rsidRDefault="0087548B">
            <w:pPr>
              <w:jc w:val="right"/>
            </w:pPr>
            <w:r>
              <w:rPr>
                <w:color w:val="000000"/>
                <w:sz w:val="24"/>
              </w:rPr>
              <w:t>1,765</w:t>
            </w:r>
          </w:p>
        </w:tc>
        <w:tc>
          <w:tcPr>
            <w:tcW w:w="1915" w:type="dxa"/>
            <w:vAlign w:val="center"/>
          </w:tcPr>
          <w:p w:rsidR="00B20989" w:rsidRDefault="0087548B">
            <w:pPr>
              <w:jc w:val="right"/>
            </w:pPr>
            <w:r>
              <w:rPr>
                <w:color w:val="000000"/>
                <w:sz w:val="24"/>
              </w:rPr>
              <w:t>23,103.85</w:t>
            </w:r>
          </w:p>
        </w:tc>
        <w:tc>
          <w:tcPr>
            <w:tcW w:w="1680" w:type="dxa"/>
            <w:vAlign w:val="center"/>
          </w:tcPr>
          <w:p w:rsidR="00B20989" w:rsidRDefault="0087548B">
            <w:pPr>
              <w:jc w:val="right"/>
            </w:pPr>
            <w:r>
              <w:rPr>
                <w:color w:val="000000"/>
                <w:sz w:val="24"/>
              </w:rPr>
              <w:t>0.08</w:t>
            </w:r>
          </w:p>
        </w:tc>
      </w:tr>
      <w:tr w:rsidR="00B20989">
        <w:trPr>
          <w:jc w:val="center"/>
        </w:trPr>
        <w:tc>
          <w:tcPr>
            <w:tcW w:w="850" w:type="dxa"/>
            <w:vAlign w:val="center"/>
          </w:tcPr>
          <w:p w:rsidR="00B20989" w:rsidRDefault="0087548B">
            <w:pPr>
              <w:jc w:val="center"/>
            </w:pPr>
            <w:r>
              <w:rPr>
                <w:color w:val="000000"/>
                <w:sz w:val="24"/>
              </w:rPr>
              <w:t>5</w:t>
            </w:r>
          </w:p>
        </w:tc>
        <w:tc>
          <w:tcPr>
            <w:tcW w:w="1327" w:type="dxa"/>
            <w:vAlign w:val="center"/>
          </w:tcPr>
          <w:p w:rsidR="00B20989" w:rsidRDefault="0087548B">
            <w:pPr>
              <w:jc w:val="center"/>
            </w:pPr>
            <w:r>
              <w:rPr>
                <w:color w:val="000000"/>
                <w:sz w:val="24"/>
              </w:rPr>
              <w:t>603105</w:t>
            </w:r>
          </w:p>
        </w:tc>
        <w:tc>
          <w:tcPr>
            <w:tcW w:w="1769" w:type="dxa"/>
            <w:vAlign w:val="center"/>
          </w:tcPr>
          <w:p w:rsidR="00B20989" w:rsidRDefault="0087548B">
            <w:pPr>
              <w:jc w:val="center"/>
            </w:pPr>
            <w:r>
              <w:rPr>
                <w:color w:val="000000"/>
                <w:sz w:val="24"/>
              </w:rPr>
              <w:t>芯能科技</w:t>
            </w:r>
          </w:p>
        </w:tc>
        <w:tc>
          <w:tcPr>
            <w:tcW w:w="1327" w:type="dxa"/>
            <w:vAlign w:val="center"/>
          </w:tcPr>
          <w:p w:rsidR="00B20989" w:rsidRDefault="0087548B">
            <w:pPr>
              <w:jc w:val="right"/>
            </w:pPr>
            <w:r>
              <w:rPr>
                <w:color w:val="000000"/>
                <w:sz w:val="24"/>
              </w:rPr>
              <w:t>3,410</w:t>
            </w:r>
          </w:p>
        </w:tc>
        <w:tc>
          <w:tcPr>
            <w:tcW w:w="1915" w:type="dxa"/>
            <w:vAlign w:val="center"/>
          </w:tcPr>
          <w:p w:rsidR="00B20989" w:rsidRDefault="0087548B">
            <w:pPr>
              <w:jc w:val="right"/>
            </w:pPr>
            <w:r>
              <w:rPr>
                <w:color w:val="000000"/>
                <w:sz w:val="24"/>
              </w:rPr>
              <w:t>16,470.30</w:t>
            </w:r>
          </w:p>
        </w:tc>
        <w:tc>
          <w:tcPr>
            <w:tcW w:w="1680" w:type="dxa"/>
            <w:vAlign w:val="center"/>
          </w:tcPr>
          <w:p w:rsidR="00B20989" w:rsidRDefault="0087548B">
            <w:pPr>
              <w:jc w:val="right"/>
            </w:pPr>
            <w:r>
              <w:rPr>
                <w:color w:val="000000"/>
                <w:sz w:val="24"/>
              </w:rPr>
              <w:t>0.06</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5.4 </w:t>
      </w:r>
      <w:r w:rsidRPr="007F52FA">
        <w:rPr>
          <w:b/>
          <w:color w:val="000000"/>
          <w:kern w:val="0"/>
          <w:sz w:val="24"/>
        </w:rPr>
        <w:t>报告期末按债券品种分类的债券投资组合</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390"/>
        <w:gridCol w:w="2948"/>
        <w:gridCol w:w="1680"/>
      </w:tblGrid>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序号</w:t>
            </w:r>
          </w:p>
        </w:tc>
        <w:tc>
          <w:tcPr>
            <w:tcW w:w="3260"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债券品种</w:t>
            </w:r>
          </w:p>
        </w:tc>
        <w:tc>
          <w:tcPr>
            <w:tcW w:w="2835"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公允价值</w:t>
            </w:r>
            <w:r w:rsidR="00B44260" w:rsidRPr="007F52FA">
              <w:rPr>
                <w:sz w:val="24"/>
              </w:rPr>
              <w:t>（元）</w:t>
            </w:r>
          </w:p>
        </w:tc>
        <w:tc>
          <w:tcPr>
            <w:tcW w:w="1616"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占基金资产净值比例</w:t>
            </w:r>
            <w:r w:rsidR="00B44260" w:rsidRPr="007F52FA">
              <w:rPr>
                <w:sz w:val="24"/>
              </w:rPr>
              <w:t>（</w:t>
            </w:r>
            <w:r w:rsidRPr="007F52FA">
              <w:rPr>
                <w:color w:val="000000"/>
                <w:sz w:val="24"/>
              </w:rPr>
              <w:t>％</w:t>
            </w:r>
            <w:r w:rsidR="00B44260" w:rsidRPr="007F52FA">
              <w:rPr>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1</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国家债券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2</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央行票据</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3</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金融债券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28,072,400.00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95.97</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其中：政策性金融债</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28,072,400.00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95.97</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4</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企业债券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5</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企业短期融资</w:t>
            </w:r>
            <w:r w:rsidR="00FA786F" w:rsidRPr="007F52FA">
              <w:rPr>
                <w:color w:val="000000"/>
                <w:sz w:val="24"/>
              </w:rPr>
              <w:t>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6</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中期票据</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7</w:t>
            </w:r>
          </w:p>
        </w:tc>
        <w:tc>
          <w:tcPr>
            <w:tcW w:w="3260" w:type="dxa"/>
            <w:vAlign w:val="center"/>
          </w:tcPr>
          <w:p w:rsidR="00686943" w:rsidRPr="007F52FA" w:rsidRDefault="00686943" w:rsidP="007F50FB">
            <w:pPr>
              <w:spacing w:before="29" w:line="288" w:lineRule="auto"/>
              <w:ind w:left="17"/>
              <w:jc w:val="left"/>
              <w:rPr>
                <w:color w:val="000000"/>
                <w:sz w:val="24"/>
              </w:rPr>
            </w:pPr>
            <w:r w:rsidRPr="007F52FA">
              <w:rPr>
                <w:color w:val="000000"/>
                <w:sz w:val="24"/>
              </w:rPr>
              <w:t>可转债</w:t>
            </w:r>
            <w:r w:rsidR="007F50FB" w:rsidRPr="007F52FA">
              <w:rPr>
                <w:sz w:val="24"/>
              </w:rPr>
              <w:t>（</w:t>
            </w:r>
            <w:r w:rsidR="007F50FB">
              <w:rPr>
                <w:rFonts w:hint="eastAsia"/>
                <w:sz w:val="24"/>
              </w:rPr>
              <w:t>可交换债</w:t>
            </w:r>
            <w:r w:rsidR="007F50FB" w:rsidRPr="007F52FA">
              <w:rPr>
                <w:sz w:val="24"/>
              </w:rPr>
              <w:t>）</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r>
      <w:tr w:rsidR="00514118" w:rsidRPr="007F52FA" w:rsidTr="000F7468">
        <w:trPr>
          <w:jc w:val="center"/>
        </w:trPr>
        <w:tc>
          <w:tcPr>
            <w:tcW w:w="817" w:type="dxa"/>
            <w:vAlign w:val="center"/>
          </w:tcPr>
          <w:p w:rsidR="00514118" w:rsidRPr="007F52FA" w:rsidRDefault="00514118" w:rsidP="007C14DF">
            <w:pPr>
              <w:spacing w:before="29" w:line="288" w:lineRule="auto"/>
              <w:ind w:left="17"/>
              <w:jc w:val="center"/>
              <w:rPr>
                <w:color w:val="000000"/>
                <w:sz w:val="24"/>
              </w:rPr>
            </w:pPr>
            <w:r>
              <w:rPr>
                <w:rFonts w:hint="eastAsia"/>
                <w:color w:val="000000"/>
                <w:sz w:val="24"/>
              </w:rPr>
              <w:t>8</w:t>
            </w:r>
          </w:p>
        </w:tc>
        <w:tc>
          <w:tcPr>
            <w:tcW w:w="3260" w:type="dxa"/>
            <w:vAlign w:val="center"/>
          </w:tcPr>
          <w:p w:rsidR="00514118" w:rsidRPr="007F52FA" w:rsidRDefault="00B279B6" w:rsidP="007C14DF">
            <w:pPr>
              <w:spacing w:before="29" w:line="288" w:lineRule="auto"/>
              <w:ind w:left="17"/>
              <w:jc w:val="left"/>
              <w:rPr>
                <w:color w:val="000000"/>
                <w:sz w:val="24"/>
              </w:rPr>
            </w:pPr>
            <w:r w:rsidRPr="00AF0CAB">
              <w:rPr>
                <w:rFonts w:hint="eastAsia"/>
                <w:color w:val="000000"/>
                <w:sz w:val="24"/>
              </w:rPr>
              <w:t>同业存单</w:t>
            </w:r>
          </w:p>
        </w:tc>
        <w:tc>
          <w:tcPr>
            <w:tcW w:w="2835" w:type="dxa"/>
            <w:vAlign w:val="center"/>
          </w:tcPr>
          <w:p w:rsidR="00514118" w:rsidRPr="007F52FA" w:rsidRDefault="001936D7" w:rsidP="007C14DF">
            <w:pPr>
              <w:spacing w:before="29" w:line="288" w:lineRule="auto"/>
              <w:ind w:left="17"/>
              <w:jc w:val="right"/>
              <w:rPr>
                <w:color w:val="000000"/>
                <w:sz w:val="24"/>
              </w:rPr>
            </w:pPr>
            <w:r w:rsidRPr="00AF0CAB">
              <w:rPr>
                <w:rFonts w:hint="eastAsia"/>
                <w:color w:val="000000"/>
                <w:sz w:val="24"/>
              </w:rPr>
              <w:t>-</w:t>
            </w:r>
          </w:p>
        </w:tc>
        <w:tc>
          <w:tcPr>
            <w:tcW w:w="1616" w:type="dxa"/>
            <w:vAlign w:val="center"/>
          </w:tcPr>
          <w:p w:rsidR="00514118" w:rsidRPr="007F52FA" w:rsidRDefault="00FC6F53" w:rsidP="007C14DF">
            <w:pPr>
              <w:spacing w:before="29" w:line="288" w:lineRule="auto"/>
              <w:ind w:left="17"/>
              <w:jc w:val="right"/>
              <w:rPr>
                <w:color w:val="000000"/>
                <w:sz w:val="24"/>
              </w:rPr>
            </w:pPr>
            <w:r w:rsidRPr="00AF0CAB">
              <w:rPr>
                <w:rFonts w:hint="eastAsia"/>
                <w:color w:val="000000"/>
                <w:sz w:val="24"/>
              </w:rPr>
              <w:t>-</w:t>
            </w:r>
          </w:p>
        </w:tc>
      </w:tr>
      <w:tr w:rsidR="00686943" w:rsidRPr="007F52FA" w:rsidTr="000F7468">
        <w:trPr>
          <w:jc w:val="center"/>
        </w:trPr>
        <w:tc>
          <w:tcPr>
            <w:tcW w:w="817" w:type="dxa"/>
            <w:vAlign w:val="center"/>
          </w:tcPr>
          <w:p w:rsidR="00686943" w:rsidRPr="007F52FA" w:rsidRDefault="00686943" w:rsidP="00CB375E">
            <w:pPr>
              <w:spacing w:before="29" w:line="288" w:lineRule="auto"/>
              <w:ind w:left="17"/>
              <w:jc w:val="center"/>
              <w:rPr>
                <w:color w:val="000000"/>
                <w:sz w:val="24"/>
              </w:rPr>
            </w:pPr>
            <w:r w:rsidRPr="007F52FA">
              <w:rPr>
                <w:color w:val="000000"/>
                <w:sz w:val="24"/>
              </w:rPr>
              <w:t>9</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其他</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w="817" w:type="dxa"/>
            <w:vAlign w:val="center"/>
          </w:tcPr>
          <w:p w:rsidR="00686943" w:rsidRPr="007F52FA" w:rsidRDefault="00686943" w:rsidP="00CB375E">
            <w:pPr>
              <w:spacing w:before="29" w:line="288" w:lineRule="auto"/>
              <w:ind w:left="17"/>
              <w:jc w:val="center"/>
              <w:rPr>
                <w:color w:val="000000"/>
                <w:sz w:val="24"/>
              </w:rPr>
            </w:pPr>
            <w:r w:rsidRPr="007F52FA">
              <w:rPr>
                <w:color w:val="000000"/>
                <w:sz w:val="24"/>
              </w:rPr>
              <w:t>10</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合计</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28,072,400.00</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95.97</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5.5 </w:t>
      </w:r>
      <w:r w:rsidR="005C47D0" w:rsidRPr="007F52FA">
        <w:rPr>
          <w:b/>
          <w:color w:val="000000"/>
          <w:kern w:val="0"/>
          <w:sz w:val="24"/>
        </w:rPr>
        <w:t>报告期末按公允价值占基金资产净值比例大小排序</w:t>
      </w:r>
      <w:r w:rsidRPr="007F52FA">
        <w:rPr>
          <w:b/>
          <w:color w:val="000000"/>
          <w:kern w:val="0"/>
          <w:sz w:val="24"/>
        </w:rPr>
        <w:t>的前五名债券投资明细</w:t>
      </w:r>
    </w:p>
    <w:tbl>
      <w:tblPr>
        <w:tblStyle w:val="af2"/>
        <w:tblW w:w="8868" w:type="dxa"/>
        <w:jc w:val="center"/>
        <w:tblLayout w:type="fixed"/>
        <w:tblCellMar>
          <w:top w:w="57" w:type="dxa"/>
          <w:bottom w:w="57" w:type="dxa"/>
        </w:tblCellMar>
        <w:tblLook w:val="04A0" w:firstRow="1" w:lastRow="0" w:firstColumn="1" w:lastColumn="0" w:noHBand="0" w:noVBand="1"/>
      </w:tblPr>
      <w:tblGrid>
        <w:gridCol w:w="1075"/>
        <w:gridCol w:w="1533"/>
        <w:gridCol w:w="1533"/>
        <w:gridCol w:w="1394"/>
        <w:gridCol w:w="1944"/>
        <w:gridCol w:w="1389"/>
      </w:tblGrid>
      <w:tr w:rsidR="00685FFC" w:rsidRPr="007F52FA" w:rsidTr="00B236A5">
        <w:trPr>
          <w:jc w:val="center"/>
        </w:trPr>
        <w:tc>
          <w:tcPr>
            <w:tcW w:w="1095"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序号</w:t>
            </w:r>
          </w:p>
        </w:tc>
        <w:tc>
          <w:tcPr>
            <w:tcW w:w="156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债券代码</w:t>
            </w:r>
          </w:p>
        </w:tc>
        <w:tc>
          <w:tcPr>
            <w:tcW w:w="156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债券名称</w:t>
            </w:r>
          </w:p>
        </w:tc>
        <w:tc>
          <w:tcPr>
            <w:tcW w:w="1420"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数量</w:t>
            </w:r>
            <w:r w:rsidR="00D0316E" w:rsidRPr="007F52FA">
              <w:rPr>
                <w:sz w:val="24"/>
              </w:rPr>
              <w:t>（</w:t>
            </w:r>
            <w:r w:rsidRPr="007F52FA">
              <w:rPr>
                <w:color w:val="000000"/>
                <w:kern w:val="0"/>
                <w:sz w:val="24"/>
              </w:rPr>
              <w:t>张</w:t>
            </w:r>
            <w:r w:rsidR="006314E0" w:rsidRPr="007F52FA">
              <w:rPr>
                <w:color w:val="000000"/>
                <w:kern w:val="0"/>
                <w:sz w:val="24"/>
              </w:rPr>
              <w:t>）</w:t>
            </w:r>
          </w:p>
        </w:tc>
        <w:tc>
          <w:tcPr>
            <w:tcW w:w="198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公允价值</w:t>
            </w:r>
            <w:r w:rsidR="008E0266" w:rsidRPr="007F52FA">
              <w:rPr>
                <w:color w:val="000000"/>
                <w:kern w:val="0"/>
                <w:sz w:val="24"/>
              </w:rPr>
              <w:t>(</w:t>
            </w:r>
            <w:r w:rsidR="008E0266" w:rsidRPr="007F52FA">
              <w:rPr>
                <w:color w:val="000000"/>
                <w:kern w:val="0"/>
                <w:sz w:val="24"/>
              </w:rPr>
              <w:t>元</w:t>
            </w:r>
            <w:r w:rsidR="008E0266" w:rsidRPr="007F52FA">
              <w:rPr>
                <w:color w:val="000000"/>
                <w:kern w:val="0"/>
                <w:sz w:val="24"/>
              </w:rPr>
              <w:t>)</w:t>
            </w:r>
          </w:p>
        </w:tc>
        <w:tc>
          <w:tcPr>
            <w:tcW w:w="1415"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占基金资产净值比</w:t>
            </w:r>
            <w:r w:rsidR="00334656" w:rsidRPr="007F52FA">
              <w:rPr>
                <w:color w:val="000000"/>
                <w:kern w:val="0"/>
                <w:sz w:val="24"/>
              </w:rPr>
              <w:t>例</w:t>
            </w:r>
            <w:r w:rsidRPr="007F52FA">
              <w:rPr>
                <w:color w:val="000000"/>
                <w:kern w:val="0"/>
                <w:sz w:val="24"/>
              </w:rPr>
              <w:t>（％）</w:t>
            </w:r>
          </w:p>
        </w:tc>
      </w:tr>
      <w:tr w:rsidR="00B20989">
        <w:trPr>
          <w:jc w:val="center"/>
        </w:trPr>
        <w:tc>
          <w:tcPr>
            <w:tcW w:w="1075" w:type="dxa"/>
            <w:vAlign w:val="center"/>
          </w:tcPr>
          <w:p w:rsidR="00B20989" w:rsidRDefault="0087548B">
            <w:pPr>
              <w:jc w:val="center"/>
            </w:pPr>
            <w:r>
              <w:rPr>
                <w:color w:val="000000"/>
                <w:sz w:val="24"/>
              </w:rPr>
              <w:t>1</w:t>
            </w:r>
          </w:p>
        </w:tc>
        <w:tc>
          <w:tcPr>
            <w:tcW w:w="1533" w:type="dxa"/>
            <w:vAlign w:val="center"/>
          </w:tcPr>
          <w:p w:rsidR="00B20989" w:rsidRDefault="0087548B">
            <w:pPr>
              <w:jc w:val="center"/>
            </w:pPr>
            <w:r>
              <w:rPr>
                <w:color w:val="000000"/>
                <w:sz w:val="24"/>
              </w:rPr>
              <w:t>170209</w:t>
            </w:r>
          </w:p>
        </w:tc>
        <w:tc>
          <w:tcPr>
            <w:tcW w:w="1533" w:type="dxa"/>
            <w:vAlign w:val="center"/>
          </w:tcPr>
          <w:p w:rsidR="00B20989" w:rsidRDefault="0087548B">
            <w:pPr>
              <w:jc w:val="center"/>
            </w:pPr>
            <w:r>
              <w:rPr>
                <w:color w:val="000000"/>
                <w:sz w:val="24"/>
              </w:rPr>
              <w:t>17</w:t>
            </w:r>
            <w:r>
              <w:rPr>
                <w:color w:val="000000"/>
                <w:sz w:val="24"/>
              </w:rPr>
              <w:t>国开</w:t>
            </w:r>
            <w:r>
              <w:rPr>
                <w:color w:val="000000"/>
                <w:sz w:val="24"/>
              </w:rPr>
              <w:t>09</w:t>
            </w:r>
          </w:p>
        </w:tc>
        <w:tc>
          <w:tcPr>
            <w:tcW w:w="1394" w:type="dxa"/>
            <w:vAlign w:val="center"/>
          </w:tcPr>
          <w:p w:rsidR="00B20989" w:rsidRDefault="0087548B">
            <w:pPr>
              <w:jc w:val="right"/>
            </w:pPr>
            <w:r>
              <w:rPr>
                <w:color w:val="000000"/>
                <w:sz w:val="24"/>
              </w:rPr>
              <w:t>200,000</w:t>
            </w:r>
          </w:p>
        </w:tc>
        <w:tc>
          <w:tcPr>
            <w:tcW w:w="1944" w:type="dxa"/>
            <w:vAlign w:val="center"/>
          </w:tcPr>
          <w:p w:rsidR="00B20989" w:rsidRDefault="0087548B">
            <w:pPr>
              <w:jc w:val="right"/>
            </w:pPr>
            <w:r>
              <w:rPr>
                <w:color w:val="000000"/>
                <w:sz w:val="24"/>
              </w:rPr>
              <w:t>20,042,000.00</w:t>
            </w:r>
          </w:p>
        </w:tc>
        <w:tc>
          <w:tcPr>
            <w:tcW w:w="1389" w:type="dxa"/>
            <w:vAlign w:val="center"/>
          </w:tcPr>
          <w:p w:rsidR="00B20989" w:rsidRDefault="0087548B">
            <w:pPr>
              <w:jc w:val="right"/>
            </w:pPr>
            <w:r>
              <w:rPr>
                <w:color w:val="000000"/>
                <w:sz w:val="24"/>
              </w:rPr>
              <w:t>68.52</w:t>
            </w:r>
          </w:p>
        </w:tc>
      </w:tr>
      <w:tr w:rsidR="00B20989">
        <w:trPr>
          <w:jc w:val="center"/>
        </w:trPr>
        <w:tc>
          <w:tcPr>
            <w:tcW w:w="1075" w:type="dxa"/>
            <w:vAlign w:val="center"/>
          </w:tcPr>
          <w:p w:rsidR="00B20989" w:rsidRDefault="0087548B">
            <w:pPr>
              <w:jc w:val="center"/>
            </w:pPr>
            <w:r>
              <w:rPr>
                <w:color w:val="000000"/>
                <w:sz w:val="24"/>
              </w:rPr>
              <w:t>2</w:t>
            </w:r>
          </w:p>
        </w:tc>
        <w:tc>
          <w:tcPr>
            <w:tcW w:w="1533" w:type="dxa"/>
            <w:vAlign w:val="center"/>
          </w:tcPr>
          <w:p w:rsidR="00B20989" w:rsidRDefault="0087548B">
            <w:pPr>
              <w:jc w:val="center"/>
            </w:pPr>
            <w:r>
              <w:rPr>
                <w:color w:val="000000"/>
                <w:sz w:val="24"/>
              </w:rPr>
              <w:t>018005</w:t>
            </w:r>
          </w:p>
        </w:tc>
        <w:tc>
          <w:tcPr>
            <w:tcW w:w="1533" w:type="dxa"/>
            <w:vAlign w:val="center"/>
          </w:tcPr>
          <w:p w:rsidR="00B20989" w:rsidRDefault="0087548B">
            <w:pPr>
              <w:jc w:val="center"/>
            </w:pPr>
            <w:r>
              <w:rPr>
                <w:color w:val="000000"/>
                <w:sz w:val="24"/>
              </w:rPr>
              <w:t>国开</w:t>
            </w:r>
            <w:r>
              <w:rPr>
                <w:color w:val="000000"/>
                <w:sz w:val="24"/>
              </w:rPr>
              <w:t>1701</w:t>
            </w:r>
          </w:p>
        </w:tc>
        <w:tc>
          <w:tcPr>
            <w:tcW w:w="1394" w:type="dxa"/>
            <w:vAlign w:val="center"/>
          </w:tcPr>
          <w:p w:rsidR="00B20989" w:rsidRDefault="0087548B">
            <w:pPr>
              <w:jc w:val="right"/>
            </w:pPr>
            <w:r>
              <w:rPr>
                <w:color w:val="000000"/>
                <w:sz w:val="24"/>
              </w:rPr>
              <w:t>80,000</w:t>
            </w:r>
          </w:p>
        </w:tc>
        <w:tc>
          <w:tcPr>
            <w:tcW w:w="1944" w:type="dxa"/>
            <w:vAlign w:val="center"/>
          </w:tcPr>
          <w:p w:rsidR="00B20989" w:rsidRDefault="0087548B">
            <w:pPr>
              <w:jc w:val="right"/>
            </w:pPr>
            <w:r>
              <w:rPr>
                <w:color w:val="000000"/>
                <w:sz w:val="24"/>
              </w:rPr>
              <w:t>8,030,400.00</w:t>
            </w:r>
          </w:p>
        </w:tc>
        <w:tc>
          <w:tcPr>
            <w:tcW w:w="1389" w:type="dxa"/>
            <w:vAlign w:val="center"/>
          </w:tcPr>
          <w:p w:rsidR="00B20989" w:rsidRDefault="0087548B">
            <w:pPr>
              <w:jc w:val="right"/>
            </w:pPr>
            <w:r>
              <w:rPr>
                <w:color w:val="000000"/>
                <w:sz w:val="24"/>
              </w:rPr>
              <w:t>27.45</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5.6</w:t>
      </w:r>
      <w:r w:rsidRPr="007F52FA">
        <w:rPr>
          <w:b/>
          <w:color w:val="000000"/>
          <w:kern w:val="0"/>
          <w:sz w:val="24"/>
        </w:rPr>
        <w:t xml:space="preserve">　报告期末按公允价值占基金资产净值比例大小排</w:t>
      </w:r>
      <w:r w:rsidR="005C47D0" w:rsidRPr="007F52FA">
        <w:rPr>
          <w:b/>
          <w:color w:val="000000"/>
          <w:kern w:val="0"/>
          <w:sz w:val="24"/>
        </w:rPr>
        <w:t>序</w:t>
      </w:r>
      <w:r w:rsidRPr="007F52FA">
        <w:rPr>
          <w:b/>
          <w:color w:val="000000"/>
          <w:kern w:val="0"/>
          <w:sz w:val="24"/>
        </w:rPr>
        <w:t>的前十名资产支持证券投资明细</w:t>
      </w:r>
    </w:p>
    <w:p w:rsidR="009238DB" w:rsidRPr="007F52FA" w:rsidRDefault="00C260A2" w:rsidP="007C14DF">
      <w:pPr>
        <w:autoSpaceDE w:val="0"/>
        <w:autoSpaceDN w:val="0"/>
        <w:adjustRightInd w:val="0"/>
        <w:spacing w:before="29" w:line="288" w:lineRule="auto"/>
        <w:jc w:val="left"/>
        <w:rPr>
          <w:color w:val="000000"/>
          <w:sz w:val="24"/>
        </w:rPr>
      </w:pPr>
      <w:r w:rsidRPr="007F52FA">
        <w:rPr>
          <w:color w:val="000000"/>
          <w:sz w:val="24"/>
        </w:rPr>
        <w:t>本基金本报告期末未持有资产支持证券。</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r w:rsidRPr="007F52FA">
        <w:rPr>
          <w:rFonts w:eastAsiaTheme="minorEastAsia"/>
          <w:b/>
          <w:bCs/>
          <w:color w:val="000000"/>
          <w:kern w:val="0"/>
          <w:sz w:val="24"/>
        </w:rPr>
        <w:t xml:space="preserve">5.7 </w:t>
      </w:r>
      <w:r w:rsidRPr="007F52FA">
        <w:rPr>
          <w:rFonts w:hAnsi="宋体"/>
          <w:b/>
          <w:bCs/>
          <w:color w:val="000000"/>
          <w:kern w:val="0"/>
          <w:sz w:val="24"/>
        </w:rPr>
        <w:t>报告期末按公允价值占基金资产净值比例大小排序的前五名贵金属投资明细</w:t>
      </w:r>
    </w:p>
    <w:p w:rsidR="00680BCE" w:rsidRPr="007F52FA" w:rsidRDefault="00680BCE" w:rsidP="00CB1FEE">
      <w:pPr>
        <w:autoSpaceDE w:val="0"/>
        <w:autoSpaceDN w:val="0"/>
        <w:adjustRightInd w:val="0"/>
        <w:spacing w:before="29" w:line="288" w:lineRule="auto"/>
        <w:jc w:val="left"/>
        <w:rPr>
          <w:sz w:val="24"/>
        </w:rPr>
      </w:pPr>
      <w:r w:rsidRPr="007F52FA">
        <w:rPr>
          <w:sz w:val="24"/>
        </w:rPr>
        <w:t>本基金本报告期末未持有贵金属。</w:t>
      </w: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1D5CD0" w:rsidP="007C14DF">
      <w:pPr>
        <w:autoSpaceDE w:val="0"/>
        <w:autoSpaceDN w:val="0"/>
        <w:adjustRightInd w:val="0"/>
        <w:spacing w:before="29" w:line="288" w:lineRule="auto"/>
        <w:jc w:val="left"/>
        <w:rPr>
          <w:b/>
          <w:color w:val="000000"/>
          <w:kern w:val="0"/>
          <w:sz w:val="24"/>
        </w:rPr>
      </w:pPr>
      <w:r w:rsidRPr="007F52FA">
        <w:rPr>
          <w:b/>
          <w:color w:val="000000"/>
          <w:kern w:val="0"/>
          <w:sz w:val="24"/>
        </w:rPr>
        <w:t>5</w:t>
      </w:r>
      <w:r w:rsidR="009238DB" w:rsidRPr="007F52FA">
        <w:rPr>
          <w:b/>
          <w:color w:val="000000"/>
          <w:kern w:val="0"/>
          <w:sz w:val="24"/>
        </w:rPr>
        <w:t>.</w:t>
      </w:r>
      <w:r w:rsidRPr="007F52FA">
        <w:rPr>
          <w:b/>
          <w:color w:val="000000"/>
          <w:kern w:val="0"/>
          <w:sz w:val="24"/>
        </w:rPr>
        <w:t>8</w:t>
      </w:r>
      <w:r w:rsidR="009238DB" w:rsidRPr="007F52FA">
        <w:rPr>
          <w:b/>
          <w:color w:val="000000"/>
          <w:kern w:val="0"/>
          <w:sz w:val="24"/>
        </w:rPr>
        <w:t>报告期末按公允价值占基金资产净值比例大小排</w:t>
      </w:r>
      <w:r w:rsidR="005C47D0" w:rsidRPr="007F52FA">
        <w:rPr>
          <w:b/>
          <w:color w:val="000000"/>
          <w:kern w:val="0"/>
          <w:sz w:val="24"/>
        </w:rPr>
        <w:t>序</w:t>
      </w:r>
      <w:r w:rsidR="009238DB" w:rsidRPr="007F52FA">
        <w:rPr>
          <w:b/>
          <w:color w:val="000000"/>
          <w:kern w:val="0"/>
          <w:sz w:val="24"/>
        </w:rPr>
        <w:t>的前五名权证投资明细</w:t>
      </w:r>
    </w:p>
    <w:p w:rsidR="00C260A2" w:rsidRPr="007F52FA" w:rsidRDefault="00C260A2" w:rsidP="007C14DF">
      <w:pPr>
        <w:autoSpaceDE w:val="0"/>
        <w:autoSpaceDN w:val="0"/>
        <w:adjustRightInd w:val="0"/>
        <w:spacing w:before="29" w:line="288" w:lineRule="auto"/>
        <w:jc w:val="left"/>
        <w:rPr>
          <w:color w:val="000000"/>
          <w:sz w:val="24"/>
        </w:rPr>
      </w:pPr>
      <w:r w:rsidRPr="007F52FA">
        <w:rPr>
          <w:color w:val="000000"/>
          <w:sz w:val="24"/>
        </w:rPr>
        <w:lastRenderedPageBreak/>
        <w:t>本基金本报告期末未持有权证。</w:t>
      </w:r>
    </w:p>
    <w:p w:rsidR="001D5CD0" w:rsidRPr="007F52FA" w:rsidRDefault="001D5CD0" w:rsidP="007C14DF">
      <w:pPr>
        <w:autoSpaceDE w:val="0"/>
        <w:autoSpaceDN w:val="0"/>
        <w:adjustRightInd w:val="0"/>
        <w:spacing w:before="29" w:line="288" w:lineRule="auto"/>
        <w:jc w:val="left"/>
        <w:rPr>
          <w:rFonts w:eastAsiaTheme="minorEastAsia"/>
          <w:color w:val="000000"/>
          <w:kern w:val="0"/>
          <w:sz w:val="24"/>
        </w:rPr>
      </w:pPr>
    </w:p>
    <w:p w:rsidR="001D5CD0" w:rsidRPr="007F52FA" w:rsidRDefault="001D5CD0" w:rsidP="007C14DF">
      <w:pPr>
        <w:adjustRightInd w:val="0"/>
        <w:snapToGrid w:val="0"/>
        <w:spacing w:before="29" w:line="288" w:lineRule="auto"/>
        <w:rPr>
          <w:b/>
          <w:sz w:val="24"/>
        </w:rPr>
      </w:pPr>
      <w:r w:rsidRPr="007F52FA">
        <w:rPr>
          <w:b/>
          <w:sz w:val="24"/>
        </w:rPr>
        <w:t xml:space="preserve">5.9 </w:t>
      </w:r>
      <w:r w:rsidRPr="007F52FA">
        <w:rPr>
          <w:b/>
          <w:sz w:val="24"/>
        </w:rPr>
        <w:t>报告期末本基金投资的股指期货交易情况说明</w:t>
      </w:r>
    </w:p>
    <w:p w:rsidR="001D5CD0" w:rsidRPr="007F52FA" w:rsidRDefault="001D5CD0" w:rsidP="007C14DF">
      <w:pPr>
        <w:autoSpaceDE w:val="0"/>
        <w:autoSpaceDN w:val="0"/>
        <w:adjustRightInd w:val="0"/>
        <w:spacing w:before="29" w:line="288" w:lineRule="auto"/>
        <w:jc w:val="left"/>
        <w:rPr>
          <w:sz w:val="24"/>
        </w:rPr>
      </w:pPr>
      <w:r w:rsidRPr="007F52FA">
        <w:rPr>
          <w:sz w:val="24"/>
        </w:rPr>
        <w:t>本基金本报告期末未持有股指期货。</w:t>
      </w:r>
    </w:p>
    <w:p w:rsidR="001D5CD0" w:rsidRPr="007F52FA" w:rsidRDefault="001D5CD0" w:rsidP="007C14DF">
      <w:pPr>
        <w:autoSpaceDE w:val="0"/>
        <w:autoSpaceDN w:val="0"/>
        <w:adjustRightInd w:val="0"/>
        <w:spacing w:before="29" w:line="288" w:lineRule="auto"/>
        <w:jc w:val="left"/>
        <w:rPr>
          <w:b/>
          <w:sz w:val="24"/>
        </w:rPr>
      </w:pPr>
    </w:p>
    <w:p w:rsidR="00A7062E" w:rsidRPr="007F52FA" w:rsidRDefault="001D5CD0" w:rsidP="007C14DF">
      <w:pPr>
        <w:adjustRightInd w:val="0"/>
        <w:snapToGrid w:val="0"/>
        <w:spacing w:before="29" w:line="288" w:lineRule="auto"/>
        <w:rPr>
          <w:b/>
          <w:sz w:val="24"/>
        </w:rPr>
      </w:pPr>
      <w:r w:rsidRPr="007F52FA">
        <w:rPr>
          <w:b/>
          <w:sz w:val="24"/>
        </w:rPr>
        <w:t>5.10</w:t>
      </w:r>
      <w:r w:rsidRPr="007F52FA">
        <w:rPr>
          <w:b/>
          <w:sz w:val="24"/>
        </w:rPr>
        <w:t>报告期末本基金投资的国债期货交易情况说明</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本基金本报告期末未持有国债期货。</w:t>
      </w:r>
    </w:p>
    <w:p w:rsidR="00DB56EC" w:rsidRPr="007F52FA" w:rsidRDefault="00DB56EC" w:rsidP="007C14DF">
      <w:pPr>
        <w:autoSpaceDE w:val="0"/>
        <w:autoSpaceDN w:val="0"/>
        <w:adjustRightInd w:val="0"/>
        <w:spacing w:before="29" w:line="288" w:lineRule="auto"/>
        <w:jc w:val="left"/>
        <w:rPr>
          <w:rFonts w:eastAsiaTheme="minorEastAsia"/>
          <w:sz w:val="24"/>
        </w:rPr>
      </w:pPr>
    </w:p>
    <w:p w:rsidR="001D5CD0" w:rsidRPr="007F52FA" w:rsidRDefault="001D5CD0" w:rsidP="007C14DF">
      <w:pPr>
        <w:autoSpaceDE w:val="0"/>
        <w:autoSpaceDN w:val="0"/>
        <w:adjustRightInd w:val="0"/>
        <w:spacing w:before="29" w:line="288" w:lineRule="auto"/>
        <w:jc w:val="left"/>
        <w:rPr>
          <w:b/>
          <w:kern w:val="0"/>
          <w:sz w:val="24"/>
        </w:rPr>
      </w:pPr>
      <w:r w:rsidRPr="007F52FA">
        <w:rPr>
          <w:b/>
          <w:kern w:val="0"/>
          <w:sz w:val="24"/>
        </w:rPr>
        <w:t>5.11</w:t>
      </w:r>
      <w:r w:rsidRPr="007F52FA">
        <w:rPr>
          <w:b/>
          <w:kern w:val="0"/>
          <w:sz w:val="24"/>
        </w:rPr>
        <w:t>投资组合报告附注</w:t>
      </w:r>
    </w:p>
    <w:p w:rsidR="00384E65" w:rsidRPr="00384E65" w:rsidRDefault="00384E65" w:rsidP="00A0678E">
      <w:pPr>
        <w:autoSpaceDE w:val="0"/>
        <w:autoSpaceDN w:val="0"/>
        <w:adjustRightInd w:val="0"/>
        <w:spacing w:before="29" w:line="288" w:lineRule="auto"/>
        <w:rPr>
          <w:kern w:val="0"/>
          <w:sz w:val="24"/>
        </w:rPr>
      </w:pPr>
      <w:r w:rsidRPr="00384E65">
        <w:rPr>
          <w:kern w:val="0"/>
          <w:sz w:val="24"/>
        </w:rPr>
        <w:t>5.11.1</w:t>
      </w:r>
      <w:r w:rsidRPr="00384E65">
        <w:rPr>
          <w:kern w:val="0"/>
          <w:sz w:val="24"/>
        </w:rPr>
        <w:t>报告期内本基金投资的前十名证券的发行主体未被监管部门立案调查，在本报告编制日前一年内本基金投资的前十名证券的发行主体未受到公开谴责和处罚。</w:t>
      </w:r>
    </w:p>
    <w:p w:rsidR="00384E65" w:rsidRPr="00384E65" w:rsidRDefault="00384E65" w:rsidP="00A0678E">
      <w:pPr>
        <w:autoSpaceDE w:val="0"/>
        <w:autoSpaceDN w:val="0"/>
        <w:adjustRightInd w:val="0"/>
        <w:spacing w:before="29" w:line="288" w:lineRule="auto"/>
        <w:rPr>
          <w:kern w:val="0"/>
          <w:sz w:val="24"/>
        </w:rPr>
      </w:pPr>
      <w:r w:rsidRPr="00384E65">
        <w:rPr>
          <w:kern w:val="0"/>
          <w:sz w:val="24"/>
        </w:rPr>
        <w:t>5.11.2</w:t>
      </w:r>
      <w:r w:rsidRPr="00384E65">
        <w:rPr>
          <w:kern w:val="0"/>
          <w:sz w:val="24"/>
        </w:rPr>
        <w:t>本基金投资的前十名股票中，没有超出基金合同规定的备选股票库之外的股票。</w:t>
      </w:r>
    </w:p>
    <w:p w:rsidR="001D5CD0" w:rsidRPr="007F52FA" w:rsidRDefault="001D5CD0" w:rsidP="007C14DF">
      <w:pPr>
        <w:autoSpaceDE w:val="0"/>
        <w:autoSpaceDN w:val="0"/>
        <w:adjustRightInd w:val="0"/>
        <w:spacing w:before="29" w:line="288" w:lineRule="auto"/>
        <w:rPr>
          <w:kern w:val="0"/>
          <w:sz w:val="24"/>
        </w:rPr>
      </w:pPr>
      <w:r w:rsidRPr="007F52FA">
        <w:rPr>
          <w:kern w:val="0"/>
          <w:sz w:val="24"/>
        </w:rPr>
        <w:t>5.11.3</w:t>
      </w:r>
      <w:r w:rsidR="00E84F32" w:rsidRPr="007F52FA">
        <w:rPr>
          <w:kern w:val="0"/>
          <w:sz w:val="24"/>
        </w:rPr>
        <w:t>其他</w:t>
      </w:r>
      <w:r w:rsidRPr="007F52FA">
        <w:rPr>
          <w:kern w:val="0"/>
          <w:sz w:val="24"/>
        </w:rPr>
        <w:t>资产构成</w:t>
      </w:r>
    </w:p>
    <w:tbl>
      <w:tblPr>
        <w:tblStyle w:val="af2"/>
        <w:tblW w:w="8868" w:type="dxa"/>
        <w:jc w:val="center"/>
        <w:tblLook w:val="04A0" w:firstRow="1" w:lastRow="0" w:firstColumn="1" w:lastColumn="0" w:noHBand="0" w:noVBand="1"/>
      </w:tblPr>
      <w:tblGrid>
        <w:gridCol w:w="1246"/>
        <w:gridCol w:w="2777"/>
        <w:gridCol w:w="4845"/>
      </w:tblGrid>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序号</w:t>
            </w:r>
          </w:p>
        </w:tc>
        <w:tc>
          <w:tcPr>
            <w:tcW w:w="281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名称</w:t>
            </w:r>
          </w:p>
        </w:tc>
        <w:tc>
          <w:tcPr>
            <w:tcW w:w="490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金额</w:t>
            </w:r>
            <w:r w:rsidR="00A54D53" w:rsidRPr="007F52FA">
              <w:rPr>
                <w:color w:val="000000"/>
                <w:kern w:val="0"/>
                <w:sz w:val="24"/>
              </w:rPr>
              <w:t>（</w:t>
            </w:r>
            <w:r w:rsidR="00343175" w:rsidRPr="007F52FA">
              <w:t>元</w:t>
            </w:r>
            <w:r w:rsidR="00A54D53"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kern w:val="0"/>
                <w:sz w:val="24"/>
              </w:rPr>
            </w:pPr>
            <w:r w:rsidRPr="007F52FA">
              <w:rPr>
                <w:color w:val="000000"/>
                <w:sz w:val="24"/>
              </w:rPr>
              <w:t>1</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存出保证金</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19,119.76</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2</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应收证券清算款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3</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应收股利</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4</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应收利息</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746,483.31</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5</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应收申购款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796.58</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6</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其他应收款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7</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sz w:val="24"/>
              </w:rPr>
            </w:pPr>
            <w:r w:rsidRPr="007F52FA">
              <w:rPr>
                <w:color w:val="000000"/>
                <w:sz w:val="24"/>
              </w:rPr>
              <w:t>待摊费用</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sz w:val="24"/>
              </w:rPr>
            </w:pPr>
            <w:r w:rsidRPr="007F52FA">
              <w:rPr>
                <w:color w:val="000000"/>
                <w:sz w:val="24"/>
              </w:rPr>
              <w:t>-</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8</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9</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合计</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766,399.65</w:t>
            </w:r>
          </w:p>
        </w:tc>
      </w:tr>
    </w:tbl>
    <w:p w:rsidR="001D5CD0" w:rsidRPr="007F52FA" w:rsidRDefault="001D5CD0" w:rsidP="007C14DF">
      <w:pPr>
        <w:autoSpaceDE w:val="0"/>
        <w:autoSpaceDN w:val="0"/>
        <w:adjustRightInd w:val="0"/>
        <w:spacing w:before="29" w:line="288" w:lineRule="auto"/>
        <w:jc w:val="left"/>
        <w:rPr>
          <w:sz w:val="24"/>
        </w:rPr>
      </w:pPr>
    </w:p>
    <w:p w:rsidR="001D5CD0" w:rsidRPr="007F52FA" w:rsidRDefault="001D5CD0" w:rsidP="007C14DF">
      <w:pPr>
        <w:autoSpaceDE w:val="0"/>
        <w:autoSpaceDN w:val="0"/>
        <w:adjustRightInd w:val="0"/>
        <w:spacing w:before="29" w:line="288" w:lineRule="auto"/>
        <w:jc w:val="left"/>
        <w:rPr>
          <w:kern w:val="0"/>
          <w:sz w:val="24"/>
        </w:rPr>
      </w:pPr>
      <w:r w:rsidRPr="007F52FA">
        <w:rPr>
          <w:kern w:val="0"/>
          <w:sz w:val="24"/>
        </w:rPr>
        <w:t>5.11.4</w:t>
      </w:r>
      <w:r w:rsidRPr="007F52FA">
        <w:rPr>
          <w:kern w:val="0"/>
          <w:sz w:val="24"/>
        </w:rPr>
        <w:t>报告期末持有的处于转股期的可转换债券明细</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本基金本报告期末未持有处于转股期的可转换债券。</w:t>
      </w:r>
    </w:p>
    <w:p w:rsidR="001D5CD0" w:rsidRPr="007F52FA" w:rsidRDefault="001D5CD0" w:rsidP="007C14DF">
      <w:pPr>
        <w:autoSpaceDE w:val="0"/>
        <w:autoSpaceDN w:val="0"/>
        <w:adjustRightInd w:val="0"/>
        <w:spacing w:before="29" w:line="288" w:lineRule="auto"/>
        <w:jc w:val="left"/>
        <w:rPr>
          <w:rFonts w:eastAsiaTheme="minorEastAsia"/>
          <w:sz w:val="24"/>
        </w:rPr>
      </w:pPr>
    </w:p>
    <w:p w:rsidR="001D5CD0" w:rsidRPr="007F52FA" w:rsidRDefault="001D5CD0" w:rsidP="007C14DF">
      <w:pPr>
        <w:autoSpaceDE w:val="0"/>
        <w:autoSpaceDN w:val="0"/>
        <w:adjustRightInd w:val="0"/>
        <w:spacing w:before="29" w:line="288" w:lineRule="auto"/>
        <w:jc w:val="left"/>
        <w:rPr>
          <w:rFonts w:eastAsiaTheme="minorEastAsia"/>
          <w:bCs/>
          <w:sz w:val="24"/>
        </w:rPr>
      </w:pPr>
      <w:r w:rsidRPr="007F52FA">
        <w:rPr>
          <w:rFonts w:eastAsiaTheme="minorEastAsia"/>
          <w:kern w:val="0"/>
          <w:sz w:val="24"/>
        </w:rPr>
        <w:t>5.11.5</w:t>
      </w:r>
      <w:r w:rsidRPr="007F52FA">
        <w:rPr>
          <w:rFonts w:eastAsiaTheme="minorEastAsia"/>
          <w:bCs/>
          <w:sz w:val="24"/>
        </w:rPr>
        <w:t>报告期末前十名股票中存在流通受限情况的说明</w:t>
      </w:r>
    </w:p>
    <w:tbl>
      <w:tblPr>
        <w:tblStyle w:val="af2"/>
        <w:tblW w:w="8868" w:type="dxa"/>
        <w:jc w:val="center"/>
        <w:tblLayout w:type="fixed"/>
        <w:tblCellMar>
          <w:top w:w="57" w:type="dxa"/>
          <w:bottom w:w="57" w:type="dxa"/>
        </w:tblCellMar>
        <w:tblLook w:val="04A0" w:firstRow="1" w:lastRow="0" w:firstColumn="1" w:lastColumn="0" w:noHBand="0" w:noVBand="1"/>
      </w:tblPr>
      <w:tblGrid>
        <w:gridCol w:w="1129"/>
        <w:gridCol w:w="1356"/>
        <w:gridCol w:w="1355"/>
        <w:gridCol w:w="1880"/>
        <w:gridCol w:w="1724"/>
        <w:gridCol w:w="1424"/>
      </w:tblGrid>
      <w:tr w:rsidR="001D5CD0" w:rsidRPr="007F52FA" w:rsidTr="00837861">
        <w:trPr>
          <w:jc w:val="center"/>
        </w:trPr>
        <w:tc>
          <w:tcPr>
            <w:tcW w:w="1083"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序号</w:t>
            </w:r>
          </w:p>
        </w:tc>
        <w:tc>
          <w:tcPr>
            <w:tcW w:w="1302"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股票代码</w:t>
            </w:r>
          </w:p>
        </w:tc>
        <w:tc>
          <w:tcPr>
            <w:tcW w:w="1301"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股票名称</w:t>
            </w:r>
          </w:p>
        </w:tc>
        <w:tc>
          <w:tcPr>
            <w:tcW w:w="1805"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流通受限部分的公允价值</w:t>
            </w:r>
            <w:r w:rsidR="00FA00C3" w:rsidRPr="007F52FA">
              <w:rPr>
                <w:color w:val="000000"/>
                <w:kern w:val="0"/>
                <w:sz w:val="24"/>
              </w:rPr>
              <w:t>(</w:t>
            </w:r>
            <w:r w:rsidRPr="007F52FA">
              <w:rPr>
                <w:rFonts w:eastAsiaTheme="minorEastAsia"/>
                <w:color w:val="000000"/>
                <w:sz w:val="24"/>
              </w:rPr>
              <w:t>元</w:t>
            </w:r>
            <w:r w:rsidR="00FA00C3" w:rsidRPr="007F52FA">
              <w:rPr>
                <w:color w:val="000000"/>
                <w:kern w:val="0"/>
                <w:sz w:val="24"/>
              </w:rPr>
              <w:t>)</w:t>
            </w:r>
          </w:p>
        </w:tc>
        <w:tc>
          <w:tcPr>
            <w:tcW w:w="1655"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占基金资产净值比例</w:t>
            </w:r>
            <w:r w:rsidR="00664462" w:rsidRPr="007F52FA">
              <w:rPr>
                <w:color w:val="000000"/>
                <w:kern w:val="0"/>
                <w:sz w:val="24"/>
              </w:rPr>
              <w:t>（</w:t>
            </w:r>
            <w:r w:rsidR="00863A9A" w:rsidRPr="007F52FA">
              <w:rPr>
                <w:color w:val="000000"/>
                <w:kern w:val="0"/>
                <w:sz w:val="24"/>
              </w:rPr>
              <w:t>％</w:t>
            </w:r>
            <w:r w:rsidR="00664462" w:rsidRPr="007F52FA">
              <w:rPr>
                <w:color w:val="000000"/>
                <w:kern w:val="0"/>
                <w:sz w:val="24"/>
              </w:rPr>
              <w:t>）</w:t>
            </w:r>
          </w:p>
        </w:tc>
        <w:tc>
          <w:tcPr>
            <w:tcW w:w="1367"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流通受限情况说明</w:t>
            </w:r>
          </w:p>
        </w:tc>
      </w:tr>
      <w:tr w:rsidR="00B20989">
        <w:trPr>
          <w:jc w:val="center"/>
        </w:trPr>
        <w:tc>
          <w:tcPr>
            <w:tcW w:w="1129" w:type="dxa"/>
            <w:vAlign w:val="center"/>
          </w:tcPr>
          <w:p w:rsidR="00B20989" w:rsidRDefault="0087548B">
            <w:pPr>
              <w:jc w:val="center"/>
            </w:pPr>
            <w:r>
              <w:rPr>
                <w:rFonts w:eastAsiaTheme="minorEastAsia"/>
                <w:color w:val="000000"/>
                <w:sz w:val="24"/>
              </w:rPr>
              <w:t>1</w:t>
            </w:r>
          </w:p>
        </w:tc>
        <w:tc>
          <w:tcPr>
            <w:tcW w:w="1356" w:type="dxa"/>
            <w:vAlign w:val="center"/>
          </w:tcPr>
          <w:p w:rsidR="00B20989" w:rsidRDefault="0087548B">
            <w:pPr>
              <w:jc w:val="center"/>
            </w:pPr>
            <w:r>
              <w:rPr>
                <w:rFonts w:eastAsiaTheme="minorEastAsia"/>
                <w:color w:val="000000"/>
                <w:sz w:val="24"/>
              </w:rPr>
              <w:t>603693</w:t>
            </w:r>
          </w:p>
        </w:tc>
        <w:tc>
          <w:tcPr>
            <w:tcW w:w="1355" w:type="dxa"/>
            <w:vAlign w:val="center"/>
          </w:tcPr>
          <w:p w:rsidR="00B20989" w:rsidRDefault="0087548B">
            <w:pPr>
              <w:jc w:val="center"/>
            </w:pPr>
            <w:r>
              <w:rPr>
                <w:rFonts w:eastAsiaTheme="minorEastAsia"/>
                <w:color w:val="000000"/>
                <w:sz w:val="24"/>
              </w:rPr>
              <w:t>江苏新能</w:t>
            </w:r>
          </w:p>
        </w:tc>
        <w:tc>
          <w:tcPr>
            <w:tcW w:w="1880" w:type="dxa"/>
            <w:vAlign w:val="center"/>
          </w:tcPr>
          <w:p w:rsidR="00B20989" w:rsidRDefault="0087548B">
            <w:pPr>
              <w:jc w:val="right"/>
            </w:pPr>
            <w:r>
              <w:rPr>
                <w:rFonts w:eastAsiaTheme="minorEastAsia"/>
                <w:color w:val="000000"/>
                <w:sz w:val="24"/>
              </w:rPr>
              <w:t>48,456.00</w:t>
            </w:r>
          </w:p>
        </w:tc>
        <w:tc>
          <w:tcPr>
            <w:tcW w:w="1724" w:type="dxa"/>
            <w:vAlign w:val="center"/>
          </w:tcPr>
          <w:p w:rsidR="00B20989" w:rsidRDefault="0087548B">
            <w:pPr>
              <w:jc w:val="right"/>
            </w:pPr>
            <w:r>
              <w:rPr>
                <w:rFonts w:eastAsiaTheme="minorEastAsia"/>
                <w:color w:val="000000"/>
                <w:sz w:val="24"/>
              </w:rPr>
              <w:t>0.17</w:t>
            </w:r>
          </w:p>
        </w:tc>
        <w:tc>
          <w:tcPr>
            <w:tcW w:w="1424" w:type="dxa"/>
            <w:vAlign w:val="center"/>
          </w:tcPr>
          <w:p w:rsidR="00B20989" w:rsidRDefault="0087548B">
            <w:pPr>
              <w:jc w:val="right"/>
            </w:pPr>
            <w:r>
              <w:rPr>
                <w:rFonts w:eastAsiaTheme="minorEastAsia"/>
                <w:color w:val="000000"/>
                <w:sz w:val="24"/>
              </w:rPr>
              <w:t>新股申购</w:t>
            </w:r>
          </w:p>
        </w:tc>
      </w:tr>
      <w:tr w:rsidR="00B20989">
        <w:trPr>
          <w:jc w:val="center"/>
        </w:trPr>
        <w:tc>
          <w:tcPr>
            <w:tcW w:w="1129" w:type="dxa"/>
            <w:vAlign w:val="center"/>
          </w:tcPr>
          <w:p w:rsidR="00B20989" w:rsidRDefault="0087548B">
            <w:pPr>
              <w:jc w:val="center"/>
            </w:pPr>
            <w:r>
              <w:rPr>
                <w:rFonts w:eastAsiaTheme="minorEastAsia"/>
                <w:color w:val="000000"/>
                <w:sz w:val="24"/>
              </w:rPr>
              <w:lastRenderedPageBreak/>
              <w:t>2</w:t>
            </w:r>
          </w:p>
        </w:tc>
        <w:tc>
          <w:tcPr>
            <w:tcW w:w="1356" w:type="dxa"/>
            <w:vAlign w:val="center"/>
          </w:tcPr>
          <w:p w:rsidR="00B20989" w:rsidRDefault="0087548B">
            <w:pPr>
              <w:jc w:val="center"/>
            </w:pPr>
            <w:r>
              <w:rPr>
                <w:rFonts w:eastAsiaTheme="minorEastAsia"/>
                <w:color w:val="000000"/>
                <w:sz w:val="24"/>
              </w:rPr>
              <w:t>603706</w:t>
            </w:r>
          </w:p>
        </w:tc>
        <w:tc>
          <w:tcPr>
            <w:tcW w:w="1355" w:type="dxa"/>
            <w:vAlign w:val="center"/>
          </w:tcPr>
          <w:p w:rsidR="00B20989" w:rsidRDefault="0087548B">
            <w:pPr>
              <w:jc w:val="center"/>
            </w:pPr>
            <w:r>
              <w:rPr>
                <w:rFonts w:eastAsiaTheme="minorEastAsia"/>
                <w:color w:val="000000"/>
                <w:sz w:val="24"/>
              </w:rPr>
              <w:t>东方环宇</w:t>
            </w:r>
          </w:p>
        </w:tc>
        <w:tc>
          <w:tcPr>
            <w:tcW w:w="1880" w:type="dxa"/>
            <w:vAlign w:val="center"/>
          </w:tcPr>
          <w:p w:rsidR="00B20989" w:rsidRDefault="0087548B">
            <w:pPr>
              <w:jc w:val="right"/>
            </w:pPr>
            <w:r>
              <w:rPr>
                <w:rFonts w:eastAsiaTheme="minorEastAsia"/>
                <w:color w:val="000000"/>
                <w:sz w:val="24"/>
              </w:rPr>
              <w:t>23,103.85</w:t>
            </w:r>
          </w:p>
        </w:tc>
        <w:tc>
          <w:tcPr>
            <w:tcW w:w="1724" w:type="dxa"/>
            <w:vAlign w:val="center"/>
          </w:tcPr>
          <w:p w:rsidR="00B20989" w:rsidRDefault="0087548B">
            <w:pPr>
              <w:jc w:val="right"/>
            </w:pPr>
            <w:r>
              <w:rPr>
                <w:rFonts w:eastAsiaTheme="minorEastAsia"/>
                <w:color w:val="000000"/>
                <w:sz w:val="24"/>
              </w:rPr>
              <w:t>0.08</w:t>
            </w:r>
          </w:p>
        </w:tc>
        <w:tc>
          <w:tcPr>
            <w:tcW w:w="1424" w:type="dxa"/>
            <w:vAlign w:val="center"/>
          </w:tcPr>
          <w:p w:rsidR="00B20989" w:rsidRDefault="0087548B">
            <w:pPr>
              <w:jc w:val="right"/>
            </w:pPr>
            <w:r>
              <w:rPr>
                <w:rFonts w:eastAsiaTheme="minorEastAsia"/>
                <w:color w:val="000000"/>
                <w:sz w:val="24"/>
              </w:rPr>
              <w:t>新股申购</w:t>
            </w:r>
          </w:p>
        </w:tc>
      </w:tr>
      <w:tr w:rsidR="00B20989">
        <w:trPr>
          <w:jc w:val="center"/>
        </w:trPr>
        <w:tc>
          <w:tcPr>
            <w:tcW w:w="1129" w:type="dxa"/>
            <w:vAlign w:val="center"/>
          </w:tcPr>
          <w:p w:rsidR="00B20989" w:rsidRDefault="0087548B">
            <w:pPr>
              <w:jc w:val="center"/>
            </w:pPr>
            <w:r>
              <w:rPr>
                <w:rFonts w:eastAsiaTheme="minorEastAsia"/>
                <w:color w:val="000000"/>
                <w:sz w:val="24"/>
              </w:rPr>
              <w:t>3</w:t>
            </w:r>
          </w:p>
        </w:tc>
        <w:tc>
          <w:tcPr>
            <w:tcW w:w="1356" w:type="dxa"/>
            <w:vAlign w:val="center"/>
          </w:tcPr>
          <w:p w:rsidR="00B20989" w:rsidRDefault="0087548B">
            <w:pPr>
              <w:jc w:val="center"/>
            </w:pPr>
            <w:r>
              <w:rPr>
                <w:rFonts w:eastAsiaTheme="minorEastAsia"/>
                <w:color w:val="000000"/>
                <w:sz w:val="24"/>
              </w:rPr>
              <w:t>603105</w:t>
            </w:r>
          </w:p>
        </w:tc>
        <w:tc>
          <w:tcPr>
            <w:tcW w:w="1355" w:type="dxa"/>
            <w:vAlign w:val="center"/>
          </w:tcPr>
          <w:p w:rsidR="00B20989" w:rsidRDefault="0087548B">
            <w:pPr>
              <w:jc w:val="center"/>
            </w:pPr>
            <w:r>
              <w:rPr>
                <w:rFonts w:eastAsiaTheme="minorEastAsia"/>
                <w:color w:val="000000"/>
                <w:sz w:val="24"/>
              </w:rPr>
              <w:t>芯能科技</w:t>
            </w:r>
          </w:p>
        </w:tc>
        <w:tc>
          <w:tcPr>
            <w:tcW w:w="1880" w:type="dxa"/>
            <w:vAlign w:val="center"/>
          </w:tcPr>
          <w:p w:rsidR="00B20989" w:rsidRDefault="0087548B">
            <w:pPr>
              <w:jc w:val="right"/>
            </w:pPr>
            <w:r>
              <w:rPr>
                <w:rFonts w:eastAsiaTheme="minorEastAsia"/>
                <w:color w:val="000000"/>
                <w:sz w:val="24"/>
              </w:rPr>
              <w:t>16,470.30</w:t>
            </w:r>
          </w:p>
        </w:tc>
        <w:tc>
          <w:tcPr>
            <w:tcW w:w="1724" w:type="dxa"/>
            <w:vAlign w:val="center"/>
          </w:tcPr>
          <w:p w:rsidR="00B20989" w:rsidRDefault="0087548B">
            <w:pPr>
              <w:jc w:val="right"/>
            </w:pPr>
            <w:r>
              <w:rPr>
                <w:rFonts w:eastAsiaTheme="minorEastAsia"/>
                <w:color w:val="000000"/>
                <w:sz w:val="24"/>
              </w:rPr>
              <w:t>0.06</w:t>
            </w:r>
          </w:p>
        </w:tc>
        <w:tc>
          <w:tcPr>
            <w:tcW w:w="1424" w:type="dxa"/>
            <w:vAlign w:val="center"/>
          </w:tcPr>
          <w:p w:rsidR="00B20989" w:rsidRDefault="0087548B">
            <w:pPr>
              <w:jc w:val="right"/>
            </w:pPr>
            <w:r>
              <w:rPr>
                <w:rFonts w:eastAsiaTheme="minorEastAsia"/>
                <w:color w:val="000000"/>
                <w:sz w:val="24"/>
              </w:rPr>
              <w:t>新股申购</w:t>
            </w:r>
          </w:p>
        </w:tc>
      </w:tr>
    </w:tbl>
    <w:p w:rsidR="001D5CD0" w:rsidRPr="007F52FA" w:rsidRDefault="001D5CD0" w:rsidP="007C14DF">
      <w:pPr>
        <w:spacing w:before="29" w:line="288" w:lineRule="auto"/>
        <w:rPr>
          <w:rFonts w:eastAsiaTheme="minorEastAsia"/>
          <w:sz w:val="24"/>
        </w:rPr>
      </w:pPr>
    </w:p>
    <w:p w:rsidR="001D5CD0" w:rsidRPr="007F52FA" w:rsidRDefault="001D5CD0" w:rsidP="007C14DF">
      <w:pPr>
        <w:spacing w:before="29" w:line="288" w:lineRule="auto"/>
        <w:rPr>
          <w:rFonts w:eastAsiaTheme="minorEastAsia"/>
          <w:color w:val="000000"/>
          <w:kern w:val="0"/>
          <w:sz w:val="24"/>
        </w:rPr>
      </w:pPr>
      <w:r w:rsidRPr="007F52FA">
        <w:rPr>
          <w:rFonts w:eastAsiaTheme="minorEastAsia"/>
          <w:kern w:val="0"/>
          <w:sz w:val="24"/>
        </w:rPr>
        <w:t>5.11.6</w:t>
      </w:r>
      <w:r w:rsidRPr="007F52FA">
        <w:rPr>
          <w:rFonts w:eastAsiaTheme="minorEastAsia"/>
          <w:color w:val="000000"/>
          <w:kern w:val="0"/>
          <w:sz w:val="24"/>
        </w:rPr>
        <w:t>投资组合报告附注的其他文字描述部分</w:t>
      </w:r>
    </w:p>
    <w:p w:rsidR="001D5CD0" w:rsidRPr="007F52FA" w:rsidRDefault="001D5CD0" w:rsidP="00A0678E">
      <w:pPr>
        <w:spacing w:before="29" w:line="288" w:lineRule="auto"/>
        <w:rPr>
          <w:rFonts w:eastAsiaTheme="minorEastAsia"/>
          <w:color w:val="000000"/>
          <w:sz w:val="24"/>
        </w:rPr>
      </w:pPr>
      <w:r w:rsidRPr="007F52FA">
        <w:rPr>
          <w:rFonts w:eastAsiaTheme="minorEastAsia"/>
          <w:color w:val="000000"/>
          <w:sz w:val="24"/>
        </w:rPr>
        <w:t>由于四舍五入的原因，分项之和与合计项之间可能存在尾差。</w:t>
      </w:r>
    </w:p>
    <w:p w:rsidR="00EB27DE" w:rsidRPr="007F52FA" w:rsidRDefault="00EB27DE" w:rsidP="007C14DF">
      <w:pPr>
        <w:spacing w:before="29" w:line="288" w:lineRule="auto"/>
        <w:rPr>
          <w:rFonts w:eastAsiaTheme="minorEastAsia"/>
          <w:color w:val="000000"/>
          <w:sz w:val="24"/>
        </w:rPr>
      </w:pPr>
    </w:p>
    <w:p w:rsidR="00C51B4E" w:rsidRPr="00CB1FEE" w:rsidRDefault="00C51B4E" w:rsidP="00F103C8">
      <w:pPr>
        <w:pStyle w:val="1"/>
        <w:spacing w:beforeLines="100" w:before="312" w:afterLines="100" w:after="312" w:line="360" w:lineRule="auto"/>
        <w:jc w:val="center"/>
        <w:rPr>
          <w:rFonts w:eastAsiaTheme="minorEastAsia"/>
          <w:color w:val="000000" w:themeColor="text1"/>
          <w:kern w:val="0"/>
          <w:sz w:val="24"/>
          <w:szCs w:val="24"/>
        </w:rPr>
      </w:pPr>
      <w:bookmarkStart w:id="0" w:name="_GoBack"/>
      <w:r w:rsidRPr="00CB1FEE">
        <w:rPr>
          <w:rFonts w:eastAsiaTheme="minorEastAsia"/>
          <w:color w:val="000000" w:themeColor="text1"/>
          <w:kern w:val="0"/>
          <w:sz w:val="24"/>
          <w:szCs w:val="24"/>
        </w:rPr>
        <w:t>§6</w:t>
      </w:r>
      <w:r w:rsidRPr="00CB1FEE">
        <w:rPr>
          <w:rFonts w:eastAsiaTheme="minorEastAsia" w:hint="eastAsia"/>
          <w:color w:val="000000" w:themeColor="text1"/>
          <w:kern w:val="0"/>
          <w:sz w:val="24"/>
          <w:szCs w:val="24"/>
        </w:rPr>
        <w:t xml:space="preserve">  </w:t>
      </w:r>
      <w:r w:rsidRPr="00CB1FEE">
        <w:rPr>
          <w:rFonts w:eastAsiaTheme="minorEastAsia" w:hint="eastAsia"/>
          <w:color w:val="000000" w:themeColor="text1"/>
          <w:kern w:val="0"/>
          <w:sz w:val="24"/>
          <w:szCs w:val="24"/>
        </w:rPr>
        <w:t>基金中基金</w:t>
      </w:r>
    </w:p>
    <w:p w:rsidR="00C51B4E" w:rsidRPr="00CB1FEE" w:rsidRDefault="00C51B4E" w:rsidP="00C51B4E">
      <w:pPr>
        <w:adjustRightInd w:val="0"/>
        <w:snapToGrid w:val="0"/>
        <w:spacing w:line="360" w:lineRule="auto"/>
        <w:rPr>
          <w:rFonts w:eastAsiaTheme="minorEastAsia"/>
          <w:b/>
          <w:color w:val="000000" w:themeColor="text1"/>
          <w:kern w:val="0"/>
          <w:sz w:val="24"/>
        </w:rPr>
      </w:pPr>
      <w:r w:rsidRPr="00CB1FEE">
        <w:rPr>
          <w:rFonts w:eastAsiaTheme="minorEastAsia"/>
          <w:b/>
          <w:color w:val="000000" w:themeColor="text1"/>
          <w:kern w:val="0"/>
          <w:sz w:val="24"/>
        </w:rPr>
        <w:t>6.1</w:t>
      </w:r>
      <w:r w:rsidRPr="00CB1FEE">
        <w:rPr>
          <w:rFonts w:eastAsiaTheme="minorEastAsia" w:hint="eastAsia"/>
          <w:b/>
          <w:color w:val="000000" w:themeColor="text1"/>
          <w:kern w:val="0"/>
          <w:sz w:val="24"/>
        </w:rPr>
        <w:t xml:space="preserve"> </w:t>
      </w:r>
      <w:r w:rsidRPr="00CB1FEE">
        <w:rPr>
          <w:rFonts w:eastAsiaTheme="minorEastAsia" w:hint="eastAsia"/>
          <w:b/>
          <w:color w:val="000000" w:themeColor="text1"/>
          <w:kern w:val="0"/>
          <w:sz w:val="24"/>
        </w:rPr>
        <w:t>报告期末按公允价值占基金资产净值比例大小排序的前十名基金投资明细</w:t>
      </w:r>
    </w:p>
    <w:p w:rsidR="00C51B4E" w:rsidRPr="00CB1FEE" w:rsidRDefault="00C51B4E" w:rsidP="00C51B4E">
      <w:pPr>
        <w:autoSpaceDE w:val="0"/>
        <w:autoSpaceDN w:val="0"/>
        <w:adjustRightInd w:val="0"/>
        <w:spacing w:line="360" w:lineRule="auto"/>
        <w:ind w:firstLineChars="200" w:firstLine="480"/>
        <w:jc w:val="left"/>
        <w:rPr>
          <w:rFonts w:eastAsiaTheme="minorEastAsia"/>
          <w:color w:val="000000" w:themeColor="text1"/>
          <w:sz w:val="24"/>
        </w:rPr>
      </w:pPr>
      <w:r w:rsidRPr="00CB1FEE">
        <w:rPr>
          <w:rFonts w:eastAsiaTheme="minorEastAsia"/>
          <w:color w:val="000000" w:themeColor="text1"/>
          <w:sz w:val="24"/>
        </w:rPr>
        <w:t>本基金本报告期末未持有基金。</w:t>
      </w:r>
    </w:p>
    <w:p w:rsidR="00C51B4E" w:rsidRPr="00CB1FEE" w:rsidRDefault="00C51B4E" w:rsidP="00F103C8">
      <w:pPr>
        <w:adjustRightInd w:val="0"/>
        <w:snapToGrid w:val="0"/>
        <w:spacing w:beforeLines="50" w:before="156" w:line="360" w:lineRule="auto"/>
        <w:rPr>
          <w:rFonts w:eastAsiaTheme="minorEastAsia"/>
          <w:b/>
          <w:color w:val="000000" w:themeColor="text1"/>
          <w:kern w:val="0"/>
          <w:sz w:val="24"/>
        </w:rPr>
      </w:pPr>
      <w:r w:rsidRPr="00CB1FEE">
        <w:rPr>
          <w:rFonts w:eastAsiaTheme="minorEastAsia"/>
          <w:b/>
          <w:color w:val="000000" w:themeColor="text1"/>
          <w:kern w:val="0"/>
          <w:sz w:val="24"/>
        </w:rPr>
        <w:t>6.2</w:t>
      </w:r>
      <w:r w:rsidRPr="00CB1FEE">
        <w:rPr>
          <w:rFonts w:eastAsiaTheme="minorEastAsia" w:hint="eastAsia"/>
          <w:b/>
          <w:color w:val="000000" w:themeColor="text1"/>
          <w:kern w:val="0"/>
          <w:sz w:val="24"/>
        </w:rPr>
        <w:t xml:space="preserve"> </w:t>
      </w:r>
      <w:r w:rsidRPr="00CB1FEE">
        <w:rPr>
          <w:rFonts w:eastAsiaTheme="minorEastAsia" w:hint="eastAsia"/>
          <w:b/>
          <w:color w:val="000000" w:themeColor="text1"/>
          <w:kern w:val="0"/>
          <w:sz w:val="24"/>
        </w:rPr>
        <w:t>当期交易及持有基金产生的费用</w:t>
      </w:r>
    </w:p>
    <w:p w:rsidR="00C51B4E" w:rsidRPr="00CB1FEE" w:rsidRDefault="00C51B4E" w:rsidP="00C51B4E">
      <w:pPr>
        <w:autoSpaceDE w:val="0"/>
        <w:autoSpaceDN w:val="0"/>
        <w:adjustRightInd w:val="0"/>
        <w:spacing w:line="360" w:lineRule="auto"/>
        <w:ind w:firstLineChars="200" w:firstLine="480"/>
        <w:jc w:val="left"/>
        <w:rPr>
          <w:rFonts w:eastAsiaTheme="minorEastAsia"/>
          <w:color w:val="000000" w:themeColor="text1"/>
          <w:sz w:val="24"/>
        </w:rPr>
      </w:pPr>
      <w:r w:rsidRPr="00CB1FEE">
        <w:rPr>
          <w:rFonts w:eastAsiaTheme="minorEastAsia"/>
          <w:color w:val="000000" w:themeColor="text1"/>
          <w:sz w:val="24"/>
        </w:rPr>
        <w:t>本基金本报告期内未交易或持有基金。</w:t>
      </w:r>
    </w:p>
    <w:p w:rsidR="00C51B4E" w:rsidRPr="00CB1FEE" w:rsidRDefault="00C51B4E" w:rsidP="00F103C8">
      <w:pPr>
        <w:adjustRightInd w:val="0"/>
        <w:snapToGrid w:val="0"/>
        <w:spacing w:beforeLines="50" w:before="156" w:line="360" w:lineRule="auto"/>
        <w:rPr>
          <w:rFonts w:eastAsiaTheme="minorEastAsia"/>
          <w:b/>
          <w:color w:val="000000" w:themeColor="text1"/>
          <w:kern w:val="0"/>
          <w:sz w:val="24"/>
        </w:rPr>
      </w:pPr>
      <w:r w:rsidRPr="00CB1FEE">
        <w:rPr>
          <w:rFonts w:eastAsiaTheme="minorEastAsia"/>
          <w:b/>
          <w:color w:val="000000" w:themeColor="text1"/>
          <w:kern w:val="0"/>
          <w:sz w:val="24"/>
        </w:rPr>
        <w:t>6.3</w:t>
      </w:r>
      <w:r w:rsidRPr="00CB1FEE">
        <w:rPr>
          <w:rFonts w:eastAsiaTheme="minorEastAsia" w:hint="eastAsia"/>
          <w:b/>
          <w:color w:val="000000" w:themeColor="text1"/>
          <w:kern w:val="0"/>
          <w:sz w:val="24"/>
        </w:rPr>
        <w:t xml:space="preserve"> </w:t>
      </w:r>
      <w:r w:rsidRPr="00CB1FEE">
        <w:rPr>
          <w:rFonts w:eastAsiaTheme="minorEastAsia" w:hint="eastAsia"/>
          <w:b/>
          <w:color w:val="000000" w:themeColor="text1"/>
          <w:kern w:val="0"/>
          <w:sz w:val="24"/>
        </w:rPr>
        <w:t>本报告期持有的基金发生的重大影响事件</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6"/>
      </w:tblGrid>
      <w:tr w:rsidR="00C51B4E" w:rsidRPr="00CB1FEE" w:rsidTr="00F103C8">
        <w:tc>
          <w:tcPr>
            <w:tcW w:w="9036" w:type="dxa"/>
          </w:tcPr>
          <w:p w:rsidR="00C51B4E" w:rsidRPr="00CB1FEE" w:rsidRDefault="00C51B4E" w:rsidP="00C51B4E">
            <w:pPr>
              <w:autoSpaceDE w:val="0"/>
              <w:autoSpaceDN w:val="0"/>
              <w:adjustRightInd w:val="0"/>
              <w:spacing w:line="360" w:lineRule="auto"/>
              <w:ind w:firstLineChars="200" w:firstLine="480"/>
              <w:jc w:val="left"/>
              <w:rPr>
                <w:rFonts w:eastAsiaTheme="minorEastAsia"/>
                <w:color w:val="000000" w:themeColor="text1"/>
                <w:sz w:val="24"/>
              </w:rPr>
            </w:pPr>
            <w:r w:rsidRPr="00CB1FEE">
              <w:rPr>
                <w:rFonts w:eastAsiaTheme="minorEastAsia" w:hint="eastAsia"/>
                <w:color w:val="000000" w:themeColor="text1"/>
                <w:sz w:val="24"/>
              </w:rPr>
              <w:t>无。</w:t>
            </w:r>
          </w:p>
        </w:tc>
      </w:tr>
    </w:tbl>
    <w:bookmarkEnd w:id="0"/>
    <w:p w:rsidR="009238DB" w:rsidRPr="007F52FA" w:rsidRDefault="00C51B4E" w:rsidP="00F103C8">
      <w:pPr>
        <w:pStyle w:val="1"/>
        <w:spacing w:beforeLines="100" w:before="312" w:afterLines="100" w:after="312" w:line="288" w:lineRule="auto"/>
        <w:jc w:val="center"/>
        <w:rPr>
          <w:rFonts w:eastAsiaTheme="minorEastAsia"/>
          <w:color w:val="000000"/>
          <w:kern w:val="0"/>
          <w:sz w:val="24"/>
          <w:szCs w:val="24"/>
        </w:rPr>
      </w:pPr>
      <w:r w:rsidRPr="00C51B4E">
        <w:rPr>
          <w:rFonts w:eastAsiaTheme="minorEastAsia"/>
          <w:color w:val="000000" w:themeColor="text1"/>
          <w:kern w:val="0"/>
          <w:sz w:val="21"/>
          <w:szCs w:val="21"/>
        </w:rPr>
        <w:t>§7</w:t>
      </w:r>
      <w:r w:rsidRPr="00C51B4E">
        <w:rPr>
          <w:rFonts w:eastAsiaTheme="minorEastAsia" w:hint="eastAsia"/>
          <w:color w:val="000000" w:themeColor="text1"/>
          <w:kern w:val="0"/>
          <w:sz w:val="21"/>
          <w:szCs w:val="21"/>
        </w:rPr>
        <w:t xml:space="preserve"> </w:t>
      </w:r>
      <w:r w:rsidR="009238DB" w:rsidRPr="007F52FA">
        <w:rPr>
          <w:rFonts w:eastAsiaTheme="minorEastAsia"/>
          <w:color w:val="000000"/>
          <w:kern w:val="0"/>
          <w:sz w:val="24"/>
          <w:szCs w:val="24"/>
        </w:rPr>
        <w:t xml:space="preserve"> </w:t>
      </w:r>
      <w:r w:rsidR="009238DB" w:rsidRPr="007F52FA">
        <w:rPr>
          <w:rFonts w:eastAsiaTheme="minorEastAsia"/>
          <w:color w:val="000000"/>
          <w:kern w:val="0"/>
          <w:sz w:val="24"/>
          <w:szCs w:val="24"/>
        </w:rPr>
        <w:t>开放式基金份额变动</w:t>
      </w:r>
    </w:p>
    <w:p w:rsidR="009238DB" w:rsidRPr="007F52FA" w:rsidRDefault="009238DB" w:rsidP="007C14DF">
      <w:pPr>
        <w:autoSpaceDE w:val="0"/>
        <w:autoSpaceDN w:val="0"/>
        <w:adjustRightInd w:val="0"/>
        <w:spacing w:before="29" w:line="288" w:lineRule="auto"/>
        <w:ind w:left="15" w:right="480"/>
        <w:jc w:val="right"/>
        <w:rPr>
          <w:rFonts w:eastAsiaTheme="minorEastAsia"/>
          <w:color w:val="000000"/>
          <w:kern w:val="0"/>
          <w:sz w:val="24"/>
        </w:rPr>
      </w:pPr>
      <w:r w:rsidRPr="007F52FA">
        <w:rPr>
          <w:rFonts w:eastAsiaTheme="minorEastAsia"/>
          <w:color w:val="000000"/>
          <w:kern w:val="0"/>
          <w:sz w:val="24"/>
        </w:rPr>
        <w:t>单位：份</w:t>
      </w:r>
    </w:p>
    <w:tbl>
      <w:tblPr>
        <w:tblW w:w="8868" w:type="dxa"/>
        <w:jc w:val="center"/>
        <w:tblLayout w:type="fixed"/>
        <w:tblLook w:val="0000" w:firstRow="0" w:lastRow="0" w:firstColumn="0" w:lastColumn="0" w:noHBand="0" w:noVBand="0"/>
      </w:tblPr>
      <w:tblGrid>
        <w:gridCol w:w="4006"/>
        <w:gridCol w:w="2431"/>
        <w:gridCol w:w="2431"/>
      </w:tblGrid>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center"/>
              <w:rPr>
                <w:rFonts w:eastAsiaTheme="minorEastAsia"/>
                <w:color w:val="000000"/>
                <w:kern w:val="0"/>
                <w:sz w:val="24"/>
              </w:rPr>
            </w:pPr>
            <w:r w:rsidRPr="007F52FA">
              <w:rPr>
                <w:rFonts w:eastAsiaTheme="minorEastAsia"/>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690865">
            <w:pPr>
              <w:autoSpaceDE w:val="0"/>
              <w:autoSpaceDN w:val="0"/>
              <w:adjustRightInd w:val="0"/>
              <w:spacing w:before="29" w:line="288" w:lineRule="auto"/>
              <w:ind w:left="17"/>
              <w:jc w:val="left"/>
              <w:rPr>
                <w:rFonts w:eastAsiaTheme="minorEastAsia"/>
                <w:color w:val="000000"/>
                <w:sz w:val="24"/>
              </w:rPr>
            </w:pPr>
            <w:r w:rsidRPr="007F52FA">
              <w:rPr>
                <w:rFonts w:eastAsiaTheme="minorEastAsia"/>
                <w:sz w:val="24"/>
              </w:rPr>
              <w:t>交银卓越回报灵活配置混合</w:t>
            </w:r>
            <w:r w:rsidRPr="007F52FA">
              <w:rPr>
                <w:rFonts w:eastAsiaTheme="minorEastAsia"/>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690865">
            <w:pPr>
              <w:autoSpaceDE w:val="0"/>
              <w:autoSpaceDN w:val="0"/>
              <w:adjustRightInd w:val="0"/>
              <w:spacing w:before="29" w:line="288" w:lineRule="auto"/>
              <w:ind w:left="17"/>
              <w:jc w:val="left"/>
              <w:rPr>
                <w:rFonts w:eastAsiaTheme="minorEastAsia"/>
                <w:color w:val="000000"/>
                <w:sz w:val="24"/>
              </w:rPr>
            </w:pPr>
            <w:r w:rsidRPr="007F52FA">
              <w:rPr>
                <w:rFonts w:eastAsiaTheme="minorEastAsia"/>
                <w:sz w:val="24"/>
              </w:rPr>
              <w:t>交银卓越回报灵活配置混合</w:t>
            </w:r>
            <w:r w:rsidRPr="007F52FA">
              <w:rPr>
                <w:rFonts w:eastAsiaTheme="minorEastAsia"/>
                <w:sz w:val="24"/>
              </w:rPr>
              <w:t>C</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33,441,142.07</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99,750,249.75</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46,230.92</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47,574.73</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减：</w:t>
            </w:r>
            <w:r w:rsidR="00F72579" w:rsidRPr="007F52FA">
              <w:rPr>
                <w:rFonts w:eastAsiaTheme="minorEastAsia"/>
                <w:color w:val="000000"/>
                <w:kern w:val="0"/>
                <w:sz w:val="24"/>
              </w:rPr>
              <w:t>本报告期</w:t>
            </w:r>
            <w:r w:rsidR="003F21E5">
              <w:rPr>
                <w:rFonts w:eastAsiaTheme="minorEastAsia" w:hint="eastAsia"/>
                <w:color w:val="000000"/>
                <w:kern w:val="0"/>
                <w:sz w:val="24"/>
              </w:rPr>
              <w:t>期间</w:t>
            </w:r>
            <w:r w:rsidRPr="007F52FA">
              <w:rPr>
                <w:rFonts w:eastAsiaTheme="minorEastAsia"/>
                <w:color w:val="000000"/>
                <w:kern w:val="0"/>
                <w:sz w:val="24"/>
              </w:rPr>
              <w:t>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5,942,595.59</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99,750,249.75</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896AC6">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基金拆分变动份额</w:t>
            </w:r>
            <w:r w:rsidR="003F21E5" w:rsidRPr="006664D2">
              <w:rPr>
                <w:rFonts w:hint="eastAsia"/>
                <w:color w:val="000000"/>
                <w:kern w:val="0"/>
                <w:sz w:val="24"/>
              </w:rPr>
              <w:t>（份额减少以</w:t>
            </w:r>
            <w:r w:rsidR="003F21E5" w:rsidRPr="004D5D71">
              <w:rPr>
                <w:color w:val="000000"/>
              </w:rPr>
              <w:t>“-”</w:t>
            </w:r>
            <w:r w:rsidR="003F21E5" w:rsidRPr="006664D2">
              <w:rPr>
                <w:rFonts w:hint="eastAsia"/>
                <w:color w:val="000000"/>
                <w:kern w:val="0"/>
                <w:sz w:val="24"/>
              </w:rPr>
              <w:t>填列）</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27,544,777.40</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47,574.73</w:t>
            </w:r>
          </w:p>
        </w:tc>
      </w:tr>
    </w:tbl>
    <w:p w:rsidR="00B20989" w:rsidRDefault="0087548B">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、如果本报告期间发生转换入、红利再投业务，则总申购份额中包含该业务；</w:t>
      </w:r>
    </w:p>
    <w:p w:rsidR="00FB3C94" w:rsidRPr="007F52FA" w:rsidRDefault="00FB3C94"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　　</w:t>
      </w:r>
      <w:r w:rsidRPr="007F52FA">
        <w:rPr>
          <w:rFonts w:eastAsiaTheme="minorEastAsia"/>
          <w:color w:val="000000"/>
          <w:sz w:val="24"/>
        </w:rPr>
        <w:t>2</w:t>
      </w:r>
      <w:r w:rsidRPr="007F52FA">
        <w:rPr>
          <w:rFonts w:eastAsiaTheme="minorEastAsia"/>
          <w:color w:val="000000"/>
          <w:sz w:val="24"/>
        </w:rPr>
        <w:t>、如果本报告期间发生转换出业务，则总赎回份额中包含该业务。</w:t>
      </w:r>
    </w:p>
    <w:p w:rsidR="00426568" w:rsidRDefault="00426568" w:rsidP="007C14DF">
      <w:pPr>
        <w:autoSpaceDE w:val="0"/>
        <w:autoSpaceDN w:val="0"/>
        <w:adjustRightInd w:val="0"/>
        <w:spacing w:before="29" w:line="288" w:lineRule="auto"/>
        <w:jc w:val="left"/>
        <w:rPr>
          <w:rFonts w:eastAsiaTheme="minorEastAsia"/>
          <w:color w:val="000000"/>
          <w:sz w:val="24"/>
        </w:rPr>
      </w:pPr>
    </w:p>
    <w:p w:rsidR="000673DA" w:rsidRPr="000673DA" w:rsidRDefault="00C51B4E" w:rsidP="00F103C8">
      <w:pPr>
        <w:pStyle w:val="1"/>
        <w:tabs>
          <w:tab w:val="center" w:pos="4156"/>
          <w:tab w:val="right" w:pos="8312"/>
        </w:tabs>
        <w:spacing w:beforeLines="100" w:before="312" w:afterLines="100" w:after="312" w:line="288" w:lineRule="auto"/>
        <w:jc w:val="center"/>
        <w:rPr>
          <w:sz w:val="24"/>
          <w:szCs w:val="24"/>
        </w:rPr>
      </w:pPr>
      <w:r>
        <w:rPr>
          <w:color w:val="000000"/>
          <w:kern w:val="0"/>
          <w:sz w:val="24"/>
          <w:szCs w:val="24"/>
        </w:rPr>
        <w:t>§</w:t>
      </w:r>
      <w:r w:rsidR="000673DA" w:rsidRPr="000673DA">
        <w:rPr>
          <w:color w:val="000000"/>
          <w:kern w:val="0"/>
          <w:sz w:val="24"/>
          <w:szCs w:val="24"/>
        </w:rPr>
        <w:t xml:space="preserve">8  </w:t>
      </w:r>
      <w:r w:rsidR="000673DA" w:rsidRPr="000673DA">
        <w:rPr>
          <w:rFonts w:hAnsi="宋体"/>
          <w:sz w:val="24"/>
          <w:szCs w:val="24"/>
        </w:rPr>
        <w:t>基金管理人运用固有资金投资本基金情况</w:t>
      </w:r>
    </w:p>
    <w:p w:rsidR="000673DA" w:rsidRPr="000673DA" w:rsidRDefault="000673DA" w:rsidP="007C14DF">
      <w:pPr>
        <w:spacing w:line="288" w:lineRule="auto"/>
        <w:jc w:val="left"/>
        <w:rPr>
          <w:sz w:val="24"/>
        </w:rPr>
      </w:pPr>
      <w:r w:rsidRPr="000673DA">
        <w:rPr>
          <w:b/>
          <w:sz w:val="24"/>
        </w:rPr>
        <w:t xml:space="preserve">8.1 </w:t>
      </w:r>
      <w:r w:rsidRPr="000673DA">
        <w:rPr>
          <w:rFonts w:hAnsi="宋体"/>
          <w:b/>
          <w:sz w:val="24"/>
        </w:rPr>
        <w:t>基金管理人持有本基金份额变动情况</w:t>
      </w:r>
    </w:p>
    <w:p w:rsidR="008A3BCC" w:rsidRPr="00AE55CC" w:rsidRDefault="00AE55CC" w:rsidP="007C14DF">
      <w:pPr>
        <w:autoSpaceDE w:val="0"/>
        <w:autoSpaceDN w:val="0"/>
        <w:adjustRightInd w:val="0"/>
        <w:spacing w:before="29" w:line="288" w:lineRule="auto"/>
        <w:jc w:val="left"/>
        <w:rPr>
          <w:color w:val="000000"/>
          <w:sz w:val="24"/>
        </w:rPr>
      </w:pPr>
      <w:r w:rsidRPr="00AE55CC">
        <w:rPr>
          <w:color w:val="000000"/>
          <w:sz w:val="24"/>
        </w:rPr>
        <w:lastRenderedPageBreak/>
        <w:t>本报告期内未发生基金管理人运用固有资金投资本基金的情况。</w:t>
      </w:r>
    </w:p>
    <w:p w:rsidR="008A3BCC" w:rsidRDefault="008A3BCC" w:rsidP="007C14DF">
      <w:pPr>
        <w:autoSpaceDE w:val="0"/>
        <w:autoSpaceDN w:val="0"/>
        <w:adjustRightInd w:val="0"/>
        <w:spacing w:before="29" w:line="288" w:lineRule="auto"/>
        <w:jc w:val="left"/>
        <w:rPr>
          <w:color w:val="000000"/>
          <w:sz w:val="24"/>
        </w:rPr>
      </w:pPr>
    </w:p>
    <w:p w:rsidR="008A3BCC" w:rsidRPr="008A3BCC" w:rsidRDefault="000673DA" w:rsidP="00646AEE">
      <w:pPr>
        <w:autoSpaceDE w:val="0"/>
        <w:autoSpaceDN w:val="0"/>
        <w:adjustRightInd w:val="0"/>
        <w:spacing w:before="29" w:line="288" w:lineRule="auto"/>
        <w:jc w:val="left"/>
        <w:rPr>
          <w:b/>
          <w:color w:val="000000"/>
          <w:sz w:val="24"/>
        </w:rPr>
      </w:pPr>
      <w:r w:rsidRPr="008A3BCC">
        <w:rPr>
          <w:rFonts w:hint="eastAsia"/>
          <w:b/>
          <w:sz w:val="24"/>
        </w:rPr>
        <w:t>8</w:t>
      </w:r>
      <w:r w:rsidRPr="008A3BCC">
        <w:rPr>
          <w:b/>
          <w:sz w:val="24"/>
        </w:rPr>
        <w:t>.</w:t>
      </w:r>
      <w:r w:rsidRPr="008A3BCC">
        <w:rPr>
          <w:rFonts w:hint="eastAsia"/>
          <w:b/>
          <w:sz w:val="24"/>
        </w:rPr>
        <w:t xml:space="preserve">2 </w:t>
      </w:r>
      <w:r w:rsidRPr="008A3BCC">
        <w:rPr>
          <w:rFonts w:hint="eastAsia"/>
          <w:b/>
          <w:sz w:val="24"/>
        </w:rPr>
        <w:t>基</w:t>
      </w:r>
      <w:r w:rsidRPr="008A3BCC">
        <w:rPr>
          <w:b/>
          <w:sz w:val="24"/>
        </w:rPr>
        <w:t>金管理人运用固有资金投资本基金交易明细</w:t>
      </w:r>
    </w:p>
    <w:p w:rsidR="00285618" w:rsidRPr="007F52FA" w:rsidRDefault="00285618"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本基金管理人本报告期内未进行本基金的申购、赎回、红利再投等。</w:t>
      </w:r>
    </w:p>
    <w:p w:rsidR="00F2646E" w:rsidRPr="007F52FA" w:rsidRDefault="00F2646E" w:rsidP="007C14DF">
      <w:pPr>
        <w:autoSpaceDE w:val="0"/>
        <w:autoSpaceDN w:val="0"/>
        <w:adjustRightInd w:val="0"/>
        <w:spacing w:before="29" w:line="288" w:lineRule="auto"/>
        <w:jc w:val="left"/>
        <w:rPr>
          <w:rFonts w:eastAsiaTheme="minorEastAsia"/>
          <w:color w:val="000000"/>
          <w:sz w:val="24"/>
        </w:rPr>
      </w:pPr>
    </w:p>
    <w:p w:rsidR="00175E3A" w:rsidRPr="007032A6" w:rsidRDefault="009238DB" w:rsidP="00F103C8">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w:t>
      </w:r>
      <w:r w:rsidR="00A14399" w:rsidRPr="007F52FA">
        <w:rPr>
          <w:rFonts w:eastAsiaTheme="minorEastAsia"/>
          <w:color w:val="000000"/>
          <w:kern w:val="0"/>
          <w:sz w:val="24"/>
          <w:szCs w:val="24"/>
        </w:rPr>
        <w:t>9</w:t>
      </w:r>
      <w:r w:rsidR="00F30496">
        <w:rPr>
          <w:rFonts w:eastAsiaTheme="minorEastAsia"/>
          <w:color w:val="000000"/>
          <w:kern w:val="0"/>
          <w:sz w:val="24"/>
          <w:szCs w:val="24"/>
        </w:rPr>
        <w:t xml:space="preserve">  </w:t>
      </w:r>
      <w:r w:rsidRPr="007F52FA">
        <w:rPr>
          <w:rFonts w:eastAsiaTheme="minorEastAsia"/>
          <w:color w:val="000000"/>
          <w:kern w:val="0"/>
          <w:sz w:val="24"/>
          <w:szCs w:val="24"/>
        </w:rPr>
        <w:t>备查文件目录</w:t>
      </w:r>
    </w:p>
    <w:p w:rsidR="00FB3C94" w:rsidRPr="007F52FA" w:rsidRDefault="00A14399"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w:t>
      </w:r>
      <w:r w:rsidR="00D13A01" w:rsidRPr="007F52FA">
        <w:rPr>
          <w:rFonts w:eastAsiaTheme="minorEastAsia"/>
          <w:b/>
          <w:bCs/>
          <w:color w:val="000000"/>
          <w:kern w:val="0"/>
          <w:sz w:val="24"/>
        </w:rPr>
        <w:t>1</w:t>
      </w:r>
      <w:r w:rsidR="00FB3C94" w:rsidRPr="007F52FA">
        <w:rPr>
          <w:rFonts w:eastAsiaTheme="minorEastAsia"/>
          <w:b/>
          <w:bCs/>
          <w:color w:val="000000"/>
          <w:kern w:val="0"/>
          <w:sz w:val="24"/>
        </w:rPr>
        <w:t>备查文件目录</w:t>
      </w:r>
    </w:p>
    <w:p w:rsidR="00B20989" w:rsidRDefault="0087548B">
      <w:pPr>
        <w:spacing w:before="29" w:line="288" w:lineRule="auto"/>
        <w:ind w:firstLineChars="200" w:firstLine="480"/>
        <w:rPr>
          <w:rFonts w:eastAsiaTheme="minorEastAsia"/>
          <w:color w:val="000000"/>
          <w:sz w:val="24"/>
        </w:rPr>
      </w:pPr>
      <w:r>
        <w:rPr>
          <w:rFonts w:eastAsiaTheme="minorEastAsia"/>
          <w:color w:val="000000"/>
          <w:sz w:val="24"/>
        </w:rPr>
        <w:t>1</w:t>
      </w:r>
      <w:r>
        <w:rPr>
          <w:rFonts w:eastAsiaTheme="minorEastAsia"/>
          <w:color w:val="000000"/>
          <w:sz w:val="24"/>
        </w:rPr>
        <w:t>、中国证监会准予交银施罗德卓越回报灵活配置混合型证券投资基金募集注册的文件；</w:t>
      </w:r>
      <w:r>
        <w:rPr>
          <w:rFonts w:eastAsiaTheme="minorEastAsia"/>
          <w:color w:val="000000"/>
          <w:sz w:val="24"/>
        </w:rPr>
        <w:t xml:space="preserve"> </w:t>
      </w:r>
    </w:p>
    <w:p w:rsidR="00B20989" w:rsidRDefault="0087548B">
      <w:pPr>
        <w:spacing w:before="29" w:line="288" w:lineRule="auto"/>
        <w:ind w:firstLineChars="200" w:firstLine="480"/>
        <w:rPr>
          <w:rFonts w:eastAsiaTheme="minorEastAsia"/>
          <w:color w:val="000000"/>
          <w:sz w:val="24"/>
        </w:rPr>
      </w:pPr>
      <w:r>
        <w:rPr>
          <w:rFonts w:eastAsiaTheme="minorEastAsia"/>
          <w:color w:val="000000"/>
          <w:sz w:val="24"/>
        </w:rPr>
        <w:t>2</w:t>
      </w:r>
      <w:r>
        <w:rPr>
          <w:rFonts w:eastAsiaTheme="minorEastAsia"/>
          <w:color w:val="000000"/>
          <w:sz w:val="24"/>
        </w:rPr>
        <w:t>、《交银施罗德卓越回报灵活配置混合型证券投资基金基金合同》；</w:t>
      </w:r>
      <w:r>
        <w:rPr>
          <w:rFonts w:eastAsiaTheme="minorEastAsia"/>
          <w:color w:val="000000"/>
          <w:sz w:val="24"/>
        </w:rPr>
        <w:t xml:space="preserve"> </w:t>
      </w:r>
    </w:p>
    <w:p w:rsidR="00B20989" w:rsidRDefault="0087548B">
      <w:pPr>
        <w:spacing w:before="29" w:line="288" w:lineRule="auto"/>
        <w:ind w:firstLineChars="200" w:firstLine="480"/>
        <w:rPr>
          <w:rFonts w:eastAsiaTheme="minorEastAsia"/>
          <w:color w:val="000000"/>
          <w:sz w:val="24"/>
        </w:rPr>
      </w:pPr>
      <w:r>
        <w:rPr>
          <w:rFonts w:eastAsiaTheme="minorEastAsia"/>
          <w:color w:val="000000"/>
          <w:sz w:val="24"/>
        </w:rPr>
        <w:t>3</w:t>
      </w:r>
      <w:r>
        <w:rPr>
          <w:rFonts w:eastAsiaTheme="minorEastAsia"/>
          <w:color w:val="000000"/>
          <w:sz w:val="24"/>
        </w:rPr>
        <w:t>、《交银施罗德卓越回报灵活配置混合型证券投资基金招募说明书》；</w:t>
      </w:r>
      <w:r>
        <w:rPr>
          <w:rFonts w:eastAsiaTheme="minorEastAsia"/>
          <w:color w:val="000000"/>
          <w:sz w:val="24"/>
        </w:rPr>
        <w:t xml:space="preserve"> </w:t>
      </w:r>
    </w:p>
    <w:p w:rsidR="00B20989" w:rsidRDefault="0087548B">
      <w:pPr>
        <w:spacing w:before="29" w:line="288" w:lineRule="auto"/>
        <w:ind w:firstLineChars="200" w:firstLine="480"/>
        <w:rPr>
          <w:rFonts w:eastAsiaTheme="minorEastAsia"/>
          <w:color w:val="000000"/>
          <w:sz w:val="24"/>
        </w:rPr>
      </w:pPr>
      <w:r>
        <w:rPr>
          <w:rFonts w:eastAsiaTheme="minorEastAsia"/>
          <w:color w:val="000000"/>
          <w:sz w:val="24"/>
        </w:rPr>
        <w:t>4</w:t>
      </w:r>
      <w:r>
        <w:rPr>
          <w:rFonts w:eastAsiaTheme="minorEastAsia"/>
          <w:color w:val="000000"/>
          <w:sz w:val="24"/>
        </w:rPr>
        <w:t>、《交银施罗德卓越回报灵活配置混合型证券投资基金托管协议》；</w:t>
      </w:r>
      <w:r>
        <w:rPr>
          <w:rFonts w:eastAsiaTheme="minorEastAsia"/>
          <w:color w:val="000000"/>
          <w:sz w:val="24"/>
        </w:rPr>
        <w:t xml:space="preserve"> </w:t>
      </w:r>
    </w:p>
    <w:p w:rsidR="00B20989" w:rsidRDefault="0087548B">
      <w:pPr>
        <w:spacing w:before="29" w:line="288" w:lineRule="auto"/>
        <w:ind w:firstLineChars="200" w:firstLine="480"/>
        <w:rPr>
          <w:rFonts w:eastAsiaTheme="minorEastAsia"/>
          <w:color w:val="000000"/>
          <w:sz w:val="24"/>
        </w:rPr>
      </w:pPr>
      <w:r>
        <w:rPr>
          <w:rFonts w:eastAsiaTheme="minorEastAsia"/>
          <w:color w:val="000000"/>
          <w:sz w:val="24"/>
        </w:rPr>
        <w:t>5</w:t>
      </w:r>
      <w:r>
        <w:rPr>
          <w:rFonts w:eastAsiaTheme="minorEastAsia"/>
          <w:color w:val="000000"/>
          <w:sz w:val="24"/>
        </w:rPr>
        <w:t>、关于申请募集注册交银施罗德卓越回报灵活配置混合型证券投资基金的法律意见书；</w:t>
      </w:r>
      <w:r>
        <w:rPr>
          <w:rFonts w:eastAsiaTheme="minorEastAsia"/>
          <w:color w:val="000000"/>
          <w:sz w:val="24"/>
        </w:rPr>
        <w:t xml:space="preserve"> </w:t>
      </w:r>
    </w:p>
    <w:p w:rsidR="00B20989" w:rsidRDefault="0087548B">
      <w:pPr>
        <w:spacing w:before="29" w:line="288" w:lineRule="auto"/>
        <w:ind w:firstLineChars="200" w:firstLine="480"/>
        <w:rPr>
          <w:rFonts w:eastAsiaTheme="minorEastAsia"/>
          <w:color w:val="000000"/>
          <w:sz w:val="24"/>
        </w:rPr>
      </w:pPr>
      <w:r>
        <w:rPr>
          <w:rFonts w:eastAsiaTheme="minorEastAsia"/>
          <w:color w:val="000000"/>
          <w:sz w:val="24"/>
        </w:rPr>
        <w:t>6</w:t>
      </w:r>
      <w:r>
        <w:rPr>
          <w:rFonts w:eastAsiaTheme="minorEastAsia"/>
          <w:color w:val="000000"/>
          <w:sz w:val="24"/>
        </w:rPr>
        <w:t>、基金管理人业务资格批件、营业执照；</w:t>
      </w:r>
      <w:r>
        <w:rPr>
          <w:rFonts w:eastAsiaTheme="minorEastAsia"/>
          <w:color w:val="000000"/>
          <w:sz w:val="24"/>
        </w:rPr>
        <w:t xml:space="preserve"> </w:t>
      </w:r>
    </w:p>
    <w:p w:rsidR="00B20989" w:rsidRDefault="0087548B">
      <w:pPr>
        <w:spacing w:before="29" w:line="288" w:lineRule="auto"/>
        <w:ind w:firstLineChars="200" w:firstLine="480"/>
        <w:rPr>
          <w:rFonts w:eastAsiaTheme="minorEastAsia"/>
          <w:color w:val="000000"/>
          <w:sz w:val="24"/>
        </w:rPr>
      </w:pPr>
      <w:r>
        <w:rPr>
          <w:rFonts w:eastAsiaTheme="minorEastAsia"/>
          <w:color w:val="000000"/>
          <w:sz w:val="24"/>
        </w:rPr>
        <w:t>7</w:t>
      </w:r>
      <w:r>
        <w:rPr>
          <w:rFonts w:eastAsiaTheme="minorEastAsia"/>
          <w:color w:val="000000"/>
          <w:sz w:val="24"/>
        </w:rPr>
        <w:t>、基金托管人业务资格批件、营业执照；</w:t>
      </w:r>
      <w:r>
        <w:rPr>
          <w:rFonts w:eastAsiaTheme="minorEastAsia"/>
          <w:color w:val="000000"/>
          <w:sz w:val="24"/>
        </w:rPr>
        <w:t xml:space="preserve"> </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8</w:t>
      </w:r>
      <w:r w:rsidRPr="007F52FA">
        <w:rPr>
          <w:rFonts w:eastAsiaTheme="minorEastAsia"/>
          <w:color w:val="000000"/>
          <w:sz w:val="24"/>
        </w:rPr>
        <w:t>、报告期内交银施罗德卓越回报灵活配置混合型证券投资基金在指定报刊上各项公告的原稿。</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9.2</w:t>
      </w:r>
      <w:r w:rsidR="00FB3C94" w:rsidRPr="007F52FA">
        <w:rPr>
          <w:rFonts w:eastAsiaTheme="minorEastAsia"/>
          <w:b/>
          <w:bCs/>
          <w:color w:val="000000"/>
          <w:kern w:val="0"/>
          <w:sz w:val="24"/>
        </w:rPr>
        <w:t>存放地点</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备查文件存放于基金管理人的办公场所。</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9.3</w:t>
      </w:r>
      <w:r w:rsidR="00FB3C94" w:rsidRPr="007F52FA">
        <w:rPr>
          <w:rFonts w:eastAsiaTheme="minorEastAsia"/>
          <w:b/>
          <w:bCs/>
          <w:color w:val="000000"/>
          <w:kern w:val="0"/>
          <w:sz w:val="24"/>
        </w:rPr>
        <w:t>查阅方式</w:t>
      </w:r>
    </w:p>
    <w:p w:rsidR="00B20989" w:rsidRDefault="0087548B">
      <w:pPr>
        <w:spacing w:before="29" w:line="288" w:lineRule="auto"/>
        <w:ind w:firstLineChars="200" w:firstLine="480"/>
        <w:rPr>
          <w:rFonts w:eastAsiaTheme="minorEastAsia"/>
          <w:color w:val="000000"/>
          <w:sz w:val="24"/>
        </w:rPr>
      </w:pPr>
      <w:r>
        <w:rPr>
          <w:rFonts w:eastAsiaTheme="minorEastAsia"/>
          <w:color w:val="000000"/>
          <w:sz w:val="24"/>
        </w:rPr>
        <w:t>投资者可在办公时间内至基金管理人的办公场所免费查阅备查文件，或者登录基金管理人的网站</w:t>
      </w:r>
      <w:r>
        <w:rPr>
          <w:rFonts w:eastAsiaTheme="minorEastAsia"/>
          <w:color w:val="000000"/>
          <w:sz w:val="24"/>
        </w:rPr>
        <w:t>(www.fund001.com)</w:t>
      </w:r>
      <w:r>
        <w:rPr>
          <w:rFonts w:eastAsiaTheme="minorEastAsia"/>
          <w:color w:val="000000"/>
          <w:sz w:val="24"/>
        </w:rPr>
        <w:t>查阅。在支付工本费后，投资者可在合理时间内取得上述文件的复制件或复印件。</w:t>
      </w:r>
      <w:r>
        <w:rPr>
          <w:rFonts w:eastAsiaTheme="minorEastAsia"/>
          <w:color w:val="000000"/>
          <w:sz w:val="24"/>
        </w:rPr>
        <w:t xml:space="preserve"> </w:t>
      </w:r>
    </w:p>
    <w:p w:rsidR="009238DB"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投资者对本报告书如有疑问，可咨询本基金管理人交银施罗德基金管理有限公司。本公司客户服务中心电话：</w:t>
      </w:r>
      <w:r w:rsidRPr="007F52FA">
        <w:rPr>
          <w:rFonts w:eastAsiaTheme="minorEastAsia"/>
          <w:color w:val="000000"/>
          <w:sz w:val="24"/>
        </w:rPr>
        <w:t>400-700-5000</w:t>
      </w:r>
      <w:r w:rsidRPr="007F52FA">
        <w:rPr>
          <w:rFonts w:eastAsiaTheme="minorEastAsia"/>
          <w:color w:val="000000"/>
          <w:sz w:val="24"/>
        </w:rPr>
        <w:t>（免长途话费），</w:t>
      </w:r>
      <w:r w:rsidRPr="007F52FA">
        <w:rPr>
          <w:rFonts w:eastAsiaTheme="minorEastAsia"/>
          <w:color w:val="000000"/>
          <w:sz w:val="24"/>
        </w:rPr>
        <w:t>021-61055000</w:t>
      </w:r>
      <w:r w:rsidRPr="007F52FA">
        <w:rPr>
          <w:rFonts w:eastAsiaTheme="minorEastAsia"/>
          <w:color w:val="000000"/>
          <w:sz w:val="24"/>
        </w:rPr>
        <w:t>，电子邮件：</w:t>
      </w:r>
      <w:r w:rsidRPr="007F52FA">
        <w:rPr>
          <w:rFonts w:eastAsiaTheme="minorEastAsia"/>
          <w:color w:val="000000"/>
          <w:sz w:val="24"/>
        </w:rPr>
        <w:t>services@jysld.com</w:t>
      </w:r>
    </w:p>
    <w:p w:rsidR="004D36DF" w:rsidRPr="007F52FA" w:rsidRDefault="004D36DF" w:rsidP="007C14DF">
      <w:pPr>
        <w:spacing w:before="29" w:line="288" w:lineRule="auto"/>
        <w:ind w:firstLineChars="200" w:firstLine="480"/>
        <w:rPr>
          <w:rFonts w:eastAsiaTheme="minorEastAsia"/>
          <w:color w:val="000000"/>
          <w:sz w:val="24"/>
        </w:rPr>
      </w:pPr>
    </w:p>
    <w:sectPr w:rsidR="004D36DF" w:rsidRPr="007F52FA" w:rsidSect="007A5233">
      <w:footerReference w:type="even" r:id="rId16"/>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48B" w:rsidRDefault="0087548B">
      <w:r>
        <w:separator/>
      </w:r>
    </w:p>
  </w:endnote>
  <w:endnote w:type="continuationSeparator" w:id="0">
    <w:p w:rsidR="0087548B" w:rsidRDefault="00875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B4E" w:rsidRDefault="00C51B4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Pr="001D0DB0" w:rsidRDefault="007F50FB" w:rsidP="00F7094A">
    <w:pPr>
      <w:pStyle w:val="a6"/>
      <w:jc w:val="center"/>
    </w:pPr>
    <w:r>
      <w:rPr>
        <w:rFonts w:hint="eastAsia"/>
        <w:kern w:val="0"/>
        <w:szCs w:val="21"/>
      </w:rPr>
      <w:t>第</w:t>
    </w:r>
    <w:r w:rsidR="00705B21">
      <w:rPr>
        <w:kern w:val="0"/>
        <w:szCs w:val="21"/>
      </w:rPr>
      <w:fldChar w:fldCharType="begin"/>
    </w:r>
    <w:r>
      <w:rPr>
        <w:kern w:val="0"/>
        <w:szCs w:val="21"/>
      </w:rPr>
      <w:instrText xml:space="preserve"> PAGE </w:instrText>
    </w:r>
    <w:r w:rsidR="00705B21">
      <w:rPr>
        <w:kern w:val="0"/>
        <w:szCs w:val="21"/>
      </w:rPr>
      <w:fldChar w:fldCharType="separate"/>
    </w:r>
    <w:r w:rsidR="00CB1FEE">
      <w:rPr>
        <w:noProof/>
        <w:kern w:val="0"/>
        <w:szCs w:val="21"/>
      </w:rPr>
      <w:t>13</w:t>
    </w:r>
    <w:r w:rsidR="00705B21">
      <w:rPr>
        <w:kern w:val="0"/>
        <w:szCs w:val="21"/>
      </w:rPr>
      <w:fldChar w:fldCharType="end"/>
    </w:r>
    <w:r>
      <w:rPr>
        <w:rFonts w:hint="eastAsia"/>
        <w:kern w:val="0"/>
        <w:szCs w:val="21"/>
      </w:rPr>
      <w:t>页共</w:t>
    </w:r>
    <w:r w:rsidR="00705B21">
      <w:rPr>
        <w:kern w:val="0"/>
        <w:szCs w:val="21"/>
      </w:rPr>
      <w:fldChar w:fldCharType="begin"/>
    </w:r>
    <w:r>
      <w:rPr>
        <w:kern w:val="0"/>
        <w:szCs w:val="21"/>
      </w:rPr>
      <w:instrText xml:space="preserve"> NUMPAGES </w:instrText>
    </w:r>
    <w:r w:rsidR="00705B21">
      <w:rPr>
        <w:kern w:val="0"/>
        <w:szCs w:val="21"/>
      </w:rPr>
      <w:fldChar w:fldCharType="separate"/>
    </w:r>
    <w:r w:rsidR="00CB1FEE">
      <w:rPr>
        <w:noProof/>
        <w:kern w:val="0"/>
        <w:szCs w:val="21"/>
      </w:rPr>
      <w:t>14</w:t>
    </w:r>
    <w:r w:rsidR="00705B21">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B4E" w:rsidRDefault="00C51B4E">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Default="00705B21">
    <w:pPr>
      <w:pStyle w:val="a6"/>
      <w:framePr w:wrap="around" w:vAnchor="text" w:hAnchor="margin" w:xAlign="center" w:y="1"/>
      <w:rPr>
        <w:rStyle w:val="a7"/>
      </w:rPr>
    </w:pPr>
    <w:r>
      <w:rPr>
        <w:rStyle w:val="a7"/>
      </w:rPr>
      <w:fldChar w:fldCharType="begin"/>
    </w:r>
    <w:r w:rsidR="007F50FB">
      <w:rPr>
        <w:rStyle w:val="a7"/>
      </w:rPr>
      <w:instrText xml:space="preserve">PAGE  </w:instrText>
    </w:r>
    <w:r>
      <w:rPr>
        <w:rStyle w:val="a7"/>
      </w:rPr>
      <w:fldChar w:fldCharType="end"/>
    </w:r>
  </w:p>
  <w:p w:rsidR="007F50FB" w:rsidRDefault="007F50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48B" w:rsidRDefault="0087548B">
      <w:r>
        <w:separator/>
      </w:r>
    </w:p>
  </w:footnote>
  <w:footnote w:type="continuationSeparator" w:id="0">
    <w:p w:rsidR="0087548B" w:rsidRDefault="008754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B4E" w:rsidRDefault="00C51B4E">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Pr="00D3445F" w:rsidRDefault="00D3445F" w:rsidP="00D3445F">
    <w:pPr>
      <w:spacing w:before="29" w:line="288" w:lineRule="auto"/>
      <w:jc w:val="right"/>
      <w:rPr>
        <w:rFonts w:eastAsiaTheme="minorEastAsia"/>
        <w:sz w:val="24"/>
      </w:rPr>
    </w:pPr>
    <w:r w:rsidRPr="00D3445F">
      <w:rPr>
        <w:rFonts w:eastAsiaTheme="minorEastAsia"/>
        <w:sz w:val="24"/>
      </w:rPr>
      <w:t>交银施罗德卓越回报灵活配置混合型证券投资基金</w:t>
    </w:r>
    <w:r w:rsidRPr="00D3445F">
      <w:rPr>
        <w:rFonts w:eastAsiaTheme="minorEastAsia"/>
        <w:sz w:val="24"/>
      </w:rPr>
      <w:t>2018</w:t>
    </w:r>
    <w:r w:rsidRPr="00D3445F">
      <w:rPr>
        <w:rFonts w:eastAsiaTheme="minorEastAsia"/>
        <w:sz w:val="24"/>
      </w:rPr>
      <w:t>年第</w:t>
    </w:r>
    <w:r w:rsidRPr="00D3445F">
      <w:rPr>
        <w:rFonts w:eastAsiaTheme="minorEastAsia"/>
        <w:sz w:val="24"/>
      </w:rPr>
      <w:t>2</w:t>
    </w:r>
    <w:r w:rsidRPr="00D3445F">
      <w:rPr>
        <w:rFonts w:eastAsiaTheme="minorEastAsia"/>
        <w:sz w:val="24"/>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B4E" w:rsidRDefault="00C51B4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2187"/>
    <w:rsid w:val="0000059C"/>
    <w:rsid w:val="000008AE"/>
    <w:rsid w:val="000008B1"/>
    <w:rsid w:val="0000403B"/>
    <w:rsid w:val="00007441"/>
    <w:rsid w:val="00007B54"/>
    <w:rsid w:val="00007F1F"/>
    <w:rsid w:val="00010A83"/>
    <w:rsid w:val="0001164A"/>
    <w:rsid w:val="00012063"/>
    <w:rsid w:val="000137C1"/>
    <w:rsid w:val="0001425B"/>
    <w:rsid w:val="0001579C"/>
    <w:rsid w:val="00016551"/>
    <w:rsid w:val="00020737"/>
    <w:rsid w:val="00020B78"/>
    <w:rsid w:val="00020C27"/>
    <w:rsid w:val="000219D5"/>
    <w:rsid w:val="00022396"/>
    <w:rsid w:val="00023073"/>
    <w:rsid w:val="00023B97"/>
    <w:rsid w:val="00024836"/>
    <w:rsid w:val="000252D8"/>
    <w:rsid w:val="0003564A"/>
    <w:rsid w:val="00037D4B"/>
    <w:rsid w:val="00042065"/>
    <w:rsid w:val="00043FD2"/>
    <w:rsid w:val="00045558"/>
    <w:rsid w:val="00045BA9"/>
    <w:rsid w:val="00047D87"/>
    <w:rsid w:val="000510AB"/>
    <w:rsid w:val="00051A8E"/>
    <w:rsid w:val="00051F42"/>
    <w:rsid w:val="00053FFD"/>
    <w:rsid w:val="00054F34"/>
    <w:rsid w:val="00056D5C"/>
    <w:rsid w:val="00057C9F"/>
    <w:rsid w:val="00061B0B"/>
    <w:rsid w:val="00061E09"/>
    <w:rsid w:val="00062C69"/>
    <w:rsid w:val="00062E1F"/>
    <w:rsid w:val="00064601"/>
    <w:rsid w:val="00064AE3"/>
    <w:rsid w:val="000673DA"/>
    <w:rsid w:val="0006750A"/>
    <w:rsid w:val="000700F1"/>
    <w:rsid w:val="000728AC"/>
    <w:rsid w:val="000776C0"/>
    <w:rsid w:val="00077849"/>
    <w:rsid w:val="000803AD"/>
    <w:rsid w:val="000813D6"/>
    <w:rsid w:val="00081D05"/>
    <w:rsid w:val="000827CC"/>
    <w:rsid w:val="000871DB"/>
    <w:rsid w:val="000922C5"/>
    <w:rsid w:val="0009314F"/>
    <w:rsid w:val="00093A23"/>
    <w:rsid w:val="0009582E"/>
    <w:rsid w:val="000A08FC"/>
    <w:rsid w:val="000A15F1"/>
    <w:rsid w:val="000A1617"/>
    <w:rsid w:val="000A3A50"/>
    <w:rsid w:val="000A40A5"/>
    <w:rsid w:val="000A457E"/>
    <w:rsid w:val="000A4DF3"/>
    <w:rsid w:val="000A549A"/>
    <w:rsid w:val="000A5A81"/>
    <w:rsid w:val="000A72F2"/>
    <w:rsid w:val="000A7BFD"/>
    <w:rsid w:val="000B000E"/>
    <w:rsid w:val="000B171B"/>
    <w:rsid w:val="000B1CB9"/>
    <w:rsid w:val="000B24AF"/>
    <w:rsid w:val="000B251E"/>
    <w:rsid w:val="000B2C04"/>
    <w:rsid w:val="000B3E43"/>
    <w:rsid w:val="000B4E99"/>
    <w:rsid w:val="000B648A"/>
    <w:rsid w:val="000C3EEF"/>
    <w:rsid w:val="000C45E7"/>
    <w:rsid w:val="000C5956"/>
    <w:rsid w:val="000C757F"/>
    <w:rsid w:val="000C7DD4"/>
    <w:rsid w:val="000D1164"/>
    <w:rsid w:val="000D1BBE"/>
    <w:rsid w:val="000D2415"/>
    <w:rsid w:val="000D3773"/>
    <w:rsid w:val="000D4DE9"/>
    <w:rsid w:val="000D6660"/>
    <w:rsid w:val="000D6BA0"/>
    <w:rsid w:val="000D7ECA"/>
    <w:rsid w:val="000E0A54"/>
    <w:rsid w:val="000E2F81"/>
    <w:rsid w:val="000E3726"/>
    <w:rsid w:val="000E39DB"/>
    <w:rsid w:val="000E3A0B"/>
    <w:rsid w:val="000E574B"/>
    <w:rsid w:val="000E74CC"/>
    <w:rsid w:val="000F0558"/>
    <w:rsid w:val="000F0AC3"/>
    <w:rsid w:val="000F175F"/>
    <w:rsid w:val="000F17D1"/>
    <w:rsid w:val="000F1CC9"/>
    <w:rsid w:val="000F5ABD"/>
    <w:rsid w:val="000F60FF"/>
    <w:rsid w:val="000F6F7C"/>
    <w:rsid w:val="000F7468"/>
    <w:rsid w:val="001005BB"/>
    <w:rsid w:val="00103B0E"/>
    <w:rsid w:val="001040EA"/>
    <w:rsid w:val="00112BCF"/>
    <w:rsid w:val="00114E7E"/>
    <w:rsid w:val="00117465"/>
    <w:rsid w:val="00117F22"/>
    <w:rsid w:val="00120280"/>
    <w:rsid w:val="001207F2"/>
    <w:rsid w:val="00121533"/>
    <w:rsid w:val="0012304E"/>
    <w:rsid w:val="00123051"/>
    <w:rsid w:val="001257C7"/>
    <w:rsid w:val="00125E66"/>
    <w:rsid w:val="00126AC0"/>
    <w:rsid w:val="00126C2B"/>
    <w:rsid w:val="00127A01"/>
    <w:rsid w:val="00130395"/>
    <w:rsid w:val="00130D77"/>
    <w:rsid w:val="00131EF6"/>
    <w:rsid w:val="0013251D"/>
    <w:rsid w:val="0013404A"/>
    <w:rsid w:val="00134734"/>
    <w:rsid w:val="00134CBE"/>
    <w:rsid w:val="00140C30"/>
    <w:rsid w:val="00142C74"/>
    <w:rsid w:val="00145E5B"/>
    <w:rsid w:val="00147319"/>
    <w:rsid w:val="00147551"/>
    <w:rsid w:val="0015012F"/>
    <w:rsid w:val="00150C2E"/>
    <w:rsid w:val="0015170D"/>
    <w:rsid w:val="001517AE"/>
    <w:rsid w:val="00154FA5"/>
    <w:rsid w:val="0015531A"/>
    <w:rsid w:val="00156508"/>
    <w:rsid w:val="00156F9D"/>
    <w:rsid w:val="001602E3"/>
    <w:rsid w:val="00160539"/>
    <w:rsid w:val="00161548"/>
    <w:rsid w:val="00163D88"/>
    <w:rsid w:val="0017176A"/>
    <w:rsid w:val="00172B54"/>
    <w:rsid w:val="00175E3A"/>
    <w:rsid w:val="00176874"/>
    <w:rsid w:val="0017725A"/>
    <w:rsid w:val="0018052A"/>
    <w:rsid w:val="00180952"/>
    <w:rsid w:val="0018191A"/>
    <w:rsid w:val="00185B68"/>
    <w:rsid w:val="00186199"/>
    <w:rsid w:val="001874E3"/>
    <w:rsid w:val="001936D7"/>
    <w:rsid w:val="00194155"/>
    <w:rsid w:val="001949CA"/>
    <w:rsid w:val="00195AFC"/>
    <w:rsid w:val="001A0417"/>
    <w:rsid w:val="001A0B71"/>
    <w:rsid w:val="001A1389"/>
    <w:rsid w:val="001A3016"/>
    <w:rsid w:val="001A3914"/>
    <w:rsid w:val="001A5D39"/>
    <w:rsid w:val="001A5FA6"/>
    <w:rsid w:val="001B053A"/>
    <w:rsid w:val="001B0691"/>
    <w:rsid w:val="001B0C78"/>
    <w:rsid w:val="001B1A13"/>
    <w:rsid w:val="001B22BA"/>
    <w:rsid w:val="001B4CD1"/>
    <w:rsid w:val="001B5C86"/>
    <w:rsid w:val="001C06C8"/>
    <w:rsid w:val="001C1FB8"/>
    <w:rsid w:val="001C2045"/>
    <w:rsid w:val="001C4EDF"/>
    <w:rsid w:val="001C5040"/>
    <w:rsid w:val="001C715A"/>
    <w:rsid w:val="001D0F6A"/>
    <w:rsid w:val="001D2FA5"/>
    <w:rsid w:val="001D3394"/>
    <w:rsid w:val="001D3D57"/>
    <w:rsid w:val="001D4980"/>
    <w:rsid w:val="001D5045"/>
    <w:rsid w:val="001D5A44"/>
    <w:rsid w:val="001D5CD0"/>
    <w:rsid w:val="001D724B"/>
    <w:rsid w:val="001E023C"/>
    <w:rsid w:val="001E0BA5"/>
    <w:rsid w:val="001E18E9"/>
    <w:rsid w:val="001E2012"/>
    <w:rsid w:val="001E6C11"/>
    <w:rsid w:val="001F03E1"/>
    <w:rsid w:val="001F1F19"/>
    <w:rsid w:val="001F2BD1"/>
    <w:rsid w:val="001F3080"/>
    <w:rsid w:val="001F3CC6"/>
    <w:rsid w:val="001F5F5F"/>
    <w:rsid w:val="00205064"/>
    <w:rsid w:val="0020548A"/>
    <w:rsid w:val="00211668"/>
    <w:rsid w:val="002118A6"/>
    <w:rsid w:val="002122FF"/>
    <w:rsid w:val="002125F7"/>
    <w:rsid w:val="0021288A"/>
    <w:rsid w:val="0021410A"/>
    <w:rsid w:val="002150AC"/>
    <w:rsid w:val="002162B9"/>
    <w:rsid w:val="00221375"/>
    <w:rsid w:val="00221938"/>
    <w:rsid w:val="00222262"/>
    <w:rsid w:val="002230A8"/>
    <w:rsid w:val="00227D20"/>
    <w:rsid w:val="00231BCE"/>
    <w:rsid w:val="0023336A"/>
    <w:rsid w:val="002359EB"/>
    <w:rsid w:val="0023649E"/>
    <w:rsid w:val="00240CA0"/>
    <w:rsid w:val="00241740"/>
    <w:rsid w:val="002424E4"/>
    <w:rsid w:val="00243122"/>
    <w:rsid w:val="002437F5"/>
    <w:rsid w:val="00244727"/>
    <w:rsid w:val="00244CFB"/>
    <w:rsid w:val="00244DB1"/>
    <w:rsid w:val="00245012"/>
    <w:rsid w:val="0024504E"/>
    <w:rsid w:val="0024651F"/>
    <w:rsid w:val="00246874"/>
    <w:rsid w:val="00246D81"/>
    <w:rsid w:val="00246E19"/>
    <w:rsid w:val="00250869"/>
    <w:rsid w:val="00251920"/>
    <w:rsid w:val="00253D3C"/>
    <w:rsid w:val="00253FEA"/>
    <w:rsid w:val="00254A7E"/>
    <w:rsid w:val="00255292"/>
    <w:rsid w:val="00256047"/>
    <w:rsid w:val="002567DB"/>
    <w:rsid w:val="0025722F"/>
    <w:rsid w:val="00257E84"/>
    <w:rsid w:val="00260200"/>
    <w:rsid w:val="00261F47"/>
    <w:rsid w:val="00263106"/>
    <w:rsid w:val="002642F2"/>
    <w:rsid w:val="00264AE1"/>
    <w:rsid w:val="00266645"/>
    <w:rsid w:val="00266E94"/>
    <w:rsid w:val="00267386"/>
    <w:rsid w:val="00267C2E"/>
    <w:rsid w:val="00267DA9"/>
    <w:rsid w:val="0027117B"/>
    <w:rsid w:val="0027191A"/>
    <w:rsid w:val="00273E5C"/>
    <w:rsid w:val="00274444"/>
    <w:rsid w:val="00275FD0"/>
    <w:rsid w:val="00280313"/>
    <w:rsid w:val="00280514"/>
    <w:rsid w:val="002819E7"/>
    <w:rsid w:val="0028293E"/>
    <w:rsid w:val="00282FF2"/>
    <w:rsid w:val="00283483"/>
    <w:rsid w:val="002844B5"/>
    <w:rsid w:val="0028459B"/>
    <w:rsid w:val="00285618"/>
    <w:rsid w:val="002872F8"/>
    <w:rsid w:val="002910F6"/>
    <w:rsid w:val="00296E4A"/>
    <w:rsid w:val="002976E5"/>
    <w:rsid w:val="002A1F14"/>
    <w:rsid w:val="002A2678"/>
    <w:rsid w:val="002A3369"/>
    <w:rsid w:val="002A3F45"/>
    <w:rsid w:val="002A4B8A"/>
    <w:rsid w:val="002A5161"/>
    <w:rsid w:val="002A5C0F"/>
    <w:rsid w:val="002A6385"/>
    <w:rsid w:val="002A7669"/>
    <w:rsid w:val="002A7929"/>
    <w:rsid w:val="002B41D7"/>
    <w:rsid w:val="002B5240"/>
    <w:rsid w:val="002B6009"/>
    <w:rsid w:val="002B6A13"/>
    <w:rsid w:val="002C0904"/>
    <w:rsid w:val="002C0F67"/>
    <w:rsid w:val="002C1E84"/>
    <w:rsid w:val="002C36C3"/>
    <w:rsid w:val="002C74DC"/>
    <w:rsid w:val="002C77CC"/>
    <w:rsid w:val="002D2A00"/>
    <w:rsid w:val="002D3BDD"/>
    <w:rsid w:val="002D5199"/>
    <w:rsid w:val="002E2862"/>
    <w:rsid w:val="002E4C01"/>
    <w:rsid w:val="002E50D6"/>
    <w:rsid w:val="002E7683"/>
    <w:rsid w:val="002F0516"/>
    <w:rsid w:val="002F07EF"/>
    <w:rsid w:val="002F1093"/>
    <w:rsid w:val="002F22D2"/>
    <w:rsid w:val="002F778A"/>
    <w:rsid w:val="00302187"/>
    <w:rsid w:val="003028D8"/>
    <w:rsid w:val="0030290F"/>
    <w:rsid w:val="00302DE9"/>
    <w:rsid w:val="00303869"/>
    <w:rsid w:val="00303F1D"/>
    <w:rsid w:val="00305084"/>
    <w:rsid w:val="00307783"/>
    <w:rsid w:val="003117FA"/>
    <w:rsid w:val="00311ABF"/>
    <w:rsid w:val="00314A81"/>
    <w:rsid w:val="00314DD2"/>
    <w:rsid w:val="00315A7C"/>
    <w:rsid w:val="00317705"/>
    <w:rsid w:val="00317B97"/>
    <w:rsid w:val="00317D7D"/>
    <w:rsid w:val="003204E9"/>
    <w:rsid w:val="003232AA"/>
    <w:rsid w:val="00323A10"/>
    <w:rsid w:val="00323E6A"/>
    <w:rsid w:val="00323F25"/>
    <w:rsid w:val="00324A71"/>
    <w:rsid w:val="00325BDB"/>
    <w:rsid w:val="003303E3"/>
    <w:rsid w:val="00334656"/>
    <w:rsid w:val="00337A86"/>
    <w:rsid w:val="0034147B"/>
    <w:rsid w:val="00341889"/>
    <w:rsid w:val="003426CE"/>
    <w:rsid w:val="00343016"/>
    <w:rsid w:val="00343175"/>
    <w:rsid w:val="0034447B"/>
    <w:rsid w:val="00350264"/>
    <w:rsid w:val="00351704"/>
    <w:rsid w:val="003570C8"/>
    <w:rsid w:val="00367770"/>
    <w:rsid w:val="00370FE2"/>
    <w:rsid w:val="00371424"/>
    <w:rsid w:val="00371FF4"/>
    <w:rsid w:val="00372209"/>
    <w:rsid w:val="003771ED"/>
    <w:rsid w:val="0037768B"/>
    <w:rsid w:val="00382E6F"/>
    <w:rsid w:val="00384E65"/>
    <w:rsid w:val="00386EBC"/>
    <w:rsid w:val="00387C00"/>
    <w:rsid w:val="003976A3"/>
    <w:rsid w:val="00397960"/>
    <w:rsid w:val="00397F75"/>
    <w:rsid w:val="003A2008"/>
    <w:rsid w:val="003A3BC4"/>
    <w:rsid w:val="003A4AA3"/>
    <w:rsid w:val="003A7DDF"/>
    <w:rsid w:val="003B405E"/>
    <w:rsid w:val="003B4843"/>
    <w:rsid w:val="003B494E"/>
    <w:rsid w:val="003B6C23"/>
    <w:rsid w:val="003C6E9E"/>
    <w:rsid w:val="003C787E"/>
    <w:rsid w:val="003C792F"/>
    <w:rsid w:val="003D10D1"/>
    <w:rsid w:val="003D117A"/>
    <w:rsid w:val="003D36B2"/>
    <w:rsid w:val="003D42D5"/>
    <w:rsid w:val="003D4554"/>
    <w:rsid w:val="003D656E"/>
    <w:rsid w:val="003D7826"/>
    <w:rsid w:val="003D78B5"/>
    <w:rsid w:val="003E0BD4"/>
    <w:rsid w:val="003E45B9"/>
    <w:rsid w:val="003E654C"/>
    <w:rsid w:val="003E6C5C"/>
    <w:rsid w:val="003F0DE5"/>
    <w:rsid w:val="003F1674"/>
    <w:rsid w:val="003F21E5"/>
    <w:rsid w:val="003F46FC"/>
    <w:rsid w:val="003F4AA5"/>
    <w:rsid w:val="003F697D"/>
    <w:rsid w:val="003F7C45"/>
    <w:rsid w:val="00400500"/>
    <w:rsid w:val="00400FA6"/>
    <w:rsid w:val="0040132C"/>
    <w:rsid w:val="00404257"/>
    <w:rsid w:val="004051DF"/>
    <w:rsid w:val="00405581"/>
    <w:rsid w:val="004075CF"/>
    <w:rsid w:val="00407F66"/>
    <w:rsid w:val="004107A6"/>
    <w:rsid w:val="004113B4"/>
    <w:rsid w:val="00412187"/>
    <w:rsid w:val="0041220A"/>
    <w:rsid w:val="00413B96"/>
    <w:rsid w:val="00413C2C"/>
    <w:rsid w:val="00415168"/>
    <w:rsid w:val="00415B04"/>
    <w:rsid w:val="00416A6B"/>
    <w:rsid w:val="004170FA"/>
    <w:rsid w:val="00417701"/>
    <w:rsid w:val="00417FCD"/>
    <w:rsid w:val="0042044C"/>
    <w:rsid w:val="00421624"/>
    <w:rsid w:val="00424151"/>
    <w:rsid w:val="00425A5A"/>
    <w:rsid w:val="00425FB6"/>
    <w:rsid w:val="0042652B"/>
    <w:rsid w:val="00426568"/>
    <w:rsid w:val="004268BB"/>
    <w:rsid w:val="0042785F"/>
    <w:rsid w:val="004314FF"/>
    <w:rsid w:val="0043653E"/>
    <w:rsid w:val="004408EC"/>
    <w:rsid w:val="00440F74"/>
    <w:rsid w:val="00441FEC"/>
    <w:rsid w:val="004425E8"/>
    <w:rsid w:val="00443C8F"/>
    <w:rsid w:val="00447BC6"/>
    <w:rsid w:val="004501CE"/>
    <w:rsid w:val="00450309"/>
    <w:rsid w:val="00452481"/>
    <w:rsid w:val="00454A0F"/>
    <w:rsid w:val="00454E63"/>
    <w:rsid w:val="0046335D"/>
    <w:rsid w:val="00463C2C"/>
    <w:rsid w:val="00465C82"/>
    <w:rsid w:val="00477425"/>
    <w:rsid w:val="00480CA5"/>
    <w:rsid w:val="00481877"/>
    <w:rsid w:val="00481DB2"/>
    <w:rsid w:val="00483271"/>
    <w:rsid w:val="0049210E"/>
    <w:rsid w:val="0049297D"/>
    <w:rsid w:val="0049327D"/>
    <w:rsid w:val="00493D04"/>
    <w:rsid w:val="0049405D"/>
    <w:rsid w:val="0049455C"/>
    <w:rsid w:val="00495A03"/>
    <w:rsid w:val="00497501"/>
    <w:rsid w:val="004A1BE1"/>
    <w:rsid w:val="004A63CB"/>
    <w:rsid w:val="004A67B0"/>
    <w:rsid w:val="004A6FB2"/>
    <w:rsid w:val="004B0847"/>
    <w:rsid w:val="004B087F"/>
    <w:rsid w:val="004B0E6D"/>
    <w:rsid w:val="004B16E8"/>
    <w:rsid w:val="004B4CBF"/>
    <w:rsid w:val="004B4FE9"/>
    <w:rsid w:val="004C0541"/>
    <w:rsid w:val="004C1ADE"/>
    <w:rsid w:val="004C241F"/>
    <w:rsid w:val="004C3FE6"/>
    <w:rsid w:val="004C634A"/>
    <w:rsid w:val="004C660B"/>
    <w:rsid w:val="004D050C"/>
    <w:rsid w:val="004D23D9"/>
    <w:rsid w:val="004D285F"/>
    <w:rsid w:val="004D3537"/>
    <w:rsid w:val="004D36DF"/>
    <w:rsid w:val="004D4D4E"/>
    <w:rsid w:val="004D614E"/>
    <w:rsid w:val="004D650F"/>
    <w:rsid w:val="004D7E11"/>
    <w:rsid w:val="004E2133"/>
    <w:rsid w:val="004E4E04"/>
    <w:rsid w:val="004F01F6"/>
    <w:rsid w:val="004F2EB4"/>
    <w:rsid w:val="004F521C"/>
    <w:rsid w:val="004F5DD3"/>
    <w:rsid w:val="00502CD8"/>
    <w:rsid w:val="0050361C"/>
    <w:rsid w:val="00506A40"/>
    <w:rsid w:val="0051064F"/>
    <w:rsid w:val="00513A0E"/>
    <w:rsid w:val="00514118"/>
    <w:rsid w:val="00515D7B"/>
    <w:rsid w:val="00515F29"/>
    <w:rsid w:val="0052009E"/>
    <w:rsid w:val="005207B3"/>
    <w:rsid w:val="005218EE"/>
    <w:rsid w:val="00530161"/>
    <w:rsid w:val="005405A3"/>
    <w:rsid w:val="005450F7"/>
    <w:rsid w:val="00545A0B"/>
    <w:rsid w:val="0054672F"/>
    <w:rsid w:val="00546CD3"/>
    <w:rsid w:val="00547FA4"/>
    <w:rsid w:val="005536D4"/>
    <w:rsid w:val="00553EC8"/>
    <w:rsid w:val="005547A9"/>
    <w:rsid w:val="005564EE"/>
    <w:rsid w:val="00556718"/>
    <w:rsid w:val="00557D4A"/>
    <w:rsid w:val="0056176B"/>
    <w:rsid w:val="00561889"/>
    <w:rsid w:val="00562136"/>
    <w:rsid w:val="005621F6"/>
    <w:rsid w:val="00562709"/>
    <w:rsid w:val="0056291C"/>
    <w:rsid w:val="00563C27"/>
    <w:rsid w:val="005668D3"/>
    <w:rsid w:val="00566EBD"/>
    <w:rsid w:val="0057154B"/>
    <w:rsid w:val="005742DB"/>
    <w:rsid w:val="00574FC7"/>
    <w:rsid w:val="00577209"/>
    <w:rsid w:val="00577282"/>
    <w:rsid w:val="005800A9"/>
    <w:rsid w:val="00581139"/>
    <w:rsid w:val="00581645"/>
    <w:rsid w:val="00582608"/>
    <w:rsid w:val="0058299A"/>
    <w:rsid w:val="005858C2"/>
    <w:rsid w:val="0058602F"/>
    <w:rsid w:val="0058694E"/>
    <w:rsid w:val="005875F9"/>
    <w:rsid w:val="00590765"/>
    <w:rsid w:val="00593A35"/>
    <w:rsid w:val="00593C74"/>
    <w:rsid w:val="00597D8B"/>
    <w:rsid w:val="005A46FF"/>
    <w:rsid w:val="005A557E"/>
    <w:rsid w:val="005A63FD"/>
    <w:rsid w:val="005A677E"/>
    <w:rsid w:val="005B0532"/>
    <w:rsid w:val="005B462A"/>
    <w:rsid w:val="005B5137"/>
    <w:rsid w:val="005B6047"/>
    <w:rsid w:val="005C0ED7"/>
    <w:rsid w:val="005C3E8E"/>
    <w:rsid w:val="005C47D0"/>
    <w:rsid w:val="005C5409"/>
    <w:rsid w:val="005C57C1"/>
    <w:rsid w:val="005C6FF7"/>
    <w:rsid w:val="005C7D00"/>
    <w:rsid w:val="005D01A4"/>
    <w:rsid w:val="005D04DC"/>
    <w:rsid w:val="005D0BAB"/>
    <w:rsid w:val="005D1893"/>
    <w:rsid w:val="005D24AA"/>
    <w:rsid w:val="005D26E9"/>
    <w:rsid w:val="005D2CAA"/>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07D16"/>
    <w:rsid w:val="006101F5"/>
    <w:rsid w:val="00610DA5"/>
    <w:rsid w:val="00611663"/>
    <w:rsid w:val="0061321C"/>
    <w:rsid w:val="00613F44"/>
    <w:rsid w:val="006160BD"/>
    <w:rsid w:val="00620EDB"/>
    <w:rsid w:val="006225F6"/>
    <w:rsid w:val="006232DA"/>
    <w:rsid w:val="0062386E"/>
    <w:rsid w:val="006253EF"/>
    <w:rsid w:val="00626075"/>
    <w:rsid w:val="0062680E"/>
    <w:rsid w:val="006268F5"/>
    <w:rsid w:val="00631158"/>
    <w:rsid w:val="006314E0"/>
    <w:rsid w:val="00632923"/>
    <w:rsid w:val="006341E6"/>
    <w:rsid w:val="00634439"/>
    <w:rsid w:val="006366C6"/>
    <w:rsid w:val="00636B55"/>
    <w:rsid w:val="00636EB1"/>
    <w:rsid w:val="006373D6"/>
    <w:rsid w:val="006403D4"/>
    <w:rsid w:val="00642CBC"/>
    <w:rsid w:val="0064454A"/>
    <w:rsid w:val="00645293"/>
    <w:rsid w:val="00646AEE"/>
    <w:rsid w:val="00647ACB"/>
    <w:rsid w:val="00651B78"/>
    <w:rsid w:val="0065237A"/>
    <w:rsid w:val="00652FF5"/>
    <w:rsid w:val="00653246"/>
    <w:rsid w:val="00654382"/>
    <w:rsid w:val="00657487"/>
    <w:rsid w:val="00660FD1"/>
    <w:rsid w:val="00661244"/>
    <w:rsid w:val="006640DF"/>
    <w:rsid w:val="00664462"/>
    <w:rsid w:val="00666A3C"/>
    <w:rsid w:val="00667519"/>
    <w:rsid w:val="006676A0"/>
    <w:rsid w:val="00670857"/>
    <w:rsid w:val="00670868"/>
    <w:rsid w:val="00673D69"/>
    <w:rsid w:val="00676431"/>
    <w:rsid w:val="00677A9C"/>
    <w:rsid w:val="0068050D"/>
    <w:rsid w:val="00680BCE"/>
    <w:rsid w:val="006822B2"/>
    <w:rsid w:val="00685FFC"/>
    <w:rsid w:val="00686943"/>
    <w:rsid w:val="00686EDE"/>
    <w:rsid w:val="00687AD5"/>
    <w:rsid w:val="00690865"/>
    <w:rsid w:val="00690A31"/>
    <w:rsid w:val="006911CE"/>
    <w:rsid w:val="00691393"/>
    <w:rsid w:val="00691F3B"/>
    <w:rsid w:val="0069371D"/>
    <w:rsid w:val="00695251"/>
    <w:rsid w:val="00695777"/>
    <w:rsid w:val="00695B58"/>
    <w:rsid w:val="00696F52"/>
    <w:rsid w:val="006A120B"/>
    <w:rsid w:val="006A4828"/>
    <w:rsid w:val="006A5FE0"/>
    <w:rsid w:val="006A6D35"/>
    <w:rsid w:val="006A7C09"/>
    <w:rsid w:val="006B046C"/>
    <w:rsid w:val="006B252F"/>
    <w:rsid w:val="006B25AD"/>
    <w:rsid w:val="006B2CE8"/>
    <w:rsid w:val="006B3940"/>
    <w:rsid w:val="006C168D"/>
    <w:rsid w:val="006C26A9"/>
    <w:rsid w:val="006C3EE0"/>
    <w:rsid w:val="006C4033"/>
    <w:rsid w:val="006C5BC9"/>
    <w:rsid w:val="006C642C"/>
    <w:rsid w:val="006D249E"/>
    <w:rsid w:val="006D7386"/>
    <w:rsid w:val="006E0DAD"/>
    <w:rsid w:val="006E181E"/>
    <w:rsid w:val="006E313F"/>
    <w:rsid w:val="006F1F1A"/>
    <w:rsid w:val="006F5AC2"/>
    <w:rsid w:val="006F6C28"/>
    <w:rsid w:val="007007EB"/>
    <w:rsid w:val="00701EDB"/>
    <w:rsid w:val="00701F57"/>
    <w:rsid w:val="007032A6"/>
    <w:rsid w:val="00703E8A"/>
    <w:rsid w:val="00705B21"/>
    <w:rsid w:val="00706046"/>
    <w:rsid w:val="007112F0"/>
    <w:rsid w:val="00711343"/>
    <w:rsid w:val="00713C57"/>
    <w:rsid w:val="00714309"/>
    <w:rsid w:val="0071450F"/>
    <w:rsid w:val="00717772"/>
    <w:rsid w:val="00717D36"/>
    <w:rsid w:val="00721DBE"/>
    <w:rsid w:val="007226EC"/>
    <w:rsid w:val="00722B5E"/>
    <w:rsid w:val="00724F6D"/>
    <w:rsid w:val="0072678C"/>
    <w:rsid w:val="007321FE"/>
    <w:rsid w:val="00732D1D"/>
    <w:rsid w:val="007350D4"/>
    <w:rsid w:val="00735E0D"/>
    <w:rsid w:val="00735E32"/>
    <w:rsid w:val="00736034"/>
    <w:rsid w:val="00740635"/>
    <w:rsid w:val="00740707"/>
    <w:rsid w:val="0074120F"/>
    <w:rsid w:val="00743764"/>
    <w:rsid w:val="00743B2D"/>
    <w:rsid w:val="00747930"/>
    <w:rsid w:val="0075060E"/>
    <w:rsid w:val="00750D80"/>
    <w:rsid w:val="00752E8B"/>
    <w:rsid w:val="007541BB"/>
    <w:rsid w:val="00754D62"/>
    <w:rsid w:val="00756CFF"/>
    <w:rsid w:val="00757FD7"/>
    <w:rsid w:val="00761982"/>
    <w:rsid w:val="00761B7A"/>
    <w:rsid w:val="007627C8"/>
    <w:rsid w:val="007651E5"/>
    <w:rsid w:val="00765256"/>
    <w:rsid w:val="00766051"/>
    <w:rsid w:val="007661D4"/>
    <w:rsid w:val="007661FD"/>
    <w:rsid w:val="00766A7C"/>
    <w:rsid w:val="00767A27"/>
    <w:rsid w:val="007709D9"/>
    <w:rsid w:val="0077111A"/>
    <w:rsid w:val="00774133"/>
    <w:rsid w:val="00775419"/>
    <w:rsid w:val="0077588F"/>
    <w:rsid w:val="007763A5"/>
    <w:rsid w:val="0078105B"/>
    <w:rsid w:val="00782B50"/>
    <w:rsid w:val="00784FE0"/>
    <w:rsid w:val="007852D1"/>
    <w:rsid w:val="007858B1"/>
    <w:rsid w:val="0078648E"/>
    <w:rsid w:val="007866A0"/>
    <w:rsid w:val="00791A3A"/>
    <w:rsid w:val="00791D9C"/>
    <w:rsid w:val="00791FB5"/>
    <w:rsid w:val="007936F3"/>
    <w:rsid w:val="00794AC2"/>
    <w:rsid w:val="007963EC"/>
    <w:rsid w:val="007A1D9A"/>
    <w:rsid w:val="007A391B"/>
    <w:rsid w:val="007A4409"/>
    <w:rsid w:val="007A4F37"/>
    <w:rsid w:val="007A5233"/>
    <w:rsid w:val="007A5241"/>
    <w:rsid w:val="007A59B8"/>
    <w:rsid w:val="007B06C7"/>
    <w:rsid w:val="007B3D06"/>
    <w:rsid w:val="007B42F5"/>
    <w:rsid w:val="007B5157"/>
    <w:rsid w:val="007B5CD8"/>
    <w:rsid w:val="007C05E8"/>
    <w:rsid w:val="007C1122"/>
    <w:rsid w:val="007C14DF"/>
    <w:rsid w:val="007C19EC"/>
    <w:rsid w:val="007C364E"/>
    <w:rsid w:val="007C3DC6"/>
    <w:rsid w:val="007C5359"/>
    <w:rsid w:val="007C6127"/>
    <w:rsid w:val="007C6701"/>
    <w:rsid w:val="007D16ED"/>
    <w:rsid w:val="007D1835"/>
    <w:rsid w:val="007D2398"/>
    <w:rsid w:val="007D440B"/>
    <w:rsid w:val="007D62F9"/>
    <w:rsid w:val="007D63A4"/>
    <w:rsid w:val="007D6FFB"/>
    <w:rsid w:val="007D732D"/>
    <w:rsid w:val="007D741B"/>
    <w:rsid w:val="007E0F19"/>
    <w:rsid w:val="007E2A84"/>
    <w:rsid w:val="007E2BA4"/>
    <w:rsid w:val="007E46A3"/>
    <w:rsid w:val="007E5ECB"/>
    <w:rsid w:val="007E6BA3"/>
    <w:rsid w:val="007F063D"/>
    <w:rsid w:val="007F0D73"/>
    <w:rsid w:val="007F32F6"/>
    <w:rsid w:val="007F432A"/>
    <w:rsid w:val="007F50FB"/>
    <w:rsid w:val="007F52FA"/>
    <w:rsid w:val="007F63AA"/>
    <w:rsid w:val="008006B7"/>
    <w:rsid w:val="008032FD"/>
    <w:rsid w:val="00806461"/>
    <w:rsid w:val="008064CE"/>
    <w:rsid w:val="0080673A"/>
    <w:rsid w:val="00806C53"/>
    <w:rsid w:val="00807A94"/>
    <w:rsid w:val="00807B81"/>
    <w:rsid w:val="00810B79"/>
    <w:rsid w:val="00810EAD"/>
    <w:rsid w:val="00814530"/>
    <w:rsid w:val="00815386"/>
    <w:rsid w:val="008156AA"/>
    <w:rsid w:val="00817808"/>
    <w:rsid w:val="00821F9C"/>
    <w:rsid w:val="00825570"/>
    <w:rsid w:val="00826403"/>
    <w:rsid w:val="00827990"/>
    <w:rsid w:val="00834CA6"/>
    <w:rsid w:val="0083579E"/>
    <w:rsid w:val="0083623B"/>
    <w:rsid w:val="00837861"/>
    <w:rsid w:val="00837E59"/>
    <w:rsid w:val="00842100"/>
    <w:rsid w:val="008428A9"/>
    <w:rsid w:val="0084308F"/>
    <w:rsid w:val="00846C2B"/>
    <w:rsid w:val="0085139A"/>
    <w:rsid w:val="008524F6"/>
    <w:rsid w:val="008532F3"/>
    <w:rsid w:val="00854B3F"/>
    <w:rsid w:val="00861C2C"/>
    <w:rsid w:val="00863744"/>
    <w:rsid w:val="00863A9A"/>
    <w:rsid w:val="00865F74"/>
    <w:rsid w:val="008668B8"/>
    <w:rsid w:val="0086748F"/>
    <w:rsid w:val="00867B4D"/>
    <w:rsid w:val="00867CF3"/>
    <w:rsid w:val="00873101"/>
    <w:rsid w:val="00874AB5"/>
    <w:rsid w:val="0087548B"/>
    <w:rsid w:val="00877671"/>
    <w:rsid w:val="00877A13"/>
    <w:rsid w:val="008869BC"/>
    <w:rsid w:val="00887DDD"/>
    <w:rsid w:val="00887DE6"/>
    <w:rsid w:val="00887E9F"/>
    <w:rsid w:val="008908AA"/>
    <w:rsid w:val="00890E08"/>
    <w:rsid w:val="00894DCA"/>
    <w:rsid w:val="00896AC6"/>
    <w:rsid w:val="00897D88"/>
    <w:rsid w:val="008A00BE"/>
    <w:rsid w:val="008A1539"/>
    <w:rsid w:val="008A2C5D"/>
    <w:rsid w:val="008A3BCC"/>
    <w:rsid w:val="008A3BE2"/>
    <w:rsid w:val="008A6B30"/>
    <w:rsid w:val="008B05E7"/>
    <w:rsid w:val="008B0758"/>
    <w:rsid w:val="008B1875"/>
    <w:rsid w:val="008B3DB5"/>
    <w:rsid w:val="008B4146"/>
    <w:rsid w:val="008B5312"/>
    <w:rsid w:val="008B59CE"/>
    <w:rsid w:val="008B6078"/>
    <w:rsid w:val="008B7110"/>
    <w:rsid w:val="008B7F4A"/>
    <w:rsid w:val="008C04E1"/>
    <w:rsid w:val="008C04FE"/>
    <w:rsid w:val="008C0C69"/>
    <w:rsid w:val="008C2F50"/>
    <w:rsid w:val="008C3109"/>
    <w:rsid w:val="008C5312"/>
    <w:rsid w:val="008C5DBD"/>
    <w:rsid w:val="008C61D6"/>
    <w:rsid w:val="008C6BE0"/>
    <w:rsid w:val="008D0022"/>
    <w:rsid w:val="008D49AF"/>
    <w:rsid w:val="008D4A2B"/>
    <w:rsid w:val="008D4A9F"/>
    <w:rsid w:val="008D6294"/>
    <w:rsid w:val="008E0266"/>
    <w:rsid w:val="008E13A0"/>
    <w:rsid w:val="008E1F18"/>
    <w:rsid w:val="008E1FE0"/>
    <w:rsid w:val="008E2111"/>
    <w:rsid w:val="008E3363"/>
    <w:rsid w:val="008E3939"/>
    <w:rsid w:val="008E3DDD"/>
    <w:rsid w:val="008E5D70"/>
    <w:rsid w:val="008F23F4"/>
    <w:rsid w:val="008F61C4"/>
    <w:rsid w:val="008F6228"/>
    <w:rsid w:val="008F7763"/>
    <w:rsid w:val="009007CB"/>
    <w:rsid w:val="009009DC"/>
    <w:rsid w:val="009010F0"/>
    <w:rsid w:val="00901162"/>
    <w:rsid w:val="00901D46"/>
    <w:rsid w:val="009028E2"/>
    <w:rsid w:val="00903692"/>
    <w:rsid w:val="00904E07"/>
    <w:rsid w:val="009050AB"/>
    <w:rsid w:val="00911BF3"/>
    <w:rsid w:val="00912BAF"/>
    <w:rsid w:val="00914EAB"/>
    <w:rsid w:val="0091541F"/>
    <w:rsid w:val="00915DAE"/>
    <w:rsid w:val="00917F12"/>
    <w:rsid w:val="00920D98"/>
    <w:rsid w:val="00921FF9"/>
    <w:rsid w:val="00922D49"/>
    <w:rsid w:val="009238DB"/>
    <w:rsid w:val="00925E37"/>
    <w:rsid w:val="00925EDD"/>
    <w:rsid w:val="00926D30"/>
    <w:rsid w:val="00930079"/>
    <w:rsid w:val="00930966"/>
    <w:rsid w:val="00932F64"/>
    <w:rsid w:val="00936075"/>
    <w:rsid w:val="00936D40"/>
    <w:rsid w:val="00936DE4"/>
    <w:rsid w:val="00937ABF"/>
    <w:rsid w:val="00937DB1"/>
    <w:rsid w:val="009416C9"/>
    <w:rsid w:val="009434C7"/>
    <w:rsid w:val="009463CC"/>
    <w:rsid w:val="00950413"/>
    <w:rsid w:val="0095078E"/>
    <w:rsid w:val="009515B0"/>
    <w:rsid w:val="00952404"/>
    <w:rsid w:val="00952A72"/>
    <w:rsid w:val="009550A8"/>
    <w:rsid w:val="00955FF2"/>
    <w:rsid w:val="0095693D"/>
    <w:rsid w:val="00956B0D"/>
    <w:rsid w:val="0096260B"/>
    <w:rsid w:val="00962650"/>
    <w:rsid w:val="009631C1"/>
    <w:rsid w:val="00967FFB"/>
    <w:rsid w:val="00970C69"/>
    <w:rsid w:val="00973B57"/>
    <w:rsid w:val="00973E0D"/>
    <w:rsid w:val="0097403F"/>
    <w:rsid w:val="00976797"/>
    <w:rsid w:val="00977148"/>
    <w:rsid w:val="00980C0C"/>
    <w:rsid w:val="00982E47"/>
    <w:rsid w:val="00983E7D"/>
    <w:rsid w:val="00990FE3"/>
    <w:rsid w:val="00991642"/>
    <w:rsid w:val="0099260C"/>
    <w:rsid w:val="0099273F"/>
    <w:rsid w:val="00993DA2"/>
    <w:rsid w:val="009942F4"/>
    <w:rsid w:val="00995B3C"/>
    <w:rsid w:val="00996BCA"/>
    <w:rsid w:val="009A045B"/>
    <w:rsid w:val="009A0513"/>
    <w:rsid w:val="009A2283"/>
    <w:rsid w:val="009A31AF"/>
    <w:rsid w:val="009A3507"/>
    <w:rsid w:val="009A3DC6"/>
    <w:rsid w:val="009A46F7"/>
    <w:rsid w:val="009A529F"/>
    <w:rsid w:val="009A558E"/>
    <w:rsid w:val="009A5C1D"/>
    <w:rsid w:val="009B4286"/>
    <w:rsid w:val="009B5BF9"/>
    <w:rsid w:val="009B5DAF"/>
    <w:rsid w:val="009B5F83"/>
    <w:rsid w:val="009B61C5"/>
    <w:rsid w:val="009B6A1E"/>
    <w:rsid w:val="009B769E"/>
    <w:rsid w:val="009C03E5"/>
    <w:rsid w:val="009C407C"/>
    <w:rsid w:val="009C4D19"/>
    <w:rsid w:val="009C5FDB"/>
    <w:rsid w:val="009C65AF"/>
    <w:rsid w:val="009C70CB"/>
    <w:rsid w:val="009C74DD"/>
    <w:rsid w:val="009D27AA"/>
    <w:rsid w:val="009D2AD9"/>
    <w:rsid w:val="009D2BAC"/>
    <w:rsid w:val="009D514E"/>
    <w:rsid w:val="009D5C39"/>
    <w:rsid w:val="009D6FED"/>
    <w:rsid w:val="009D767D"/>
    <w:rsid w:val="009E0795"/>
    <w:rsid w:val="009E0A95"/>
    <w:rsid w:val="009E0D47"/>
    <w:rsid w:val="009E549D"/>
    <w:rsid w:val="009E54AF"/>
    <w:rsid w:val="009E5C59"/>
    <w:rsid w:val="009E64CD"/>
    <w:rsid w:val="009E6BB8"/>
    <w:rsid w:val="009F0C6B"/>
    <w:rsid w:val="009F1CC3"/>
    <w:rsid w:val="009F26F2"/>
    <w:rsid w:val="009F3E1E"/>
    <w:rsid w:val="009F4CC5"/>
    <w:rsid w:val="009F6550"/>
    <w:rsid w:val="009F78D4"/>
    <w:rsid w:val="00A003BE"/>
    <w:rsid w:val="00A02F51"/>
    <w:rsid w:val="00A0385C"/>
    <w:rsid w:val="00A0520F"/>
    <w:rsid w:val="00A05ACE"/>
    <w:rsid w:val="00A06788"/>
    <w:rsid w:val="00A0678E"/>
    <w:rsid w:val="00A101E3"/>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11AC"/>
    <w:rsid w:val="00A2454D"/>
    <w:rsid w:val="00A26437"/>
    <w:rsid w:val="00A32410"/>
    <w:rsid w:val="00A32B48"/>
    <w:rsid w:val="00A36D00"/>
    <w:rsid w:val="00A43389"/>
    <w:rsid w:val="00A4642E"/>
    <w:rsid w:val="00A47AF8"/>
    <w:rsid w:val="00A52A9E"/>
    <w:rsid w:val="00A52D75"/>
    <w:rsid w:val="00A53013"/>
    <w:rsid w:val="00A54BD6"/>
    <w:rsid w:val="00A54D53"/>
    <w:rsid w:val="00A5643A"/>
    <w:rsid w:val="00A57678"/>
    <w:rsid w:val="00A6090C"/>
    <w:rsid w:val="00A6200E"/>
    <w:rsid w:val="00A621E1"/>
    <w:rsid w:val="00A62D1E"/>
    <w:rsid w:val="00A6376F"/>
    <w:rsid w:val="00A65407"/>
    <w:rsid w:val="00A65C6D"/>
    <w:rsid w:val="00A7062E"/>
    <w:rsid w:val="00A70793"/>
    <w:rsid w:val="00A716B9"/>
    <w:rsid w:val="00A720D8"/>
    <w:rsid w:val="00A72216"/>
    <w:rsid w:val="00A733F2"/>
    <w:rsid w:val="00A75705"/>
    <w:rsid w:val="00A75BE1"/>
    <w:rsid w:val="00A8187C"/>
    <w:rsid w:val="00A82C9E"/>
    <w:rsid w:val="00A8324F"/>
    <w:rsid w:val="00A85142"/>
    <w:rsid w:val="00A854EE"/>
    <w:rsid w:val="00A92852"/>
    <w:rsid w:val="00A94412"/>
    <w:rsid w:val="00A95B37"/>
    <w:rsid w:val="00A96B6F"/>
    <w:rsid w:val="00AA0CE8"/>
    <w:rsid w:val="00AA35FD"/>
    <w:rsid w:val="00AA3DB7"/>
    <w:rsid w:val="00AA5F63"/>
    <w:rsid w:val="00AA7EBD"/>
    <w:rsid w:val="00AB69EF"/>
    <w:rsid w:val="00AC06D3"/>
    <w:rsid w:val="00AC11DC"/>
    <w:rsid w:val="00AC3E87"/>
    <w:rsid w:val="00AC469F"/>
    <w:rsid w:val="00AC4761"/>
    <w:rsid w:val="00AD0611"/>
    <w:rsid w:val="00AD0E4F"/>
    <w:rsid w:val="00AD26D7"/>
    <w:rsid w:val="00AD3905"/>
    <w:rsid w:val="00AD4555"/>
    <w:rsid w:val="00AD4A31"/>
    <w:rsid w:val="00AD515B"/>
    <w:rsid w:val="00AD5638"/>
    <w:rsid w:val="00AD7214"/>
    <w:rsid w:val="00AE1066"/>
    <w:rsid w:val="00AE12A4"/>
    <w:rsid w:val="00AE2E1B"/>
    <w:rsid w:val="00AE38DE"/>
    <w:rsid w:val="00AE5129"/>
    <w:rsid w:val="00AE55CC"/>
    <w:rsid w:val="00AE5645"/>
    <w:rsid w:val="00AE5D46"/>
    <w:rsid w:val="00AF1D6B"/>
    <w:rsid w:val="00AF1E98"/>
    <w:rsid w:val="00AF24AA"/>
    <w:rsid w:val="00AF3AF9"/>
    <w:rsid w:val="00AF3E5F"/>
    <w:rsid w:val="00AF4F09"/>
    <w:rsid w:val="00AF643E"/>
    <w:rsid w:val="00AF6F75"/>
    <w:rsid w:val="00AF79C8"/>
    <w:rsid w:val="00B00FA8"/>
    <w:rsid w:val="00B011B0"/>
    <w:rsid w:val="00B0391C"/>
    <w:rsid w:val="00B047F6"/>
    <w:rsid w:val="00B06019"/>
    <w:rsid w:val="00B0700F"/>
    <w:rsid w:val="00B1493B"/>
    <w:rsid w:val="00B15119"/>
    <w:rsid w:val="00B17169"/>
    <w:rsid w:val="00B20989"/>
    <w:rsid w:val="00B236A5"/>
    <w:rsid w:val="00B23996"/>
    <w:rsid w:val="00B23CB2"/>
    <w:rsid w:val="00B2448B"/>
    <w:rsid w:val="00B24A18"/>
    <w:rsid w:val="00B255C5"/>
    <w:rsid w:val="00B25807"/>
    <w:rsid w:val="00B268DD"/>
    <w:rsid w:val="00B279B6"/>
    <w:rsid w:val="00B317F2"/>
    <w:rsid w:val="00B32530"/>
    <w:rsid w:val="00B32AE1"/>
    <w:rsid w:val="00B343C2"/>
    <w:rsid w:val="00B37780"/>
    <w:rsid w:val="00B37813"/>
    <w:rsid w:val="00B37EEF"/>
    <w:rsid w:val="00B37F2C"/>
    <w:rsid w:val="00B40553"/>
    <w:rsid w:val="00B4167B"/>
    <w:rsid w:val="00B41C1D"/>
    <w:rsid w:val="00B43917"/>
    <w:rsid w:val="00B44260"/>
    <w:rsid w:val="00B4515C"/>
    <w:rsid w:val="00B46220"/>
    <w:rsid w:val="00B464EA"/>
    <w:rsid w:val="00B47574"/>
    <w:rsid w:val="00B51EE1"/>
    <w:rsid w:val="00B5430C"/>
    <w:rsid w:val="00B56A90"/>
    <w:rsid w:val="00B5711C"/>
    <w:rsid w:val="00B57BCF"/>
    <w:rsid w:val="00B57E36"/>
    <w:rsid w:val="00B60209"/>
    <w:rsid w:val="00B606A3"/>
    <w:rsid w:val="00B65D6F"/>
    <w:rsid w:val="00B673F3"/>
    <w:rsid w:val="00B67A25"/>
    <w:rsid w:val="00B7354A"/>
    <w:rsid w:val="00B74036"/>
    <w:rsid w:val="00B7435B"/>
    <w:rsid w:val="00B74446"/>
    <w:rsid w:val="00B74B59"/>
    <w:rsid w:val="00B77142"/>
    <w:rsid w:val="00B8024E"/>
    <w:rsid w:val="00B8031E"/>
    <w:rsid w:val="00B80C3A"/>
    <w:rsid w:val="00B82D15"/>
    <w:rsid w:val="00B82DA7"/>
    <w:rsid w:val="00B84643"/>
    <w:rsid w:val="00B90452"/>
    <w:rsid w:val="00B90780"/>
    <w:rsid w:val="00B916D6"/>
    <w:rsid w:val="00B91AD8"/>
    <w:rsid w:val="00B9209B"/>
    <w:rsid w:val="00B9240D"/>
    <w:rsid w:val="00B95753"/>
    <w:rsid w:val="00B97E42"/>
    <w:rsid w:val="00BA0B2E"/>
    <w:rsid w:val="00BA0C05"/>
    <w:rsid w:val="00BA54D0"/>
    <w:rsid w:val="00BA6974"/>
    <w:rsid w:val="00BA7E30"/>
    <w:rsid w:val="00BB1013"/>
    <w:rsid w:val="00BB1033"/>
    <w:rsid w:val="00BB4515"/>
    <w:rsid w:val="00BB7B89"/>
    <w:rsid w:val="00BC1A9B"/>
    <w:rsid w:val="00BC2A22"/>
    <w:rsid w:val="00BC4986"/>
    <w:rsid w:val="00BC5D75"/>
    <w:rsid w:val="00BC5E2E"/>
    <w:rsid w:val="00BC6379"/>
    <w:rsid w:val="00BC7608"/>
    <w:rsid w:val="00BC7EEF"/>
    <w:rsid w:val="00BD0C50"/>
    <w:rsid w:val="00BD0CA4"/>
    <w:rsid w:val="00BD1A02"/>
    <w:rsid w:val="00BD43BB"/>
    <w:rsid w:val="00BD7ADE"/>
    <w:rsid w:val="00BD7B4A"/>
    <w:rsid w:val="00BE1A85"/>
    <w:rsid w:val="00BE251D"/>
    <w:rsid w:val="00BE30DE"/>
    <w:rsid w:val="00BE46ED"/>
    <w:rsid w:val="00BE4FD1"/>
    <w:rsid w:val="00BE5873"/>
    <w:rsid w:val="00BE642D"/>
    <w:rsid w:val="00BE6D7A"/>
    <w:rsid w:val="00BF2080"/>
    <w:rsid w:val="00BF2511"/>
    <w:rsid w:val="00BF377F"/>
    <w:rsid w:val="00BF3F88"/>
    <w:rsid w:val="00BF57BE"/>
    <w:rsid w:val="00BF5A58"/>
    <w:rsid w:val="00C0042B"/>
    <w:rsid w:val="00C01EF2"/>
    <w:rsid w:val="00C02900"/>
    <w:rsid w:val="00C02E58"/>
    <w:rsid w:val="00C02F34"/>
    <w:rsid w:val="00C030B6"/>
    <w:rsid w:val="00C04B38"/>
    <w:rsid w:val="00C067B7"/>
    <w:rsid w:val="00C10A09"/>
    <w:rsid w:val="00C121BC"/>
    <w:rsid w:val="00C13116"/>
    <w:rsid w:val="00C14D92"/>
    <w:rsid w:val="00C158BC"/>
    <w:rsid w:val="00C16739"/>
    <w:rsid w:val="00C17F3F"/>
    <w:rsid w:val="00C220EF"/>
    <w:rsid w:val="00C23B30"/>
    <w:rsid w:val="00C23BA2"/>
    <w:rsid w:val="00C260A2"/>
    <w:rsid w:val="00C30DEC"/>
    <w:rsid w:val="00C31142"/>
    <w:rsid w:val="00C312FA"/>
    <w:rsid w:val="00C31DEF"/>
    <w:rsid w:val="00C338EB"/>
    <w:rsid w:val="00C34790"/>
    <w:rsid w:val="00C35BB7"/>
    <w:rsid w:val="00C36B35"/>
    <w:rsid w:val="00C400CD"/>
    <w:rsid w:val="00C40373"/>
    <w:rsid w:val="00C41617"/>
    <w:rsid w:val="00C41DA8"/>
    <w:rsid w:val="00C4309A"/>
    <w:rsid w:val="00C43F23"/>
    <w:rsid w:val="00C43FF1"/>
    <w:rsid w:val="00C44F1F"/>
    <w:rsid w:val="00C45494"/>
    <w:rsid w:val="00C50D87"/>
    <w:rsid w:val="00C51B4E"/>
    <w:rsid w:val="00C52D18"/>
    <w:rsid w:val="00C559CE"/>
    <w:rsid w:val="00C55E19"/>
    <w:rsid w:val="00C55E56"/>
    <w:rsid w:val="00C563BF"/>
    <w:rsid w:val="00C56EF8"/>
    <w:rsid w:val="00C57512"/>
    <w:rsid w:val="00C57607"/>
    <w:rsid w:val="00C61133"/>
    <w:rsid w:val="00C64009"/>
    <w:rsid w:val="00C7016D"/>
    <w:rsid w:val="00C74ABE"/>
    <w:rsid w:val="00C767B3"/>
    <w:rsid w:val="00C76C07"/>
    <w:rsid w:val="00C80F23"/>
    <w:rsid w:val="00C850A3"/>
    <w:rsid w:val="00C85401"/>
    <w:rsid w:val="00C87568"/>
    <w:rsid w:val="00C92451"/>
    <w:rsid w:val="00C9272C"/>
    <w:rsid w:val="00C97764"/>
    <w:rsid w:val="00C97C9B"/>
    <w:rsid w:val="00CA2F4E"/>
    <w:rsid w:val="00CA344C"/>
    <w:rsid w:val="00CA59F6"/>
    <w:rsid w:val="00CB046E"/>
    <w:rsid w:val="00CB142D"/>
    <w:rsid w:val="00CB1FEE"/>
    <w:rsid w:val="00CB29F6"/>
    <w:rsid w:val="00CB2BBF"/>
    <w:rsid w:val="00CB375E"/>
    <w:rsid w:val="00CB481C"/>
    <w:rsid w:val="00CB4C8C"/>
    <w:rsid w:val="00CB5F73"/>
    <w:rsid w:val="00CB62E1"/>
    <w:rsid w:val="00CB6EFE"/>
    <w:rsid w:val="00CB7A3B"/>
    <w:rsid w:val="00CC15D7"/>
    <w:rsid w:val="00CC1636"/>
    <w:rsid w:val="00CC16F9"/>
    <w:rsid w:val="00CC28A9"/>
    <w:rsid w:val="00CC4183"/>
    <w:rsid w:val="00CC5423"/>
    <w:rsid w:val="00CC70A4"/>
    <w:rsid w:val="00CD4A0C"/>
    <w:rsid w:val="00CD5CEF"/>
    <w:rsid w:val="00CE06EC"/>
    <w:rsid w:val="00CE41F1"/>
    <w:rsid w:val="00CE54FE"/>
    <w:rsid w:val="00CE592E"/>
    <w:rsid w:val="00CE5BC5"/>
    <w:rsid w:val="00CF16A4"/>
    <w:rsid w:val="00CF299F"/>
    <w:rsid w:val="00CF3357"/>
    <w:rsid w:val="00CF4695"/>
    <w:rsid w:val="00CF58DF"/>
    <w:rsid w:val="00D00BC3"/>
    <w:rsid w:val="00D0316E"/>
    <w:rsid w:val="00D03538"/>
    <w:rsid w:val="00D04410"/>
    <w:rsid w:val="00D057D1"/>
    <w:rsid w:val="00D05EE7"/>
    <w:rsid w:val="00D06A9D"/>
    <w:rsid w:val="00D07C15"/>
    <w:rsid w:val="00D11D4F"/>
    <w:rsid w:val="00D12D04"/>
    <w:rsid w:val="00D13A01"/>
    <w:rsid w:val="00D15733"/>
    <w:rsid w:val="00D16F78"/>
    <w:rsid w:val="00D2020F"/>
    <w:rsid w:val="00D20364"/>
    <w:rsid w:val="00D2130C"/>
    <w:rsid w:val="00D26746"/>
    <w:rsid w:val="00D26DDD"/>
    <w:rsid w:val="00D27BDC"/>
    <w:rsid w:val="00D3194F"/>
    <w:rsid w:val="00D33751"/>
    <w:rsid w:val="00D3445F"/>
    <w:rsid w:val="00D37343"/>
    <w:rsid w:val="00D37495"/>
    <w:rsid w:val="00D41727"/>
    <w:rsid w:val="00D427E4"/>
    <w:rsid w:val="00D45F1B"/>
    <w:rsid w:val="00D478CC"/>
    <w:rsid w:val="00D52289"/>
    <w:rsid w:val="00D52EEE"/>
    <w:rsid w:val="00D55054"/>
    <w:rsid w:val="00D55A37"/>
    <w:rsid w:val="00D55B7E"/>
    <w:rsid w:val="00D56138"/>
    <w:rsid w:val="00D64354"/>
    <w:rsid w:val="00D66685"/>
    <w:rsid w:val="00D70D35"/>
    <w:rsid w:val="00D71194"/>
    <w:rsid w:val="00D71351"/>
    <w:rsid w:val="00D71997"/>
    <w:rsid w:val="00D7532A"/>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7AC"/>
    <w:rsid w:val="00DA2DE3"/>
    <w:rsid w:val="00DA64AF"/>
    <w:rsid w:val="00DA7948"/>
    <w:rsid w:val="00DB1F4F"/>
    <w:rsid w:val="00DB2910"/>
    <w:rsid w:val="00DB2AC7"/>
    <w:rsid w:val="00DB3588"/>
    <w:rsid w:val="00DB56EC"/>
    <w:rsid w:val="00DB704C"/>
    <w:rsid w:val="00DC5515"/>
    <w:rsid w:val="00DC693B"/>
    <w:rsid w:val="00DC7C77"/>
    <w:rsid w:val="00DD0F5D"/>
    <w:rsid w:val="00DD2C55"/>
    <w:rsid w:val="00DD32D6"/>
    <w:rsid w:val="00DD426D"/>
    <w:rsid w:val="00DD74FC"/>
    <w:rsid w:val="00DE117F"/>
    <w:rsid w:val="00DE1769"/>
    <w:rsid w:val="00DE1A17"/>
    <w:rsid w:val="00DE2418"/>
    <w:rsid w:val="00DE44C8"/>
    <w:rsid w:val="00DE64CC"/>
    <w:rsid w:val="00DE6AA9"/>
    <w:rsid w:val="00DE6E5C"/>
    <w:rsid w:val="00DE778B"/>
    <w:rsid w:val="00DE7B30"/>
    <w:rsid w:val="00DF0A34"/>
    <w:rsid w:val="00DF20C7"/>
    <w:rsid w:val="00DF4D0C"/>
    <w:rsid w:val="00DF53FA"/>
    <w:rsid w:val="00DF5C20"/>
    <w:rsid w:val="00DF744A"/>
    <w:rsid w:val="00DF7D81"/>
    <w:rsid w:val="00E02254"/>
    <w:rsid w:val="00E02DEB"/>
    <w:rsid w:val="00E042A1"/>
    <w:rsid w:val="00E0476C"/>
    <w:rsid w:val="00E0576B"/>
    <w:rsid w:val="00E067EA"/>
    <w:rsid w:val="00E06D18"/>
    <w:rsid w:val="00E07C4A"/>
    <w:rsid w:val="00E104FA"/>
    <w:rsid w:val="00E1320D"/>
    <w:rsid w:val="00E16022"/>
    <w:rsid w:val="00E16304"/>
    <w:rsid w:val="00E1738C"/>
    <w:rsid w:val="00E174FF"/>
    <w:rsid w:val="00E205AA"/>
    <w:rsid w:val="00E22296"/>
    <w:rsid w:val="00E27360"/>
    <w:rsid w:val="00E27C04"/>
    <w:rsid w:val="00E30713"/>
    <w:rsid w:val="00E30D0E"/>
    <w:rsid w:val="00E30EDF"/>
    <w:rsid w:val="00E31FBA"/>
    <w:rsid w:val="00E328E2"/>
    <w:rsid w:val="00E336BB"/>
    <w:rsid w:val="00E3384E"/>
    <w:rsid w:val="00E374C8"/>
    <w:rsid w:val="00E4042D"/>
    <w:rsid w:val="00E412F2"/>
    <w:rsid w:val="00E4135D"/>
    <w:rsid w:val="00E422F3"/>
    <w:rsid w:val="00E4351D"/>
    <w:rsid w:val="00E43750"/>
    <w:rsid w:val="00E44860"/>
    <w:rsid w:val="00E45640"/>
    <w:rsid w:val="00E508EB"/>
    <w:rsid w:val="00E521E3"/>
    <w:rsid w:val="00E53B7A"/>
    <w:rsid w:val="00E550C9"/>
    <w:rsid w:val="00E55405"/>
    <w:rsid w:val="00E5645D"/>
    <w:rsid w:val="00E627A4"/>
    <w:rsid w:val="00E6280E"/>
    <w:rsid w:val="00E62C9C"/>
    <w:rsid w:val="00E630EE"/>
    <w:rsid w:val="00E67A61"/>
    <w:rsid w:val="00E70455"/>
    <w:rsid w:val="00E73221"/>
    <w:rsid w:val="00E75116"/>
    <w:rsid w:val="00E763EB"/>
    <w:rsid w:val="00E8342F"/>
    <w:rsid w:val="00E838EF"/>
    <w:rsid w:val="00E84632"/>
    <w:rsid w:val="00E847EE"/>
    <w:rsid w:val="00E84F32"/>
    <w:rsid w:val="00E876F9"/>
    <w:rsid w:val="00E96A72"/>
    <w:rsid w:val="00E96B52"/>
    <w:rsid w:val="00EA01F7"/>
    <w:rsid w:val="00EA1D33"/>
    <w:rsid w:val="00EA1F5A"/>
    <w:rsid w:val="00EA375F"/>
    <w:rsid w:val="00EA3AD1"/>
    <w:rsid w:val="00EA3C4A"/>
    <w:rsid w:val="00EA5143"/>
    <w:rsid w:val="00EA56DE"/>
    <w:rsid w:val="00EA7104"/>
    <w:rsid w:val="00EA7533"/>
    <w:rsid w:val="00EB067F"/>
    <w:rsid w:val="00EB2419"/>
    <w:rsid w:val="00EB27DE"/>
    <w:rsid w:val="00EB58F5"/>
    <w:rsid w:val="00EB6E6B"/>
    <w:rsid w:val="00EC010F"/>
    <w:rsid w:val="00EC09C2"/>
    <w:rsid w:val="00EC2E3A"/>
    <w:rsid w:val="00EC3CCB"/>
    <w:rsid w:val="00EC41BC"/>
    <w:rsid w:val="00EC5A74"/>
    <w:rsid w:val="00EC737D"/>
    <w:rsid w:val="00ED0E09"/>
    <w:rsid w:val="00ED2154"/>
    <w:rsid w:val="00ED4277"/>
    <w:rsid w:val="00ED7C8C"/>
    <w:rsid w:val="00ED7DDB"/>
    <w:rsid w:val="00EE431B"/>
    <w:rsid w:val="00EE4874"/>
    <w:rsid w:val="00EE53E5"/>
    <w:rsid w:val="00EE5F2D"/>
    <w:rsid w:val="00EE73FB"/>
    <w:rsid w:val="00EE7BF0"/>
    <w:rsid w:val="00EF2674"/>
    <w:rsid w:val="00EF54BC"/>
    <w:rsid w:val="00EF556F"/>
    <w:rsid w:val="00EF7D07"/>
    <w:rsid w:val="00EF7DB6"/>
    <w:rsid w:val="00F0161E"/>
    <w:rsid w:val="00F0181C"/>
    <w:rsid w:val="00F01861"/>
    <w:rsid w:val="00F03512"/>
    <w:rsid w:val="00F0433A"/>
    <w:rsid w:val="00F0519B"/>
    <w:rsid w:val="00F059D4"/>
    <w:rsid w:val="00F06B82"/>
    <w:rsid w:val="00F103C8"/>
    <w:rsid w:val="00F11783"/>
    <w:rsid w:val="00F119AF"/>
    <w:rsid w:val="00F139D5"/>
    <w:rsid w:val="00F1480B"/>
    <w:rsid w:val="00F1498D"/>
    <w:rsid w:val="00F20065"/>
    <w:rsid w:val="00F2038E"/>
    <w:rsid w:val="00F22211"/>
    <w:rsid w:val="00F22297"/>
    <w:rsid w:val="00F22341"/>
    <w:rsid w:val="00F22F1D"/>
    <w:rsid w:val="00F24039"/>
    <w:rsid w:val="00F24E0E"/>
    <w:rsid w:val="00F2646E"/>
    <w:rsid w:val="00F265A5"/>
    <w:rsid w:val="00F26693"/>
    <w:rsid w:val="00F30496"/>
    <w:rsid w:val="00F32579"/>
    <w:rsid w:val="00F3477D"/>
    <w:rsid w:val="00F347FE"/>
    <w:rsid w:val="00F34859"/>
    <w:rsid w:val="00F356F7"/>
    <w:rsid w:val="00F37EA9"/>
    <w:rsid w:val="00F40055"/>
    <w:rsid w:val="00F40868"/>
    <w:rsid w:val="00F40E14"/>
    <w:rsid w:val="00F44FDE"/>
    <w:rsid w:val="00F46467"/>
    <w:rsid w:val="00F4715C"/>
    <w:rsid w:val="00F47BA9"/>
    <w:rsid w:val="00F47FF8"/>
    <w:rsid w:val="00F529B5"/>
    <w:rsid w:val="00F52AA4"/>
    <w:rsid w:val="00F53385"/>
    <w:rsid w:val="00F56162"/>
    <w:rsid w:val="00F56B7E"/>
    <w:rsid w:val="00F56E5B"/>
    <w:rsid w:val="00F6052F"/>
    <w:rsid w:val="00F62FDE"/>
    <w:rsid w:val="00F654E6"/>
    <w:rsid w:val="00F662CD"/>
    <w:rsid w:val="00F67E39"/>
    <w:rsid w:val="00F703A8"/>
    <w:rsid w:val="00F707F1"/>
    <w:rsid w:val="00F7094A"/>
    <w:rsid w:val="00F710BE"/>
    <w:rsid w:val="00F72579"/>
    <w:rsid w:val="00F804B9"/>
    <w:rsid w:val="00F80AE2"/>
    <w:rsid w:val="00F83FF9"/>
    <w:rsid w:val="00F870C3"/>
    <w:rsid w:val="00F90005"/>
    <w:rsid w:val="00F91B52"/>
    <w:rsid w:val="00F97478"/>
    <w:rsid w:val="00F97B71"/>
    <w:rsid w:val="00F97B9E"/>
    <w:rsid w:val="00FA00C3"/>
    <w:rsid w:val="00FA0527"/>
    <w:rsid w:val="00FA085E"/>
    <w:rsid w:val="00FA0947"/>
    <w:rsid w:val="00FA2D49"/>
    <w:rsid w:val="00FA4B52"/>
    <w:rsid w:val="00FA4D4F"/>
    <w:rsid w:val="00FA4D5B"/>
    <w:rsid w:val="00FA54E8"/>
    <w:rsid w:val="00FA6245"/>
    <w:rsid w:val="00FA7737"/>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6F53"/>
    <w:rsid w:val="00FC7F43"/>
    <w:rsid w:val="00FD1F57"/>
    <w:rsid w:val="00FD45FA"/>
    <w:rsid w:val="00FD7D41"/>
    <w:rsid w:val="00FE0072"/>
    <w:rsid w:val="00FE0C71"/>
    <w:rsid w:val="00FE1E47"/>
    <w:rsid w:val="00FE275D"/>
    <w:rsid w:val="00FE7FBD"/>
    <w:rsid w:val="00FF10BC"/>
    <w:rsid w:val="00FF5DCF"/>
    <w:rsid w:val="00FF5FC7"/>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BA4BD193-F1FF-44C9-82F9-B85785549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qFormat/>
    <w:rsid w:val="006A4828"/>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6A4828"/>
    <w:pPr>
      <w:ind w:firstLineChars="200" w:firstLine="420"/>
    </w:pPr>
  </w:style>
  <w:style w:type="paragraph" w:styleId="a4">
    <w:name w:val="Body Text Indent"/>
    <w:basedOn w:val="a"/>
    <w:rsid w:val="006A4828"/>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6A4828"/>
    <w:rPr>
      <w:rFonts w:ascii="宋体" w:hAnsi="Courier New"/>
      <w:szCs w:val="21"/>
    </w:rPr>
  </w:style>
  <w:style w:type="paragraph" w:styleId="20">
    <w:name w:val="Body Text Indent 2"/>
    <w:basedOn w:val="a"/>
    <w:rsid w:val="006A4828"/>
    <w:pPr>
      <w:spacing w:line="560" w:lineRule="exact"/>
      <w:ind w:firstLineChars="200" w:firstLine="480"/>
    </w:pPr>
    <w:rPr>
      <w:rFonts w:ascii="宋体" w:hAnsi="宋体"/>
      <w:color w:val="FF0000"/>
      <w:sz w:val="24"/>
    </w:rPr>
  </w:style>
  <w:style w:type="paragraph" w:styleId="a6">
    <w:name w:val="footer"/>
    <w:basedOn w:val="a"/>
    <w:rsid w:val="006A4828"/>
    <w:pPr>
      <w:tabs>
        <w:tab w:val="center" w:pos="4153"/>
        <w:tab w:val="right" w:pos="8306"/>
      </w:tabs>
      <w:snapToGrid w:val="0"/>
      <w:jc w:val="left"/>
    </w:pPr>
    <w:rPr>
      <w:sz w:val="18"/>
      <w:szCs w:val="18"/>
    </w:rPr>
  </w:style>
  <w:style w:type="character" w:styleId="a7">
    <w:name w:val="page number"/>
    <w:basedOn w:val="a1"/>
    <w:rsid w:val="006A4828"/>
  </w:style>
  <w:style w:type="character" w:styleId="a8">
    <w:name w:val="Hyperlink"/>
    <w:basedOn w:val="a1"/>
    <w:rsid w:val="006A4828"/>
    <w:rPr>
      <w:color w:val="0000FF"/>
      <w:u w:val="single"/>
    </w:rPr>
  </w:style>
  <w:style w:type="paragraph" w:styleId="3">
    <w:name w:val="Body Text Indent 3"/>
    <w:basedOn w:val="a"/>
    <w:rsid w:val="006A4828"/>
    <w:pPr>
      <w:spacing w:line="560" w:lineRule="exact"/>
      <w:ind w:firstLineChars="200" w:firstLine="420"/>
    </w:pPr>
    <w:rPr>
      <w:rFonts w:ascii="Arial" w:hAnsi="Arial" w:cs="Arial"/>
      <w:color w:val="FF0000"/>
    </w:rPr>
  </w:style>
  <w:style w:type="paragraph" w:styleId="a9">
    <w:name w:val="header"/>
    <w:basedOn w:val="a"/>
    <w:link w:val="Char0"/>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10">
    <w:name w:val="已访问的超链接1"/>
    <w:basedOn w:val="a1"/>
    <w:rsid w:val="006A4828"/>
    <w:rPr>
      <w:color w:val="800080"/>
      <w:u w:val="single"/>
    </w:rPr>
  </w:style>
  <w:style w:type="paragraph" w:styleId="aa">
    <w:name w:val="List"/>
    <w:basedOn w:val="ab"/>
    <w:rsid w:val="006A4828"/>
    <w:pPr>
      <w:spacing w:after="220" w:line="220" w:lineRule="atLeast"/>
      <w:ind w:left="1440" w:hanging="360"/>
    </w:pPr>
    <w:rPr>
      <w:szCs w:val="20"/>
    </w:rPr>
  </w:style>
  <w:style w:type="paragraph" w:styleId="ab">
    <w:name w:val="Body Text"/>
    <w:basedOn w:val="a"/>
    <w:rsid w:val="006A4828"/>
    <w:pPr>
      <w:spacing w:after="120"/>
    </w:pPr>
  </w:style>
  <w:style w:type="paragraph" w:styleId="ac">
    <w:name w:val="Date"/>
    <w:basedOn w:val="a"/>
    <w:next w:val="a"/>
    <w:link w:val="Char1"/>
    <w:rsid w:val="006A4828"/>
    <w:rPr>
      <w:sz w:val="24"/>
      <w:szCs w:val="20"/>
    </w:rPr>
  </w:style>
  <w:style w:type="character" w:customStyle="1" w:styleId="c1">
    <w:name w:val="c1"/>
    <w:basedOn w:val="a1"/>
    <w:rsid w:val="006A4828"/>
    <w:rPr>
      <w:color w:val="000000"/>
      <w:sz w:val="18"/>
      <w:szCs w:val="18"/>
    </w:rPr>
  </w:style>
  <w:style w:type="paragraph" w:styleId="11">
    <w:name w:val="index 1"/>
    <w:basedOn w:val="a"/>
    <w:next w:val="a"/>
    <w:autoRedefine/>
    <w:semiHidden/>
    <w:rsid w:val="006A4828"/>
    <w:pPr>
      <w:jc w:val="right"/>
    </w:pPr>
    <w:rPr>
      <w:color w:val="008000"/>
    </w:rPr>
  </w:style>
  <w:style w:type="paragraph" w:customStyle="1" w:styleId="font5">
    <w:name w:val="font5"/>
    <w:basedOn w:val="a"/>
    <w:rsid w:val="006A4828"/>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semiHidden/>
    <w:rsid w:val="006A4828"/>
    <w:rPr>
      <w:sz w:val="18"/>
      <w:szCs w:val="18"/>
    </w:rPr>
  </w:style>
  <w:style w:type="character" w:styleId="ae">
    <w:name w:val="annotation reference"/>
    <w:basedOn w:val="a1"/>
    <w:uiPriority w:val="99"/>
    <w:semiHidden/>
    <w:rsid w:val="006A4828"/>
    <w:rPr>
      <w:sz w:val="21"/>
      <w:szCs w:val="21"/>
    </w:rPr>
  </w:style>
  <w:style w:type="paragraph" w:styleId="af">
    <w:name w:val="annotation text"/>
    <w:basedOn w:val="a"/>
    <w:link w:val="Char2"/>
    <w:uiPriority w:val="99"/>
    <w:semiHidden/>
    <w:rsid w:val="006A4828"/>
    <w:pPr>
      <w:jc w:val="left"/>
    </w:pPr>
  </w:style>
  <w:style w:type="paragraph" w:styleId="af0">
    <w:name w:val="annotation subject"/>
    <w:basedOn w:val="af"/>
    <w:next w:val="af"/>
    <w:semiHidden/>
    <w:rsid w:val="006A4828"/>
    <w:rPr>
      <w:b/>
      <w:bCs/>
    </w:rPr>
  </w:style>
  <w:style w:type="paragraph" w:customStyle="1" w:styleId="Char3">
    <w:name w:val="Char"/>
    <w:basedOn w:val="a"/>
    <w:rsid w:val="006A4828"/>
  </w:style>
  <w:style w:type="paragraph" w:styleId="af1">
    <w:name w:val="Document Map"/>
    <w:basedOn w:val="a"/>
    <w:semiHidden/>
    <w:rsid w:val="000A549A"/>
    <w:pPr>
      <w:shd w:val="clear" w:color="auto" w:fill="000080"/>
    </w:p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4"/>
    <w:rsid w:val="000B251E"/>
    <w:pPr>
      <w:snapToGrid w:val="0"/>
      <w:jc w:val="left"/>
    </w:pPr>
    <w:rPr>
      <w:sz w:val="18"/>
      <w:szCs w:val="18"/>
    </w:rPr>
  </w:style>
  <w:style w:type="character" w:styleId="af4">
    <w:name w:val="footnote reference"/>
    <w:basedOn w:val="a1"/>
    <w:rsid w:val="000B251E"/>
    <w:rPr>
      <w:vertAlign w:val="superscript"/>
    </w:rPr>
  </w:style>
  <w:style w:type="paragraph" w:styleId="af5">
    <w:name w:val="Normal (Web)"/>
    <w:basedOn w:val="a"/>
    <w:rsid w:val="00B25807"/>
    <w:pPr>
      <w:widowControl/>
      <w:spacing w:before="100" w:beforeAutospacing="1" w:after="100" w:afterAutospacing="1"/>
      <w:jc w:val="left"/>
    </w:pPr>
    <w:rPr>
      <w:rFonts w:ascii="宋体" w:hAnsi="宋体"/>
      <w:kern w:val="0"/>
      <w:sz w:val="24"/>
    </w:rPr>
  </w:style>
  <w:style w:type="paragraph" w:customStyle="1" w:styleId="Char5">
    <w:name w:val="Char"/>
    <w:basedOn w:val="a"/>
    <w:rsid w:val="00D97213"/>
  </w:style>
  <w:style w:type="numbering" w:customStyle="1" w:styleId="5">
    <w:name w:val="样式5"/>
    <w:rsid w:val="00952A72"/>
    <w:pPr>
      <w:numPr>
        <w:numId w:val="8"/>
      </w:numPr>
    </w:pPr>
  </w:style>
  <w:style w:type="character" w:customStyle="1" w:styleId="t1">
    <w:name w:val="t1"/>
    <w:basedOn w:val="a1"/>
    <w:rsid w:val="002D2A00"/>
    <w:rPr>
      <w:color w:val="990000"/>
    </w:rPr>
  </w:style>
  <w:style w:type="character" w:customStyle="1" w:styleId="Char">
    <w:name w:val="纯文本 Char"/>
    <w:basedOn w:val="a1"/>
    <w:link w:val="a5"/>
    <w:uiPriority w:val="99"/>
    <w:rsid w:val="009A045B"/>
    <w:rPr>
      <w:rFonts w:ascii="宋体" w:hAnsi="Courier New"/>
      <w:kern w:val="2"/>
      <w:sz w:val="21"/>
      <w:szCs w:val="21"/>
    </w:rPr>
  </w:style>
  <w:style w:type="character" w:customStyle="1" w:styleId="Char4">
    <w:name w:val="脚注文本 Char"/>
    <w:basedOn w:val="a1"/>
    <w:link w:val="af3"/>
    <w:rsid w:val="00CB481C"/>
    <w:rPr>
      <w:kern w:val="2"/>
      <w:sz w:val="18"/>
      <w:szCs w:val="18"/>
    </w:rPr>
  </w:style>
  <w:style w:type="paragraph" w:customStyle="1" w:styleId="Default">
    <w:name w:val="Default"/>
    <w:rsid w:val="00CB481C"/>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1207F2"/>
    <w:rPr>
      <w:kern w:val="2"/>
      <w:sz w:val="18"/>
      <w:szCs w:val="18"/>
    </w:rPr>
  </w:style>
  <w:style w:type="character" w:customStyle="1" w:styleId="1Char">
    <w:name w:val="标题 1 Char"/>
    <w:basedOn w:val="a1"/>
    <w:link w:val="1"/>
    <w:uiPriority w:val="99"/>
    <w:rsid w:val="00180952"/>
    <w:rPr>
      <w:b/>
      <w:bCs/>
      <w:kern w:val="44"/>
      <w:sz w:val="44"/>
      <w:szCs w:val="44"/>
    </w:rPr>
  </w:style>
  <w:style w:type="character" w:customStyle="1" w:styleId="Char1">
    <w:name w:val="日期 Char"/>
    <w:basedOn w:val="a1"/>
    <w:link w:val="ac"/>
    <w:rsid w:val="00D66685"/>
    <w:rPr>
      <w:kern w:val="2"/>
      <w:sz w:val="24"/>
    </w:rPr>
  </w:style>
  <w:style w:type="character" w:styleId="af6">
    <w:name w:val="Strong"/>
    <w:basedOn w:val="a1"/>
    <w:uiPriority w:val="22"/>
    <w:qFormat/>
    <w:rsid w:val="00C02900"/>
    <w:rPr>
      <w:b/>
      <w:bCs/>
    </w:rPr>
  </w:style>
  <w:style w:type="character" w:customStyle="1" w:styleId="Char2">
    <w:name w:val="批注文字 Char"/>
    <w:basedOn w:val="a1"/>
    <w:link w:val="af"/>
    <w:uiPriority w:val="99"/>
    <w:semiHidden/>
    <w:rsid w:val="00C51B4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32286">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5908062">
      <w:bodyDiv w:val="1"/>
      <w:marLeft w:val="0"/>
      <w:marRight w:val="0"/>
      <w:marTop w:val="0"/>
      <w:marBottom w:val="0"/>
      <w:divBdr>
        <w:top w:val="none" w:sz="0" w:space="0" w:color="auto"/>
        <w:left w:val="none" w:sz="0" w:space="0" w:color="auto"/>
        <w:bottom w:val="none" w:sz="0" w:space="0" w:color="auto"/>
        <w:right w:val="none" w:sz="0" w:space="0" w:color="auto"/>
      </w:divBdr>
    </w:div>
    <w:div w:id="404841301">
      <w:bodyDiv w:val="1"/>
      <w:marLeft w:val="0"/>
      <w:marRight w:val="0"/>
      <w:marTop w:val="0"/>
      <w:marBottom w:val="0"/>
      <w:divBdr>
        <w:top w:val="none" w:sz="0" w:space="0" w:color="auto"/>
        <w:left w:val="none" w:sz="0" w:space="0" w:color="auto"/>
        <w:bottom w:val="none" w:sz="0" w:space="0" w:color="auto"/>
        <w:right w:val="none" w:sz="0" w:space="0" w:color="auto"/>
      </w:divBdr>
    </w:div>
    <w:div w:id="515924504">
      <w:bodyDiv w:val="1"/>
      <w:marLeft w:val="0"/>
      <w:marRight w:val="0"/>
      <w:marTop w:val="0"/>
      <w:marBottom w:val="0"/>
      <w:divBdr>
        <w:top w:val="none" w:sz="0" w:space="0" w:color="auto"/>
        <w:left w:val="none" w:sz="0" w:space="0" w:color="auto"/>
        <w:bottom w:val="none" w:sz="0" w:space="0" w:color="auto"/>
        <w:right w:val="none" w:sz="0" w:space="0" w:color="auto"/>
      </w:divBdr>
    </w:div>
    <w:div w:id="713970738">
      <w:bodyDiv w:val="1"/>
      <w:marLeft w:val="0"/>
      <w:marRight w:val="0"/>
      <w:marTop w:val="0"/>
      <w:marBottom w:val="0"/>
      <w:divBdr>
        <w:top w:val="none" w:sz="0" w:space="0" w:color="auto"/>
        <w:left w:val="none" w:sz="0" w:space="0" w:color="auto"/>
        <w:bottom w:val="none" w:sz="0" w:space="0" w:color="auto"/>
        <w:right w:val="none" w:sz="0" w:space="0" w:color="auto"/>
      </w:divBdr>
    </w:div>
    <w:div w:id="718362652">
      <w:bodyDiv w:val="1"/>
      <w:marLeft w:val="0"/>
      <w:marRight w:val="0"/>
      <w:marTop w:val="0"/>
      <w:marBottom w:val="0"/>
      <w:divBdr>
        <w:top w:val="none" w:sz="0" w:space="0" w:color="auto"/>
        <w:left w:val="none" w:sz="0" w:space="0" w:color="auto"/>
        <w:bottom w:val="none" w:sz="0" w:space="0" w:color="auto"/>
        <w:right w:val="none" w:sz="0" w:space="0" w:color="auto"/>
      </w:divBdr>
    </w:div>
    <w:div w:id="855652685">
      <w:bodyDiv w:val="1"/>
      <w:marLeft w:val="0"/>
      <w:marRight w:val="0"/>
      <w:marTop w:val="0"/>
      <w:marBottom w:val="0"/>
      <w:divBdr>
        <w:top w:val="none" w:sz="0" w:space="0" w:color="auto"/>
        <w:left w:val="none" w:sz="0" w:space="0" w:color="auto"/>
        <w:bottom w:val="none" w:sz="0" w:space="0" w:color="auto"/>
        <w:right w:val="none" w:sz="0" w:space="0" w:color="auto"/>
      </w:divBdr>
    </w:div>
    <w:div w:id="1165123828">
      <w:bodyDiv w:val="1"/>
      <w:marLeft w:val="0"/>
      <w:marRight w:val="0"/>
      <w:marTop w:val="0"/>
      <w:marBottom w:val="0"/>
      <w:divBdr>
        <w:top w:val="none" w:sz="0" w:space="0" w:color="auto"/>
        <w:left w:val="none" w:sz="0" w:space="0" w:color="auto"/>
        <w:bottom w:val="none" w:sz="0" w:space="0" w:color="auto"/>
        <w:right w:val="none" w:sz="0" w:space="0" w:color="auto"/>
      </w:divBdr>
    </w:div>
    <w:div w:id="1197889010">
      <w:bodyDiv w:val="1"/>
      <w:marLeft w:val="0"/>
      <w:marRight w:val="0"/>
      <w:marTop w:val="0"/>
      <w:marBottom w:val="0"/>
      <w:divBdr>
        <w:top w:val="none" w:sz="0" w:space="0" w:color="auto"/>
        <w:left w:val="none" w:sz="0" w:space="0" w:color="auto"/>
        <w:bottom w:val="none" w:sz="0" w:space="0" w:color="auto"/>
        <w:right w:val="none" w:sz="0" w:space="0" w:color="auto"/>
      </w:divBdr>
    </w:div>
    <w:div w:id="128072547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1732465">
      <w:bodyDiv w:val="1"/>
      <w:marLeft w:val="0"/>
      <w:marRight w:val="0"/>
      <w:marTop w:val="0"/>
      <w:marBottom w:val="0"/>
      <w:divBdr>
        <w:top w:val="none" w:sz="0" w:space="0" w:color="auto"/>
        <w:left w:val="none" w:sz="0" w:space="0" w:color="auto"/>
        <w:bottom w:val="none" w:sz="0" w:space="0" w:color="auto"/>
        <w:right w:val="none" w:sz="0" w:space="0" w:color="auto"/>
      </w:divBdr>
    </w:div>
    <w:div w:id="1541361230">
      <w:bodyDiv w:val="1"/>
      <w:marLeft w:val="0"/>
      <w:marRight w:val="0"/>
      <w:marTop w:val="0"/>
      <w:marBottom w:val="0"/>
      <w:divBdr>
        <w:top w:val="none" w:sz="0" w:space="0" w:color="auto"/>
        <w:left w:val="none" w:sz="0" w:space="0" w:color="auto"/>
        <w:bottom w:val="none" w:sz="0" w:space="0" w:color="auto"/>
        <w:right w:val="none" w:sz="0" w:space="0" w:color="auto"/>
      </w:divBdr>
    </w:div>
    <w:div w:id="1736662881">
      <w:bodyDiv w:val="1"/>
      <w:marLeft w:val="0"/>
      <w:marRight w:val="0"/>
      <w:marTop w:val="0"/>
      <w:marBottom w:val="0"/>
      <w:divBdr>
        <w:top w:val="none" w:sz="0" w:space="0" w:color="auto"/>
        <w:left w:val="none" w:sz="0" w:space="0" w:color="auto"/>
        <w:bottom w:val="none" w:sz="0" w:space="0" w:color="auto"/>
        <w:right w:val="none" w:sz="0" w:space="0" w:color="auto"/>
      </w:divBdr>
    </w:div>
    <w:div w:id="1887255298">
      <w:bodyDiv w:val="1"/>
      <w:marLeft w:val="0"/>
      <w:marRight w:val="0"/>
      <w:marTop w:val="0"/>
      <w:marBottom w:val="0"/>
      <w:divBdr>
        <w:top w:val="none" w:sz="0" w:space="0" w:color="auto"/>
        <w:left w:val="none" w:sz="0" w:space="0" w:color="auto"/>
        <w:bottom w:val="none" w:sz="0" w:space="0" w:color="auto"/>
        <w:right w:val="none" w:sz="0" w:space="0" w:color="auto"/>
      </w:divBdr>
    </w:div>
    <w:div w:id="1912079058">
      <w:bodyDiv w:val="1"/>
      <w:marLeft w:val="0"/>
      <w:marRight w:val="0"/>
      <w:marTop w:val="0"/>
      <w:marBottom w:val="0"/>
      <w:divBdr>
        <w:top w:val="none" w:sz="0" w:space="0" w:color="auto"/>
        <w:left w:val="none" w:sz="0" w:space="0" w:color="auto"/>
        <w:bottom w:val="none" w:sz="0" w:space="0" w:color="auto"/>
        <w:right w:val="none" w:sz="0" w:space="0" w:color="auto"/>
      </w:divBdr>
    </w:div>
    <w:div w:id="2025472779">
      <w:bodyDiv w:val="1"/>
      <w:marLeft w:val="0"/>
      <w:marRight w:val="0"/>
      <w:marTop w:val="0"/>
      <w:marBottom w:val="0"/>
      <w:divBdr>
        <w:top w:val="none" w:sz="0" w:space="0" w:color="auto"/>
        <w:left w:val="none" w:sz="0" w:space="0" w:color="auto"/>
        <w:bottom w:val="none" w:sz="0" w:space="0" w:color="auto"/>
        <w:right w:val="none" w:sz="0" w:space="0" w:color="auto"/>
      </w:divBdr>
    </w:div>
    <w:div w:id="2106463434">
      <w:bodyDiv w:val="1"/>
      <w:marLeft w:val="0"/>
      <w:marRight w:val="0"/>
      <w:marTop w:val="0"/>
      <w:marBottom w:val="0"/>
      <w:divBdr>
        <w:top w:val="none" w:sz="0" w:space="0" w:color="auto"/>
        <w:left w:val="none" w:sz="0" w:space="0" w:color="auto"/>
        <w:bottom w:val="none" w:sz="0" w:space="0" w:color="auto"/>
        <w:right w:val="none" w:sz="0" w:space="0" w:color="auto"/>
      </w:divBdr>
    </w:div>
    <w:div w:id="212723714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662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972FB-15EA-4203-9F4E-3255E4497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abc季报.dot</Template>
  <TotalTime>207</TotalTime>
  <Pages>14</Pages>
  <Words>1151</Words>
  <Characters>6564</Characters>
  <Application>Microsoft Office Word</Application>
  <DocSecurity>0</DocSecurity>
  <Lines>54</Lines>
  <Paragraphs>15</Paragraphs>
  <ScaleCrop>false</ScaleCrop>
  <Company>TRT. Ltd. Co.</Company>
  <LinksUpToDate>false</LinksUpToDate>
  <CharactersWithSpaces>7700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王晚婷</cp:lastModifiedBy>
  <cp:revision>377</cp:revision>
  <cp:lastPrinted>2007-07-19T00:46:00Z</cp:lastPrinted>
  <dcterms:created xsi:type="dcterms:W3CDTF">2014-01-17T06:19:00Z</dcterms:created>
  <dcterms:modified xsi:type="dcterms:W3CDTF">2018-07-16T08:50:00Z</dcterms:modified>
</cp:coreProperties>
</file>