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1,262,219,448.98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1,218,180,245.90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44,039,203.08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16,233,868.51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206,842.97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20,600,838.58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233,698.82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1,270,880,981.19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45,449,686.68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1.032</w:t>
            </w:r>
          </w:p>
        </w:tc>
      </w:tr>
    </w:tbl>
    <w:p w:rsidR="00823C1F" w:rsidRDefault="0046105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23C1F">
        <w:trPr>
          <w:jc w:val="center"/>
        </w:trPr>
        <w:tc>
          <w:tcPr>
            <w:tcW w:w="1266" w:type="dxa"/>
            <w:vAlign w:val="center"/>
          </w:tcPr>
          <w:p w:rsidR="00823C1F" w:rsidRDefault="00461053">
            <w:pPr>
              <w:jc w:val="left"/>
            </w:pPr>
            <w:r>
              <w:rPr>
                <w:color w:val="000000"/>
                <w:sz w:val="24"/>
              </w:rPr>
              <w:lastRenderedPageBreak/>
              <w:t>过去三个月</w:t>
            </w:r>
          </w:p>
        </w:tc>
        <w:tc>
          <w:tcPr>
            <w:tcW w:w="1267" w:type="dxa"/>
            <w:vAlign w:val="center"/>
          </w:tcPr>
          <w:p w:rsidR="00823C1F" w:rsidRDefault="00461053">
            <w:pPr>
              <w:jc w:val="center"/>
            </w:pPr>
            <w:r>
              <w:rPr>
                <w:color w:val="000000"/>
                <w:sz w:val="24"/>
              </w:rPr>
              <w:t>1.66%</w:t>
            </w:r>
          </w:p>
        </w:tc>
        <w:tc>
          <w:tcPr>
            <w:tcW w:w="1267" w:type="dxa"/>
            <w:vAlign w:val="center"/>
          </w:tcPr>
          <w:p w:rsidR="00823C1F" w:rsidRDefault="00461053">
            <w:pPr>
              <w:jc w:val="center"/>
            </w:pPr>
            <w:r>
              <w:rPr>
                <w:color w:val="000000"/>
                <w:sz w:val="24"/>
              </w:rPr>
              <w:t>0.08%</w:t>
            </w:r>
          </w:p>
        </w:tc>
        <w:tc>
          <w:tcPr>
            <w:tcW w:w="1267" w:type="dxa"/>
            <w:vAlign w:val="center"/>
          </w:tcPr>
          <w:p w:rsidR="00823C1F" w:rsidRDefault="00461053">
            <w:pPr>
              <w:jc w:val="center"/>
            </w:pPr>
            <w:r>
              <w:rPr>
                <w:color w:val="000000"/>
                <w:sz w:val="24"/>
              </w:rPr>
              <w:t>1.01%</w:t>
            </w:r>
          </w:p>
        </w:tc>
        <w:tc>
          <w:tcPr>
            <w:tcW w:w="1267" w:type="dxa"/>
            <w:vAlign w:val="center"/>
          </w:tcPr>
          <w:p w:rsidR="00823C1F" w:rsidRDefault="00461053">
            <w:pPr>
              <w:jc w:val="center"/>
            </w:pPr>
            <w:r>
              <w:rPr>
                <w:color w:val="000000"/>
                <w:sz w:val="24"/>
              </w:rPr>
              <w:t>0.10%</w:t>
            </w:r>
          </w:p>
        </w:tc>
        <w:tc>
          <w:tcPr>
            <w:tcW w:w="1267" w:type="dxa"/>
            <w:vAlign w:val="center"/>
          </w:tcPr>
          <w:p w:rsidR="00823C1F" w:rsidRDefault="00461053">
            <w:pPr>
              <w:jc w:val="center"/>
            </w:pPr>
            <w:r>
              <w:rPr>
                <w:color w:val="000000"/>
                <w:sz w:val="24"/>
              </w:rPr>
              <w:t>0.65%</w:t>
            </w:r>
          </w:p>
        </w:tc>
        <w:tc>
          <w:tcPr>
            <w:tcW w:w="1267" w:type="dxa"/>
            <w:vAlign w:val="center"/>
          </w:tcPr>
          <w:p w:rsidR="00823C1F" w:rsidRDefault="00461053">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23C1F">
        <w:trPr>
          <w:jc w:val="center"/>
        </w:trPr>
        <w:tc>
          <w:tcPr>
            <w:tcW w:w="1266" w:type="dxa"/>
            <w:vAlign w:val="center"/>
          </w:tcPr>
          <w:p w:rsidR="00823C1F" w:rsidRDefault="00461053">
            <w:pPr>
              <w:jc w:val="left"/>
            </w:pPr>
            <w:r>
              <w:rPr>
                <w:color w:val="000000"/>
                <w:sz w:val="24"/>
              </w:rPr>
              <w:t>过去三个月</w:t>
            </w:r>
          </w:p>
        </w:tc>
        <w:tc>
          <w:tcPr>
            <w:tcW w:w="1267" w:type="dxa"/>
            <w:vAlign w:val="center"/>
          </w:tcPr>
          <w:p w:rsidR="00823C1F" w:rsidRDefault="00461053">
            <w:pPr>
              <w:jc w:val="center"/>
            </w:pPr>
            <w:r>
              <w:rPr>
                <w:color w:val="000000"/>
                <w:sz w:val="24"/>
              </w:rPr>
              <w:t>1.57%</w:t>
            </w:r>
          </w:p>
        </w:tc>
        <w:tc>
          <w:tcPr>
            <w:tcW w:w="1267" w:type="dxa"/>
            <w:vAlign w:val="center"/>
          </w:tcPr>
          <w:p w:rsidR="00823C1F" w:rsidRDefault="00461053">
            <w:pPr>
              <w:jc w:val="center"/>
            </w:pPr>
            <w:r>
              <w:rPr>
                <w:color w:val="000000"/>
                <w:sz w:val="24"/>
              </w:rPr>
              <w:t>0.08%</w:t>
            </w:r>
          </w:p>
        </w:tc>
        <w:tc>
          <w:tcPr>
            <w:tcW w:w="1267" w:type="dxa"/>
            <w:vAlign w:val="center"/>
          </w:tcPr>
          <w:p w:rsidR="00823C1F" w:rsidRDefault="00461053">
            <w:pPr>
              <w:jc w:val="center"/>
            </w:pPr>
            <w:r>
              <w:rPr>
                <w:color w:val="000000"/>
                <w:sz w:val="24"/>
              </w:rPr>
              <w:t>1.01%</w:t>
            </w:r>
          </w:p>
        </w:tc>
        <w:tc>
          <w:tcPr>
            <w:tcW w:w="1267" w:type="dxa"/>
            <w:vAlign w:val="center"/>
          </w:tcPr>
          <w:p w:rsidR="00823C1F" w:rsidRDefault="00461053">
            <w:pPr>
              <w:jc w:val="center"/>
            </w:pPr>
            <w:r>
              <w:rPr>
                <w:color w:val="000000"/>
                <w:sz w:val="24"/>
              </w:rPr>
              <w:t>0.10%</w:t>
            </w:r>
          </w:p>
        </w:tc>
        <w:tc>
          <w:tcPr>
            <w:tcW w:w="1267" w:type="dxa"/>
            <w:vAlign w:val="center"/>
          </w:tcPr>
          <w:p w:rsidR="00823C1F" w:rsidRDefault="00461053">
            <w:pPr>
              <w:jc w:val="center"/>
            </w:pPr>
            <w:r>
              <w:rPr>
                <w:color w:val="000000"/>
                <w:sz w:val="24"/>
              </w:rPr>
              <w:t>0.56%</w:t>
            </w:r>
          </w:p>
        </w:tc>
        <w:tc>
          <w:tcPr>
            <w:tcW w:w="1267" w:type="dxa"/>
            <w:vAlign w:val="center"/>
          </w:tcPr>
          <w:p w:rsidR="00823C1F" w:rsidRDefault="00461053">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23C1F">
        <w:trPr>
          <w:jc w:val="center"/>
        </w:trPr>
        <w:tc>
          <w:tcPr>
            <w:tcW w:w="946" w:type="dxa"/>
            <w:vAlign w:val="center"/>
          </w:tcPr>
          <w:p w:rsidR="00823C1F" w:rsidRDefault="00461053">
            <w:pPr>
              <w:jc w:val="center"/>
            </w:pPr>
            <w:r>
              <w:rPr>
                <w:color w:val="000000"/>
                <w:sz w:val="24"/>
              </w:rPr>
              <w:t>黄莹洁</w:t>
            </w:r>
          </w:p>
        </w:tc>
        <w:tc>
          <w:tcPr>
            <w:tcW w:w="924" w:type="dxa"/>
            <w:vAlign w:val="center"/>
          </w:tcPr>
          <w:p w:rsidR="00823C1F" w:rsidRDefault="00461053">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02" w:type="dxa"/>
            <w:vAlign w:val="center"/>
          </w:tcPr>
          <w:p w:rsidR="00823C1F" w:rsidRDefault="00461053">
            <w:pPr>
              <w:jc w:val="center"/>
            </w:pPr>
            <w:r>
              <w:rPr>
                <w:color w:val="000000"/>
                <w:sz w:val="24"/>
              </w:rPr>
              <w:t>2015-12-29</w:t>
            </w:r>
          </w:p>
        </w:tc>
        <w:tc>
          <w:tcPr>
            <w:tcW w:w="1300" w:type="dxa"/>
            <w:vAlign w:val="center"/>
          </w:tcPr>
          <w:p w:rsidR="00823C1F" w:rsidRDefault="00461053">
            <w:pPr>
              <w:jc w:val="center"/>
            </w:pPr>
            <w:r>
              <w:rPr>
                <w:color w:val="000000"/>
                <w:sz w:val="24"/>
              </w:rPr>
              <w:t>-</w:t>
            </w:r>
          </w:p>
        </w:tc>
        <w:tc>
          <w:tcPr>
            <w:tcW w:w="1245" w:type="dxa"/>
            <w:vAlign w:val="center"/>
          </w:tcPr>
          <w:p w:rsidR="00823C1F" w:rsidRDefault="00461053">
            <w:pPr>
              <w:jc w:val="center"/>
            </w:pPr>
            <w:r>
              <w:rPr>
                <w:color w:val="000000"/>
                <w:sz w:val="24"/>
              </w:rPr>
              <w:t>10</w:t>
            </w:r>
            <w:r>
              <w:rPr>
                <w:color w:val="000000"/>
                <w:sz w:val="24"/>
              </w:rPr>
              <w:t>年</w:t>
            </w:r>
          </w:p>
        </w:tc>
        <w:tc>
          <w:tcPr>
            <w:tcW w:w="3251" w:type="dxa"/>
            <w:vAlign w:val="center"/>
          </w:tcPr>
          <w:p w:rsidR="00823C1F" w:rsidRDefault="0046105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376444">
              <w:rPr>
                <w:color w:val="000000"/>
                <w:sz w:val="24"/>
              </w:rPr>
              <w:t>8</w:t>
            </w:r>
            <w:r>
              <w:rPr>
                <w:color w:val="000000"/>
                <w:sz w:val="24"/>
              </w:rPr>
              <w:t>日担任交银施罗德丰泽收益债券型证券投资基金的基金经理。</w:t>
            </w:r>
          </w:p>
        </w:tc>
      </w:tr>
      <w:tr w:rsidR="00823C1F">
        <w:trPr>
          <w:jc w:val="center"/>
        </w:trPr>
        <w:tc>
          <w:tcPr>
            <w:tcW w:w="946" w:type="dxa"/>
            <w:vAlign w:val="center"/>
          </w:tcPr>
          <w:p w:rsidR="00823C1F" w:rsidRDefault="00461053">
            <w:pPr>
              <w:jc w:val="center"/>
            </w:pPr>
            <w:r>
              <w:rPr>
                <w:color w:val="000000"/>
                <w:sz w:val="24"/>
              </w:rPr>
              <w:t>唐赟</w:t>
            </w:r>
          </w:p>
        </w:tc>
        <w:tc>
          <w:tcPr>
            <w:tcW w:w="924" w:type="dxa"/>
            <w:vAlign w:val="center"/>
          </w:tcPr>
          <w:p w:rsidR="00823C1F" w:rsidRDefault="00461053">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02" w:type="dxa"/>
            <w:vAlign w:val="center"/>
          </w:tcPr>
          <w:p w:rsidR="00823C1F" w:rsidRDefault="00461053">
            <w:pPr>
              <w:jc w:val="center"/>
            </w:pPr>
            <w:r>
              <w:rPr>
                <w:color w:val="000000"/>
                <w:sz w:val="24"/>
              </w:rPr>
              <w:t>2017-03-31</w:t>
            </w:r>
          </w:p>
        </w:tc>
        <w:tc>
          <w:tcPr>
            <w:tcW w:w="1300" w:type="dxa"/>
            <w:vAlign w:val="center"/>
          </w:tcPr>
          <w:p w:rsidR="00823C1F" w:rsidRDefault="00461053">
            <w:pPr>
              <w:jc w:val="center"/>
            </w:pPr>
            <w:r>
              <w:rPr>
                <w:color w:val="000000"/>
                <w:sz w:val="24"/>
              </w:rPr>
              <w:t>-</w:t>
            </w:r>
          </w:p>
        </w:tc>
        <w:tc>
          <w:tcPr>
            <w:tcW w:w="1245" w:type="dxa"/>
            <w:vAlign w:val="center"/>
          </w:tcPr>
          <w:p w:rsidR="00823C1F" w:rsidRDefault="00461053">
            <w:pPr>
              <w:jc w:val="center"/>
            </w:pPr>
            <w:r>
              <w:rPr>
                <w:color w:val="000000"/>
                <w:sz w:val="24"/>
              </w:rPr>
              <w:t>6</w:t>
            </w:r>
            <w:r>
              <w:rPr>
                <w:color w:val="000000"/>
                <w:sz w:val="24"/>
              </w:rPr>
              <w:t>年</w:t>
            </w:r>
          </w:p>
        </w:tc>
        <w:tc>
          <w:tcPr>
            <w:tcW w:w="3251" w:type="dxa"/>
            <w:vAlign w:val="center"/>
          </w:tcPr>
          <w:p w:rsidR="00823C1F" w:rsidRDefault="00461053">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sidR="00637F01" w:rsidRPr="00637F01">
              <w:rPr>
                <w:rFonts w:hint="eastAsia"/>
                <w:color w:val="000000"/>
                <w:sz w:val="24"/>
              </w:rPr>
              <w:t>2015</w:t>
            </w:r>
            <w:r w:rsidR="00637F01" w:rsidRPr="00637F01">
              <w:rPr>
                <w:rFonts w:hint="eastAsia"/>
                <w:color w:val="000000"/>
                <w:sz w:val="24"/>
              </w:rPr>
              <w:t>年</w:t>
            </w:r>
            <w:r w:rsidR="00637F01" w:rsidRPr="00637F01">
              <w:rPr>
                <w:rFonts w:hint="eastAsia"/>
                <w:color w:val="000000"/>
                <w:sz w:val="24"/>
              </w:rPr>
              <w:t>11</w:t>
            </w:r>
            <w:r w:rsidR="00637F01" w:rsidRPr="00637F01">
              <w:rPr>
                <w:rFonts w:hint="eastAsia"/>
                <w:color w:val="000000"/>
                <w:sz w:val="24"/>
              </w:rPr>
              <w:t>月</w:t>
            </w:r>
            <w:r w:rsidR="00637F01" w:rsidRPr="00637F01">
              <w:rPr>
                <w:rFonts w:hint="eastAsia"/>
                <w:color w:val="000000"/>
                <w:sz w:val="24"/>
              </w:rPr>
              <w:t>7</w:t>
            </w:r>
            <w:r w:rsidR="00637F01" w:rsidRPr="00637F01">
              <w:rPr>
                <w:rFonts w:hint="eastAsia"/>
                <w:color w:val="000000"/>
                <w:sz w:val="24"/>
              </w:rPr>
              <w:t>日至</w:t>
            </w:r>
            <w:r w:rsidR="00637F01" w:rsidRPr="00637F01">
              <w:rPr>
                <w:rFonts w:hint="eastAsia"/>
                <w:color w:val="000000"/>
                <w:sz w:val="24"/>
              </w:rPr>
              <w:t>2018</w:t>
            </w:r>
            <w:r w:rsidR="00637F01" w:rsidRPr="00637F01">
              <w:rPr>
                <w:rFonts w:hint="eastAsia"/>
                <w:color w:val="000000"/>
                <w:sz w:val="24"/>
              </w:rPr>
              <w:t>年</w:t>
            </w:r>
            <w:r w:rsidR="00637F01" w:rsidRPr="00637F01">
              <w:rPr>
                <w:rFonts w:hint="eastAsia"/>
                <w:color w:val="000000"/>
                <w:sz w:val="24"/>
              </w:rPr>
              <w:t>6</w:t>
            </w:r>
            <w:r w:rsidR="00637F01" w:rsidRPr="00637F01">
              <w:rPr>
                <w:rFonts w:hint="eastAsia"/>
                <w:color w:val="000000"/>
                <w:sz w:val="24"/>
              </w:rPr>
              <w:t>月</w:t>
            </w:r>
            <w:r w:rsidR="00637F01" w:rsidRPr="00637F01">
              <w:rPr>
                <w:rFonts w:hint="eastAsia"/>
                <w:color w:val="000000"/>
                <w:sz w:val="24"/>
              </w:rPr>
              <w:t>1</w:t>
            </w:r>
            <w:r w:rsidR="00637F01" w:rsidRPr="00637F01">
              <w:rPr>
                <w:rFonts w:hint="eastAsia"/>
                <w:color w:val="000000"/>
                <w:sz w:val="24"/>
              </w:rPr>
              <w:t>日担任转型前的交银施罗德荣和保本混合型证券投资基金的基金经理。</w:t>
            </w:r>
            <w:bookmarkStart w:id="0" w:name="_GoBack"/>
            <w:bookmarkEnd w:id="0"/>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23C1F" w:rsidRDefault="0046105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23C1F" w:rsidRDefault="0046105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23C1F" w:rsidRDefault="0046105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23C1F" w:rsidRDefault="00461053">
      <w:pPr>
        <w:spacing w:before="29" w:line="288" w:lineRule="auto"/>
        <w:ind w:firstLineChars="200" w:firstLine="480"/>
        <w:rPr>
          <w:color w:val="000000"/>
          <w:sz w:val="24"/>
        </w:rPr>
      </w:pPr>
      <w:r>
        <w:rPr>
          <w:color w:val="000000"/>
          <w:sz w:val="24"/>
        </w:rPr>
        <w:t>二季度以来在意外降准、表外融资持续收缩、经济通胀趋弱、贸易战局势反复发酵等多方面因素交织的背景下，债券收益率呈现出先下后上继而再次大幅下行的宽幅波动中。四月上旬债券收益率延续了一季度以来的下行趋势，稳步下行。央行在四月宣布降准</w:t>
      </w:r>
      <w:r>
        <w:rPr>
          <w:color w:val="000000"/>
          <w:sz w:val="24"/>
        </w:rPr>
        <w:t>1</w:t>
      </w:r>
      <w:r>
        <w:rPr>
          <w:color w:val="000000"/>
          <w:sz w:val="24"/>
        </w:rPr>
        <w:t>个百分点置换</w:t>
      </w:r>
      <w:r>
        <w:rPr>
          <w:color w:val="000000"/>
          <w:sz w:val="24"/>
        </w:rPr>
        <w:t>MLF</w:t>
      </w:r>
      <w:r>
        <w:rPr>
          <w:color w:val="000000"/>
          <w:sz w:val="24"/>
        </w:rPr>
        <w:t>操作，债券市场在反复预期中终于确认货币政策已经实质性转松，债市强势上涨，收益率大幅下行。四月下旬开始由于降准释放资金和缴税缴准错位，季末流动性紧张，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w:t>
      </w:r>
    </w:p>
    <w:p w:rsidR="00823C1F" w:rsidRDefault="00461053">
      <w:pPr>
        <w:spacing w:before="29" w:line="288" w:lineRule="auto"/>
        <w:ind w:firstLineChars="200" w:firstLine="480"/>
        <w:rPr>
          <w:color w:val="000000"/>
          <w:sz w:val="24"/>
        </w:rPr>
      </w:pPr>
      <w:r>
        <w:rPr>
          <w:color w:val="000000"/>
          <w:sz w:val="24"/>
        </w:rPr>
        <w:t>报告期内，基于对收益率下行大趋势的判断，本基金维持较高的久期配置在债券底仓，同时选择部分仓位进行长久期利率债波段交易，增厚组合收益。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我们判断债市收益率下行的趋势不改。经济基本面仍面临一定的下行压力，一方面体现在融资环境收缩对地产和基建投资的挤压上，另一方面表现为中美贸易摩擦升级对出口的负面影响上。随着去杠杆政策的持续推进，为了避免信用风险发酵带来流动性危机和经济失速下滑，我们预计货币政策将保持较为宽松态势，宽货币紧信用大逻辑继续支持债券市场收益率下行。风险方面，我们关注监管政策落地带来的短期调整风险和不断压缩的中美利差可能阶段性地成为制约债市收益率下行的因素。整体而言，我们认为债券市场上涨的机会大于下跌的风险。随着去杠杆进程的推进，信用风险逐渐暴露，我们认为低等级信用债利差未能充分反应未来的信用风险，我们将继续规避中低评级信用债，以中高等级的信用债为底仓，保持中性偏高久期，择机进行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1.043</w:t>
      </w:r>
      <w:r w:rsidRPr="007F52FA">
        <w:rPr>
          <w:color w:val="000000"/>
          <w:sz w:val="24"/>
        </w:rPr>
        <w:t>元，本报告期份额净值增长率为</w:t>
      </w:r>
      <w:r w:rsidRPr="007F52FA">
        <w:rPr>
          <w:color w:val="000000"/>
          <w:sz w:val="24"/>
        </w:rPr>
        <w:t>1.66%</w:t>
      </w:r>
      <w:r w:rsidRPr="007F52FA">
        <w:rPr>
          <w:color w:val="000000"/>
          <w:sz w:val="24"/>
        </w:rPr>
        <w:t>，同期业绩比较基准增长率为</w:t>
      </w:r>
      <w:r w:rsidRPr="007F52FA">
        <w:rPr>
          <w:color w:val="000000"/>
          <w:sz w:val="24"/>
        </w:rPr>
        <w:t>1.01%</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1.032</w:t>
      </w:r>
      <w:r w:rsidRPr="007F52FA">
        <w:rPr>
          <w:color w:val="000000"/>
          <w:sz w:val="24"/>
        </w:rPr>
        <w:t>元，本报告期份额净值增长率为</w:t>
      </w:r>
      <w:r w:rsidRPr="007F52FA">
        <w:rPr>
          <w:color w:val="000000"/>
          <w:sz w:val="24"/>
        </w:rPr>
        <w:t>1.57%</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本基金本报告期内连续二十个工作日以上出现基金份额持有人数量不满</w:t>
      </w:r>
      <w:r w:rsidRPr="002070B4">
        <w:rPr>
          <w:color w:val="000000"/>
          <w:sz w:val="24"/>
        </w:rPr>
        <w:t>200</w:t>
      </w:r>
      <w:r w:rsidRPr="002070B4">
        <w:rPr>
          <w:color w:val="000000"/>
          <w:sz w:val="24"/>
        </w:rPr>
        <w:t>人的情形，截至本报告期末，本基金基金份额持有人数量仍不满</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1,634,965,050.00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1,634,965,050.00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4,011,756.47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66,392,670.40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1,705,369,476.87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3,002,400.00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263,231,200.00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263,231,200.00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383,854,850.00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150,965,000.00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786,136,600.00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59.72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47,775,000.00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3.63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1,634,965,050.00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124.21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23C1F">
        <w:trPr>
          <w:jc w:val="center"/>
        </w:trPr>
        <w:tc>
          <w:tcPr>
            <w:tcW w:w="1075" w:type="dxa"/>
            <w:vAlign w:val="center"/>
          </w:tcPr>
          <w:p w:rsidR="00823C1F" w:rsidRDefault="00461053">
            <w:pPr>
              <w:jc w:val="center"/>
            </w:pPr>
            <w:r>
              <w:rPr>
                <w:color w:val="000000"/>
                <w:sz w:val="24"/>
              </w:rPr>
              <w:t>1</w:t>
            </w:r>
          </w:p>
        </w:tc>
        <w:tc>
          <w:tcPr>
            <w:tcW w:w="1533" w:type="dxa"/>
            <w:vAlign w:val="center"/>
          </w:tcPr>
          <w:p w:rsidR="00823C1F" w:rsidRDefault="00461053">
            <w:pPr>
              <w:jc w:val="center"/>
            </w:pPr>
            <w:r>
              <w:rPr>
                <w:color w:val="000000"/>
                <w:sz w:val="24"/>
              </w:rPr>
              <w:t>180205</w:t>
            </w:r>
          </w:p>
        </w:tc>
        <w:tc>
          <w:tcPr>
            <w:tcW w:w="1533" w:type="dxa"/>
            <w:vAlign w:val="center"/>
          </w:tcPr>
          <w:p w:rsidR="00823C1F" w:rsidRDefault="00461053">
            <w:pPr>
              <w:jc w:val="center"/>
            </w:pPr>
            <w:r>
              <w:rPr>
                <w:color w:val="000000"/>
                <w:sz w:val="24"/>
              </w:rPr>
              <w:t>18</w:t>
            </w:r>
            <w:r>
              <w:rPr>
                <w:color w:val="000000"/>
                <w:sz w:val="24"/>
              </w:rPr>
              <w:t>国开</w:t>
            </w:r>
            <w:r>
              <w:rPr>
                <w:color w:val="000000"/>
                <w:sz w:val="24"/>
              </w:rPr>
              <w:t>05</w:t>
            </w:r>
          </w:p>
        </w:tc>
        <w:tc>
          <w:tcPr>
            <w:tcW w:w="1394" w:type="dxa"/>
            <w:vAlign w:val="center"/>
          </w:tcPr>
          <w:p w:rsidR="00823C1F" w:rsidRDefault="00461053">
            <w:pPr>
              <w:jc w:val="right"/>
            </w:pPr>
            <w:r>
              <w:rPr>
                <w:color w:val="000000"/>
                <w:sz w:val="24"/>
              </w:rPr>
              <w:t>1,900,000</w:t>
            </w:r>
          </w:p>
        </w:tc>
        <w:tc>
          <w:tcPr>
            <w:tcW w:w="1944" w:type="dxa"/>
            <w:vAlign w:val="center"/>
          </w:tcPr>
          <w:p w:rsidR="00823C1F" w:rsidRDefault="00461053">
            <w:pPr>
              <w:jc w:val="right"/>
            </w:pPr>
            <w:r>
              <w:rPr>
                <w:color w:val="000000"/>
                <w:sz w:val="24"/>
              </w:rPr>
              <w:t>199,253,000.00</w:t>
            </w:r>
          </w:p>
        </w:tc>
        <w:tc>
          <w:tcPr>
            <w:tcW w:w="1389" w:type="dxa"/>
            <w:vAlign w:val="center"/>
          </w:tcPr>
          <w:p w:rsidR="00823C1F" w:rsidRDefault="00461053">
            <w:pPr>
              <w:jc w:val="right"/>
            </w:pPr>
            <w:r>
              <w:rPr>
                <w:color w:val="000000"/>
                <w:sz w:val="24"/>
              </w:rPr>
              <w:t>15.14</w:t>
            </w:r>
          </w:p>
        </w:tc>
      </w:tr>
      <w:tr w:rsidR="00823C1F">
        <w:trPr>
          <w:jc w:val="center"/>
        </w:trPr>
        <w:tc>
          <w:tcPr>
            <w:tcW w:w="1075" w:type="dxa"/>
            <w:vAlign w:val="center"/>
          </w:tcPr>
          <w:p w:rsidR="00823C1F" w:rsidRDefault="00461053">
            <w:pPr>
              <w:jc w:val="center"/>
            </w:pPr>
            <w:r>
              <w:rPr>
                <w:color w:val="000000"/>
                <w:sz w:val="24"/>
              </w:rPr>
              <w:t>2</w:t>
            </w:r>
          </w:p>
        </w:tc>
        <w:tc>
          <w:tcPr>
            <w:tcW w:w="1533" w:type="dxa"/>
            <w:vAlign w:val="center"/>
          </w:tcPr>
          <w:p w:rsidR="00823C1F" w:rsidRDefault="00461053">
            <w:pPr>
              <w:jc w:val="center"/>
            </w:pPr>
            <w:r>
              <w:rPr>
                <w:color w:val="000000"/>
                <w:sz w:val="24"/>
              </w:rPr>
              <w:t>101800139</w:t>
            </w:r>
          </w:p>
        </w:tc>
        <w:tc>
          <w:tcPr>
            <w:tcW w:w="1533" w:type="dxa"/>
            <w:vAlign w:val="center"/>
          </w:tcPr>
          <w:p w:rsidR="00823C1F" w:rsidRDefault="00461053">
            <w:pPr>
              <w:jc w:val="center"/>
            </w:pPr>
            <w:r>
              <w:rPr>
                <w:color w:val="000000"/>
                <w:sz w:val="24"/>
              </w:rPr>
              <w:t>18</w:t>
            </w:r>
            <w:r>
              <w:rPr>
                <w:color w:val="000000"/>
                <w:sz w:val="24"/>
              </w:rPr>
              <w:t>京城建</w:t>
            </w:r>
            <w:r>
              <w:rPr>
                <w:color w:val="000000"/>
                <w:sz w:val="24"/>
              </w:rPr>
              <w:t>MTN001</w:t>
            </w:r>
          </w:p>
        </w:tc>
        <w:tc>
          <w:tcPr>
            <w:tcW w:w="1394" w:type="dxa"/>
            <w:vAlign w:val="center"/>
          </w:tcPr>
          <w:p w:rsidR="00823C1F" w:rsidRDefault="00461053">
            <w:pPr>
              <w:jc w:val="right"/>
            </w:pPr>
            <w:r>
              <w:rPr>
                <w:color w:val="000000"/>
                <w:sz w:val="24"/>
              </w:rPr>
              <w:t>800,000</w:t>
            </w:r>
          </w:p>
        </w:tc>
        <w:tc>
          <w:tcPr>
            <w:tcW w:w="1944" w:type="dxa"/>
            <w:vAlign w:val="center"/>
          </w:tcPr>
          <w:p w:rsidR="00823C1F" w:rsidRDefault="00461053">
            <w:pPr>
              <w:jc w:val="right"/>
            </w:pPr>
            <w:r>
              <w:rPr>
                <w:color w:val="000000"/>
                <w:sz w:val="24"/>
              </w:rPr>
              <w:t>80,952,000.00</w:t>
            </w:r>
          </w:p>
        </w:tc>
        <w:tc>
          <w:tcPr>
            <w:tcW w:w="1389" w:type="dxa"/>
            <w:vAlign w:val="center"/>
          </w:tcPr>
          <w:p w:rsidR="00823C1F" w:rsidRDefault="00461053">
            <w:pPr>
              <w:jc w:val="right"/>
            </w:pPr>
            <w:r>
              <w:rPr>
                <w:color w:val="000000"/>
                <w:sz w:val="24"/>
              </w:rPr>
              <w:t>6.15</w:t>
            </w:r>
          </w:p>
        </w:tc>
      </w:tr>
      <w:tr w:rsidR="00823C1F">
        <w:trPr>
          <w:jc w:val="center"/>
        </w:trPr>
        <w:tc>
          <w:tcPr>
            <w:tcW w:w="1075" w:type="dxa"/>
            <w:vAlign w:val="center"/>
          </w:tcPr>
          <w:p w:rsidR="00823C1F" w:rsidRDefault="00461053">
            <w:pPr>
              <w:jc w:val="center"/>
            </w:pPr>
            <w:r>
              <w:rPr>
                <w:color w:val="000000"/>
                <w:sz w:val="24"/>
              </w:rPr>
              <w:t>3</w:t>
            </w:r>
          </w:p>
        </w:tc>
        <w:tc>
          <w:tcPr>
            <w:tcW w:w="1533" w:type="dxa"/>
            <w:vAlign w:val="center"/>
          </w:tcPr>
          <w:p w:rsidR="00823C1F" w:rsidRDefault="00461053">
            <w:pPr>
              <w:jc w:val="center"/>
            </w:pPr>
            <w:r>
              <w:rPr>
                <w:color w:val="000000"/>
                <w:sz w:val="24"/>
              </w:rPr>
              <w:t>1182277</w:t>
            </w:r>
          </w:p>
        </w:tc>
        <w:tc>
          <w:tcPr>
            <w:tcW w:w="1533" w:type="dxa"/>
            <w:vAlign w:val="center"/>
          </w:tcPr>
          <w:p w:rsidR="00823C1F" w:rsidRDefault="00461053">
            <w:pPr>
              <w:jc w:val="center"/>
            </w:pPr>
            <w:r>
              <w:rPr>
                <w:color w:val="000000"/>
                <w:sz w:val="24"/>
              </w:rPr>
              <w:t>11</w:t>
            </w:r>
            <w:r>
              <w:rPr>
                <w:color w:val="000000"/>
                <w:sz w:val="24"/>
              </w:rPr>
              <w:t>中铁建</w:t>
            </w:r>
            <w:r>
              <w:rPr>
                <w:color w:val="000000"/>
                <w:sz w:val="24"/>
              </w:rPr>
              <w:t>MTN1</w:t>
            </w:r>
          </w:p>
        </w:tc>
        <w:tc>
          <w:tcPr>
            <w:tcW w:w="1394" w:type="dxa"/>
            <w:vAlign w:val="center"/>
          </w:tcPr>
          <w:p w:rsidR="00823C1F" w:rsidRDefault="00461053">
            <w:pPr>
              <w:jc w:val="right"/>
            </w:pPr>
            <w:r>
              <w:rPr>
                <w:color w:val="000000"/>
                <w:sz w:val="24"/>
              </w:rPr>
              <w:t>600,000</w:t>
            </w:r>
          </w:p>
        </w:tc>
        <w:tc>
          <w:tcPr>
            <w:tcW w:w="1944" w:type="dxa"/>
            <w:vAlign w:val="center"/>
          </w:tcPr>
          <w:p w:rsidR="00823C1F" w:rsidRDefault="00461053">
            <w:pPr>
              <w:jc w:val="right"/>
            </w:pPr>
            <w:r>
              <w:rPr>
                <w:color w:val="000000"/>
                <w:sz w:val="24"/>
              </w:rPr>
              <w:t>60,882,000.00</w:t>
            </w:r>
          </w:p>
        </w:tc>
        <w:tc>
          <w:tcPr>
            <w:tcW w:w="1389" w:type="dxa"/>
            <w:vAlign w:val="center"/>
          </w:tcPr>
          <w:p w:rsidR="00823C1F" w:rsidRDefault="00461053">
            <w:pPr>
              <w:jc w:val="right"/>
            </w:pPr>
            <w:r>
              <w:rPr>
                <w:color w:val="000000"/>
                <w:sz w:val="24"/>
              </w:rPr>
              <w:t>4.63</w:t>
            </w:r>
          </w:p>
        </w:tc>
      </w:tr>
      <w:tr w:rsidR="00823C1F">
        <w:trPr>
          <w:jc w:val="center"/>
        </w:trPr>
        <w:tc>
          <w:tcPr>
            <w:tcW w:w="1075" w:type="dxa"/>
            <w:vAlign w:val="center"/>
          </w:tcPr>
          <w:p w:rsidR="00823C1F" w:rsidRDefault="00461053">
            <w:pPr>
              <w:jc w:val="center"/>
            </w:pPr>
            <w:r>
              <w:rPr>
                <w:color w:val="000000"/>
                <w:sz w:val="24"/>
              </w:rPr>
              <w:t>4</w:t>
            </w:r>
          </w:p>
        </w:tc>
        <w:tc>
          <w:tcPr>
            <w:tcW w:w="1533" w:type="dxa"/>
            <w:vAlign w:val="center"/>
          </w:tcPr>
          <w:p w:rsidR="00823C1F" w:rsidRDefault="00461053">
            <w:pPr>
              <w:jc w:val="center"/>
            </w:pPr>
            <w:r>
              <w:rPr>
                <w:color w:val="000000"/>
                <w:sz w:val="24"/>
              </w:rPr>
              <w:t>011758104</w:t>
            </w:r>
          </w:p>
        </w:tc>
        <w:tc>
          <w:tcPr>
            <w:tcW w:w="1533" w:type="dxa"/>
            <w:vAlign w:val="center"/>
          </w:tcPr>
          <w:p w:rsidR="00823C1F" w:rsidRDefault="00461053">
            <w:pPr>
              <w:jc w:val="center"/>
            </w:pPr>
            <w:r>
              <w:rPr>
                <w:color w:val="000000"/>
                <w:sz w:val="24"/>
              </w:rPr>
              <w:t>17</w:t>
            </w:r>
            <w:r>
              <w:rPr>
                <w:color w:val="000000"/>
                <w:sz w:val="24"/>
              </w:rPr>
              <w:t>中航资本</w:t>
            </w:r>
            <w:r>
              <w:rPr>
                <w:color w:val="000000"/>
                <w:sz w:val="24"/>
              </w:rPr>
              <w:t>SCP003</w:t>
            </w:r>
          </w:p>
        </w:tc>
        <w:tc>
          <w:tcPr>
            <w:tcW w:w="1394" w:type="dxa"/>
            <w:vAlign w:val="center"/>
          </w:tcPr>
          <w:p w:rsidR="00823C1F" w:rsidRDefault="00461053">
            <w:pPr>
              <w:jc w:val="right"/>
            </w:pPr>
            <w:r>
              <w:rPr>
                <w:color w:val="000000"/>
                <w:sz w:val="24"/>
              </w:rPr>
              <w:t>500,000</w:t>
            </w:r>
          </w:p>
        </w:tc>
        <w:tc>
          <w:tcPr>
            <w:tcW w:w="1944" w:type="dxa"/>
            <w:vAlign w:val="center"/>
          </w:tcPr>
          <w:p w:rsidR="00823C1F" w:rsidRDefault="00461053">
            <w:pPr>
              <w:jc w:val="right"/>
            </w:pPr>
            <w:r>
              <w:rPr>
                <w:color w:val="000000"/>
                <w:sz w:val="24"/>
              </w:rPr>
              <w:t>50,330,000.00</w:t>
            </w:r>
          </w:p>
        </w:tc>
        <w:tc>
          <w:tcPr>
            <w:tcW w:w="1389" w:type="dxa"/>
            <w:vAlign w:val="center"/>
          </w:tcPr>
          <w:p w:rsidR="00823C1F" w:rsidRDefault="00461053">
            <w:pPr>
              <w:jc w:val="right"/>
            </w:pPr>
            <w:r>
              <w:rPr>
                <w:color w:val="000000"/>
                <w:sz w:val="24"/>
              </w:rPr>
              <w:t>3.82</w:t>
            </w:r>
          </w:p>
        </w:tc>
      </w:tr>
      <w:tr w:rsidR="00823C1F">
        <w:trPr>
          <w:jc w:val="center"/>
        </w:trPr>
        <w:tc>
          <w:tcPr>
            <w:tcW w:w="1075" w:type="dxa"/>
            <w:vAlign w:val="center"/>
          </w:tcPr>
          <w:p w:rsidR="00823C1F" w:rsidRDefault="00461053">
            <w:pPr>
              <w:jc w:val="center"/>
            </w:pPr>
            <w:r>
              <w:rPr>
                <w:color w:val="000000"/>
                <w:sz w:val="24"/>
              </w:rPr>
              <w:t>5</w:t>
            </w:r>
          </w:p>
        </w:tc>
        <w:tc>
          <w:tcPr>
            <w:tcW w:w="1533" w:type="dxa"/>
            <w:vAlign w:val="center"/>
          </w:tcPr>
          <w:p w:rsidR="00823C1F" w:rsidRDefault="00461053">
            <w:pPr>
              <w:jc w:val="center"/>
            </w:pPr>
            <w:r>
              <w:rPr>
                <w:color w:val="000000"/>
                <w:sz w:val="24"/>
              </w:rPr>
              <w:t>143563</w:t>
            </w:r>
          </w:p>
        </w:tc>
        <w:tc>
          <w:tcPr>
            <w:tcW w:w="1533" w:type="dxa"/>
            <w:vAlign w:val="center"/>
          </w:tcPr>
          <w:p w:rsidR="00823C1F" w:rsidRDefault="00461053">
            <w:pPr>
              <w:jc w:val="center"/>
            </w:pPr>
            <w:r>
              <w:rPr>
                <w:color w:val="000000"/>
                <w:sz w:val="24"/>
              </w:rPr>
              <w:t>18</w:t>
            </w:r>
            <w:r>
              <w:rPr>
                <w:color w:val="000000"/>
                <w:sz w:val="24"/>
              </w:rPr>
              <w:t>张江</w:t>
            </w:r>
            <w:r>
              <w:rPr>
                <w:color w:val="000000"/>
                <w:sz w:val="24"/>
              </w:rPr>
              <w:t>01</w:t>
            </w:r>
          </w:p>
        </w:tc>
        <w:tc>
          <w:tcPr>
            <w:tcW w:w="1394" w:type="dxa"/>
            <w:vAlign w:val="center"/>
          </w:tcPr>
          <w:p w:rsidR="00823C1F" w:rsidRDefault="00461053">
            <w:pPr>
              <w:jc w:val="right"/>
            </w:pPr>
            <w:r>
              <w:rPr>
                <w:color w:val="000000"/>
                <w:sz w:val="24"/>
              </w:rPr>
              <w:t>500,000</w:t>
            </w:r>
          </w:p>
        </w:tc>
        <w:tc>
          <w:tcPr>
            <w:tcW w:w="1944" w:type="dxa"/>
            <w:vAlign w:val="center"/>
          </w:tcPr>
          <w:p w:rsidR="00823C1F" w:rsidRDefault="00461053">
            <w:pPr>
              <w:jc w:val="right"/>
            </w:pPr>
            <w:r>
              <w:rPr>
                <w:color w:val="000000"/>
                <w:sz w:val="24"/>
              </w:rPr>
              <w:t>49,925,000.00</w:t>
            </w:r>
          </w:p>
        </w:tc>
        <w:tc>
          <w:tcPr>
            <w:tcW w:w="1389" w:type="dxa"/>
            <w:vAlign w:val="center"/>
          </w:tcPr>
          <w:p w:rsidR="00823C1F" w:rsidRDefault="00461053">
            <w:pPr>
              <w:jc w:val="right"/>
            </w:pPr>
            <w:r>
              <w:rPr>
                <w:color w:val="000000"/>
                <w:sz w:val="24"/>
              </w:rPr>
              <w:t>3.79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中航资本</w:t>
      </w:r>
      <w:r w:rsidRPr="00384E65">
        <w:rPr>
          <w:kern w:val="0"/>
          <w:sz w:val="24"/>
        </w:rPr>
        <w:t>SCP003</w:t>
      </w:r>
      <w:r w:rsidRPr="00384E65">
        <w:rPr>
          <w:kern w:val="0"/>
          <w:sz w:val="24"/>
        </w:rPr>
        <w:t>（证券代码：</w:t>
      </w:r>
      <w:r w:rsidRPr="00384E65">
        <w:rPr>
          <w:kern w:val="0"/>
          <w:sz w:val="24"/>
        </w:rPr>
        <w:t>011758104</w:t>
      </w:r>
      <w:r w:rsidRPr="00384E65">
        <w:rPr>
          <w:kern w:val="0"/>
          <w:sz w:val="24"/>
        </w:rPr>
        <w:t>）外，未出现被监管部门立案调查，或在报告编制日前一年内受到公开谴责、处罚的情形。</w:t>
      </w:r>
    </w:p>
    <w:p w:rsidR="00823C1F" w:rsidRDefault="00461053">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中航资本</w:t>
      </w:r>
      <w:r>
        <w:rPr>
          <w:kern w:val="0"/>
          <w:sz w:val="24"/>
        </w:rPr>
        <w:t>SCP003</w:t>
      </w:r>
      <w:r>
        <w:rPr>
          <w:kern w:val="0"/>
          <w:sz w:val="24"/>
        </w:rPr>
        <w:t>（证券代码：</w:t>
      </w:r>
      <w:r>
        <w:rPr>
          <w:kern w:val="0"/>
          <w:sz w:val="24"/>
        </w:rPr>
        <w:t>011758104</w:t>
      </w:r>
      <w:r>
        <w:rPr>
          <w:kern w:val="0"/>
          <w:sz w:val="24"/>
        </w:rPr>
        <w:t>）的发行主体中航资本于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w:t>
      </w:r>
      <w:r>
        <w:rPr>
          <w:kern w:val="0"/>
          <w:sz w:val="24"/>
        </w:rPr>
        <w:t>2017</w:t>
      </w:r>
      <w:r>
        <w:rPr>
          <w:kern w:val="0"/>
          <w:sz w:val="24"/>
        </w:rPr>
        <w:t>年</w:t>
      </w:r>
      <w:r>
        <w:rPr>
          <w:kern w:val="0"/>
          <w:sz w:val="24"/>
        </w:rPr>
        <w:t>12</w:t>
      </w:r>
      <w:r>
        <w:rPr>
          <w:kern w:val="0"/>
          <w:sz w:val="24"/>
        </w:rPr>
        <w:t>月</w:t>
      </w:r>
      <w:r>
        <w:rPr>
          <w:kern w:val="0"/>
          <w:sz w:val="24"/>
        </w:rPr>
        <w:t>11</w:t>
      </w:r>
      <w:r>
        <w:rPr>
          <w:kern w:val="0"/>
          <w:sz w:val="24"/>
        </w:rPr>
        <w:t>日公司子公司中航财务收到北京银监局的行政处罚决定书（京银监罚决字</w:t>
      </w:r>
      <w:r>
        <w:rPr>
          <w:kern w:val="0"/>
          <w:sz w:val="24"/>
        </w:rPr>
        <w:t>[2017]27</w:t>
      </w:r>
      <w:r>
        <w:rPr>
          <w:kern w:val="0"/>
          <w:sz w:val="24"/>
        </w:rPr>
        <w:t>号），北京银监局决定对中航财务做出如下行政处罚：责令中航财务改正，并给予</w:t>
      </w:r>
      <w:r>
        <w:rPr>
          <w:kern w:val="0"/>
          <w:sz w:val="24"/>
        </w:rPr>
        <w:t>50</w:t>
      </w:r>
      <w:r>
        <w:rPr>
          <w:kern w:val="0"/>
          <w:sz w:val="24"/>
        </w:rPr>
        <w:t>万元罚款的行政处罚。公司于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日公告，近日公司控股子公司中航信托收到江西银监局出具的《行政处罚决定书》（赣银监罚决字</w:t>
      </w:r>
      <w:r>
        <w:rPr>
          <w:kern w:val="0"/>
          <w:sz w:val="24"/>
        </w:rPr>
        <w:t>[2017]48</w:t>
      </w:r>
      <w:r>
        <w:rPr>
          <w:kern w:val="0"/>
          <w:sz w:val="24"/>
        </w:rPr>
        <w:t>号），江西银监局决定对中航信托处以</w:t>
      </w:r>
      <w:r>
        <w:rPr>
          <w:kern w:val="0"/>
          <w:sz w:val="24"/>
        </w:rPr>
        <w:t>20</w:t>
      </w:r>
      <w:r>
        <w:rPr>
          <w:kern w:val="0"/>
          <w:sz w:val="24"/>
        </w:rPr>
        <w:t>万元罚款。</w:t>
      </w:r>
    </w:p>
    <w:p w:rsidR="00823C1F" w:rsidRDefault="00461053">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16,849.18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39,948,968.79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26,419,909.37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6,943.06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66,392,670.40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A15D26" w:rsidRPr="00A15D26" w:rsidRDefault="00A15D26" w:rsidP="00A15D26">
      <w:pPr>
        <w:adjustRightInd w:val="0"/>
        <w:snapToGrid w:val="0"/>
        <w:spacing w:beforeLines="50" w:before="156" w:line="360" w:lineRule="auto"/>
        <w:ind w:firstLineChars="200" w:firstLine="420"/>
        <w:rPr>
          <w:rFonts w:eastAsiaTheme="minorEastAsia"/>
          <w:color w:val="000000" w:themeColor="text1"/>
          <w:szCs w:val="21"/>
        </w:rPr>
      </w:pPr>
      <w:r w:rsidRPr="00A15D26">
        <w:rPr>
          <w:rFonts w:eastAsiaTheme="minorEastAsia" w:hint="eastAsia"/>
          <w:color w:val="000000" w:themeColor="text1"/>
          <w:szCs w:val="21"/>
        </w:rPr>
        <w:t>无。</w:t>
      </w:r>
    </w:p>
    <w:p w:rsidR="00A15D26" w:rsidRPr="00C51B4E" w:rsidRDefault="00A15D26" w:rsidP="0028293E">
      <w:pPr>
        <w:adjustRightInd w:val="0"/>
        <w:snapToGrid w:val="0"/>
        <w:spacing w:beforeLines="50" w:before="156" w:line="360" w:lineRule="auto"/>
        <w:rPr>
          <w:rFonts w:eastAsiaTheme="minorEastAsia"/>
          <w:b/>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1,194,801,625.49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238,201.83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72,372,610.42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43,827,675.21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48,993,990.01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26,673.96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1,218,180,245.90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44,039,203.08</w:t>
            </w:r>
          </w:p>
        </w:tc>
      </w:tr>
    </w:tbl>
    <w:p w:rsidR="00823C1F" w:rsidRDefault="0046105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23C1F">
        <w:tc>
          <w:tcPr>
            <w:tcW w:w="992" w:type="dxa"/>
          </w:tcPr>
          <w:p w:rsidR="00823C1F" w:rsidRDefault="00823C1F"/>
          <w:p w:rsidR="00823C1F" w:rsidRDefault="00461053">
            <w:r>
              <w:rPr>
                <w:rFonts w:ascii="宋体" w:hAnsi="宋体" w:hint="eastAsia"/>
                <w:bCs/>
                <w:color w:val="000000"/>
                <w:kern w:val="0"/>
                <w:szCs w:val="21"/>
              </w:rPr>
              <w:t>机构</w:t>
            </w:r>
          </w:p>
        </w:tc>
        <w:tc>
          <w:tcPr>
            <w:tcW w:w="991" w:type="dxa"/>
            <w:vAlign w:val="center"/>
          </w:tcPr>
          <w:p w:rsidR="00823C1F" w:rsidRDefault="00461053">
            <w:pPr>
              <w:jc w:val="center"/>
            </w:pPr>
            <w:r>
              <w:rPr>
                <w:rFonts w:ascii="宋体" w:hAnsi="宋体" w:hint="eastAsia"/>
                <w:color w:val="000000"/>
                <w:kern w:val="0"/>
                <w:szCs w:val="21"/>
              </w:rPr>
              <w:t>1</w:t>
            </w:r>
          </w:p>
        </w:tc>
        <w:tc>
          <w:tcPr>
            <w:tcW w:w="1843" w:type="dxa"/>
            <w:vAlign w:val="center"/>
          </w:tcPr>
          <w:p w:rsidR="00823C1F" w:rsidRDefault="00461053">
            <w:pPr>
              <w:jc w:val="center"/>
            </w:pPr>
            <w:r>
              <w:rPr>
                <w:rFonts w:ascii="宋体" w:hAnsi="宋体" w:hint="eastAsia"/>
                <w:color w:val="000000"/>
                <w:kern w:val="0"/>
                <w:szCs w:val="21"/>
              </w:rPr>
              <w:t>2018/4/1-2018/6/30</w:t>
            </w:r>
          </w:p>
        </w:tc>
        <w:tc>
          <w:tcPr>
            <w:tcW w:w="851" w:type="dxa"/>
            <w:vAlign w:val="center"/>
          </w:tcPr>
          <w:p w:rsidR="00823C1F" w:rsidRDefault="00461053">
            <w:pPr>
              <w:jc w:val="center"/>
            </w:pPr>
            <w:r>
              <w:rPr>
                <w:rFonts w:ascii="宋体" w:hAnsi="宋体" w:hint="eastAsia"/>
                <w:color w:val="000000"/>
                <w:kern w:val="0"/>
                <w:szCs w:val="21"/>
              </w:rPr>
              <w:t>1,093,550,141.68</w:t>
            </w:r>
          </w:p>
        </w:tc>
        <w:tc>
          <w:tcPr>
            <w:tcW w:w="850" w:type="dxa"/>
            <w:vAlign w:val="center"/>
          </w:tcPr>
          <w:p w:rsidR="00823C1F" w:rsidRDefault="00461053">
            <w:pPr>
              <w:jc w:val="center"/>
            </w:pPr>
            <w:r>
              <w:rPr>
                <w:rFonts w:ascii="宋体" w:hAnsi="宋体" w:hint="eastAsia"/>
                <w:color w:val="000000"/>
                <w:kern w:val="0"/>
                <w:szCs w:val="21"/>
              </w:rPr>
              <w:t>-</w:t>
            </w:r>
          </w:p>
        </w:tc>
        <w:tc>
          <w:tcPr>
            <w:tcW w:w="1134" w:type="dxa"/>
            <w:vAlign w:val="center"/>
          </w:tcPr>
          <w:p w:rsidR="00823C1F" w:rsidRDefault="00461053">
            <w:pPr>
              <w:jc w:val="center"/>
            </w:pPr>
            <w:r>
              <w:rPr>
                <w:rFonts w:ascii="宋体" w:hAnsi="宋体" w:hint="eastAsia"/>
                <w:color w:val="000000"/>
                <w:kern w:val="0"/>
                <w:szCs w:val="21"/>
              </w:rPr>
              <w:t>-</w:t>
            </w:r>
          </w:p>
        </w:tc>
        <w:tc>
          <w:tcPr>
            <w:tcW w:w="1419" w:type="dxa"/>
            <w:vAlign w:val="center"/>
          </w:tcPr>
          <w:p w:rsidR="00823C1F" w:rsidRDefault="00461053">
            <w:pPr>
              <w:jc w:val="center"/>
            </w:pPr>
            <w:r>
              <w:rPr>
                <w:rFonts w:ascii="宋体" w:hAnsi="宋体" w:hint="eastAsia"/>
                <w:color w:val="000000"/>
                <w:kern w:val="0"/>
                <w:szCs w:val="21"/>
              </w:rPr>
              <w:t>1,093,550,141.68</w:t>
            </w:r>
          </w:p>
        </w:tc>
        <w:tc>
          <w:tcPr>
            <w:tcW w:w="1130" w:type="dxa"/>
            <w:vAlign w:val="center"/>
          </w:tcPr>
          <w:p w:rsidR="00823C1F" w:rsidRDefault="00461053">
            <w:pPr>
              <w:jc w:val="center"/>
            </w:pPr>
            <w:r>
              <w:rPr>
                <w:rFonts w:ascii="宋体" w:hAnsi="宋体" w:hint="eastAsia"/>
                <w:color w:val="000000"/>
                <w:kern w:val="0"/>
                <w:szCs w:val="21"/>
              </w:rPr>
              <w:t>86.64%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本基金管理人于2018年3月6日起至2018年4月9日17：00止以通讯方式召开本基金的基金份额持有人大会，就本基金调整管理费率及基金合同修改有关事项的议案进行表决。根据基金份额持有人大会的决议，本基金的管理费由0.45%调整为0.3%，并相应修改基金合同和托管协议。本基金管理人将在更新基金招募说明书时，对上述相关内容进行相应修订。本次基金份额持有人大会决议于2018年4月10日生效，自本次基金份额持有人大会决议公告之日即2018年4月11日起，本基金执行调整后的管理费率。详情请查阅本基金管理人于2018年4月11日发布的《交银施罗德基金管理有限公司关于交银施罗德裕通纯债债券型证券投资基金基金份额持有人大会表决结果暨决议生效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823C1F" w:rsidRDefault="0046105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BD" w:rsidRDefault="00871BBD">
      <w:r>
        <w:separator/>
      </w:r>
    </w:p>
  </w:endnote>
  <w:endnote w:type="continuationSeparator" w:id="0">
    <w:p w:rsidR="00871BBD" w:rsidRDefault="0087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637F01">
      <w:rPr>
        <w:noProof/>
        <w:kern w:val="0"/>
        <w:szCs w:val="21"/>
      </w:rPr>
      <w:t>6</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637F01">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BD" w:rsidRDefault="00871BBD">
      <w:r>
        <w:separator/>
      </w:r>
    </w:p>
  </w:footnote>
  <w:footnote w:type="continuationSeparator" w:id="0">
    <w:p w:rsidR="00871BBD" w:rsidRDefault="0087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6444"/>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105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2F4"/>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37F01"/>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3C1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1BBD"/>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D26"/>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BBF"/>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A15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4A76-F29B-4801-9033-FF166EA5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14</Pages>
  <Words>1247</Words>
  <Characters>7112</Characters>
  <Application>Microsoft Office Word</Application>
  <DocSecurity>0</DocSecurity>
  <Lines>59</Lines>
  <Paragraphs>16</Paragraphs>
  <ScaleCrop>false</ScaleCrop>
  <Company>TRT. Ltd. Co.</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2018-07-16T10:05:00Z</dcterms:modified>
</cp:coreProperties>
</file>