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交银施罗德中证互联网金融指数分级证券投资基金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2018</w:t>
      </w:r>
      <w:r w:rsidRPr="005E324A">
        <w:rPr>
          <w:rFonts w:eastAsiaTheme="minorEastAsia"/>
          <w:b/>
          <w:sz w:val="36"/>
          <w:szCs w:val="36"/>
        </w:rPr>
        <w:t>年第</w:t>
      </w:r>
      <w:r w:rsidRPr="005E324A">
        <w:rPr>
          <w:rFonts w:eastAsiaTheme="minorEastAsia"/>
          <w:b/>
          <w:sz w:val="36"/>
          <w:szCs w:val="36"/>
        </w:rPr>
        <w:t>2</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2018</w:t>
      </w:r>
      <w:r w:rsidRPr="005E324A">
        <w:rPr>
          <w:rFonts w:eastAsiaTheme="minorEastAsia"/>
          <w:b/>
          <w:sz w:val="36"/>
          <w:szCs w:val="36"/>
        </w:rPr>
        <w:t>年</w:t>
      </w:r>
      <w:r w:rsidRPr="005E324A">
        <w:rPr>
          <w:rFonts w:eastAsiaTheme="minorEastAsia"/>
          <w:b/>
          <w:sz w:val="36"/>
          <w:szCs w:val="36"/>
        </w:rPr>
        <w:t>6</w:t>
      </w:r>
      <w:r w:rsidRPr="005E324A">
        <w:rPr>
          <w:rFonts w:eastAsiaTheme="minorEastAsia"/>
          <w:b/>
          <w:sz w:val="36"/>
          <w:szCs w:val="36"/>
        </w:rPr>
        <w:t>月</w:t>
      </w:r>
      <w:r w:rsidRPr="005E324A">
        <w:rPr>
          <w:rFonts w:eastAsiaTheme="minorEastAsia"/>
          <w:b/>
          <w:sz w:val="36"/>
          <w:szCs w:val="36"/>
        </w:rPr>
        <w:t>30</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52786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noEndnote/>
          <w:titlePg/>
          <w:docGrid w:linePitch="286"/>
        </w:sectPr>
      </w:pPr>
      <w:r w:rsidRPr="005E324A">
        <w:rPr>
          <w:rFonts w:eastAsiaTheme="minorEastAsia"/>
          <w:b/>
          <w:color w:val="000000"/>
          <w:sz w:val="24"/>
        </w:rPr>
        <w:t>报告送出日期：</w:t>
      </w:r>
      <w:r w:rsidR="007D1C16" w:rsidRPr="005E324A">
        <w:rPr>
          <w:rFonts w:eastAsiaTheme="minorEastAsia"/>
          <w:b/>
          <w:color w:val="000000"/>
          <w:sz w:val="24"/>
        </w:rPr>
        <w:t>二〇一八年七月十八日</w:t>
      </w:r>
    </w:p>
    <w:p w:rsidR="00220542" w:rsidRPr="005E324A" w:rsidRDefault="00220542" w:rsidP="00A21501">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F727C3" w:rsidRDefault="0071645A">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F727C3" w:rsidRDefault="0071645A">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F727C3" w:rsidRDefault="0071645A">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F727C3" w:rsidRDefault="0071645A">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F727C3" w:rsidRDefault="0071645A">
      <w:pPr>
        <w:spacing w:line="360" w:lineRule="auto"/>
        <w:ind w:firstLineChars="200" w:firstLine="480"/>
        <w:rPr>
          <w:rFonts w:eastAsiaTheme="minorEastAsia"/>
          <w:color w:val="000000"/>
          <w:sz w:val="24"/>
        </w:rPr>
      </w:pPr>
      <w:r>
        <w:rPr>
          <w:rFonts w:eastAsiaTheme="minorEastAsia"/>
          <w:color w:val="000000"/>
          <w:sz w:val="24"/>
        </w:rPr>
        <w:t>本报告中财务资料未经审计。</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2018</w:t>
      </w:r>
      <w:r w:rsidRPr="005E324A">
        <w:rPr>
          <w:rFonts w:eastAsiaTheme="minorEastAsia"/>
          <w:color w:val="000000"/>
          <w:sz w:val="24"/>
        </w:rPr>
        <w:t>年</w:t>
      </w:r>
      <w:r w:rsidRPr="005E324A">
        <w:rPr>
          <w:rFonts w:eastAsiaTheme="minorEastAsia"/>
          <w:color w:val="000000"/>
          <w:sz w:val="24"/>
        </w:rPr>
        <w:t>4</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6</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日止。</w:t>
      </w:r>
    </w:p>
    <w:p w:rsidR="00220542" w:rsidRPr="005E324A" w:rsidRDefault="00220542" w:rsidP="00A21501">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交银中证互联网金融指数分级</w:t>
            </w:r>
          </w:p>
        </w:tc>
      </w:tr>
      <w:tr w:rsidR="00161BBC" w:rsidRPr="005E324A" w:rsidTr="00161BBC">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E</w:t>
            </w:r>
            <w:r w:rsidRPr="005E324A">
              <w:rPr>
                <w:sz w:val="24"/>
              </w:rPr>
              <w:t>金融</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113,127,359.12</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本基金为指数型基金，绝大部分资产采用完全复制标的指数的方法跟踪标的指数，即按照中证互联网</w:t>
            </w:r>
            <w:r w:rsidRPr="005E324A">
              <w:rPr>
                <w:rFonts w:eastAsiaTheme="minorEastAsia"/>
                <w:color w:val="000000"/>
                <w:kern w:val="0"/>
                <w:sz w:val="24"/>
              </w:rPr>
              <w:lastRenderedPageBreak/>
              <w:t>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中证互联网金融指数收益率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r w:rsidRPr="005E324A">
              <w:rPr>
                <w:rFonts w:eastAsiaTheme="minorEastAsia"/>
                <w:color w:val="000000"/>
                <w:kern w:val="0"/>
                <w:sz w:val="24"/>
              </w:rPr>
              <w:t>。</w:t>
            </w:r>
          </w:p>
        </w:tc>
      </w:tr>
      <w:tr w:rsidR="00134868" w:rsidRPr="005E324A" w:rsidTr="00A008DA">
        <w:tc>
          <w:tcPr>
            <w:tcW w:w="2835" w:type="dxa"/>
          </w:tcPr>
          <w:p w:rsidR="00134868" w:rsidRPr="005E324A" w:rsidRDefault="00134868" w:rsidP="00A008DA">
            <w:pPr>
              <w:adjustRightInd w:val="0"/>
              <w:spacing w:before="29" w:line="360" w:lineRule="auto"/>
              <w:ind w:left="17"/>
              <w:jc w:val="left"/>
              <w:rPr>
                <w:rFonts w:eastAsiaTheme="minorEastAsia"/>
                <w:sz w:val="24"/>
              </w:rPr>
            </w:pPr>
            <w:r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份额具有低预期风险、预期收益相对稳定的特征；交银互联网金融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164907</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150318</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lastRenderedPageBreak/>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109,067,447.12</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2,029,956.00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2,029,956.00</w:t>
            </w:r>
            <w:r w:rsidRPr="005E324A">
              <w:rPr>
                <w:rFonts w:eastAsiaTheme="minorEastAsia"/>
                <w:color w:val="000000"/>
                <w:kern w:val="0"/>
                <w:sz w:val="24"/>
              </w:rPr>
              <w:t>份</w:t>
            </w:r>
          </w:p>
        </w:tc>
      </w:tr>
      <w:tr w:rsidR="00134868" w:rsidRPr="005E324A" w:rsidTr="00EB3E72">
        <w:tc>
          <w:tcPr>
            <w:tcW w:w="2835"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A21501">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BD61C7" w:rsidRPr="005E324A" w:rsidTr="00BD61C7">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(2018</w:t>
            </w:r>
            <w:r w:rsidRPr="005E324A">
              <w:rPr>
                <w:rFonts w:eastAsiaTheme="minorEastAsia"/>
                <w:color w:val="000000"/>
                <w:sz w:val="24"/>
              </w:rPr>
              <w:t>年</w:t>
            </w:r>
            <w:r w:rsidRPr="005E324A">
              <w:rPr>
                <w:rFonts w:eastAsiaTheme="minorEastAsia"/>
                <w:color w:val="000000"/>
                <w:sz w:val="24"/>
              </w:rPr>
              <w:t>4</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-2018</w:t>
            </w:r>
            <w:r w:rsidRPr="005E324A">
              <w:rPr>
                <w:rFonts w:eastAsiaTheme="minorEastAsia"/>
                <w:color w:val="000000"/>
                <w:sz w:val="24"/>
              </w:rPr>
              <w:t>年</w:t>
            </w:r>
            <w:r w:rsidRPr="005E324A">
              <w:rPr>
                <w:rFonts w:eastAsiaTheme="minorEastAsia"/>
                <w:color w:val="000000"/>
                <w:sz w:val="24"/>
              </w:rPr>
              <w:t>6</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w:t>
            </w:r>
            <w:r w:rsidRPr="005E324A">
              <w:rPr>
                <w:rFonts w:eastAsiaTheme="minorEastAsia"/>
                <w:color w:val="000000"/>
                <w:sz w:val="24"/>
              </w:rPr>
              <w:t>)</w:t>
            </w:r>
          </w:p>
        </w:tc>
      </w:tr>
      <w:tr w:rsidR="00BD61C7" w:rsidRPr="005E324A" w:rsidTr="00BD61C7">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-5,925,425.54</w:t>
            </w:r>
          </w:p>
        </w:tc>
      </w:tr>
      <w:tr w:rsidR="00BD61C7" w:rsidRPr="005E324A" w:rsidTr="00BD61C7">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-16,570,773.68</w:t>
            </w:r>
          </w:p>
        </w:tc>
      </w:tr>
      <w:tr w:rsidR="00BD61C7" w:rsidRPr="005E324A" w:rsidTr="00BD61C7">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-0.1430</w:t>
            </w:r>
          </w:p>
        </w:tc>
      </w:tr>
      <w:tr w:rsidR="00BD61C7" w:rsidRPr="005E324A" w:rsidTr="00BD61C7">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89,608,256.69</w:t>
            </w:r>
          </w:p>
        </w:tc>
      </w:tr>
      <w:tr w:rsidR="00BD61C7" w:rsidRPr="005E324A" w:rsidTr="00BD61C7">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0.792</w:t>
            </w:r>
          </w:p>
        </w:tc>
      </w:tr>
    </w:tbl>
    <w:p w:rsidR="00F727C3" w:rsidRDefault="0071645A">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3.2.1</w:t>
        </w:r>
      </w:smartTag>
      <w:r w:rsidRPr="005E324A">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5E324A" w:rsidTr="00E34CDF">
        <w:tc>
          <w:tcPr>
            <w:tcW w:w="1215"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lastRenderedPageBreak/>
              <w:t>阶段</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F727C3">
        <w:tc>
          <w:tcPr>
            <w:tcW w:w="1215" w:type="dxa"/>
            <w:vAlign w:val="center"/>
          </w:tcPr>
          <w:p w:rsidR="00F727C3" w:rsidRDefault="0071645A">
            <w:pPr>
              <w:jc w:val="left"/>
            </w:pPr>
            <w:r>
              <w:rPr>
                <w:rFonts w:eastAsiaTheme="minorEastAsia"/>
                <w:color w:val="000000"/>
                <w:kern w:val="0"/>
                <w:sz w:val="24"/>
              </w:rPr>
              <w:t>过去三个月</w:t>
            </w:r>
          </w:p>
        </w:tc>
        <w:tc>
          <w:tcPr>
            <w:tcW w:w="1216" w:type="dxa"/>
            <w:vAlign w:val="center"/>
          </w:tcPr>
          <w:p w:rsidR="00F727C3" w:rsidRDefault="0071645A">
            <w:pPr>
              <w:jc w:val="center"/>
            </w:pPr>
            <w:r>
              <w:rPr>
                <w:rFonts w:eastAsiaTheme="minorEastAsia"/>
                <w:color w:val="000000"/>
                <w:kern w:val="0"/>
                <w:sz w:val="24"/>
              </w:rPr>
              <w:t>-15.47%</w:t>
            </w:r>
          </w:p>
        </w:tc>
        <w:tc>
          <w:tcPr>
            <w:tcW w:w="1216" w:type="dxa"/>
            <w:vAlign w:val="center"/>
          </w:tcPr>
          <w:p w:rsidR="00F727C3" w:rsidRDefault="0071645A">
            <w:pPr>
              <w:jc w:val="center"/>
            </w:pPr>
            <w:r>
              <w:rPr>
                <w:rFonts w:eastAsiaTheme="minorEastAsia"/>
                <w:color w:val="000000"/>
                <w:kern w:val="0"/>
                <w:sz w:val="24"/>
              </w:rPr>
              <w:t>1.52%</w:t>
            </w:r>
          </w:p>
        </w:tc>
        <w:tc>
          <w:tcPr>
            <w:tcW w:w="1216" w:type="dxa"/>
            <w:vAlign w:val="center"/>
          </w:tcPr>
          <w:p w:rsidR="00F727C3" w:rsidRDefault="0071645A">
            <w:pPr>
              <w:jc w:val="center"/>
            </w:pPr>
            <w:r>
              <w:rPr>
                <w:rFonts w:eastAsiaTheme="minorEastAsia"/>
                <w:color w:val="000000"/>
                <w:kern w:val="0"/>
                <w:sz w:val="24"/>
              </w:rPr>
              <w:t>-15.22%</w:t>
            </w:r>
          </w:p>
        </w:tc>
        <w:tc>
          <w:tcPr>
            <w:tcW w:w="1216" w:type="dxa"/>
            <w:vAlign w:val="center"/>
          </w:tcPr>
          <w:p w:rsidR="00F727C3" w:rsidRDefault="0071645A">
            <w:pPr>
              <w:jc w:val="center"/>
            </w:pPr>
            <w:r>
              <w:rPr>
                <w:rFonts w:eastAsiaTheme="minorEastAsia"/>
                <w:color w:val="000000"/>
                <w:kern w:val="0"/>
                <w:sz w:val="24"/>
              </w:rPr>
              <w:t>1.49%</w:t>
            </w:r>
          </w:p>
        </w:tc>
        <w:tc>
          <w:tcPr>
            <w:tcW w:w="1217" w:type="dxa"/>
            <w:vAlign w:val="center"/>
          </w:tcPr>
          <w:p w:rsidR="00F727C3" w:rsidRDefault="0071645A">
            <w:pPr>
              <w:jc w:val="center"/>
            </w:pPr>
            <w:r>
              <w:rPr>
                <w:rFonts w:eastAsiaTheme="minorEastAsia"/>
                <w:color w:val="000000"/>
                <w:kern w:val="0"/>
                <w:sz w:val="24"/>
              </w:rPr>
              <w:t>-0.25%</w:t>
            </w:r>
          </w:p>
        </w:tc>
        <w:tc>
          <w:tcPr>
            <w:tcW w:w="1217" w:type="dxa"/>
            <w:vAlign w:val="center"/>
          </w:tcPr>
          <w:p w:rsidR="00F727C3" w:rsidRDefault="0071645A">
            <w:pPr>
              <w:jc w:val="center"/>
            </w:pPr>
            <w:r>
              <w:rPr>
                <w:rFonts w:eastAsiaTheme="minorEastAsia"/>
                <w:color w:val="000000"/>
                <w:kern w:val="0"/>
                <w:sz w:val="24"/>
              </w:rPr>
              <w:t>0.03%</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交银施罗德中证互联网金融指数分级证券投资基金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6</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2018</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30</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A21501">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F727C3">
        <w:tc>
          <w:tcPr>
            <w:tcW w:w="952" w:type="dxa"/>
            <w:vAlign w:val="center"/>
          </w:tcPr>
          <w:p w:rsidR="00F727C3" w:rsidRDefault="0071645A">
            <w:pPr>
              <w:jc w:val="center"/>
            </w:pPr>
            <w:r>
              <w:rPr>
                <w:rFonts w:eastAsiaTheme="minorEastAsia"/>
                <w:color w:val="000000"/>
                <w:sz w:val="24"/>
              </w:rPr>
              <w:t>蔡铮</w:t>
            </w:r>
          </w:p>
        </w:tc>
        <w:tc>
          <w:tcPr>
            <w:tcW w:w="930" w:type="dxa"/>
            <w:vAlign w:val="center"/>
          </w:tcPr>
          <w:p w:rsidR="00F727C3" w:rsidRDefault="0071645A">
            <w:pPr>
              <w:jc w:val="center"/>
            </w:pP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w:t>
            </w:r>
            <w:r>
              <w:rPr>
                <w:rFonts w:eastAsiaTheme="minorEastAsia"/>
                <w:color w:val="000000"/>
                <w:sz w:val="24"/>
              </w:rPr>
              <w:t>LOF</w:t>
            </w:r>
            <w:r>
              <w:rPr>
                <w:rFonts w:eastAsiaTheme="minorEastAsia"/>
                <w:color w:val="000000"/>
                <w:sz w:val="24"/>
              </w:rPr>
              <w:t>）、交银致远智</w:t>
            </w:r>
            <w:r>
              <w:rPr>
                <w:rFonts w:eastAsiaTheme="minorEastAsia"/>
                <w:color w:val="000000"/>
                <w:sz w:val="24"/>
              </w:rPr>
              <w:lastRenderedPageBreak/>
              <w:t>投混合的基金经理，公司量化投资副总监兼多元资产管理副总监</w:t>
            </w:r>
          </w:p>
        </w:tc>
        <w:tc>
          <w:tcPr>
            <w:tcW w:w="1210" w:type="dxa"/>
            <w:vAlign w:val="center"/>
          </w:tcPr>
          <w:p w:rsidR="00F727C3" w:rsidRDefault="0071645A">
            <w:pPr>
              <w:jc w:val="center"/>
            </w:pPr>
            <w:r>
              <w:rPr>
                <w:rFonts w:eastAsiaTheme="minorEastAsia"/>
                <w:color w:val="000000"/>
                <w:sz w:val="24"/>
              </w:rPr>
              <w:lastRenderedPageBreak/>
              <w:t>2015-06-26</w:t>
            </w:r>
          </w:p>
        </w:tc>
        <w:tc>
          <w:tcPr>
            <w:tcW w:w="1309" w:type="dxa"/>
            <w:vAlign w:val="center"/>
          </w:tcPr>
          <w:p w:rsidR="00F727C3" w:rsidRDefault="0071645A">
            <w:pPr>
              <w:jc w:val="center"/>
            </w:pPr>
            <w:r>
              <w:rPr>
                <w:rFonts w:eastAsiaTheme="minorEastAsia"/>
                <w:color w:val="000000"/>
                <w:sz w:val="24"/>
              </w:rPr>
              <w:t>-</w:t>
            </w:r>
          </w:p>
        </w:tc>
        <w:tc>
          <w:tcPr>
            <w:tcW w:w="1254" w:type="dxa"/>
            <w:vAlign w:val="center"/>
          </w:tcPr>
          <w:p w:rsidR="00F727C3" w:rsidRDefault="0071645A">
            <w:pPr>
              <w:jc w:val="center"/>
            </w:pPr>
            <w:r>
              <w:rPr>
                <w:rFonts w:eastAsiaTheme="minorEastAsia"/>
                <w:color w:val="000000"/>
                <w:sz w:val="24"/>
              </w:rPr>
              <w:t>9</w:t>
            </w:r>
            <w:r>
              <w:rPr>
                <w:rFonts w:eastAsiaTheme="minorEastAsia"/>
                <w:color w:val="000000"/>
                <w:sz w:val="24"/>
              </w:rPr>
              <w:t>年</w:t>
            </w:r>
          </w:p>
        </w:tc>
        <w:tc>
          <w:tcPr>
            <w:tcW w:w="3276" w:type="dxa"/>
            <w:vAlign w:val="center"/>
          </w:tcPr>
          <w:p w:rsidR="00F727C3" w:rsidRDefault="0071645A">
            <w:r>
              <w:rPr>
                <w:rFonts w:eastAsiaTheme="minorEastAsia"/>
                <w:color w:val="000000"/>
                <w:sz w:val="24"/>
              </w:rPr>
              <w:t>蔡铮先生，中国国籍，复旦大学电子工程硕士。历任瑞士银行香港分行分析员。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年加入交银施罗德基金管理有限公司，历任投资研究部数量分析师、基金经理助理、量化投资部助理总经理、量化投资部副总经理。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日担任交银施罗德环球精选价值证券投资基金基金经理，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日担任交银施罗德全球自然资源证券投资基金基金经理，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sz w:val="24"/>
          </w:rPr>
          <w:t>4.3.1</w:t>
        </w:r>
      </w:smartTag>
      <w:r w:rsidRPr="005E324A">
        <w:rPr>
          <w:rFonts w:eastAsiaTheme="minorEastAsia"/>
          <w:sz w:val="24"/>
        </w:rPr>
        <w:t>公平交易制度的执行情况</w:t>
      </w:r>
    </w:p>
    <w:p w:rsidR="00F727C3" w:rsidRDefault="0071645A">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727C3" w:rsidRDefault="0071645A">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F727C3" w:rsidRDefault="0071645A">
      <w:pPr>
        <w:spacing w:line="360" w:lineRule="auto"/>
        <w:ind w:firstLineChars="200" w:firstLine="480"/>
        <w:rPr>
          <w:rFonts w:eastAsiaTheme="minorEastAsia"/>
          <w:color w:val="000000"/>
          <w:kern w:val="0"/>
          <w:sz w:val="24"/>
        </w:rPr>
      </w:pPr>
      <w:r>
        <w:rPr>
          <w:rFonts w:eastAsiaTheme="minorEastAsia"/>
          <w:color w:val="000000"/>
          <w:kern w:val="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本基金于本报告期内不存在异常交易行为。本报告期内，本公司管理的所有投资组合参与的交易所公开竞价同日反向交易成交较少的单边交易量没有超过该证券当日总成交量</w:t>
      </w:r>
      <w:r w:rsidRPr="005E324A">
        <w:rPr>
          <w:rFonts w:eastAsiaTheme="minorEastAsia"/>
          <w:color w:val="000000"/>
          <w:kern w:val="0"/>
          <w:sz w:val="24"/>
        </w:rPr>
        <w:t>5%</w:t>
      </w:r>
      <w:r w:rsidRPr="005E324A">
        <w:rPr>
          <w:rFonts w:eastAsiaTheme="minorEastAsia"/>
          <w:color w:val="000000"/>
          <w:kern w:val="0"/>
          <w:sz w:val="24"/>
        </w:rPr>
        <w:t>的情形，本基金与本公司管理的其他投资组合在不同时间窗下（如日内、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日内）同向交易的交易价差未出现异常。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F727C3" w:rsidRDefault="0071645A">
      <w:pPr>
        <w:spacing w:line="360" w:lineRule="auto"/>
        <w:ind w:firstLineChars="200" w:firstLine="480"/>
        <w:rPr>
          <w:rFonts w:eastAsiaTheme="minorEastAsia"/>
          <w:color w:val="000000"/>
          <w:kern w:val="0"/>
          <w:sz w:val="24"/>
        </w:rPr>
      </w:pPr>
      <w:r>
        <w:rPr>
          <w:rFonts w:eastAsiaTheme="minorEastAsia"/>
          <w:color w:val="000000"/>
          <w:kern w:val="0"/>
          <w:sz w:val="24"/>
        </w:rPr>
        <w:t>2018</w:t>
      </w:r>
      <w:r>
        <w:rPr>
          <w:rFonts w:eastAsiaTheme="minorEastAsia"/>
          <w:color w:val="000000"/>
          <w:kern w:val="0"/>
          <w:sz w:val="24"/>
        </w:rPr>
        <w:t>年二季度国内经济整体延续稳定状态，投资增速缓中趋稳，政策层面持续推行经济结构优化和去杠杆，从长期看有利于经济增长进入高质量发展的新时代。短期因中美贸易摩擦的不确定性增加、美元加息、汇率波动等各因素频发，二季度</w:t>
      </w:r>
      <w:r>
        <w:rPr>
          <w:rFonts w:eastAsiaTheme="minorEastAsia"/>
          <w:color w:val="000000"/>
          <w:kern w:val="0"/>
          <w:sz w:val="24"/>
        </w:rPr>
        <w:t>A</w:t>
      </w:r>
      <w:r>
        <w:rPr>
          <w:rFonts w:eastAsiaTheme="minorEastAsia"/>
          <w:color w:val="000000"/>
          <w:kern w:val="0"/>
          <w:sz w:val="24"/>
        </w:rPr>
        <w:t>股市场波动加大，阶段性下行。作为跟踪基准指数的指数基金，二季度基金总体呈现出震荡向下的走势。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下一季度，我们认为通胀仍将维持温和，货币中性稳健，财政政策持续发力。中美贸易摩擦的影响在短期内或仍将延续，但市场经历了二季度的剧烈调整，许多行业指数已接近合理估值区间，目前股价也包含了投资者较为悲观的预期，总体而言，从中长期来看我们对</w:t>
      </w:r>
      <w:r w:rsidRPr="005E324A">
        <w:rPr>
          <w:rFonts w:eastAsiaTheme="minorEastAsia"/>
          <w:color w:val="000000"/>
          <w:kern w:val="0"/>
          <w:sz w:val="24"/>
        </w:rPr>
        <w:t>A</w:t>
      </w:r>
      <w:r w:rsidRPr="005E324A">
        <w:rPr>
          <w:rFonts w:eastAsiaTheme="minorEastAsia"/>
          <w:color w:val="000000"/>
          <w:kern w:val="0"/>
          <w:sz w:val="24"/>
        </w:rPr>
        <w:t>股市场仍维持谨慎中性的看法。</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截至</w:t>
      </w:r>
      <w:r w:rsidRPr="005E324A">
        <w:rPr>
          <w:rFonts w:eastAsiaTheme="minorEastAsia"/>
          <w:color w:val="000000"/>
          <w:kern w:val="0"/>
          <w:sz w:val="24"/>
        </w:rPr>
        <w:t>2018</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30</w:t>
      </w:r>
      <w:r w:rsidRPr="005E324A">
        <w:rPr>
          <w:rFonts w:eastAsiaTheme="minorEastAsia"/>
          <w:color w:val="000000"/>
          <w:kern w:val="0"/>
          <w:sz w:val="24"/>
        </w:rPr>
        <w:t>日，本基金份额净值为</w:t>
      </w:r>
      <w:r w:rsidRPr="005E324A">
        <w:rPr>
          <w:rFonts w:eastAsiaTheme="minorEastAsia"/>
          <w:color w:val="000000"/>
          <w:kern w:val="0"/>
          <w:sz w:val="24"/>
        </w:rPr>
        <w:t>0.792</w:t>
      </w:r>
      <w:r w:rsidRPr="005E324A">
        <w:rPr>
          <w:rFonts w:eastAsiaTheme="minorEastAsia"/>
          <w:color w:val="000000"/>
          <w:kern w:val="0"/>
          <w:sz w:val="24"/>
        </w:rPr>
        <w:t>元，本报告期份额净值增长率为</w:t>
      </w:r>
      <w:r w:rsidRPr="005E324A">
        <w:rPr>
          <w:rFonts w:eastAsiaTheme="minorEastAsia"/>
          <w:color w:val="000000"/>
          <w:kern w:val="0"/>
          <w:sz w:val="24"/>
        </w:rPr>
        <w:t>-15.47%</w:t>
      </w:r>
      <w:r w:rsidRPr="005E324A">
        <w:rPr>
          <w:rFonts w:eastAsiaTheme="minorEastAsia"/>
          <w:color w:val="000000"/>
          <w:kern w:val="0"/>
          <w:sz w:val="24"/>
        </w:rPr>
        <w:t>，同期业绩比较基准增长率为</w:t>
      </w:r>
      <w:r w:rsidRPr="005E324A">
        <w:rPr>
          <w:rFonts w:eastAsiaTheme="minorEastAsia"/>
          <w:color w:val="000000"/>
          <w:kern w:val="0"/>
          <w:sz w:val="24"/>
        </w:rPr>
        <w:t>-15.22%</w:t>
      </w:r>
      <w:r w:rsidRPr="005E324A">
        <w:rPr>
          <w:rFonts w:eastAsiaTheme="minorEastAsia"/>
          <w:color w:val="000000"/>
          <w:kern w:val="0"/>
          <w:sz w:val="24"/>
        </w:rPr>
        <w:t>。</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lastRenderedPageBreak/>
        <w:t>本基金本报告期内无需预警说明。</w:t>
      </w:r>
    </w:p>
    <w:p w:rsidR="00220542" w:rsidRPr="005E324A" w:rsidRDefault="00220542" w:rsidP="00A21501">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§5  </w:t>
      </w:r>
      <w:r w:rsidRPr="005E324A">
        <w:rPr>
          <w:rFonts w:eastAsiaTheme="minorEastAsia"/>
          <w:color w:val="000000"/>
          <w:kern w:val="0"/>
          <w:sz w:val="24"/>
          <w:szCs w:val="24"/>
        </w:rPr>
        <w:t>投资组合报告</w:t>
      </w:r>
    </w:p>
    <w:p w:rsidR="00562C0D" w:rsidRPr="00A21501" w:rsidRDefault="00562C0D" w:rsidP="00562C0D">
      <w:pPr>
        <w:autoSpaceDE w:val="0"/>
        <w:autoSpaceDN w:val="0"/>
        <w:adjustRightInd w:val="0"/>
        <w:spacing w:line="360" w:lineRule="auto"/>
        <w:jc w:val="left"/>
        <w:rPr>
          <w:rFonts w:eastAsiaTheme="minorEastAsia"/>
          <w:b/>
          <w:color w:val="000000" w:themeColor="text1"/>
          <w:kern w:val="0"/>
          <w:sz w:val="24"/>
        </w:rPr>
      </w:pPr>
      <w:r w:rsidRPr="00A21501">
        <w:rPr>
          <w:rFonts w:eastAsiaTheme="minorEastAsia"/>
          <w:b/>
          <w:color w:val="000000" w:themeColor="text1"/>
          <w:kern w:val="0"/>
          <w:sz w:val="24"/>
        </w:rPr>
        <w:t xml:space="preserve">5.1 </w:t>
      </w:r>
      <w:r w:rsidRPr="00A21501">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序号</w:t>
            </w:r>
          </w:p>
        </w:tc>
        <w:tc>
          <w:tcPr>
            <w:tcW w:w="2824"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项目</w:t>
            </w:r>
          </w:p>
        </w:tc>
        <w:tc>
          <w:tcPr>
            <w:tcW w:w="2552"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金额</w:t>
            </w:r>
            <w:r w:rsidRPr="00A21501">
              <w:rPr>
                <w:rFonts w:eastAsiaTheme="minorEastAsia"/>
                <w:color w:val="000000" w:themeColor="text1"/>
                <w:sz w:val="24"/>
              </w:rPr>
              <w:t>(</w:t>
            </w:r>
            <w:r w:rsidRPr="00A21501">
              <w:rPr>
                <w:rFonts w:eastAsiaTheme="minorEastAsia"/>
                <w:color w:val="000000" w:themeColor="text1"/>
                <w:sz w:val="24"/>
              </w:rPr>
              <w:t>元</w:t>
            </w: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占基金总资产的比例</w:t>
            </w: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1</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权益投资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83,680,853.35</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93.04</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其中：股票</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83,680,853.35</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93.04</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2</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ascii="宋体" w:hAnsi="宋体" w:hint="eastAsia"/>
                <w:sz w:val="24"/>
              </w:rPr>
              <w:t>基金投资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3</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固定收益投资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其中：债券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A21501">
            <w:pPr>
              <w:autoSpaceDE w:val="0"/>
              <w:autoSpaceDN w:val="0"/>
              <w:adjustRightInd w:val="0"/>
              <w:spacing w:before="29" w:line="360" w:lineRule="auto"/>
              <w:ind w:left="17" w:firstLineChars="300" w:firstLine="720"/>
              <w:jc w:val="left"/>
              <w:rPr>
                <w:rFonts w:eastAsiaTheme="minorEastAsia"/>
                <w:color w:val="000000" w:themeColor="text1"/>
                <w:sz w:val="24"/>
              </w:rPr>
            </w:pPr>
            <w:r w:rsidRPr="00A21501">
              <w:rPr>
                <w:rFonts w:eastAsiaTheme="minorEastAsia"/>
                <w:color w:val="000000" w:themeColor="text1"/>
                <w:sz w:val="24"/>
              </w:rPr>
              <w:t>资产支持证券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4</w:t>
            </w:r>
          </w:p>
        </w:tc>
        <w:tc>
          <w:tcPr>
            <w:tcW w:w="2824" w:type="dxa"/>
            <w:vAlign w:val="center"/>
          </w:tcPr>
          <w:p w:rsidR="00562C0D" w:rsidRPr="00A21501" w:rsidRDefault="00562C0D" w:rsidP="002D2971">
            <w:pPr>
              <w:spacing w:before="29" w:line="360" w:lineRule="auto"/>
              <w:ind w:leftChars="50" w:left="105"/>
              <w:rPr>
                <w:rFonts w:eastAsiaTheme="minorEastAsia"/>
                <w:color w:val="000000" w:themeColor="text1"/>
                <w:sz w:val="24"/>
              </w:rPr>
            </w:pPr>
            <w:r w:rsidRPr="00A21501">
              <w:rPr>
                <w:rFonts w:eastAsiaTheme="minorEastAsia"/>
                <w:color w:val="000000" w:themeColor="text1"/>
                <w:sz w:val="24"/>
              </w:rPr>
              <w:t>贵金属投资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5</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金融衍生品投资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6</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其中：买断式回购的买入返售金融资产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7</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银行存款和结算备付金合计</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6,241,226.39</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6.94</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8</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其他各项资产</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16,314.70</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0.02</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9</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合计</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89,938,394.44</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5.2.1</w:t>
        </w:r>
      </w:smartTag>
      <w:r w:rsidRPr="005E324A">
        <w:rPr>
          <w:rFonts w:eastAsiaTheme="minorEastAsia"/>
          <w:b/>
          <w:color w:val="000000"/>
          <w:kern w:val="0"/>
          <w:sz w:val="24"/>
        </w:rPr>
        <w:t>积极投资按行业分类的股票投资组合</w:t>
      </w:r>
    </w:p>
    <w:p w:rsidR="000F0678" w:rsidRDefault="000F0678" w:rsidP="000F0678">
      <w:pPr>
        <w:autoSpaceDE w:val="0"/>
        <w:autoSpaceDN w:val="0"/>
        <w:adjustRightInd w:val="0"/>
        <w:spacing w:line="360" w:lineRule="auto"/>
        <w:jc w:val="left"/>
        <w:rPr>
          <w:rFonts w:eastAsiaTheme="minorEastAsia"/>
          <w:color w:val="000000"/>
          <w:sz w:val="24"/>
        </w:rPr>
      </w:pPr>
      <w:r w:rsidRPr="00C314E1">
        <w:rPr>
          <w:rFonts w:eastAsiaTheme="minorEastAsia" w:hint="eastAsia"/>
          <w:color w:val="000000"/>
          <w:sz w:val="24"/>
        </w:rPr>
        <w:t>本基金</w:t>
      </w:r>
      <w:r w:rsidRPr="00C314E1">
        <w:rPr>
          <w:rFonts w:eastAsiaTheme="minorEastAsia"/>
          <w:color w:val="000000"/>
          <w:sz w:val="24"/>
        </w:rPr>
        <w:t>本报告期末未</w:t>
      </w:r>
      <w:r w:rsidRPr="00C314E1">
        <w:rPr>
          <w:rFonts w:eastAsiaTheme="minorEastAsia" w:hint="eastAsia"/>
          <w:color w:val="000000"/>
          <w:sz w:val="24"/>
        </w:rPr>
        <w:t>持有积极</w:t>
      </w:r>
      <w:r w:rsidRPr="00C314E1">
        <w:rPr>
          <w:rFonts w:eastAsiaTheme="minorEastAsia"/>
          <w:color w:val="000000"/>
          <w:sz w:val="24"/>
        </w:rPr>
        <w:t>投资</w:t>
      </w:r>
      <w:r w:rsidRPr="00C314E1">
        <w:rPr>
          <w:rFonts w:eastAsiaTheme="minorEastAsia" w:hint="eastAsia"/>
          <w:color w:val="000000"/>
          <w:sz w:val="24"/>
        </w:rPr>
        <w:t>股票</w:t>
      </w:r>
      <w:r w:rsidRPr="00C314E1">
        <w:rPr>
          <w:rFonts w:eastAsiaTheme="minorEastAsia"/>
          <w:color w:val="000000"/>
          <w:sz w:val="24"/>
        </w:rPr>
        <w:t>。</w:t>
      </w:r>
    </w:p>
    <w:p w:rsidR="000F0678" w:rsidRPr="000F0678" w:rsidRDefault="000F0678" w:rsidP="003A4DA3">
      <w:pPr>
        <w:autoSpaceDE w:val="0"/>
        <w:autoSpaceDN w:val="0"/>
        <w:adjustRightInd w:val="0"/>
        <w:spacing w:line="360" w:lineRule="auto"/>
        <w:jc w:val="left"/>
        <w:rPr>
          <w:rFonts w:eastAsiaTheme="minorEastAsia"/>
          <w:b/>
          <w:color w:val="000000"/>
          <w:kern w:val="0"/>
          <w:sz w:val="24"/>
        </w:rPr>
      </w:pP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5.2.2</w:t>
        </w:r>
      </w:smartTag>
      <w:r w:rsidRPr="005E324A">
        <w:rPr>
          <w:rFonts w:eastAsiaTheme="minorEastAsia"/>
          <w:b/>
          <w:color w:val="000000"/>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lastRenderedPageBreak/>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16,677,320.01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18.61</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1,504,404.00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1.68</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2,684,252.00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3.00</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439,841.06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0.49</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30,745,743.73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34.31</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23,735,047.80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26.49</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3,394,489.67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3.79</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4,499,755.08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5.02</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83,680,853.35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93.39</w:t>
            </w:r>
          </w:p>
        </w:tc>
      </w:tr>
    </w:tbl>
    <w:p w:rsidR="000800ED" w:rsidRDefault="000800ED" w:rsidP="007674F7">
      <w:pPr>
        <w:spacing w:before="29" w:line="288" w:lineRule="auto"/>
        <w:rPr>
          <w:b/>
          <w:color w:val="000000"/>
          <w:kern w:val="0"/>
          <w:sz w:val="24"/>
        </w:rPr>
      </w:pPr>
    </w:p>
    <w:p w:rsidR="007674F7" w:rsidRPr="00BC47D5" w:rsidRDefault="007674F7" w:rsidP="007674F7">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C24971">
        <w:rPr>
          <w:rFonts w:hint="eastAsia"/>
          <w:b/>
          <w:color w:val="000000"/>
          <w:kern w:val="0"/>
          <w:sz w:val="24"/>
        </w:rPr>
        <w:t>港股通</w:t>
      </w:r>
      <w:r w:rsidRPr="00BC47D5">
        <w:rPr>
          <w:rFonts w:hint="eastAsia"/>
          <w:b/>
          <w:color w:val="000000"/>
          <w:kern w:val="0"/>
          <w:sz w:val="24"/>
        </w:rPr>
        <w:t>投资股票投资组合</w:t>
      </w:r>
    </w:p>
    <w:p w:rsidR="004318F0" w:rsidRDefault="007674F7" w:rsidP="0019563C">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0800ED" w:rsidRPr="007674F7" w:rsidRDefault="000800ED" w:rsidP="0019563C">
      <w:pPr>
        <w:autoSpaceDE w:val="0"/>
        <w:autoSpaceDN w:val="0"/>
        <w:adjustRightInd w:val="0"/>
        <w:spacing w:line="360" w:lineRule="auto"/>
        <w:jc w:val="left"/>
        <w:rPr>
          <w:rFonts w:hint="eastAsia"/>
          <w:color w:val="00000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F727C3">
        <w:tc>
          <w:tcPr>
            <w:tcW w:w="817" w:type="dxa"/>
            <w:vAlign w:val="center"/>
          </w:tcPr>
          <w:p w:rsidR="00F727C3" w:rsidRDefault="0071645A">
            <w:pPr>
              <w:jc w:val="center"/>
            </w:pPr>
            <w:r>
              <w:rPr>
                <w:rFonts w:eastAsiaTheme="minorEastAsia"/>
                <w:color w:val="000000"/>
                <w:sz w:val="24"/>
              </w:rPr>
              <w:t>1</w:t>
            </w:r>
          </w:p>
        </w:tc>
        <w:tc>
          <w:tcPr>
            <w:tcW w:w="1276" w:type="dxa"/>
            <w:vAlign w:val="center"/>
          </w:tcPr>
          <w:p w:rsidR="00F727C3" w:rsidRDefault="0071645A">
            <w:pPr>
              <w:jc w:val="center"/>
            </w:pPr>
            <w:r>
              <w:rPr>
                <w:rFonts w:eastAsiaTheme="minorEastAsia"/>
                <w:color w:val="000000"/>
                <w:sz w:val="24"/>
              </w:rPr>
              <w:t>600588</w:t>
            </w:r>
          </w:p>
        </w:tc>
        <w:tc>
          <w:tcPr>
            <w:tcW w:w="1701" w:type="dxa"/>
            <w:vAlign w:val="center"/>
          </w:tcPr>
          <w:p w:rsidR="00F727C3" w:rsidRDefault="0071645A">
            <w:pPr>
              <w:jc w:val="center"/>
            </w:pPr>
            <w:r>
              <w:rPr>
                <w:rFonts w:eastAsiaTheme="minorEastAsia"/>
                <w:color w:val="000000"/>
                <w:sz w:val="24"/>
              </w:rPr>
              <w:t>用友网络</w:t>
            </w:r>
          </w:p>
        </w:tc>
        <w:tc>
          <w:tcPr>
            <w:tcW w:w="1276" w:type="dxa"/>
            <w:vAlign w:val="center"/>
          </w:tcPr>
          <w:p w:rsidR="00F727C3" w:rsidRDefault="0071645A">
            <w:pPr>
              <w:jc w:val="right"/>
            </w:pPr>
            <w:r>
              <w:rPr>
                <w:rFonts w:eastAsiaTheme="minorEastAsia"/>
                <w:color w:val="000000"/>
                <w:sz w:val="24"/>
              </w:rPr>
              <w:t>113,810</w:t>
            </w:r>
          </w:p>
        </w:tc>
        <w:tc>
          <w:tcPr>
            <w:tcW w:w="1842" w:type="dxa"/>
            <w:vAlign w:val="center"/>
          </w:tcPr>
          <w:p w:rsidR="00F727C3" w:rsidRDefault="0071645A">
            <w:pPr>
              <w:jc w:val="right"/>
            </w:pPr>
            <w:r>
              <w:rPr>
                <w:rFonts w:eastAsiaTheme="minorEastAsia"/>
                <w:color w:val="000000"/>
                <w:sz w:val="24"/>
              </w:rPr>
              <w:t>2,789,483.10</w:t>
            </w:r>
          </w:p>
        </w:tc>
        <w:tc>
          <w:tcPr>
            <w:tcW w:w="1616" w:type="dxa"/>
            <w:vAlign w:val="center"/>
          </w:tcPr>
          <w:p w:rsidR="00F727C3" w:rsidRDefault="0071645A">
            <w:pPr>
              <w:jc w:val="right"/>
            </w:pPr>
            <w:r>
              <w:rPr>
                <w:rFonts w:eastAsiaTheme="minorEastAsia"/>
                <w:color w:val="000000"/>
                <w:sz w:val="24"/>
              </w:rPr>
              <w:t>3.11</w:t>
            </w:r>
          </w:p>
        </w:tc>
      </w:tr>
      <w:tr w:rsidR="00F727C3">
        <w:tc>
          <w:tcPr>
            <w:tcW w:w="817" w:type="dxa"/>
            <w:vAlign w:val="center"/>
          </w:tcPr>
          <w:p w:rsidR="00F727C3" w:rsidRDefault="0071645A">
            <w:pPr>
              <w:jc w:val="center"/>
            </w:pPr>
            <w:r>
              <w:rPr>
                <w:rFonts w:eastAsiaTheme="minorEastAsia"/>
                <w:color w:val="000000"/>
                <w:sz w:val="24"/>
              </w:rPr>
              <w:lastRenderedPageBreak/>
              <w:t>2</w:t>
            </w:r>
          </w:p>
        </w:tc>
        <w:tc>
          <w:tcPr>
            <w:tcW w:w="1276" w:type="dxa"/>
            <w:vAlign w:val="center"/>
          </w:tcPr>
          <w:p w:rsidR="00F727C3" w:rsidRDefault="0071645A">
            <w:pPr>
              <w:jc w:val="center"/>
            </w:pPr>
            <w:r>
              <w:rPr>
                <w:rFonts w:eastAsiaTheme="minorEastAsia"/>
                <w:color w:val="000000"/>
                <w:sz w:val="24"/>
              </w:rPr>
              <w:t>600271</w:t>
            </w:r>
          </w:p>
        </w:tc>
        <w:tc>
          <w:tcPr>
            <w:tcW w:w="1701" w:type="dxa"/>
            <w:vAlign w:val="center"/>
          </w:tcPr>
          <w:p w:rsidR="00F727C3" w:rsidRDefault="0071645A">
            <w:pPr>
              <w:jc w:val="center"/>
            </w:pPr>
            <w:r>
              <w:rPr>
                <w:rFonts w:eastAsiaTheme="minorEastAsia"/>
                <w:color w:val="000000"/>
                <w:sz w:val="24"/>
              </w:rPr>
              <w:t>航天信息</w:t>
            </w:r>
          </w:p>
        </w:tc>
        <w:tc>
          <w:tcPr>
            <w:tcW w:w="1276" w:type="dxa"/>
            <w:vAlign w:val="center"/>
          </w:tcPr>
          <w:p w:rsidR="00F727C3" w:rsidRDefault="0071645A">
            <w:pPr>
              <w:jc w:val="right"/>
            </w:pPr>
            <w:r>
              <w:rPr>
                <w:rFonts w:eastAsiaTheme="minorEastAsia"/>
                <w:color w:val="000000"/>
                <w:sz w:val="24"/>
              </w:rPr>
              <w:t>109,252</w:t>
            </w:r>
          </w:p>
        </w:tc>
        <w:tc>
          <w:tcPr>
            <w:tcW w:w="1842" w:type="dxa"/>
            <w:vAlign w:val="center"/>
          </w:tcPr>
          <w:p w:rsidR="00F727C3" w:rsidRDefault="0071645A">
            <w:pPr>
              <w:jc w:val="right"/>
            </w:pPr>
            <w:r>
              <w:rPr>
                <w:rFonts w:eastAsiaTheme="minorEastAsia"/>
                <w:color w:val="000000"/>
                <w:sz w:val="24"/>
              </w:rPr>
              <w:t>2,760,798.04</w:t>
            </w:r>
          </w:p>
        </w:tc>
        <w:tc>
          <w:tcPr>
            <w:tcW w:w="1616" w:type="dxa"/>
            <w:vAlign w:val="center"/>
          </w:tcPr>
          <w:p w:rsidR="00F727C3" w:rsidRDefault="0071645A">
            <w:pPr>
              <w:jc w:val="right"/>
            </w:pPr>
            <w:r>
              <w:rPr>
                <w:rFonts w:eastAsiaTheme="minorEastAsia"/>
                <w:color w:val="000000"/>
                <w:sz w:val="24"/>
              </w:rPr>
              <w:t>3.08</w:t>
            </w:r>
          </w:p>
        </w:tc>
      </w:tr>
      <w:tr w:rsidR="00F727C3">
        <w:tc>
          <w:tcPr>
            <w:tcW w:w="817" w:type="dxa"/>
            <w:vAlign w:val="center"/>
          </w:tcPr>
          <w:p w:rsidR="00F727C3" w:rsidRDefault="0071645A">
            <w:pPr>
              <w:jc w:val="center"/>
            </w:pPr>
            <w:r>
              <w:rPr>
                <w:rFonts w:eastAsiaTheme="minorEastAsia"/>
                <w:color w:val="000000"/>
                <w:sz w:val="24"/>
              </w:rPr>
              <w:t>3</w:t>
            </w:r>
          </w:p>
        </w:tc>
        <w:tc>
          <w:tcPr>
            <w:tcW w:w="1276" w:type="dxa"/>
            <w:vAlign w:val="center"/>
          </w:tcPr>
          <w:p w:rsidR="00F727C3" w:rsidRDefault="0071645A">
            <w:pPr>
              <w:jc w:val="center"/>
            </w:pPr>
            <w:r>
              <w:rPr>
                <w:rFonts w:eastAsiaTheme="minorEastAsia"/>
                <w:color w:val="000000"/>
                <w:sz w:val="24"/>
              </w:rPr>
              <w:t>300059</w:t>
            </w:r>
          </w:p>
        </w:tc>
        <w:tc>
          <w:tcPr>
            <w:tcW w:w="1701" w:type="dxa"/>
            <w:vAlign w:val="center"/>
          </w:tcPr>
          <w:p w:rsidR="00F727C3" w:rsidRDefault="0071645A">
            <w:pPr>
              <w:jc w:val="center"/>
            </w:pPr>
            <w:r>
              <w:rPr>
                <w:rFonts w:eastAsiaTheme="minorEastAsia"/>
                <w:color w:val="000000"/>
                <w:sz w:val="24"/>
              </w:rPr>
              <w:t>东方财富</w:t>
            </w:r>
          </w:p>
        </w:tc>
        <w:tc>
          <w:tcPr>
            <w:tcW w:w="1276" w:type="dxa"/>
            <w:vAlign w:val="center"/>
          </w:tcPr>
          <w:p w:rsidR="00F727C3" w:rsidRDefault="0071645A">
            <w:pPr>
              <w:jc w:val="right"/>
            </w:pPr>
            <w:r>
              <w:rPr>
                <w:rFonts w:eastAsiaTheme="minorEastAsia"/>
                <w:color w:val="000000"/>
                <w:sz w:val="24"/>
              </w:rPr>
              <w:t>206,242</w:t>
            </w:r>
          </w:p>
        </w:tc>
        <w:tc>
          <w:tcPr>
            <w:tcW w:w="1842" w:type="dxa"/>
            <w:vAlign w:val="center"/>
          </w:tcPr>
          <w:p w:rsidR="00F727C3" w:rsidRDefault="0071645A">
            <w:pPr>
              <w:jc w:val="right"/>
            </w:pPr>
            <w:r>
              <w:rPr>
                <w:rFonts w:eastAsiaTheme="minorEastAsia"/>
                <w:color w:val="000000"/>
                <w:sz w:val="24"/>
              </w:rPr>
              <w:t>2,718,269.56</w:t>
            </w:r>
          </w:p>
        </w:tc>
        <w:tc>
          <w:tcPr>
            <w:tcW w:w="1616" w:type="dxa"/>
            <w:vAlign w:val="center"/>
          </w:tcPr>
          <w:p w:rsidR="00F727C3" w:rsidRDefault="0071645A">
            <w:pPr>
              <w:jc w:val="right"/>
            </w:pPr>
            <w:r>
              <w:rPr>
                <w:rFonts w:eastAsiaTheme="minorEastAsia"/>
                <w:color w:val="000000"/>
                <w:sz w:val="24"/>
              </w:rPr>
              <w:t>3.03</w:t>
            </w:r>
          </w:p>
        </w:tc>
      </w:tr>
      <w:tr w:rsidR="00F727C3">
        <w:tc>
          <w:tcPr>
            <w:tcW w:w="817" w:type="dxa"/>
            <w:vAlign w:val="center"/>
          </w:tcPr>
          <w:p w:rsidR="00F727C3" w:rsidRDefault="0071645A">
            <w:pPr>
              <w:jc w:val="center"/>
            </w:pPr>
            <w:r>
              <w:rPr>
                <w:rFonts w:eastAsiaTheme="minorEastAsia"/>
                <w:color w:val="000000"/>
                <w:sz w:val="24"/>
              </w:rPr>
              <w:t>4</w:t>
            </w:r>
          </w:p>
        </w:tc>
        <w:tc>
          <w:tcPr>
            <w:tcW w:w="1276" w:type="dxa"/>
            <w:vAlign w:val="center"/>
          </w:tcPr>
          <w:p w:rsidR="00F727C3" w:rsidRDefault="0071645A">
            <w:pPr>
              <w:jc w:val="center"/>
            </w:pPr>
            <w:r>
              <w:rPr>
                <w:rFonts w:eastAsiaTheme="minorEastAsia"/>
                <w:color w:val="000000"/>
                <w:sz w:val="24"/>
              </w:rPr>
              <w:t>600570</w:t>
            </w:r>
          </w:p>
        </w:tc>
        <w:tc>
          <w:tcPr>
            <w:tcW w:w="1701" w:type="dxa"/>
            <w:vAlign w:val="center"/>
          </w:tcPr>
          <w:p w:rsidR="00F727C3" w:rsidRDefault="0071645A">
            <w:pPr>
              <w:jc w:val="center"/>
            </w:pPr>
            <w:r>
              <w:rPr>
                <w:rFonts w:eastAsiaTheme="minorEastAsia"/>
                <w:color w:val="000000"/>
                <w:sz w:val="24"/>
              </w:rPr>
              <w:t>恒生电子</w:t>
            </w:r>
          </w:p>
        </w:tc>
        <w:tc>
          <w:tcPr>
            <w:tcW w:w="1276" w:type="dxa"/>
            <w:vAlign w:val="center"/>
          </w:tcPr>
          <w:p w:rsidR="00F727C3" w:rsidRDefault="0071645A">
            <w:pPr>
              <w:jc w:val="right"/>
            </w:pPr>
            <w:r>
              <w:rPr>
                <w:rFonts w:eastAsiaTheme="minorEastAsia"/>
                <w:color w:val="000000"/>
                <w:sz w:val="24"/>
              </w:rPr>
              <w:t>50,003</w:t>
            </w:r>
          </w:p>
        </w:tc>
        <w:tc>
          <w:tcPr>
            <w:tcW w:w="1842" w:type="dxa"/>
            <w:vAlign w:val="center"/>
          </w:tcPr>
          <w:p w:rsidR="00F727C3" w:rsidRDefault="0071645A">
            <w:pPr>
              <w:jc w:val="right"/>
            </w:pPr>
            <w:r>
              <w:rPr>
                <w:rFonts w:eastAsiaTheme="minorEastAsia"/>
                <w:color w:val="000000"/>
                <w:sz w:val="24"/>
              </w:rPr>
              <w:t>2,647,658.85</w:t>
            </w:r>
          </w:p>
        </w:tc>
        <w:tc>
          <w:tcPr>
            <w:tcW w:w="1616" w:type="dxa"/>
            <w:vAlign w:val="center"/>
          </w:tcPr>
          <w:p w:rsidR="00F727C3" w:rsidRDefault="0071645A">
            <w:pPr>
              <w:jc w:val="right"/>
            </w:pPr>
            <w:r>
              <w:rPr>
                <w:rFonts w:eastAsiaTheme="minorEastAsia"/>
                <w:color w:val="000000"/>
                <w:sz w:val="24"/>
              </w:rPr>
              <w:t>2.95</w:t>
            </w:r>
          </w:p>
        </w:tc>
      </w:tr>
      <w:tr w:rsidR="00F727C3">
        <w:tc>
          <w:tcPr>
            <w:tcW w:w="817" w:type="dxa"/>
            <w:vAlign w:val="center"/>
          </w:tcPr>
          <w:p w:rsidR="00F727C3" w:rsidRDefault="0071645A">
            <w:pPr>
              <w:jc w:val="center"/>
            </w:pPr>
            <w:r>
              <w:rPr>
                <w:rFonts w:eastAsiaTheme="minorEastAsia"/>
                <w:color w:val="000000"/>
                <w:sz w:val="24"/>
              </w:rPr>
              <w:t>5</w:t>
            </w:r>
          </w:p>
        </w:tc>
        <w:tc>
          <w:tcPr>
            <w:tcW w:w="1276" w:type="dxa"/>
            <w:vAlign w:val="center"/>
          </w:tcPr>
          <w:p w:rsidR="00F727C3" w:rsidRDefault="0071645A">
            <w:pPr>
              <w:jc w:val="center"/>
            </w:pPr>
            <w:r>
              <w:rPr>
                <w:rFonts w:eastAsiaTheme="minorEastAsia"/>
                <w:color w:val="000000"/>
                <w:sz w:val="24"/>
              </w:rPr>
              <w:t>601998</w:t>
            </w:r>
          </w:p>
        </w:tc>
        <w:tc>
          <w:tcPr>
            <w:tcW w:w="1701" w:type="dxa"/>
            <w:vAlign w:val="center"/>
          </w:tcPr>
          <w:p w:rsidR="00F727C3" w:rsidRDefault="0071645A">
            <w:pPr>
              <w:jc w:val="center"/>
            </w:pPr>
            <w:r>
              <w:rPr>
                <w:rFonts w:eastAsiaTheme="minorEastAsia"/>
                <w:color w:val="000000"/>
                <w:sz w:val="24"/>
              </w:rPr>
              <w:t>中信银行</w:t>
            </w:r>
          </w:p>
        </w:tc>
        <w:tc>
          <w:tcPr>
            <w:tcW w:w="1276" w:type="dxa"/>
            <w:vAlign w:val="center"/>
          </w:tcPr>
          <w:p w:rsidR="00F727C3" w:rsidRDefault="0071645A">
            <w:pPr>
              <w:jc w:val="right"/>
            </w:pPr>
            <w:r>
              <w:rPr>
                <w:rFonts w:eastAsiaTheme="minorEastAsia"/>
                <w:color w:val="000000"/>
                <w:sz w:val="24"/>
              </w:rPr>
              <w:t>423,846</w:t>
            </w:r>
          </w:p>
        </w:tc>
        <w:tc>
          <w:tcPr>
            <w:tcW w:w="1842" w:type="dxa"/>
            <w:vAlign w:val="center"/>
          </w:tcPr>
          <w:p w:rsidR="00F727C3" w:rsidRDefault="0071645A">
            <w:pPr>
              <w:jc w:val="right"/>
            </w:pPr>
            <w:r>
              <w:rPr>
                <w:rFonts w:eastAsiaTheme="minorEastAsia"/>
                <w:color w:val="000000"/>
                <w:sz w:val="24"/>
              </w:rPr>
              <w:t>2,632,083.66</w:t>
            </w:r>
          </w:p>
        </w:tc>
        <w:tc>
          <w:tcPr>
            <w:tcW w:w="1616" w:type="dxa"/>
            <w:vAlign w:val="center"/>
          </w:tcPr>
          <w:p w:rsidR="00F727C3" w:rsidRDefault="0071645A">
            <w:pPr>
              <w:jc w:val="right"/>
            </w:pPr>
            <w:r>
              <w:rPr>
                <w:rFonts w:eastAsiaTheme="minorEastAsia"/>
                <w:color w:val="000000"/>
                <w:sz w:val="24"/>
              </w:rPr>
              <w:t>2.94</w:t>
            </w:r>
          </w:p>
        </w:tc>
      </w:tr>
      <w:tr w:rsidR="00F727C3">
        <w:tc>
          <w:tcPr>
            <w:tcW w:w="817" w:type="dxa"/>
            <w:vAlign w:val="center"/>
          </w:tcPr>
          <w:p w:rsidR="00F727C3" w:rsidRDefault="0071645A">
            <w:pPr>
              <w:jc w:val="center"/>
            </w:pPr>
            <w:r>
              <w:rPr>
                <w:rFonts w:eastAsiaTheme="minorEastAsia"/>
                <w:color w:val="000000"/>
                <w:sz w:val="24"/>
              </w:rPr>
              <w:t>6</w:t>
            </w:r>
          </w:p>
        </w:tc>
        <w:tc>
          <w:tcPr>
            <w:tcW w:w="1276" w:type="dxa"/>
            <w:vAlign w:val="center"/>
          </w:tcPr>
          <w:p w:rsidR="00F727C3" w:rsidRDefault="0071645A">
            <w:pPr>
              <w:jc w:val="center"/>
            </w:pPr>
            <w:r>
              <w:rPr>
                <w:rFonts w:eastAsiaTheme="minorEastAsia"/>
                <w:color w:val="000000"/>
                <w:sz w:val="24"/>
              </w:rPr>
              <w:t>601318</w:t>
            </w:r>
          </w:p>
        </w:tc>
        <w:tc>
          <w:tcPr>
            <w:tcW w:w="1701" w:type="dxa"/>
            <w:vAlign w:val="center"/>
          </w:tcPr>
          <w:p w:rsidR="00F727C3" w:rsidRDefault="0071645A">
            <w:pPr>
              <w:jc w:val="center"/>
            </w:pPr>
            <w:r>
              <w:rPr>
                <w:rFonts w:eastAsiaTheme="minorEastAsia"/>
                <w:color w:val="000000"/>
                <w:sz w:val="24"/>
              </w:rPr>
              <w:t>中国平安</w:t>
            </w:r>
          </w:p>
        </w:tc>
        <w:tc>
          <w:tcPr>
            <w:tcW w:w="1276" w:type="dxa"/>
            <w:vAlign w:val="center"/>
          </w:tcPr>
          <w:p w:rsidR="00F727C3" w:rsidRDefault="0071645A">
            <w:pPr>
              <w:jc w:val="right"/>
            </w:pPr>
            <w:r>
              <w:rPr>
                <w:rFonts w:eastAsiaTheme="minorEastAsia"/>
                <w:color w:val="000000"/>
                <w:sz w:val="24"/>
              </w:rPr>
              <w:t>44,100</w:t>
            </w:r>
          </w:p>
        </w:tc>
        <w:tc>
          <w:tcPr>
            <w:tcW w:w="1842" w:type="dxa"/>
            <w:vAlign w:val="center"/>
          </w:tcPr>
          <w:p w:rsidR="00F727C3" w:rsidRDefault="0071645A">
            <w:pPr>
              <w:jc w:val="right"/>
            </w:pPr>
            <w:r>
              <w:rPr>
                <w:rFonts w:eastAsiaTheme="minorEastAsia"/>
                <w:color w:val="000000"/>
                <w:sz w:val="24"/>
              </w:rPr>
              <w:t>2,583,378.00</w:t>
            </w:r>
          </w:p>
        </w:tc>
        <w:tc>
          <w:tcPr>
            <w:tcW w:w="1616" w:type="dxa"/>
            <w:vAlign w:val="center"/>
          </w:tcPr>
          <w:p w:rsidR="00F727C3" w:rsidRDefault="0071645A">
            <w:pPr>
              <w:jc w:val="right"/>
            </w:pPr>
            <w:r>
              <w:rPr>
                <w:rFonts w:eastAsiaTheme="minorEastAsia"/>
                <w:color w:val="000000"/>
                <w:sz w:val="24"/>
              </w:rPr>
              <w:t>2.88</w:t>
            </w:r>
          </w:p>
        </w:tc>
      </w:tr>
      <w:tr w:rsidR="00F727C3">
        <w:tc>
          <w:tcPr>
            <w:tcW w:w="817" w:type="dxa"/>
            <w:vAlign w:val="center"/>
          </w:tcPr>
          <w:p w:rsidR="00F727C3" w:rsidRDefault="0071645A">
            <w:pPr>
              <w:jc w:val="center"/>
            </w:pPr>
            <w:r>
              <w:rPr>
                <w:rFonts w:eastAsiaTheme="minorEastAsia"/>
                <w:color w:val="000000"/>
                <w:sz w:val="24"/>
              </w:rPr>
              <w:t>7</w:t>
            </w:r>
          </w:p>
        </w:tc>
        <w:tc>
          <w:tcPr>
            <w:tcW w:w="1276" w:type="dxa"/>
            <w:vAlign w:val="center"/>
          </w:tcPr>
          <w:p w:rsidR="00F727C3" w:rsidRDefault="0071645A">
            <w:pPr>
              <w:jc w:val="center"/>
            </w:pPr>
            <w:r>
              <w:rPr>
                <w:rFonts w:eastAsiaTheme="minorEastAsia"/>
                <w:color w:val="000000"/>
                <w:sz w:val="24"/>
              </w:rPr>
              <w:t>601555</w:t>
            </w:r>
          </w:p>
        </w:tc>
        <w:tc>
          <w:tcPr>
            <w:tcW w:w="1701" w:type="dxa"/>
            <w:vAlign w:val="center"/>
          </w:tcPr>
          <w:p w:rsidR="00F727C3" w:rsidRDefault="0071645A">
            <w:pPr>
              <w:jc w:val="center"/>
            </w:pPr>
            <w:r>
              <w:rPr>
                <w:rFonts w:eastAsiaTheme="minorEastAsia"/>
                <w:color w:val="000000"/>
                <w:sz w:val="24"/>
              </w:rPr>
              <w:t>东吴证券</w:t>
            </w:r>
          </w:p>
        </w:tc>
        <w:tc>
          <w:tcPr>
            <w:tcW w:w="1276" w:type="dxa"/>
            <w:vAlign w:val="center"/>
          </w:tcPr>
          <w:p w:rsidR="00F727C3" w:rsidRDefault="0071645A">
            <w:pPr>
              <w:jc w:val="right"/>
            </w:pPr>
            <w:r>
              <w:rPr>
                <w:rFonts w:eastAsiaTheme="minorEastAsia"/>
                <w:color w:val="000000"/>
                <w:sz w:val="24"/>
              </w:rPr>
              <w:t>366,321</w:t>
            </w:r>
          </w:p>
        </w:tc>
        <w:tc>
          <w:tcPr>
            <w:tcW w:w="1842" w:type="dxa"/>
            <w:vAlign w:val="center"/>
          </w:tcPr>
          <w:p w:rsidR="00F727C3" w:rsidRDefault="0071645A">
            <w:pPr>
              <w:jc w:val="right"/>
            </w:pPr>
            <w:r>
              <w:rPr>
                <w:rFonts w:eastAsiaTheme="minorEastAsia"/>
                <w:color w:val="000000"/>
                <w:sz w:val="24"/>
              </w:rPr>
              <w:t>2,501,972.43</w:t>
            </w:r>
          </w:p>
        </w:tc>
        <w:tc>
          <w:tcPr>
            <w:tcW w:w="1616" w:type="dxa"/>
            <w:vAlign w:val="center"/>
          </w:tcPr>
          <w:p w:rsidR="00F727C3" w:rsidRDefault="0071645A">
            <w:pPr>
              <w:jc w:val="right"/>
            </w:pPr>
            <w:r>
              <w:rPr>
                <w:rFonts w:eastAsiaTheme="minorEastAsia"/>
                <w:color w:val="000000"/>
                <w:sz w:val="24"/>
              </w:rPr>
              <w:t>2.79</w:t>
            </w:r>
          </w:p>
        </w:tc>
      </w:tr>
      <w:tr w:rsidR="00F727C3">
        <w:tc>
          <w:tcPr>
            <w:tcW w:w="817" w:type="dxa"/>
            <w:vAlign w:val="center"/>
          </w:tcPr>
          <w:p w:rsidR="00F727C3" w:rsidRDefault="0071645A">
            <w:pPr>
              <w:jc w:val="center"/>
            </w:pPr>
            <w:r>
              <w:rPr>
                <w:rFonts w:eastAsiaTheme="minorEastAsia"/>
                <w:color w:val="000000"/>
                <w:sz w:val="24"/>
              </w:rPr>
              <w:t>8</w:t>
            </w:r>
          </w:p>
        </w:tc>
        <w:tc>
          <w:tcPr>
            <w:tcW w:w="1276" w:type="dxa"/>
            <w:vAlign w:val="center"/>
          </w:tcPr>
          <w:p w:rsidR="00F727C3" w:rsidRDefault="0071645A">
            <w:pPr>
              <w:jc w:val="center"/>
            </w:pPr>
            <w:r>
              <w:rPr>
                <w:rFonts w:eastAsiaTheme="minorEastAsia"/>
                <w:color w:val="000000"/>
                <w:sz w:val="24"/>
              </w:rPr>
              <w:t>601166</w:t>
            </w:r>
          </w:p>
        </w:tc>
        <w:tc>
          <w:tcPr>
            <w:tcW w:w="1701" w:type="dxa"/>
            <w:vAlign w:val="center"/>
          </w:tcPr>
          <w:p w:rsidR="00F727C3" w:rsidRDefault="0071645A">
            <w:pPr>
              <w:jc w:val="center"/>
            </w:pPr>
            <w:r>
              <w:rPr>
                <w:rFonts w:eastAsiaTheme="minorEastAsia"/>
                <w:color w:val="000000"/>
                <w:sz w:val="24"/>
              </w:rPr>
              <w:t>兴业银行</w:t>
            </w:r>
          </w:p>
        </w:tc>
        <w:tc>
          <w:tcPr>
            <w:tcW w:w="1276" w:type="dxa"/>
            <w:vAlign w:val="center"/>
          </w:tcPr>
          <w:p w:rsidR="00F727C3" w:rsidRDefault="0071645A">
            <w:pPr>
              <w:jc w:val="right"/>
            </w:pPr>
            <w:r>
              <w:rPr>
                <w:rFonts w:eastAsiaTheme="minorEastAsia"/>
                <w:color w:val="000000"/>
                <w:sz w:val="24"/>
              </w:rPr>
              <w:t>172,103</w:t>
            </w:r>
          </w:p>
        </w:tc>
        <w:tc>
          <w:tcPr>
            <w:tcW w:w="1842" w:type="dxa"/>
            <w:vAlign w:val="center"/>
          </w:tcPr>
          <w:p w:rsidR="00F727C3" w:rsidRDefault="0071645A">
            <w:pPr>
              <w:jc w:val="right"/>
            </w:pPr>
            <w:r>
              <w:rPr>
                <w:rFonts w:eastAsiaTheme="minorEastAsia"/>
                <w:color w:val="000000"/>
                <w:sz w:val="24"/>
              </w:rPr>
              <w:t>2,478,283.20</w:t>
            </w:r>
          </w:p>
        </w:tc>
        <w:tc>
          <w:tcPr>
            <w:tcW w:w="1616" w:type="dxa"/>
            <w:vAlign w:val="center"/>
          </w:tcPr>
          <w:p w:rsidR="00F727C3" w:rsidRDefault="0071645A">
            <w:pPr>
              <w:jc w:val="right"/>
            </w:pPr>
            <w:r>
              <w:rPr>
                <w:rFonts w:eastAsiaTheme="minorEastAsia"/>
                <w:color w:val="000000"/>
                <w:sz w:val="24"/>
              </w:rPr>
              <w:t>2.77</w:t>
            </w:r>
          </w:p>
        </w:tc>
      </w:tr>
      <w:tr w:rsidR="00F727C3">
        <w:tc>
          <w:tcPr>
            <w:tcW w:w="817" w:type="dxa"/>
            <w:vAlign w:val="center"/>
          </w:tcPr>
          <w:p w:rsidR="00F727C3" w:rsidRDefault="0071645A">
            <w:pPr>
              <w:jc w:val="center"/>
            </w:pPr>
            <w:r>
              <w:rPr>
                <w:rFonts w:eastAsiaTheme="minorEastAsia"/>
                <w:color w:val="000000"/>
                <w:sz w:val="24"/>
              </w:rPr>
              <w:t>9</w:t>
            </w:r>
          </w:p>
        </w:tc>
        <w:tc>
          <w:tcPr>
            <w:tcW w:w="1276" w:type="dxa"/>
            <w:vAlign w:val="center"/>
          </w:tcPr>
          <w:p w:rsidR="00F727C3" w:rsidRDefault="0071645A">
            <w:pPr>
              <w:jc w:val="center"/>
            </w:pPr>
            <w:r>
              <w:rPr>
                <w:rFonts w:eastAsiaTheme="minorEastAsia"/>
                <w:color w:val="000000"/>
                <w:sz w:val="24"/>
              </w:rPr>
              <w:t>300136</w:t>
            </w:r>
          </w:p>
        </w:tc>
        <w:tc>
          <w:tcPr>
            <w:tcW w:w="1701" w:type="dxa"/>
            <w:vAlign w:val="center"/>
          </w:tcPr>
          <w:p w:rsidR="00F727C3" w:rsidRDefault="0071645A">
            <w:pPr>
              <w:jc w:val="center"/>
            </w:pPr>
            <w:r>
              <w:rPr>
                <w:rFonts w:eastAsiaTheme="minorEastAsia"/>
                <w:color w:val="000000"/>
                <w:sz w:val="24"/>
              </w:rPr>
              <w:t>信维通信</w:t>
            </w:r>
          </w:p>
        </w:tc>
        <w:tc>
          <w:tcPr>
            <w:tcW w:w="1276" w:type="dxa"/>
            <w:vAlign w:val="center"/>
          </w:tcPr>
          <w:p w:rsidR="00F727C3" w:rsidRDefault="0071645A">
            <w:pPr>
              <w:jc w:val="right"/>
            </w:pPr>
            <w:r>
              <w:rPr>
                <w:rFonts w:eastAsiaTheme="minorEastAsia"/>
                <w:color w:val="000000"/>
                <w:sz w:val="24"/>
              </w:rPr>
              <w:t>80,149</w:t>
            </w:r>
          </w:p>
        </w:tc>
        <w:tc>
          <w:tcPr>
            <w:tcW w:w="1842" w:type="dxa"/>
            <w:vAlign w:val="center"/>
          </w:tcPr>
          <w:p w:rsidR="00F727C3" w:rsidRDefault="0071645A">
            <w:pPr>
              <w:jc w:val="right"/>
            </w:pPr>
            <w:r>
              <w:rPr>
                <w:rFonts w:eastAsiaTheme="minorEastAsia"/>
                <w:color w:val="000000"/>
                <w:sz w:val="24"/>
              </w:rPr>
              <w:t>2,462,978.77</w:t>
            </w:r>
          </w:p>
        </w:tc>
        <w:tc>
          <w:tcPr>
            <w:tcW w:w="1616" w:type="dxa"/>
            <w:vAlign w:val="center"/>
          </w:tcPr>
          <w:p w:rsidR="00F727C3" w:rsidRDefault="0071645A">
            <w:pPr>
              <w:jc w:val="right"/>
            </w:pPr>
            <w:r>
              <w:rPr>
                <w:rFonts w:eastAsiaTheme="minorEastAsia"/>
                <w:color w:val="000000"/>
                <w:sz w:val="24"/>
              </w:rPr>
              <w:t>2.75</w:t>
            </w:r>
          </w:p>
        </w:tc>
      </w:tr>
      <w:tr w:rsidR="00F727C3">
        <w:tc>
          <w:tcPr>
            <w:tcW w:w="817" w:type="dxa"/>
            <w:vAlign w:val="center"/>
          </w:tcPr>
          <w:p w:rsidR="00F727C3" w:rsidRDefault="0071645A">
            <w:pPr>
              <w:jc w:val="center"/>
            </w:pPr>
            <w:r>
              <w:rPr>
                <w:rFonts w:eastAsiaTheme="minorEastAsia"/>
                <w:color w:val="000000"/>
                <w:sz w:val="24"/>
              </w:rPr>
              <w:t>10</w:t>
            </w:r>
          </w:p>
        </w:tc>
        <w:tc>
          <w:tcPr>
            <w:tcW w:w="1276" w:type="dxa"/>
            <w:vAlign w:val="center"/>
          </w:tcPr>
          <w:p w:rsidR="00F727C3" w:rsidRDefault="0071645A">
            <w:pPr>
              <w:jc w:val="center"/>
            </w:pPr>
            <w:r>
              <w:rPr>
                <w:rFonts w:eastAsiaTheme="minorEastAsia"/>
                <w:color w:val="000000"/>
                <w:sz w:val="24"/>
              </w:rPr>
              <w:t>002024</w:t>
            </w:r>
          </w:p>
        </w:tc>
        <w:tc>
          <w:tcPr>
            <w:tcW w:w="1701" w:type="dxa"/>
            <w:vAlign w:val="center"/>
          </w:tcPr>
          <w:p w:rsidR="00F727C3" w:rsidRDefault="0071645A">
            <w:pPr>
              <w:jc w:val="center"/>
            </w:pPr>
            <w:r>
              <w:rPr>
                <w:rFonts w:eastAsiaTheme="minorEastAsia"/>
                <w:color w:val="000000"/>
                <w:sz w:val="24"/>
              </w:rPr>
              <w:t>苏宁易购</w:t>
            </w:r>
          </w:p>
        </w:tc>
        <w:tc>
          <w:tcPr>
            <w:tcW w:w="1276" w:type="dxa"/>
            <w:vAlign w:val="center"/>
          </w:tcPr>
          <w:p w:rsidR="00F727C3" w:rsidRDefault="0071645A">
            <w:pPr>
              <w:jc w:val="right"/>
            </w:pPr>
            <w:r>
              <w:rPr>
                <w:rFonts w:eastAsiaTheme="minorEastAsia"/>
                <w:color w:val="000000"/>
                <w:sz w:val="24"/>
              </w:rPr>
              <w:t>174,500</w:t>
            </w:r>
          </w:p>
        </w:tc>
        <w:tc>
          <w:tcPr>
            <w:tcW w:w="1842" w:type="dxa"/>
            <w:vAlign w:val="center"/>
          </w:tcPr>
          <w:p w:rsidR="00F727C3" w:rsidRDefault="0071645A">
            <w:pPr>
              <w:jc w:val="right"/>
            </w:pPr>
            <w:r>
              <w:rPr>
                <w:rFonts w:eastAsiaTheme="minorEastAsia"/>
                <w:color w:val="000000"/>
                <w:sz w:val="24"/>
              </w:rPr>
              <w:t>2,456,960.00</w:t>
            </w:r>
          </w:p>
        </w:tc>
        <w:tc>
          <w:tcPr>
            <w:tcW w:w="1616" w:type="dxa"/>
            <w:vAlign w:val="center"/>
          </w:tcPr>
          <w:p w:rsidR="00F727C3" w:rsidRDefault="0071645A">
            <w:pPr>
              <w:jc w:val="right"/>
            </w:pPr>
            <w:r>
              <w:rPr>
                <w:rFonts w:eastAsiaTheme="minorEastAsia"/>
                <w:color w:val="000000"/>
                <w:sz w:val="24"/>
              </w:rPr>
              <w:t>2.74</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p w:rsidR="000F0678" w:rsidRDefault="000F0678" w:rsidP="008B4DBE">
      <w:pPr>
        <w:autoSpaceDE w:val="0"/>
        <w:autoSpaceDN w:val="0"/>
        <w:adjustRightInd w:val="0"/>
        <w:spacing w:line="360" w:lineRule="auto"/>
        <w:jc w:val="left"/>
        <w:rPr>
          <w:rFonts w:eastAsiaTheme="minorEastAsia"/>
          <w:color w:val="000000"/>
          <w:sz w:val="24"/>
        </w:rPr>
      </w:pPr>
      <w:r w:rsidRPr="008B4DBE">
        <w:rPr>
          <w:rFonts w:eastAsiaTheme="minorEastAsia" w:hint="eastAsia"/>
          <w:color w:val="000000"/>
          <w:sz w:val="24"/>
        </w:rPr>
        <w:t>本基金本报告期末未持有积极投资股票。</w:t>
      </w:r>
    </w:p>
    <w:p w:rsidR="000F0678" w:rsidRPr="008B4DBE" w:rsidRDefault="000F0678" w:rsidP="008B4DBE">
      <w:pPr>
        <w:autoSpaceDE w:val="0"/>
        <w:autoSpaceDN w:val="0"/>
        <w:adjustRightInd w:val="0"/>
        <w:spacing w:line="360" w:lineRule="auto"/>
        <w:jc w:val="left"/>
        <w:rPr>
          <w:rFonts w:eastAsiaTheme="minorEastAsia"/>
          <w:color w:val="00000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5E324A" w:rsidRDefault="001C123E" w:rsidP="001C123E">
      <w:pPr>
        <w:widowControl/>
        <w:spacing w:line="360" w:lineRule="auto"/>
        <w:jc w:val="left"/>
        <w:rPr>
          <w:szCs w:val="21"/>
        </w:rPr>
      </w:pPr>
      <w:r w:rsidRPr="005E324A">
        <w:rPr>
          <w:szCs w:val="21"/>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lastRenderedPageBreak/>
        <w:t>本基金本报告期末未持有股指期货。</w:t>
      </w:r>
    </w:p>
    <w:p w:rsidR="00E57068" w:rsidRPr="005E324A" w:rsidRDefault="00E57068" w:rsidP="00E57068">
      <w:pPr>
        <w:autoSpaceDE w:val="0"/>
        <w:autoSpaceDN w:val="0"/>
        <w:adjustRightInd w:val="0"/>
        <w:spacing w:line="360" w:lineRule="auto"/>
        <w:jc w:val="left"/>
        <w:rPr>
          <w:rFonts w:eastAsiaTheme="minorEastAsia"/>
          <w:sz w:val="24"/>
        </w:rPr>
      </w:pPr>
    </w:p>
    <w:p w:rsidR="005E0C14" w:rsidRPr="005E324A"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0800ED" w:rsidRPr="005E324A" w:rsidRDefault="000800ED" w:rsidP="006B10DA">
      <w:pPr>
        <w:autoSpaceDE w:val="0"/>
        <w:autoSpaceDN w:val="0"/>
        <w:adjustRightInd w:val="0"/>
        <w:spacing w:line="360" w:lineRule="auto"/>
        <w:jc w:val="left"/>
        <w:rPr>
          <w:rFonts w:eastAsiaTheme="minorEastAsia" w:hint="eastAsia"/>
          <w:color w:val="00000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5.11.3</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金额（元）</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5,321.71</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1,227.65</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9,765.34</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16,314.70</w:t>
            </w:r>
          </w:p>
        </w:tc>
      </w:tr>
    </w:tbl>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5.11.4</w:t>
      </w:r>
      <w:r w:rsidR="00220542" w:rsidRPr="005E324A">
        <w:rPr>
          <w:rFonts w:eastAsiaTheme="minorEastAsia"/>
          <w:b/>
          <w:color w:val="000000"/>
          <w:kern w:val="0"/>
          <w:sz w:val="24"/>
        </w:rPr>
        <w:t>报告期末持有的处于转股期的可转换债券明细</w:t>
      </w:r>
    </w:p>
    <w:p w:rsidR="00220542"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0800ED" w:rsidRPr="005E324A" w:rsidRDefault="000800ED" w:rsidP="006B10DA">
      <w:pPr>
        <w:autoSpaceDE w:val="0"/>
        <w:autoSpaceDN w:val="0"/>
        <w:adjustRightInd w:val="0"/>
        <w:spacing w:line="360" w:lineRule="auto"/>
        <w:jc w:val="left"/>
        <w:rPr>
          <w:rFonts w:eastAsiaTheme="minorEastAsia" w:hint="eastAsia"/>
          <w:color w:val="00000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Pr="005E324A"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p w:rsidR="005D44E4"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w:t>
      </w:r>
      <w:proofErr w:type="gramStart"/>
      <w:r w:rsidRPr="005E324A">
        <w:rPr>
          <w:rFonts w:eastAsiaTheme="minorEastAsia"/>
          <w:color w:val="000000"/>
          <w:sz w:val="24"/>
        </w:rPr>
        <w:t>期末前</w:t>
      </w:r>
      <w:proofErr w:type="gramEnd"/>
      <w:r w:rsidRPr="005E324A">
        <w:rPr>
          <w:rFonts w:eastAsiaTheme="minorEastAsia"/>
          <w:color w:val="000000"/>
          <w:sz w:val="24"/>
        </w:rPr>
        <w:t>十名股票中不存在流通受限情况。</w:t>
      </w:r>
    </w:p>
    <w:p w:rsidR="000800ED" w:rsidRPr="005E324A" w:rsidRDefault="000800ED" w:rsidP="00576862">
      <w:pPr>
        <w:autoSpaceDE w:val="0"/>
        <w:autoSpaceDN w:val="0"/>
        <w:adjustRightInd w:val="0"/>
        <w:spacing w:line="360" w:lineRule="auto"/>
        <w:jc w:val="left"/>
        <w:rPr>
          <w:rFonts w:eastAsiaTheme="minorEastAsia" w:hint="eastAsia"/>
          <w:color w:val="00000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lastRenderedPageBreak/>
        <w:t>5.11.5.2</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本基金本报告期末前五名积极投资中不存在流通受限情况。</w:t>
      </w:r>
    </w:p>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220542" w:rsidRPr="005E324A" w:rsidRDefault="007A6BEA" w:rsidP="00BE6AF9">
      <w:pPr>
        <w:spacing w:line="360" w:lineRule="auto"/>
        <w:rPr>
          <w:rFonts w:eastAsiaTheme="minorEastAsia"/>
          <w:color w:val="000000"/>
          <w:sz w:val="24"/>
        </w:rPr>
      </w:pPr>
      <w:r w:rsidRPr="005E324A">
        <w:rPr>
          <w:rFonts w:eastAsiaTheme="minorEastAsia"/>
          <w:color w:val="000000"/>
          <w:kern w:val="0"/>
          <w:sz w:val="24"/>
        </w:rPr>
        <w:t>由于四舍五入的原因，分项之和与合计项之间可能存在尾差。</w:t>
      </w:r>
    </w:p>
    <w:p w:rsidR="00946EE4" w:rsidRPr="00BE6AF9" w:rsidRDefault="00946EE4" w:rsidP="00A21501">
      <w:pPr>
        <w:pStyle w:val="1"/>
        <w:spacing w:beforeLines="100" w:before="312" w:afterLines="100" w:after="312" w:line="360" w:lineRule="auto"/>
        <w:jc w:val="center"/>
        <w:rPr>
          <w:rFonts w:eastAsiaTheme="minorEastAsia"/>
          <w:color w:val="000000" w:themeColor="text1"/>
          <w:kern w:val="0"/>
          <w:sz w:val="24"/>
          <w:szCs w:val="24"/>
        </w:rPr>
      </w:pPr>
      <w:bookmarkStart w:id="0" w:name="_GoBack"/>
      <w:r w:rsidRPr="00BE6AF9">
        <w:rPr>
          <w:rFonts w:eastAsiaTheme="minorEastAsia"/>
          <w:color w:val="000000" w:themeColor="text1"/>
          <w:kern w:val="0"/>
          <w:sz w:val="24"/>
          <w:szCs w:val="24"/>
        </w:rPr>
        <w:t>§6</w:t>
      </w:r>
      <w:r w:rsidRPr="00BE6AF9">
        <w:rPr>
          <w:rFonts w:eastAsiaTheme="minorEastAsia" w:hint="eastAsia"/>
          <w:color w:val="000000" w:themeColor="text1"/>
          <w:kern w:val="0"/>
          <w:sz w:val="24"/>
          <w:szCs w:val="24"/>
        </w:rPr>
        <w:t xml:space="preserve">  </w:t>
      </w:r>
      <w:r w:rsidRPr="00BE6AF9">
        <w:rPr>
          <w:rFonts w:eastAsiaTheme="minorEastAsia" w:hint="eastAsia"/>
          <w:color w:val="000000" w:themeColor="text1"/>
          <w:kern w:val="0"/>
          <w:sz w:val="24"/>
          <w:szCs w:val="24"/>
        </w:rPr>
        <w:t>基金中基金</w:t>
      </w:r>
    </w:p>
    <w:p w:rsidR="00946EE4" w:rsidRPr="00BE6AF9" w:rsidRDefault="00946EE4" w:rsidP="00946EE4">
      <w:pPr>
        <w:adjustRightInd w:val="0"/>
        <w:snapToGrid w:val="0"/>
        <w:spacing w:line="360" w:lineRule="auto"/>
        <w:rPr>
          <w:rFonts w:eastAsiaTheme="minorEastAsia"/>
          <w:b/>
          <w:color w:val="000000" w:themeColor="text1"/>
          <w:kern w:val="0"/>
          <w:sz w:val="24"/>
        </w:rPr>
      </w:pPr>
      <w:r w:rsidRPr="00BE6AF9">
        <w:rPr>
          <w:rFonts w:eastAsiaTheme="minorEastAsia"/>
          <w:b/>
          <w:color w:val="000000" w:themeColor="text1"/>
          <w:kern w:val="0"/>
          <w:sz w:val="24"/>
        </w:rPr>
        <w:t>6.1</w:t>
      </w:r>
      <w:r w:rsidRPr="00BE6AF9">
        <w:rPr>
          <w:rFonts w:eastAsiaTheme="minorEastAsia" w:hint="eastAsia"/>
          <w:b/>
          <w:color w:val="000000" w:themeColor="text1"/>
          <w:kern w:val="0"/>
          <w:sz w:val="24"/>
        </w:rPr>
        <w:t xml:space="preserve"> </w:t>
      </w:r>
      <w:r w:rsidRPr="00BE6AF9">
        <w:rPr>
          <w:rFonts w:eastAsiaTheme="minorEastAsia" w:hint="eastAsia"/>
          <w:b/>
          <w:color w:val="000000" w:themeColor="text1"/>
          <w:kern w:val="0"/>
          <w:sz w:val="24"/>
        </w:rPr>
        <w:t>报告期末按公允价值占基金资产净值比例大小排序的前十名基金投资明细</w:t>
      </w:r>
    </w:p>
    <w:p w:rsidR="00946EE4" w:rsidRPr="00BE6AF9" w:rsidRDefault="00946EE4" w:rsidP="00946EE4">
      <w:pPr>
        <w:autoSpaceDE w:val="0"/>
        <w:autoSpaceDN w:val="0"/>
        <w:adjustRightInd w:val="0"/>
        <w:spacing w:line="360" w:lineRule="auto"/>
        <w:ind w:firstLineChars="200" w:firstLine="480"/>
        <w:jc w:val="left"/>
        <w:rPr>
          <w:rFonts w:eastAsiaTheme="minorEastAsia"/>
          <w:color w:val="000000" w:themeColor="text1"/>
          <w:sz w:val="24"/>
        </w:rPr>
      </w:pPr>
      <w:r w:rsidRPr="00BE6AF9">
        <w:rPr>
          <w:rFonts w:eastAsiaTheme="minorEastAsia"/>
          <w:color w:val="000000" w:themeColor="text1"/>
          <w:sz w:val="24"/>
        </w:rPr>
        <w:t>本基金本报告期末未持有基金。</w:t>
      </w:r>
    </w:p>
    <w:p w:rsidR="00946EE4" w:rsidRPr="00BE6AF9" w:rsidRDefault="00946EE4" w:rsidP="00A21501">
      <w:pPr>
        <w:adjustRightInd w:val="0"/>
        <w:snapToGrid w:val="0"/>
        <w:spacing w:beforeLines="50" w:before="156" w:line="360" w:lineRule="auto"/>
        <w:rPr>
          <w:rFonts w:eastAsiaTheme="minorEastAsia"/>
          <w:b/>
          <w:color w:val="000000" w:themeColor="text1"/>
          <w:kern w:val="0"/>
          <w:sz w:val="24"/>
        </w:rPr>
      </w:pPr>
      <w:r w:rsidRPr="00BE6AF9">
        <w:rPr>
          <w:rFonts w:eastAsiaTheme="minorEastAsia"/>
          <w:b/>
          <w:color w:val="000000" w:themeColor="text1"/>
          <w:kern w:val="0"/>
          <w:sz w:val="24"/>
        </w:rPr>
        <w:t>6.2</w:t>
      </w:r>
      <w:r w:rsidRPr="00BE6AF9">
        <w:rPr>
          <w:rFonts w:eastAsiaTheme="minorEastAsia" w:hint="eastAsia"/>
          <w:b/>
          <w:color w:val="000000" w:themeColor="text1"/>
          <w:kern w:val="0"/>
          <w:sz w:val="24"/>
        </w:rPr>
        <w:t xml:space="preserve"> </w:t>
      </w:r>
      <w:r w:rsidRPr="00BE6AF9">
        <w:rPr>
          <w:rFonts w:eastAsiaTheme="minorEastAsia" w:hint="eastAsia"/>
          <w:b/>
          <w:color w:val="000000" w:themeColor="text1"/>
          <w:kern w:val="0"/>
          <w:sz w:val="24"/>
        </w:rPr>
        <w:t>当期交易及持有基金产生的费用</w:t>
      </w:r>
    </w:p>
    <w:p w:rsidR="00946EE4" w:rsidRPr="00BE6AF9" w:rsidRDefault="00946EE4" w:rsidP="00946EE4">
      <w:pPr>
        <w:autoSpaceDE w:val="0"/>
        <w:autoSpaceDN w:val="0"/>
        <w:adjustRightInd w:val="0"/>
        <w:spacing w:line="360" w:lineRule="auto"/>
        <w:ind w:firstLineChars="200" w:firstLine="480"/>
        <w:jc w:val="left"/>
        <w:rPr>
          <w:rFonts w:eastAsiaTheme="minorEastAsia"/>
          <w:color w:val="000000" w:themeColor="text1"/>
          <w:sz w:val="24"/>
        </w:rPr>
      </w:pPr>
      <w:r w:rsidRPr="00BE6AF9">
        <w:rPr>
          <w:rFonts w:eastAsiaTheme="minorEastAsia"/>
          <w:color w:val="000000" w:themeColor="text1"/>
          <w:sz w:val="24"/>
        </w:rPr>
        <w:t>本基金本报告期内未交易或持有基金。</w:t>
      </w:r>
    </w:p>
    <w:p w:rsidR="00946EE4" w:rsidRPr="00BE6AF9" w:rsidRDefault="00946EE4" w:rsidP="00A21501">
      <w:pPr>
        <w:adjustRightInd w:val="0"/>
        <w:snapToGrid w:val="0"/>
        <w:spacing w:beforeLines="50" w:before="156" w:line="360" w:lineRule="auto"/>
        <w:rPr>
          <w:rFonts w:eastAsiaTheme="minorEastAsia"/>
          <w:b/>
          <w:color w:val="000000" w:themeColor="text1"/>
          <w:kern w:val="0"/>
          <w:sz w:val="24"/>
        </w:rPr>
      </w:pPr>
      <w:r w:rsidRPr="00BE6AF9">
        <w:rPr>
          <w:rFonts w:eastAsiaTheme="minorEastAsia"/>
          <w:b/>
          <w:color w:val="000000" w:themeColor="text1"/>
          <w:kern w:val="0"/>
          <w:sz w:val="24"/>
        </w:rPr>
        <w:t>6.3</w:t>
      </w:r>
      <w:r w:rsidRPr="00BE6AF9">
        <w:rPr>
          <w:rFonts w:eastAsiaTheme="minorEastAsia" w:hint="eastAsia"/>
          <w:b/>
          <w:color w:val="000000" w:themeColor="text1"/>
          <w:kern w:val="0"/>
          <w:sz w:val="24"/>
        </w:rPr>
        <w:t xml:space="preserve"> </w:t>
      </w:r>
      <w:r w:rsidRPr="00BE6AF9">
        <w:rPr>
          <w:rFonts w:eastAsiaTheme="minorEastAsia" w:hint="eastAsia"/>
          <w:b/>
          <w:color w:val="000000" w:themeColor="text1"/>
          <w:kern w:val="0"/>
          <w:sz w:val="24"/>
        </w:rPr>
        <w:t>本报告期持有的基金发生的重大影响事件</w:t>
      </w:r>
    </w:p>
    <w:p w:rsidR="008B4DBE" w:rsidRPr="00BE6AF9" w:rsidRDefault="008B4DBE" w:rsidP="008B4DBE">
      <w:pPr>
        <w:autoSpaceDE w:val="0"/>
        <w:autoSpaceDN w:val="0"/>
        <w:adjustRightInd w:val="0"/>
        <w:spacing w:line="360" w:lineRule="auto"/>
        <w:ind w:firstLineChars="200" w:firstLine="480"/>
        <w:jc w:val="left"/>
        <w:rPr>
          <w:rFonts w:eastAsiaTheme="minorEastAsia"/>
          <w:color w:val="000000" w:themeColor="text1"/>
          <w:sz w:val="24"/>
        </w:rPr>
      </w:pPr>
      <w:r w:rsidRPr="00BE6AF9">
        <w:rPr>
          <w:rFonts w:eastAsiaTheme="minorEastAsia" w:hint="eastAsia"/>
          <w:color w:val="000000" w:themeColor="text1"/>
          <w:sz w:val="24"/>
        </w:rPr>
        <w:t>无</w:t>
      </w:r>
      <w:r w:rsidRPr="00BE6AF9">
        <w:rPr>
          <w:rFonts w:eastAsiaTheme="minorEastAsia"/>
          <w:color w:val="000000" w:themeColor="text1"/>
          <w:sz w:val="24"/>
        </w:rPr>
        <w:t>。</w:t>
      </w:r>
    </w:p>
    <w:bookmarkEnd w:id="0"/>
    <w:p w:rsidR="00220542" w:rsidRPr="005E324A" w:rsidRDefault="00A52ACA" w:rsidP="008B4DBE">
      <w:pPr>
        <w:pStyle w:val="1"/>
        <w:spacing w:beforeLines="100" w:before="312" w:afterLines="100" w:after="312" w:line="360" w:lineRule="auto"/>
        <w:ind w:firstLine="15"/>
        <w:jc w:val="center"/>
        <w:rPr>
          <w:rFonts w:eastAsiaTheme="minorEastAsia"/>
          <w:color w:val="000000"/>
          <w:kern w:val="0"/>
          <w:sz w:val="24"/>
          <w:szCs w:val="24"/>
        </w:rPr>
      </w:pPr>
      <w:r w:rsidRPr="00C51B4E">
        <w:rPr>
          <w:rFonts w:eastAsiaTheme="minorEastAsia"/>
          <w:color w:val="000000" w:themeColor="text1"/>
          <w:kern w:val="0"/>
          <w:sz w:val="21"/>
          <w:szCs w:val="21"/>
        </w:rPr>
        <w:t>§7</w:t>
      </w:r>
      <w:r>
        <w:rPr>
          <w:rFonts w:eastAsiaTheme="minorEastAsia" w:hint="eastAsia"/>
          <w:color w:val="000000"/>
          <w:kern w:val="0"/>
          <w:sz w:val="24"/>
          <w:szCs w:val="24"/>
        </w:rPr>
        <w:t xml:space="preserve"> </w:t>
      </w:r>
      <w:r w:rsidR="00740E8D">
        <w:rPr>
          <w:rFonts w:eastAsiaTheme="minorEastAsia"/>
          <w:color w:val="000000"/>
          <w:kern w:val="0"/>
          <w:sz w:val="24"/>
          <w:szCs w:val="24"/>
        </w:rPr>
        <w:t xml:space="preserve"> </w:t>
      </w:r>
      <w:r w:rsidR="00220542"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E</w:t>
            </w:r>
            <w:r w:rsidRPr="005E324A">
              <w:rPr>
                <w:rFonts w:eastAsiaTheme="minorEastAsia"/>
                <w:sz w:val="24"/>
              </w:rPr>
              <w:t>金融</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115,439,622.54</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2,060,406.00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2,060,406.00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1,678,623.90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8,111,699.32</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lastRenderedPageBreak/>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60,900.00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-30,450.00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-30,450.00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109,067,447.12</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2,029,956.00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2,029,956.00</w:t>
            </w:r>
          </w:p>
        </w:tc>
      </w:tr>
    </w:tbl>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注：拆分变动份额为本基金三级份额之间的配对转换份额及基金折算后调整份额。</w:t>
      </w:r>
    </w:p>
    <w:p w:rsidR="003D4E5A" w:rsidRPr="005E324A" w:rsidRDefault="003D4E5A" w:rsidP="00A21501">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§8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8.1 </w:t>
      </w:r>
      <w:r w:rsidRPr="005E324A">
        <w:rPr>
          <w:b/>
          <w:sz w:val="24"/>
        </w:rPr>
        <w:t>基金管理人持有本基金份额变动情况</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本报告期内未发生基金管理人运用固有资金投资本基金的情况。</w:t>
      </w:r>
    </w:p>
    <w:p w:rsidR="003D4E5A" w:rsidRPr="005E324A" w:rsidRDefault="003D4E5A" w:rsidP="003D4E5A">
      <w:pPr>
        <w:spacing w:line="360" w:lineRule="auto"/>
        <w:jc w:val="left"/>
        <w:rPr>
          <w:sz w:val="24"/>
        </w:rPr>
      </w:pPr>
      <w:r w:rsidRPr="005E324A">
        <w:rPr>
          <w:b/>
          <w:sz w:val="24"/>
        </w:rPr>
        <w:t xml:space="preserve">8.2 </w:t>
      </w:r>
      <w:r w:rsidRPr="005E324A">
        <w:rPr>
          <w:b/>
          <w:sz w:val="24"/>
        </w:rPr>
        <w:t>基金管理人运用固有资金投资本基金交易明细</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本基金管理人本报告期内未进行本基金的申购、赎回、红利再投等。</w:t>
      </w:r>
    </w:p>
    <w:p w:rsidR="00220542" w:rsidRPr="005E324A" w:rsidRDefault="00220542" w:rsidP="00A21501">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9</w:t>
      </w:r>
      <w:r w:rsidR="00740E8D">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9</w:t>
      </w:r>
      <w:r w:rsidR="004A3F71" w:rsidRPr="005E324A">
        <w:rPr>
          <w:rFonts w:eastAsiaTheme="minorEastAsia"/>
          <w:b/>
          <w:color w:val="000000"/>
          <w:sz w:val="24"/>
        </w:rPr>
        <w:t>.1</w:t>
      </w:r>
      <w:r w:rsidR="00220542" w:rsidRPr="005E324A">
        <w:rPr>
          <w:rFonts w:eastAsiaTheme="minorEastAsia"/>
          <w:b/>
          <w:color w:val="000000"/>
          <w:sz w:val="24"/>
        </w:rPr>
        <w:t>备查文件目录</w:t>
      </w:r>
    </w:p>
    <w:p w:rsidR="00F727C3" w:rsidRDefault="0071645A">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、中国证监会准予交银施罗德中证互联网金融指数分级证券投资基金募集注册的文件；</w:t>
      </w:r>
      <w:r>
        <w:rPr>
          <w:rFonts w:eastAsiaTheme="minorEastAsia"/>
          <w:color w:val="000000"/>
          <w:sz w:val="24"/>
        </w:rPr>
        <w:t xml:space="preserve"> </w:t>
      </w:r>
    </w:p>
    <w:p w:rsidR="00F727C3" w:rsidRDefault="0071645A">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、《交银施罗德中证互联网金融指数分级证券投资基金基金合同》；</w:t>
      </w:r>
    </w:p>
    <w:p w:rsidR="00F727C3" w:rsidRDefault="0071645A">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、《交银施罗德中证互联网金融指数分级证券投资基金招募说明书》；</w:t>
      </w:r>
      <w:r>
        <w:rPr>
          <w:rFonts w:eastAsiaTheme="minorEastAsia"/>
          <w:color w:val="000000"/>
          <w:sz w:val="24"/>
        </w:rPr>
        <w:t xml:space="preserve"> </w:t>
      </w:r>
    </w:p>
    <w:p w:rsidR="00F727C3" w:rsidRDefault="0071645A">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、《交银施罗德中证互联网金融指数分级证券投资基金托管协议》；</w:t>
      </w:r>
      <w:r>
        <w:rPr>
          <w:rFonts w:eastAsiaTheme="minorEastAsia"/>
          <w:color w:val="000000"/>
          <w:sz w:val="24"/>
        </w:rPr>
        <w:t xml:space="preserve"> </w:t>
      </w:r>
    </w:p>
    <w:p w:rsidR="00F727C3" w:rsidRDefault="0071645A">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F727C3" w:rsidRDefault="0071645A">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F727C3" w:rsidRDefault="0071645A">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、关于申请募集注册交银施罗德中证互联网金融指数分级证券投资基金的法律意见书；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、报告期内交银施罗德中证互联网金融指数分级证券投资基金在指定报刊上各项公告的原稿。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9.2</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lastRenderedPageBreak/>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9.3</w:t>
      </w:r>
      <w:r w:rsidR="00220542" w:rsidRPr="005E324A">
        <w:rPr>
          <w:rFonts w:eastAsiaTheme="minorEastAsia"/>
          <w:b/>
          <w:color w:val="000000"/>
          <w:sz w:val="24"/>
        </w:rPr>
        <w:t>查阅方式</w:t>
      </w:r>
    </w:p>
    <w:p w:rsidR="00F727C3" w:rsidRDefault="0071645A">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p>
    <w:sectPr w:rsidR="009B1B32" w:rsidRPr="00066BC3" w:rsidSect="00DB4450">
      <w:footerReference w:type="even" r:id="rId14"/>
      <w:footerReference w:type="defaul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7C8" w:rsidRDefault="007B77C8">
      <w:r>
        <w:separator/>
      </w:r>
    </w:p>
  </w:endnote>
  <w:endnote w:type="continuationSeparator" w:id="0">
    <w:p w:rsidR="007B77C8" w:rsidRDefault="007B7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2B4820">
      <w:rPr>
        <w:kern w:val="0"/>
        <w:szCs w:val="21"/>
      </w:rPr>
      <w:fldChar w:fldCharType="begin"/>
    </w:r>
    <w:r>
      <w:rPr>
        <w:kern w:val="0"/>
        <w:szCs w:val="21"/>
      </w:rPr>
      <w:instrText xml:space="preserve"> PAGE </w:instrText>
    </w:r>
    <w:r w:rsidR="002B4820">
      <w:rPr>
        <w:kern w:val="0"/>
        <w:szCs w:val="21"/>
      </w:rPr>
      <w:fldChar w:fldCharType="separate"/>
    </w:r>
    <w:r w:rsidR="00527866">
      <w:rPr>
        <w:noProof/>
        <w:kern w:val="0"/>
        <w:szCs w:val="21"/>
      </w:rPr>
      <w:t>1</w:t>
    </w:r>
    <w:r w:rsidR="002B4820">
      <w:rPr>
        <w:kern w:val="0"/>
        <w:szCs w:val="21"/>
      </w:rPr>
      <w:fldChar w:fldCharType="end"/>
    </w:r>
    <w:proofErr w:type="gramStart"/>
    <w:r>
      <w:rPr>
        <w:rFonts w:hint="eastAsia"/>
        <w:kern w:val="0"/>
        <w:szCs w:val="21"/>
      </w:rPr>
      <w:t>页共</w:t>
    </w:r>
    <w:proofErr w:type="gramEnd"/>
    <w:r w:rsidR="002B4820">
      <w:rPr>
        <w:kern w:val="0"/>
        <w:szCs w:val="21"/>
      </w:rPr>
      <w:fldChar w:fldCharType="begin"/>
    </w:r>
    <w:r>
      <w:rPr>
        <w:kern w:val="0"/>
        <w:szCs w:val="21"/>
      </w:rPr>
      <w:instrText xml:space="preserve"> NUMPAGES </w:instrText>
    </w:r>
    <w:r w:rsidR="002B4820">
      <w:rPr>
        <w:kern w:val="0"/>
        <w:szCs w:val="21"/>
      </w:rPr>
      <w:fldChar w:fldCharType="separate"/>
    </w:r>
    <w:r w:rsidR="00527866">
      <w:rPr>
        <w:noProof/>
        <w:kern w:val="0"/>
        <w:szCs w:val="21"/>
      </w:rPr>
      <w:t>31</w:t>
    </w:r>
    <w:r w:rsidR="002B4820">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2B4820">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2B4820">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BE6AF9">
      <w:rPr>
        <w:rStyle w:val="a7"/>
        <w:noProof/>
      </w:rPr>
      <w:t>14</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7C8" w:rsidRDefault="007B77C8">
      <w:r>
        <w:separator/>
      </w:r>
    </w:p>
  </w:footnote>
  <w:footnote w:type="continuationSeparator" w:id="0">
    <w:p w:rsidR="007B77C8" w:rsidRDefault="007B7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527866" w:rsidRDefault="00527866" w:rsidP="00527866">
    <w:pPr>
      <w:pStyle w:val="a9"/>
      <w:pBdr>
        <w:bottom w:val="single" w:sz="6" w:space="0" w:color="auto"/>
      </w:pBdr>
      <w:ind w:firstLine="480"/>
      <w:jc w:val="right"/>
      <w:rPr>
        <w:sz w:val="24"/>
        <w:szCs w:val="24"/>
      </w:rPr>
    </w:pPr>
    <w:r w:rsidRPr="003E676C">
      <w:rPr>
        <w:sz w:val="24"/>
        <w:szCs w:val="24"/>
      </w:rPr>
      <w:t>交银施罗德中证互联网金融指数分级证券投资基金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PostScriptOverText/>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4E9F"/>
    <w:rsid w:val="000800ED"/>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0678"/>
    <w:rsid w:val="000F175F"/>
    <w:rsid w:val="000F17D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28F7"/>
    <w:rsid w:val="001931BD"/>
    <w:rsid w:val="00194537"/>
    <w:rsid w:val="0019563C"/>
    <w:rsid w:val="00197F50"/>
    <w:rsid w:val="001A21A9"/>
    <w:rsid w:val="001A363B"/>
    <w:rsid w:val="001A59D8"/>
    <w:rsid w:val="001A5FA6"/>
    <w:rsid w:val="001B1EC4"/>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F86"/>
    <w:rsid w:val="002752B0"/>
    <w:rsid w:val="002774F0"/>
    <w:rsid w:val="0028459B"/>
    <w:rsid w:val="00284C5F"/>
    <w:rsid w:val="002873F0"/>
    <w:rsid w:val="00292198"/>
    <w:rsid w:val="00295CC6"/>
    <w:rsid w:val="002964F9"/>
    <w:rsid w:val="002A1F14"/>
    <w:rsid w:val="002A2678"/>
    <w:rsid w:val="002A2E01"/>
    <w:rsid w:val="002A398F"/>
    <w:rsid w:val="002A44F9"/>
    <w:rsid w:val="002A5C6B"/>
    <w:rsid w:val="002A5D31"/>
    <w:rsid w:val="002A714F"/>
    <w:rsid w:val="002B1851"/>
    <w:rsid w:val="002B27FF"/>
    <w:rsid w:val="002B4429"/>
    <w:rsid w:val="002B4820"/>
    <w:rsid w:val="002B6793"/>
    <w:rsid w:val="002C1726"/>
    <w:rsid w:val="002C1DF3"/>
    <w:rsid w:val="002C21A6"/>
    <w:rsid w:val="002C26D5"/>
    <w:rsid w:val="002C5777"/>
    <w:rsid w:val="002D1791"/>
    <w:rsid w:val="002D32E3"/>
    <w:rsid w:val="002E0FEB"/>
    <w:rsid w:val="002E1EBA"/>
    <w:rsid w:val="002E45F3"/>
    <w:rsid w:val="002E7966"/>
    <w:rsid w:val="002F0F79"/>
    <w:rsid w:val="002F280E"/>
    <w:rsid w:val="002F3709"/>
    <w:rsid w:val="002F3A6C"/>
    <w:rsid w:val="002F4296"/>
    <w:rsid w:val="00300951"/>
    <w:rsid w:val="003023C9"/>
    <w:rsid w:val="00302CA8"/>
    <w:rsid w:val="00302DE9"/>
    <w:rsid w:val="003041B1"/>
    <w:rsid w:val="00305084"/>
    <w:rsid w:val="00307735"/>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7520"/>
    <w:rsid w:val="00380D36"/>
    <w:rsid w:val="003822D3"/>
    <w:rsid w:val="0038308F"/>
    <w:rsid w:val="0038409E"/>
    <w:rsid w:val="00386630"/>
    <w:rsid w:val="00390522"/>
    <w:rsid w:val="00390B25"/>
    <w:rsid w:val="00390C86"/>
    <w:rsid w:val="00397156"/>
    <w:rsid w:val="00397960"/>
    <w:rsid w:val="003A0A5A"/>
    <w:rsid w:val="003A12DE"/>
    <w:rsid w:val="003A3BC4"/>
    <w:rsid w:val="003A458A"/>
    <w:rsid w:val="003A4DA3"/>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3249"/>
    <w:rsid w:val="004D3D96"/>
    <w:rsid w:val="004D650F"/>
    <w:rsid w:val="004E2133"/>
    <w:rsid w:val="004E32E2"/>
    <w:rsid w:val="004E5AB9"/>
    <w:rsid w:val="004E60FB"/>
    <w:rsid w:val="004F779C"/>
    <w:rsid w:val="004F7846"/>
    <w:rsid w:val="005000D4"/>
    <w:rsid w:val="005015FA"/>
    <w:rsid w:val="00505411"/>
    <w:rsid w:val="00510CAF"/>
    <w:rsid w:val="005128C5"/>
    <w:rsid w:val="00514754"/>
    <w:rsid w:val="0051478B"/>
    <w:rsid w:val="0051566A"/>
    <w:rsid w:val="00515D7B"/>
    <w:rsid w:val="005166E9"/>
    <w:rsid w:val="0052009E"/>
    <w:rsid w:val="00523C1F"/>
    <w:rsid w:val="00525E59"/>
    <w:rsid w:val="00527866"/>
    <w:rsid w:val="00530D61"/>
    <w:rsid w:val="005318CC"/>
    <w:rsid w:val="00531D1B"/>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2C0D"/>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2D75"/>
    <w:rsid w:val="005A3295"/>
    <w:rsid w:val="005A46FF"/>
    <w:rsid w:val="005A5AE2"/>
    <w:rsid w:val="005B011E"/>
    <w:rsid w:val="005B03C0"/>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72C6"/>
    <w:rsid w:val="006B02DA"/>
    <w:rsid w:val="006B10DA"/>
    <w:rsid w:val="006B2065"/>
    <w:rsid w:val="006B3940"/>
    <w:rsid w:val="006B5B3E"/>
    <w:rsid w:val="006B7BC0"/>
    <w:rsid w:val="006C168D"/>
    <w:rsid w:val="006C642C"/>
    <w:rsid w:val="006C6FC6"/>
    <w:rsid w:val="006D0E4F"/>
    <w:rsid w:val="006D676F"/>
    <w:rsid w:val="006D7693"/>
    <w:rsid w:val="006E063E"/>
    <w:rsid w:val="006E231B"/>
    <w:rsid w:val="006E346E"/>
    <w:rsid w:val="006E34B7"/>
    <w:rsid w:val="006F103E"/>
    <w:rsid w:val="006F20EC"/>
    <w:rsid w:val="006F4CD8"/>
    <w:rsid w:val="006F53D9"/>
    <w:rsid w:val="007004DC"/>
    <w:rsid w:val="007027B6"/>
    <w:rsid w:val="00703E8A"/>
    <w:rsid w:val="00707FB8"/>
    <w:rsid w:val="0071006D"/>
    <w:rsid w:val="00711522"/>
    <w:rsid w:val="007124FE"/>
    <w:rsid w:val="00713186"/>
    <w:rsid w:val="00713757"/>
    <w:rsid w:val="0071645A"/>
    <w:rsid w:val="00716F79"/>
    <w:rsid w:val="00717772"/>
    <w:rsid w:val="00721AF1"/>
    <w:rsid w:val="0072280F"/>
    <w:rsid w:val="00722B5E"/>
    <w:rsid w:val="00723EC0"/>
    <w:rsid w:val="0072708F"/>
    <w:rsid w:val="00727C6C"/>
    <w:rsid w:val="0073150B"/>
    <w:rsid w:val="00732D1D"/>
    <w:rsid w:val="00736034"/>
    <w:rsid w:val="0073681C"/>
    <w:rsid w:val="00740619"/>
    <w:rsid w:val="00740E8D"/>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674F7"/>
    <w:rsid w:val="0077111A"/>
    <w:rsid w:val="00772272"/>
    <w:rsid w:val="00772319"/>
    <w:rsid w:val="00774535"/>
    <w:rsid w:val="007756ED"/>
    <w:rsid w:val="00775D23"/>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B77C8"/>
    <w:rsid w:val="007C6049"/>
    <w:rsid w:val="007C7E22"/>
    <w:rsid w:val="007D1C16"/>
    <w:rsid w:val="007D28C9"/>
    <w:rsid w:val="007D3CC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4DBE"/>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E7E2C"/>
    <w:rsid w:val="008F2477"/>
    <w:rsid w:val="00900BC9"/>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46EE4"/>
    <w:rsid w:val="009500A1"/>
    <w:rsid w:val="0095037E"/>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11A"/>
    <w:rsid w:val="009E6401"/>
    <w:rsid w:val="009E6C54"/>
    <w:rsid w:val="009F2261"/>
    <w:rsid w:val="009F2A25"/>
    <w:rsid w:val="009F3EB4"/>
    <w:rsid w:val="009F5235"/>
    <w:rsid w:val="009F531A"/>
    <w:rsid w:val="009F6550"/>
    <w:rsid w:val="009F7655"/>
    <w:rsid w:val="009F786E"/>
    <w:rsid w:val="00A008DA"/>
    <w:rsid w:val="00A00902"/>
    <w:rsid w:val="00A039FF"/>
    <w:rsid w:val="00A05ACE"/>
    <w:rsid w:val="00A078CB"/>
    <w:rsid w:val="00A14AE3"/>
    <w:rsid w:val="00A16675"/>
    <w:rsid w:val="00A21501"/>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ACA"/>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D30C8"/>
    <w:rsid w:val="00BD3EB4"/>
    <w:rsid w:val="00BD40FB"/>
    <w:rsid w:val="00BD5C65"/>
    <w:rsid w:val="00BD61C7"/>
    <w:rsid w:val="00BD71EE"/>
    <w:rsid w:val="00BE6018"/>
    <w:rsid w:val="00BE6AF9"/>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4971"/>
    <w:rsid w:val="00C272C4"/>
    <w:rsid w:val="00C31C12"/>
    <w:rsid w:val="00C32AF2"/>
    <w:rsid w:val="00C331A9"/>
    <w:rsid w:val="00C33204"/>
    <w:rsid w:val="00C338EB"/>
    <w:rsid w:val="00C3465D"/>
    <w:rsid w:val="00C35643"/>
    <w:rsid w:val="00C379E9"/>
    <w:rsid w:val="00C4274D"/>
    <w:rsid w:val="00C439FB"/>
    <w:rsid w:val="00C43F23"/>
    <w:rsid w:val="00C45069"/>
    <w:rsid w:val="00C50011"/>
    <w:rsid w:val="00C5267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F5F"/>
    <w:rsid w:val="00CA5927"/>
    <w:rsid w:val="00CA79EC"/>
    <w:rsid w:val="00CB39C2"/>
    <w:rsid w:val="00CB4664"/>
    <w:rsid w:val="00CB4C8C"/>
    <w:rsid w:val="00CB6782"/>
    <w:rsid w:val="00CC080A"/>
    <w:rsid w:val="00CC0994"/>
    <w:rsid w:val="00CD04B1"/>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1F44"/>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2B7"/>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0A02"/>
    <w:rsid w:val="00ED48AC"/>
    <w:rsid w:val="00EE01D9"/>
    <w:rsid w:val="00EE224C"/>
    <w:rsid w:val="00EE26F3"/>
    <w:rsid w:val="00EE4874"/>
    <w:rsid w:val="00EE53E7"/>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27C3"/>
    <w:rsid w:val="00F736D2"/>
    <w:rsid w:val="00F7564C"/>
    <w:rsid w:val="00F76220"/>
    <w:rsid w:val="00F769BE"/>
    <w:rsid w:val="00F81C33"/>
    <w:rsid w:val="00F821AB"/>
    <w:rsid w:val="00F82A1D"/>
    <w:rsid w:val="00F82E6B"/>
    <w:rsid w:val="00F91F6D"/>
    <w:rsid w:val="00F966DC"/>
    <w:rsid w:val="00F97B71"/>
    <w:rsid w:val="00FA2DDA"/>
    <w:rsid w:val="00FA34CA"/>
    <w:rsid w:val="00FA4A55"/>
    <w:rsid w:val="00FA4D4F"/>
    <w:rsid w:val="00FA54E8"/>
    <w:rsid w:val="00FA7193"/>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5F64"/>
    <w:rsid w:val="00FD6AC8"/>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E87F18D1-F047-4132-BCC9-0FE173B4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uiPriority w:val="99"/>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 w:type="paragraph" w:styleId="af9">
    <w:name w:val="Revision"/>
    <w:hidden/>
    <w:uiPriority w:val="99"/>
    <w:semiHidden/>
    <w:rsid w:val="008B4D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7524708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15</Pages>
  <Words>1098</Words>
  <Characters>6263</Characters>
  <Application>Microsoft Office Word</Application>
  <DocSecurity>0</DocSecurity>
  <Lines>52</Lines>
  <Paragraphs>14</Paragraphs>
  <ScaleCrop>false</ScaleCrop>
  <Company>TRT. Ltd. Co.</Company>
  <LinksUpToDate>false</LinksUpToDate>
  <CharactersWithSpaces>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178</cp:revision>
  <cp:lastPrinted>2007-07-19T00:46:00Z</cp:lastPrinted>
  <dcterms:created xsi:type="dcterms:W3CDTF">2012-11-28T02:28:00Z</dcterms:created>
  <dcterms:modified xsi:type="dcterms:W3CDTF">2018-07-16T08:11:00Z</dcterms:modified>
</cp:coreProperties>
</file>