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交银施罗德新成长混合型证券投资基金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二〇一八年七月十八日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12EC2" w:rsidRDefault="00CA250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交银新成长混合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519736</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519737</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2014</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9</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1,480,931,366.25</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深入挖掘经济转型背景下的投资机会，自下而上精选个股，力争实现基金资产的长期稳定增值。</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富时中国</w:t>
            </w:r>
            <w:r w:rsidRPr="00414345">
              <w:rPr>
                <w:color w:val="000000"/>
                <w:kern w:val="0"/>
                <w:sz w:val="24"/>
                <w:szCs w:val="24"/>
              </w:rPr>
              <w:t>A600</w:t>
            </w:r>
            <w:r w:rsidRPr="00414345">
              <w:rPr>
                <w:color w:val="000000"/>
                <w:kern w:val="0"/>
                <w:sz w:val="24"/>
                <w:szCs w:val="24"/>
              </w:rPr>
              <w:t>成长指数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w:t>
            </w:r>
            <w:r w:rsidRPr="00414345">
              <w:rPr>
                <w:color w:val="000000"/>
                <w:kern w:val="0"/>
                <w:sz w:val="24"/>
                <w:szCs w:val="24"/>
              </w:rPr>
              <w:lastRenderedPageBreak/>
              <w:t>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810003" w:rsidRPr="00414345" w:rsidTr="00810003">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810003" w:rsidRPr="00414345" w:rsidTr="0081000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16,493,117.74</w:t>
            </w:r>
          </w:p>
        </w:tc>
      </w:tr>
      <w:tr w:rsidR="00810003" w:rsidRPr="00414345" w:rsidTr="0081000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-185,310,020.79</w:t>
            </w:r>
          </w:p>
        </w:tc>
      </w:tr>
      <w:tr w:rsidR="00810003" w:rsidRPr="00414345" w:rsidTr="0081000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-0.1391</w:t>
            </w:r>
          </w:p>
        </w:tc>
      </w:tr>
      <w:tr w:rsidR="00810003" w:rsidRPr="00414345" w:rsidTr="0081000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2,904,102,225.69</w:t>
            </w:r>
          </w:p>
        </w:tc>
      </w:tr>
      <w:tr w:rsidR="00810003" w:rsidRPr="00414345" w:rsidTr="00810003">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1.961</w:t>
            </w:r>
          </w:p>
        </w:tc>
      </w:tr>
    </w:tbl>
    <w:p w:rsidR="00512EC2" w:rsidRDefault="00CA250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12EC2">
        <w:trPr>
          <w:jc w:val="center"/>
        </w:trPr>
        <w:tc>
          <w:tcPr>
            <w:tcW w:w="1701" w:type="dxa"/>
            <w:vAlign w:val="center"/>
          </w:tcPr>
          <w:p w:rsidR="00512EC2" w:rsidRDefault="00CA2507">
            <w:pPr>
              <w:jc w:val="left"/>
            </w:pPr>
            <w:r>
              <w:rPr>
                <w:color w:val="000000"/>
                <w:sz w:val="24"/>
                <w:szCs w:val="24"/>
              </w:rPr>
              <w:t>过去三个月</w:t>
            </w:r>
          </w:p>
        </w:tc>
        <w:tc>
          <w:tcPr>
            <w:tcW w:w="1045" w:type="dxa"/>
            <w:vAlign w:val="center"/>
          </w:tcPr>
          <w:p w:rsidR="00512EC2" w:rsidRDefault="00CA2507">
            <w:pPr>
              <w:jc w:val="center"/>
            </w:pPr>
            <w:r>
              <w:rPr>
                <w:color w:val="000000"/>
                <w:sz w:val="24"/>
                <w:szCs w:val="24"/>
              </w:rPr>
              <w:t>-6.26%</w:t>
            </w:r>
          </w:p>
        </w:tc>
        <w:tc>
          <w:tcPr>
            <w:tcW w:w="1344" w:type="dxa"/>
            <w:vAlign w:val="center"/>
          </w:tcPr>
          <w:p w:rsidR="00512EC2" w:rsidRDefault="00CA2507">
            <w:pPr>
              <w:jc w:val="center"/>
            </w:pPr>
            <w:r>
              <w:rPr>
                <w:color w:val="000000"/>
                <w:sz w:val="24"/>
                <w:szCs w:val="24"/>
              </w:rPr>
              <w:t>1.46%</w:t>
            </w:r>
          </w:p>
        </w:tc>
        <w:tc>
          <w:tcPr>
            <w:tcW w:w="1194" w:type="dxa"/>
            <w:vAlign w:val="center"/>
          </w:tcPr>
          <w:p w:rsidR="00512EC2" w:rsidRDefault="00CA2507">
            <w:pPr>
              <w:jc w:val="center"/>
            </w:pPr>
            <w:r>
              <w:rPr>
                <w:color w:val="000000"/>
                <w:sz w:val="24"/>
                <w:szCs w:val="24"/>
              </w:rPr>
              <w:t>-6.61%</w:t>
            </w:r>
          </w:p>
        </w:tc>
        <w:tc>
          <w:tcPr>
            <w:tcW w:w="1492" w:type="dxa"/>
            <w:vAlign w:val="center"/>
          </w:tcPr>
          <w:p w:rsidR="00512EC2" w:rsidRDefault="00CA2507">
            <w:pPr>
              <w:jc w:val="center"/>
            </w:pPr>
            <w:r>
              <w:rPr>
                <w:color w:val="000000"/>
                <w:sz w:val="24"/>
                <w:szCs w:val="24"/>
              </w:rPr>
              <w:t>0.99%</w:t>
            </w:r>
          </w:p>
        </w:tc>
        <w:tc>
          <w:tcPr>
            <w:tcW w:w="1194" w:type="dxa"/>
            <w:vAlign w:val="center"/>
          </w:tcPr>
          <w:p w:rsidR="00512EC2" w:rsidRDefault="00CA2507">
            <w:pPr>
              <w:jc w:val="center"/>
            </w:pPr>
            <w:r>
              <w:rPr>
                <w:color w:val="000000"/>
                <w:sz w:val="24"/>
                <w:szCs w:val="24"/>
              </w:rPr>
              <w:t>0.35%</w:t>
            </w:r>
          </w:p>
        </w:tc>
        <w:tc>
          <w:tcPr>
            <w:tcW w:w="898" w:type="dxa"/>
            <w:vAlign w:val="center"/>
          </w:tcPr>
          <w:p w:rsidR="00512EC2" w:rsidRDefault="00CA2507">
            <w:pPr>
              <w:jc w:val="center"/>
            </w:pPr>
            <w:r>
              <w:rPr>
                <w:color w:val="000000"/>
                <w:sz w:val="24"/>
                <w:szCs w:val="24"/>
              </w:rPr>
              <w:t>0.47%</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lastRenderedPageBreak/>
        <w:t>交银施罗德新成长混合型证券投资基金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2014</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147D5A" w:rsidRDefault="00693843" w:rsidP="00C15CAC">
      <w:pPr>
        <w:tabs>
          <w:tab w:val="left" w:pos="1800"/>
        </w:tabs>
        <w:spacing w:before="29" w:line="288" w:lineRule="auto"/>
        <w:rPr>
          <w:rFonts w:hint="eastAsia"/>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12EC2">
        <w:trPr>
          <w:jc w:val="center"/>
        </w:trPr>
        <w:tc>
          <w:tcPr>
            <w:tcW w:w="846" w:type="dxa"/>
            <w:vAlign w:val="center"/>
          </w:tcPr>
          <w:p w:rsidR="00512EC2" w:rsidRDefault="00CA2507">
            <w:pPr>
              <w:jc w:val="center"/>
            </w:pPr>
            <w:r>
              <w:rPr>
                <w:color w:val="000000"/>
                <w:sz w:val="24"/>
                <w:szCs w:val="24"/>
              </w:rPr>
              <w:t>王崇</w:t>
            </w:r>
          </w:p>
        </w:tc>
        <w:tc>
          <w:tcPr>
            <w:tcW w:w="845" w:type="dxa"/>
            <w:vAlign w:val="center"/>
          </w:tcPr>
          <w:p w:rsidR="00512EC2" w:rsidRDefault="00CA2507">
            <w:pPr>
              <w:jc w:val="center"/>
            </w:pPr>
            <w:r>
              <w:rPr>
                <w:color w:val="000000"/>
                <w:sz w:val="24"/>
                <w:szCs w:val="24"/>
              </w:rPr>
              <w:t>交银精选混合、交银新成长混合的基金经理</w:t>
            </w:r>
          </w:p>
        </w:tc>
        <w:tc>
          <w:tcPr>
            <w:tcW w:w="1549" w:type="dxa"/>
            <w:vAlign w:val="center"/>
          </w:tcPr>
          <w:p w:rsidR="00512EC2" w:rsidRDefault="00CA2507">
            <w:pPr>
              <w:jc w:val="center"/>
            </w:pPr>
            <w:r>
              <w:rPr>
                <w:color w:val="000000"/>
                <w:sz w:val="24"/>
                <w:szCs w:val="24"/>
              </w:rPr>
              <w:t>2014-10-22</w:t>
            </w:r>
          </w:p>
        </w:tc>
        <w:tc>
          <w:tcPr>
            <w:tcW w:w="1548" w:type="dxa"/>
            <w:vAlign w:val="center"/>
          </w:tcPr>
          <w:p w:rsidR="00512EC2" w:rsidRDefault="00CA2507">
            <w:pPr>
              <w:jc w:val="center"/>
            </w:pPr>
            <w:r>
              <w:rPr>
                <w:color w:val="000000"/>
                <w:sz w:val="24"/>
                <w:szCs w:val="24"/>
              </w:rPr>
              <w:t>-</w:t>
            </w:r>
          </w:p>
        </w:tc>
        <w:tc>
          <w:tcPr>
            <w:tcW w:w="1407" w:type="dxa"/>
            <w:vAlign w:val="center"/>
          </w:tcPr>
          <w:p w:rsidR="00512EC2" w:rsidRDefault="00CA2507">
            <w:pPr>
              <w:jc w:val="center"/>
            </w:pPr>
            <w:r>
              <w:rPr>
                <w:color w:val="000000"/>
                <w:sz w:val="24"/>
                <w:szCs w:val="24"/>
              </w:rPr>
              <w:t>10</w:t>
            </w:r>
            <w:r>
              <w:rPr>
                <w:color w:val="000000"/>
                <w:sz w:val="24"/>
                <w:szCs w:val="24"/>
              </w:rPr>
              <w:t>年</w:t>
            </w:r>
          </w:p>
        </w:tc>
        <w:tc>
          <w:tcPr>
            <w:tcW w:w="2673" w:type="dxa"/>
            <w:vAlign w:val="center"/>
          </w:tcPr>
          <w:p w:rsidR="00512EC2" w:rsidRDefault="00CA2507">
            <w:r>
              <w:rPr>
                <w:color w:val="000000"/>
                <w:sz w:val="24"/>
                <w:szCs w:val="24"/>
              </w:rPr>
              <w:t>王崇先生，北京大学金融学博士。</w:t>
            </w:r>
            <w:r>
              <w:rPr>
                <w:color w:val="000000"/>
                <w:sz w:val="24"/>
                <w:szCs w:val="24"/>
              </w:rPr>
              <w:t>2008</w:t>
            </w:r>
            <w:r>
              <w:rPr>
                <w:color w:val="000000"/>
                <w:sz w:val="24"/>
                <w:szCs w:val="24"/>
              </w:rPr>
              <w:t>年加入交银施罗德基金管理有限公司，历任行业分析师、高级研究员。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12EC2" w:rsidRDefault="00CA250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12EC2" w:rsidRDefault="00CA250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12EC2" w:rsidRDefault="00CA250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147D5A" w:rsidRPr="00414345" w:rsidRDefault="00147D5A" w:rsidP="00C15CAC">
      <w:pPr>
        <w:spacing w:before="29" w:line="288" w:lineRule="auto"/>
        <w:ind w:firstLineChars="200" w:firstLine="480"/>
        <w:rPr>
          <w:rFonts w:hint="eastAsia"/>
          <w:color w:val="000000"/>
          <w:sz w:val="24"/>
          <w:szCs w:val="24"/>
        </w:rPr>
      </w:pP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12EC2" w:rsidRDefault="00CA2507">
      <w:pPr>
        <w:spacing w:before="29" w:line="288" w:lineRule="auto"/>
        <w:ind w:firstLineChars="200" w:firstLine="480"/>
        <w:rPr>
          <w:color w:val="000000"/>
          <w:sz w:val="24"/>
          <w:szCs w:val="24"/>
        </w:rPr>
      </w:pPr>
      <w:r>
        <w:rPr>
          <w:color w:val="000000"/>
          <w:sz w:val="24"/>
          <w:szCs w:val="24"/>
        </w:rPr>
        <w:t>2018</w:t>
      </w:r>
      <w:r>
        <w:rPr>
          <w:color w:val="000000"/>
          <w:sz w:val="24"/>
          <w:szCs w:val="24"/>
        </w:rPr>
        <w:t>年二季度国内经济增长稳中趋缓，通胀回落，同时中美贸易冲突有所升级，人民币对美元贬值压力加大。受信用风险发酵，中美贸易冲突加剧以及人民币贬值因素影响，</w:t>
      </w:r>
      <w:r>
        <w:rPr>
          <w:color w:val="000000"/>
          <w:sz w:val="24"/>
          <w:szCs w:val="24"/>
        </w:rPr>
        <w:t>A</w:t>
      </w:r>
      <w:r>
        <w:rPr>
          <w:color w:val="000000"/>
          <w:sz w:val="24"/>
          <w:szCs w:val="24"/>
        </w:rPr>
        <w:t>股市场二季度下跌幅度较大。市场风险偏好下降，资金追求确定性溢价，涌向大消费板块抱团取暖，行业层面表现为医药和食品饮料涨幅居前，通信、电力设备新能源、有色、机械、房地产、建筑装饰、电子、传媒等板块跌幅居前。</w:t>
      </w:r>
    </w:p>
    <w:p w:rsidR="00512EC2" w:rsidRDefault="00CA2507">
      <w:pPr>
        <w:spacing w:before="29" w:line="288" w:lineRule="auto"/>
        <w:ind w:firstLineChars="200" w:firstLine="480"/>
        <w:rPr>
          <w:color w:val="000000"/>
          <w:sz w:val="24"/>
          <w:szCs w:val="24"/>
        </w:rPr>
      </w:pPr>
      <w:r>
        <w:rPr>
          <w:color w:val="000000"/>
          <w:sz w:val="24"/>
          <w:szCs w:val="24"/>
        </w:rPr>
        <w:t>2018</w:t>
      </w:r>
      <w:r>
        <w:rPr>
          <w:color w:val="000000"/>
          <w:sz w:val="24"/>
          <w:szCs w:val="24"/>
        </w:rPr>
        <w:t>年二季度本基金采取积极投资策略，在六月中下旬市场大幅下跌后逐步提高</w:t>
      </w:r>
      <w:r>
        <w:rPr>
          <w:color w:val="000000"/>
          <w:sz w:val="24"/>
          <w:szCs w:val="24"/>
        </w:rPr>
        <w:lastRenderedPageBreak/>
        <w:t>仓位。行业配置增配传媒、地产、计算机、公共事业，减持电力设备、金融、汽车、电子和食品饮料。二季度受市场下跌影响本基金下跌幅度较大，但跑赢业绩比较基准。</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2018</w:t>
      </w:r>
      <w:r w:rsidRPr="00414345">
        <w:rPr>
          <w:color w:val="000000"/>
          <w:sz w:val="24"/>
          <w:szCs w:val="24"/>
        </w:rPr>
        <w:t>年下半年，我们对</w:t>
      </w:r>
      <w:r w:rsidRPr="00414345">
        <w:rPr>
          <w:color w:val="000000"/>
          <w:sz w:val="24"/>
          <w:szCs w:val="24"/>
        </w:rPr>
        <w:t>A</w:t>
      </w:r>
      <w:r w:rsidRPr="00414345">
        <w:rPr>
          <w:color w:val="000000"/>
          <w:sz w:val="24"/>
          <w:szCs w:val="24"/>
        </w:rPr>
        <w:t>股市场谨慎乐观。一方面，我们时刻警惕中美贸易摩擦、以及金融去杠杆进程深化再次对市场造成打击。另一方面，货币政策可能已经出现微调，流动性最紧张的时刻已经过去，而</w:t>
      </w:r>
      <w:r w:rsidRPr="00414345">
        <w:rPr>
          <w:color w:val="000000"/>
          <w:sz w:val="24"/>
          <w:szCs w:val="24"/>
        </w:rPr>
        <w:t>A</w:t>
      </w:r>
      <w:r w:rsidRPr="00414345">
        <w:rPr>
          <w:color w:val="000000"/>
          <w:sz w:val="24"/>
          <w:szCs w:val="24"/>
        </w:rPr>
        <w:t>股行业除了大消费以外，各子行业接近甚至低于</w:t>
      </w:r>
      <w:r w:rsidRPr="00414345">
        <w:rPr>
          <w:color w:val="000000"/>
          <w:sz w:val="24"/>
          <w:szCs w:val="24"/>
        </w:rPr>
        <w:t>2016</w:t>
      </w:r>
      <w:r w:rsidRPr="00414345">
        <w:rPr>
          <w:color w:val="000000"/>
          <w:sz w:val="24"/>
          <w:szCs w:val="24"/>
        </w:rPr>
        <w:t>年一月底的估值水平，我们相信价值风格只会迟来而不会缺席，下半年权益类资产配置时机或已逐步到来。下半年本基金将维持较高仓位，看好传媒、医药、计算机、房地产等行业投资机会，精选优质成长股票，恪守安全边际，努力为基金持有人带来稳定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1.961</w:t>
      </w:r>
      <w:r w:rsidRPr="00414345">
        <w:rPr>
          <w:color w:val="000000"/>
          <w:sz w:val="24"/>
          <w:szCs w:val="24"/>
        </w:rPr>
        <w:t>元，本报告期份额净值增长率为</w:t>
      </w:r>
      <w:r w:rsidRPr="00414345">
        <w:rPr>
          <w:color w:val="000000"/>
          <w:sz w:val="24"/>
          <w:szCs w:val="24"/>
        </w:rPr>
        <w:t>-6.26%</w:t>
      </w:r>
      <w:r w:rsidRPr="00414345">
        <w:rPr>
          <w:color w:val="000000"/>
          <w:sz w:val="24"/>
          <w:szCs w:val="24"/>
        </w:rPr>
        <w:t>，同期业绩比较基准增长率为</w:t>
      </w:r>
      <w:r w:rsidRPr="00414345">
        <w:rPr>
          <w:color w:val="000000"/>
          <w:sz w:val="24"/>
          <w:szCs w:val="24"/>
        </w:rPr>
        <w:t>-6.61%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2,683,487,987.15</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92.08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2,683,487,987.15</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92.08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40,000,000.00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40,000,000.00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12,350,126.18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0.42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140,842,247.98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4.83</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37,654,618.76</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1.29</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2,914,334,980.07</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29,014,460.00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828,174,684.96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28.52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49,796,074.97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97,527,645.84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428,236,316.82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14.75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231,449,576.83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414,557,320.94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228,862,220.31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7.88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123,593,702.96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81,226.14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165,300,111.78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86,894,645.60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2,683,487,987.15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92.40</w:t>
            </w:r>
          </w:p>
        </w:tc>
      </w:tr>
    </w:tbl>
    <w:p w:rsidR="00147D5A" w:rsidRDefault="00147D5A"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bookmarkStart w:id="0" w:name="_GoBack"/>
      <w:bookmarkEnd w:id="0"/>
      <w:r w:rsidRPr="008A409E">
        <w:rPr>
          <w:rFonts w:asciiTheme="minorEastAsia" w:eastAsiaTheme="minorEastAsia" w:hAnsiTheme="minorEastAsia" w:hint="eastAsia"/>
          <w:b/>
          <w:bCs/>
          <w:color w:val="000000" w:themeColor="text1"/>
          <w:kern w:val="0"/>
          <w:sz w:val="24"/>
        </w:rPr>
        <w:lastRenderedPageBreak/>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12EC2">
        <w:trPr>
          <w:jc w:val="center"/>
        </w:trPr>
        <w:tc>
          <w:tcPr>
            <w:tcW w:w="855" w:type="dxa"/>
            <w:vAlign w:val="center"/>
          </w:tcPr>
          <w:p w:rsidR="00512EC2" w:rsidRDefault="00CA2507">
            <w:pPr>
              <w:jc w:val="center"/>
            </w:pPr>
            <w:r>
              <w:rPr>
                <w:color w:val="000000"/>
                <w:sz w:val="24"/>
                <w:szCs w:val="24"/>
              </w:rPr>
              <w:t>1</w:t>
            </w:r>
          </w:p>
        </w:tc>
        <w:tc>
          <w:tcPr>
            <w:tcW w:w="1334" w:type="dxa"/>
            <w:vAlign w:val="center"/>
          </w:tcPr>
          <w:p w:rsidR="00512EC2" w:rsidRDefault="00CA2507">
            <w:pPr>
              <w:jc w:val="center"/>
            </w:pPr>
            <w:r>
              <w:rPr>
                <w:color w:val="000000"/>
                <w:sz w:val="24"/>
                <w:szCs w:val="24"/>
              </w:rPr>
              <w:t>600048</w:t>
            </w:r>
          </w:p>
        </w:tc>
        <w:tc>
          <w:tcPr>
            <w:tcW w:w="1777" w:type="dxa"/>
            <w:vAlign w:val="center"/>
          </w:tcPr>
          <w:p w:rsidR="00512EC2" w:rsidRDefault="00CA2507">
            <w:pPr>
              <w:jc w:val="center"/>
            </w:pPr>
            <w:r>
              <w:rPr>
                <w:color w:val="000000"/>
                <w:sz w:val="24"/>
                <w:szCs w:val="24"/>
              </w:rPr>
              <w:t>保利地产</w:t>
            </w:r>
          </w:p>
        </w:tc>
        <w:tc>
          <w:tcPr>
            <w:tcW w:w="1334" w:type="dxa"/>
            <w:vAlign w:val="center"/>
          </w:tcPr>
          <w:p w:rsidR="00512EC2" w:rsidRDefault="00CA2507">
            <w:pPr>
              <w:jc w:val="right"/>
            </w:pPr>
            <w:r>
              <w:rPr>
                <w:color w:val="000000"/>
                <w:sz w:val="24"/>
                <w:szCs w:val="24"/>
              </w:rPr>
              <w:t>20,667,471</w:t>
            </w:r>
          </w:p>
        </w:tc>
        <w:tc>
          <w:tcPr>
            <w:tcW w:w="1924" w:type="dxa"/>
            <w:vAlign w:val="center"/>
          </w:tcPr>
          <w:p w:rsidR="00512EC2" w:rsidRDefault="00CA2507">
            <w:pPr>
              <w:jc w:val="right"/>
            </w:pPr>
            <w:r>
              <w:rPr>
                <w:color w:val="000000"/>
                <w:sz w:val="24"/>
                <w:szCs w:val="24"/>
              </w:rPr>
              <w:t>252,143,146.20</w:t>
            </w:r>
          </w:p>
        </w:tc>
        <w:tc>
          <w:tcPr>
            <w:tcW w:w="1644" w:type="dxa"/>
            <w:vAlign w:val="center"/>
          </w:tcPr>
          <w:p w:rsidR="00512EC2" w:rsidRDefault="00CA2507">
            <w:pPr>
              <w:jc w:val="right"/>
            </w:pPr>
            <w:r>
              <w:rPr>
                <w:color w:val="000000"/>
                <w:sz w:val="24"/>
                <w:szCs w:val="24"/>
              </w:rPr>
              <w:t>8.68</w:t>
            </w:r>
          </w:p>
        </w:tc>
      </w:tr>
      <w:tr w:rsidR="00512EC2">
        <w:trPr>
          <w:jc w:val="center"/>
        </w:trPr>
        <w:tc>
          <w:tcPr>
            <w:tcW w:w="855" w:type="dxa"/>
            <w:vAlign w:val="center"/>
          </w:tcPr>
          <w:p w:rsidR="00512EC2" w:rsidRDefault="00CA2507">
            <w:pPr>
              <w:jc w:val="center"/>
            </w:pPr>
            <w:r>
              <w:rPr>
                <w:color w:val="000000"/>
                <w:sz w:val="24"/>
                <w:szCs w:val="24"/>
              </w:rPr>
              <w:t>2</w:t>
            </w:r>
          </w:p>
        </w:tc>
        <w:tc>
          <w:tcPr>
            <w:tcW w:w="1334" w:type="dxa"/>
            <w:vAlign w:val="center"/>
          </w:tcPr>
          <w:p w:rsidR="00512EC2" w:rsidRDefault="00CA2507">
            <w:pPr>
              <w:jc w:val="center"/>
            </w:pPr>
            <w:r>
              <w:rPr>
                <w:color w:val="000000"/>
                <w:sz w:val="24"/>
                <w:szCs w:val="24"/>
              </w:rPr>
              <w:t>002027</w:t>
            </w:r>
          </w:p>
        </w:tc>
        <w:tc>
          <w:tcPr>
            <w:tcW w:w="1777" w:type="dxa"/>
            <w:vAlign w:val="center"/>
          </w:tcPr>
          <w:p w:rsidR="00512EC2" w:rsidRDefault="00CA2507">
            <w:pPr>
              <w:jc w:val="center"/>
            </w:pPr>
            <w:r>
              <w:rPr>
                <w:color w:val="000000"/>
                <w:sz w:val="24"/>
                <w:szCs w:val="24"/>
              </w:rPr>
              <w:t>分众传媒</w:t>
            </w:r>
          </w:p>
        </w:tc>
        <w:tc>
          <w:tcPr>
            <w:tcW w:w="1334" w:type="dxa"/>
            <w:vAlign w:val="center"/>
          </w:tcPr>
          <w:p w:rsidR="00512EC2" w:rsidRDefault="00CA2507">
            <w:pPr>
              <w:jc w:val="right"/>
            </w:pPr>
            <w:r>
              <w:rPr>
                <w:color w:val="000000"/>
                <w:sz w:val="24"/>
                <w:szCs w:val="24"/>
              </w:rPr>
              <w:t>24,061,883</w:t>
            </w:r>
          </w:p>
        </w:tc>
        <w:tc>
          <w:tcPr>
            <w:tcW w:w="1924" w:type="dxa"/>
            <w:vAlign w:val="center"/>
          </w:tcPr>
          <w:p w:rsidR="00512EC2" w:rsidRDefault="00CA2507">
            <w:pPr>
              <w:jc w:val="right"/>
            </w:pPr>
            <w:r>
              <w:rPr>
                <w:color w:val="000000"/>
                <w:sz w:val="24"/>
                <w:szCs w:val="24"/>
              </w:rPr>
              <w:t>228,862,220.31</w:t>
            </w:r>
          </w:p>
        </w:tc>
        <w:tc>
          <w:tcPr>
            <w:tcW w:w="1644" w:type="dxa"/>
            <w:vAlign w:val="center"/>
          </w:tcPr>
          <w:p w:rsidR="00512EC2" w:rsidRDefault="00CA2507">
            <w:pPr>
              <w:jc w:val="right"/>
            </w:pPr>
            <w:r>
              <w:rPr>
                <w:color w:val="000000"/>
                <w:sz w:val="24"/>
                <w:szCs w:val="24"/>
              </w:rPr>
              <w:t>7.88</w:t>
            </w:r>
          </w:p>
        </w:tc>
      </w:tr>
      <w:tr w:rsidR="00512EC2">
        <w:trPr>
          <w:jc w:val="center"/>
        </w:trPr>
        <w:tc>
          <w:tcPr>
            <w:tcW w:w="855" w:type="dxa"/>
            <w:vAlign w:val="center"/>
          </w:tcPr>
          <w:p w:rsidR="00512EC2" w:rsidRDefault="00CA2507">
            <w:pPr>
              <w:jc w:val="center"/>
            </w:pPr>
            <w:r>
              <w:rPr>
                <w:color w:val="000000"/>
                <w:sz w:val="24"/>
                <w:szCs w:val="24"/>
              </w:rPr>
              <w:t>3</w:t>
            </w:r>
          </w:p>
        </w:tc>
        <w:tc>
          <w:tcPr>
            <w:tcW w:w="1334" w:type="dxa"/>
            <w:vAlign w:val="center"/>
          </w:tcPr>
          <w:p w:rsidR="00512EC2" w:rsidRDefault="00CA2507">
            <w:pPr>
              <w:jc w:val="center"/>
            </w:pPr>
            <w:r>
              <w:rPr>
                <w:color w:val="000000"/>
                <w:sz w:val="24"/>
                <w:szCs w:val="24"/>
              </w:rPr>
              <w:t>601100</w:t>
            </w:r>
          </w:p>
        </w:tc>
        <w:tc>
          <w:tcPr>
            <w:tcW w:w="1777" w:type="dxa"/>
            <w:vAlign w:val="center"/>
          </w:tcPr>
          <w:p w:rsidR="00512EC2" w:rsidRDefault="00CA2507">
            <w:pPr>
              <w:jc w:val="center"/>
            </w:pPr>
            <w:r>
              <w:rPr>
                <w:color w:val="000000"/>
                <w:sz w:val="24"/>
                <w:szCs w:val="24"/>
              </w:rPr>
              <w:t>恒立液压</w:t>
            </w:r>
          </w:p>
        </w:tc>
        <w:tc>
          <w:tcPr>
            <w:tcW w:w="1334" w:type="dxa"/>
            <w:vAlign w:val="center"/>
          </w:tcPr>
          <w:p w:rsidR="00512EC2" w:rsidRDefault="00CA2507">
            <w:pPr>
              <w:jc w:val="right"/>
            </w:pPr>
            <w:r>
              <w:rPr>
                <w:color w:val="000000"/>
                <w:sz w:val="24"/>
                <w:szCs w:val="24"/>
              </w:rPr>
              <w:t>8,095,376</w:t>
            </w:r>
          </w:p>
        </w:tc>
        <w:tc>
          <w:tcPr>
            <w:tcW w:w="1924" w:type="dxa"/>
            <w:vAlign w:val="center"/>
          </w:tcPr>
          <w:p w:rsidR="00512EC2" w:rsidRDefault="00CA2507">
            <w:pPr>
              <w:jc w:val="right"/>
            </w:pPr>
            <w:r>
              <w:rPr>
                <w:color w:val="000000"/>
                <w:sz w:val="24"/>
                <w:szCs w:val="24"/>
              </w:rPr>
              <w:t>169,031,450.88</w:t>
            </w:r>
          </w:p>
        </w:tc>
        <w:tc>
          <w:tcPr>
            <w:tcW w:w="1644" w:type="dxa"/>
            <w:vAlign w:val="center"/>
          </w:tcPr>
          <w:p w:rsidR="00512EC2" w:rsidRDefault="00CA2507">
            <w:pPr>
              <w:jc w:val="right"/>
            </w:pPr>
            <w:r>
              <w:rPr>
                <w:color w:val="000000"/>
                <w:sz w:val="24"/>
                <w:szCs w:val="24"/>
              </w:rPr>
              <w:t>5.82</w:t>
            </w:r>
          </w:p>
        </w:tc>
      </w:tr>
      <w:tr w:rsidR="00512EC2">
        <w:trPr>
          <w:jc w:val="center"/>
        </w:trPr>
        <w:tc>
          <w:tcPr>
            <w:tcW w:w="855" w:type="dxa"/>
            <w:vAlign w:val="center"/>
          </w:tcPr>
          <w:p w:rsidR="00512EC2" w:rsidRDefault="00CA2507">
            <w:pPr>
              <w:jc w:val="center"/>
            </w:pPr>
            <w:r>
              <w:rPr>
                <w:color w:val="000000"/>
                <w:sz w:val="24"/>
                <w:szCs w:val="24"/>
              </w:rPr>
              <w:t>4</w:t>
            </w:r>
          </w:p>
        </w:tc>
        <w:tc>
          <w:tcPr>
            <w:tcW w:w="1334" w:type="dxa"/>
            <w:vAlign w:val="center"/>
          </w:tcPr>
          <w:p w:rsidR="00512EC2" w:rsidRDefault="00CA2507">
            <w:pPr>
              <w:jc w:val="center"/>
            </w:pPr>
            <w:r>
              <w:rPr>
                <w:color w:val="000000"/>
                <w:sz w:val="24"/>
                <w:szCs w:val="24"/>
              </w:rPr>
              <w:t>601155</w:t>
            </w:r>
          </w:p>
        </w:tc>
        <w:tc>
          <w:tcPr>
            <w:tcW w:w="1777" w:type="dxa"/>
            <w:vAlign w:val="center"/>
          </w:tcPr>
          <w:p w:rsidR="00512EC2" w:rsidRDefault="00CA2507">
            <w:pPr>
              <w:jc w:val="center"/>
            </w:pPr>
            <w:r>
              <w:rPr>
                <w:color w:val="000000"/>
                <w:sz w:val="24"/>
                <w:szCs w:val="24"/>
              </w:rPr>
              <w:t>新城控股</w:t>
            </w:r>
          </w:p>
        </w:tc>
        <w:tc>
          <w:tcPr>
            <w:tcW w:w="1334" w:type="dxa"/>
            <w:vAlign w:val="center"/>
          </w:tcPr>
          <w:p w:rsidR="00512EC2" w:rsidRDefault="00CA2507">
            <w:pPr>
              <w:jc w:val="right"/>
            </w:pPr>
            <w:r>
              <w:rPr>
                <w:color w:val="000000"/>
                <w:sz w:val="24"/>
                <w:szCs w:val="24"/>
              </w:rPr>
              <w:t>5,244,242</w:t>
            </w:r>
          </w:p>
        </w:tc>
        <w:tc>
          <w:tcPr>
            <w:tcW w:w="1924" w:type="dxa"/>
            <w:vAlign w:val="center"/>
          </w:tcPr>
          <w:p w:rsidR="00512EC2" w:rsidRDefault="00CA2507">
            <w:pPr>
              <w:jc w:val="right"/>
            </w:pPr>
            <w:r>
              <w:rPr>
                <w:color w:val="000000"/>
                <w:sz w:val="24"/>
                <w:szCs w:val="24"/>
              </w:rPr>
              <w:t>162,414,174.74</w:t>
            </w:r>
          </w:p>
        </w:tc>
        <w:tc>
          <w:tcPr>
            <w:tcW w:w="1644" w:type="dxa"/>
            <w:vAlign w:val="center"/>
          </w:tcPr>
          <w:p w:rsidR="00512EC2" w:rsidRDefault="00CA2507">
            <w:pPr>
              <w:jc w:val="right"/>
            </w:pPr>
            <w:r>
              <w:rPr>
                <w:color w:val="000000"/>
                <w:sz w:val="24"/>
                <w:szCs w:val="24"/>
              </w:rPr>
              <w:t>5.59</w:t>
            </w:r>
          </w:p>
        </w:tc>
      </w:tr>
      <w:tr w:rsidR="00512EC2">
        <w:trPr>
          <w:jc w:val="center"/>
        </w:trPr>
        <w:tc>
          <w:tcPr>
            <w:tcW w:w="855" w:type="dxa"/>
            <w:vAlign w:val="center"/>
          </w:tcPr>
          <w:p w:rsidR="00512EC2" w:rsidRDefault="00CA2507">
            <w:pPr>
              <w:jc w:val="center"/>
            </w:pPr>
            <w:r>
              <w:rPr>
                <w:color w:val="000000"/>
                <w:sz w:val="24"/>
                <w:szCs w:val="24"/>
              </w:rPr>
              <w:t>5</w:t>
            </w:r>
          </w:p>
        </w:tc>
        <w:tc>
          <w:tcPr>
            <w:tcW w:w="1334" w:type="dxa"/>
            <w:vAlign w:val="center"/>
          </w:tcPr>
          <w:p w:rsidR="00512EC2" w:rsidRDefault="00CA2507">
            <w:pPr>
              <w:jc w:val="center"/>
            </w:pPr>
            <w:r>
              <w:rPr>
                <w:color w:val="000000"/>
                <w:sz w:val="24"/>
                <w:szCs w:val="24"/>
              </w:rPr>
              <w:t>601877</w:t>
            </w:r>
          </w:p>
        </w:tc>
        <w:tc>
          <w:tcPr>
            <w:tcW w:w="1777" w:type="dxa"/>
            <w:vAlign w:val="center"/>
          </w:tcPr>
          <w:p w:rsidR="00512EC2" w:rsidRDefault="00CA2507">
            <w:pPr>
              <w:jc w:val="center"/>
            </w:pPr>
            <w:r>
              <w:rPr>
                <w:color w:val="000000"/>
                <w:sz w:val="24"/>
                <w:szCs w:val="24"/>
              </w:rPr>
              <w:t>正泰电器</w:t>
            </w:r>
          </w:p>
        </w:tc>
        <w:tc>
          <w:tcPr>
            <w:tcW w:w="1334" w:type="dxa"/>
            <w:vAlign w:val="center"/>
          </w:tcPr>
          <w:p w:rsidR="00512EC2" w:rsidRDefault="00CA2507">
            <w:pPr>
              <w:jc w:val="right"/>
            </w:pPr>
            <w:r>
              <w:rPr>
                <w:color w:val="000000"/>
                <w:sz w:val="24"/>
                <w:szCs w:val="24"/>
              </w:rPr>
              <w:t>7,192,401</w:t>
            </w:r>
          </w:p>
        </w:tc>
        <w:tc>
          <w:tcPr>
            <w:tcW w:w="1924" w:type="dxa"/>
            <w:vAlign w:val="center"/>
          </w:tcPr>
          <w:p w:rsidR="00512EC2" w:rsidRDefault="00CA2507">
            <w:pPr>
              <w:jc w:val="right"/>
            </w:pPr>
            <w:r>
              <w:rPr>
                <w:color w:val="000000"/>
                <w:sz w:val="24"/>
                <w:szCs w:val="24"/>
              </w:rPr>
              <w:t>158,392,390.32</w:t>
            </w:r>
          </w:p>
        </w:tc>
        <w:tc>
          <w:tcPr>
            <w:tcW w:w="1644" w:type="dxa"/>
            <w:vAlign w:val="center"/>
          </w:tcPr>
          <w:p w:rsidR="00512EC2" w:rsidRDefault="00CA2507">
            <w:pPr>
              <w:jc w:val="right"/>
            </w:pPr>
            <w:r>
              <w:rPr>
                <w:color w:val="000000"/>
                <w:sz w:val="24"/>
                <w:szCs w:val="24"/>
              </w:rPr>
              <w:t>5.45</w:t>
            </w:r>
          </w:p>
        </w:tc>
      </w:tr>
      <w:tr w:rsidR="00512EC2">
        <w:trPr>
          <w:jc w:val="center"/>
        </w:trPr>
        <w:tc>
          <w:tcPr>
            <w:tcW w:w="855" w:type="dxa"/>
            <w:vAlign w:val="center"/>
          </w:tcPr>
          <w:p w:rsidR="00512EC2" w:rsidRDefault="00CA2507">
            <w:pPr>
              <w:jc w:val="center"/>
            </w:pPr>
            <w:r>
              <w:rPr>
                <w:color w:val="000000"/>
                <w:sz w:val="24"/>
                <w:szCs w:val="24"/>
              </w:rPr>
              <w:t>6</w:t>
            </w:r>
          </w:p>
        </w:tc>
        <w:tc>
          <w:tcPr>
            <w:tcW w:w="1334" w:type="dxa"/>
            <w:vAlign w:val="center"/>
          </w:tcPr>
          <w:p w:rsidR="00512EC2" w:rsidRDefault="00CA2507">
            <w:pPr>
              <w:jc w:val="center"/>
            </w:pPr>
            <w:r>
              <w:rPr>
                <w:color w:val="000000"/>
                <w:sz w:val="24"/>
                <w:szCs w:val="24"/>
              </w:rPr>
              <w:t>601009</w:t>
            </w:r>
          </w:p>
        </w:tc>
        <w:tc>
          <w:tcPr>
            <w:tcW w:w="1777" w:type="dxa"/>
            <w:vAlign w:val="center"/>
          </w:tcPr>
          <w:p w:rsidR="00512EC2" w:rsidRDefault="00CA2507">
            <w:pPr>
              <w:jc w:val="center"/>
            </w:pPr>
            <w:r>
              <w:rPr>
                <w:color w:val="000000"/>
                <w:sz w:val="24"/>
                <w:szCs w:val="24"/>
              </w:rPr>
              <w:t>南京银行</w:t>
            </w:r>
          </w:p>
        </w:tc>
        <w:tc>
          <w:tcPr>
            <w:tcW w:w="1334" w:type="dxa"/>
            <w:vAlign w:val="center"/>
          </w:tcPr>
          <w:p w:rsidR="00512EC2" w:rsidRDefault="00CA2507">
            <w:pPr>
              <w:jc w:val="right"/>
            </w:pPr>
            <w:r>
              <w:rPr>
                <w:color w:val="000000"/>
                <w:sz w:val="24"/>
                <w:szCs w:val="24"/>
              </w:rPr>
              <w:t>18,708,696</w:t>
            </w:r>
          </w:p>
        </w:tc>
        <w:tc>
          <w:tcPr>
            <w:tcW w:w="1924" w:type="dxa"/>
            <w:vAlign w:val="center"/>
          </w:tcPr>
          <w:p w:rsidR="00512EC2" w:rsidRDefault="00CA2507">
            <w:pPr>
              <w:jc w:val="right"/>
            </w:pPr>
            <w:r>
              <w:rPr>
                <w:color w:val="000000"/>
                <w:sz w:val="24"/>
                <w:szCs w:val="24"/>
              </w:rPr>
              <w:t>144,618,220.08</w:t>
            </w:r>
          </w:p>
        </w:tc>
        <w:tc>
          <w:tcPr>
            <w:tcW w:w="1644" w:type="dxa"/>
            <w:vAlign w:val="center"/>
          </w:tcPr>
          <w:p w:rsidR="00512EC2" w:rsidRDefault="00CA2507">
            <w:pPr>
              <w:jc w:val="right"/>
            </w:pPr>
            <w:r>
              <w:rPr>
                <w:color w:val="000000"/>
                <w:sz w:val="24"/>
                <w:szCs w:val="24"/>
              </w:rPr>
              <w:t>4.98</w:t>
            </w:r>
          </w:p>
        </w:tc>
      </w:tr>
      <w:tr w:rsidR="00512EC2">
        <w:trPr>
          <w:jc w:val="center"/>
        </w:trPr>
        <w:tc>
          <w:tcPr>
            <w:tcW w:w="855" w:type="dxa"/>
            <w:vAlign w:val="center"/>
          </w:tcPr>
          <w:p w:rsidR="00512EC2" w:rsidRDefault="00CA2507">
            <w:pPr>
              <w:jc w:val="center"/>
            </w:pPr>
            <w:r>
              <w:rPr>
                <w:color w:val="000000"/>
                <w:sz w:val="24"/>
                <w:szCs w:val="24"/>
              </w:rPr>
              <w:t>7</w:t>
            </w:r>
          </w:p>
        </w:tc>
        <w:tc>
          <w:tcPr>
            <w:tcW w:w="1334" w:type="dxa"/>
            <w:vAlign w:val="center"/>
          </w:tcPr>
          <w:p w:rsidR="00512EC2" w:rsidRDefault="00CA2507">
            <w:pPr>
              <w:jc w:val="center"/>
            </w:pPr>
            <w:r>
              <w:rPr>
                <w:color w:val="000000"/>
                <w:sz w:val="24"/>
                <w:szCs w:val="24"/>
              </w:rPr>
              <w:t>300059</w:t>
            </w:r>
          </w:p>
        </w:tc>
        <w:tc>
          <w:tcPr>
            <w:tcW w:w="1777" w:type="dxa"/>
            <w:vAlign w:val="center"/>
          </w:tcPr>
          <w:p w:rsidR="00512EC2" w:rsidRDefault="00CA2507">
            <w:pPr>
              <w:jc w:val="center"/>
            </w:pPr>
            <w:r>
              <w:rPr>
                <w:color w:val="000000"/>
                <w:sz w:val="24"/>
                <w:szCs w:val="24"/>
              </w:rPr>
              <w:t>东方财富</w:t>
            </w:r>
          </w:p>
        </w:tc>
        <w:tc>
          <w:tcPr>
            <w:tcW w:w="1334" w:type="dxa"/>
            <w:vAlign w:val="center"/>
          </w:tcPr>
          <w:p w:rsidR="00512EC2" w:rsidRDefault="00CA2507">
            <w:pPr>
              <w:jc w:val="right"/>
            </w:pPr>
            <w:r>
              <w:rPr>
                <w:color w:val="000000"/>
                <w:sz w:val="24"/>
                <w:szCs w:val="24"/>
              </w:rPr>
              <w:t>10,879,029</w:t>
            </w:r>
          </w:p>
        </w:tc>
        <w:tc>
          <w:tcPr>
            <w:tcW w:w="1924" w:type="dxa"/>
            <w:vAlign w:val="center"/>
          </w:tcPr>
          <w:p w:rsidR="00512EC2" w:rsidRDefault="00CA2507">
            <w:pPr>
              <w:jc w:val="right"/>
            </w:pPr>
            <w:r>
              <w:rPr>
                <w:color w:val="000000"/>
                <w:sz w:val="24"/>
                <w:szCs w:val="24"/>
              </w:rPr>
              <w:t>143,385,602.22</w:t>
            </w:r>
          </w:p>
        </w:tc>
        <w:tc>
          <w:tcPr>
            <w:tcW w:w="1644" w:type="dxa"/>
            <w:vAlign w:val="center"/>
          </w:tcPr>
          <w:p w:rsidR="00512EC2" w:rsidRDefault="00CA2507">
            <w:pPr>
              <w:jc w:val="right"/>
            </w:pPr>
            <w:r>
              <w:rPr>
                <w:color w:val="000000"/>
                <w:sz w:val="24"/>
                <w:szCs w:val="24"/>
              </w:rPr>
              <w:t>4.94</w:t>
            </w:r>
          </w:p>
        </w:tc>
      </w:tr>
      <w:tr w:rsidR="00512EC2">
        <w:trPr>
          <w:jc w:val="center"/>
        </w:trPr>
        <w:tc>
          <w:tcPr>
            <w:tcW w:w="855" w:type="dxa"/>
            <w:vAlign w:val="center"/>
          </w:tcPr>
          <w:p w:rsidR="00512EC2" w:rsidRDefault="00CA2507">
            <w:pPr>
              <w:jc w:val="center"/>
            </w:pPr>
            <w:r>
              <w:rPr>
                <w:color w:val="000000"/>
                <w:sz w:val="24"/>
                <w:szCs w:val="24"/>
              </w:rPr>
              <w:t>8</w:t>
            </w:r>
          </w:p>
        </w:tc>
        <w:tc>
          <w:tcPr>
            <w:tcW w:w="1334" w:type="dxa"/>
            <w:vAlign w:val="center"/>
          </w:tcPr>
          <w:p w:rsidR="00512EC2" w:rsidRDefault="00CA2507">
            <w:pPr>
              <w:jc w:val="center"/>
            </w:pPr>
            <w:r>
              <w:rPr>
                <w:color w:val="000000"/>
                <w:sz w:val="24"/>
                <w:szCs w:val="24"/>
              </w:rPr>
              <w:t>002456</w:t>
            </w:r>
          </w:p>
        </w:tc>
        <w:tc>
          <w:tcPr>
            <w:tcW w:w="1777" w:type="dxa"/>
            <w:vAlign w:val="center"/>
          </w:tcPr>
          <w:p w:rsidR="00512EC2" w:rsidRDefault="00CA2507">
            <w:pPr>
              <w:jc w:val="center"/>
            </w:pPr>
            <w:r>
              <w:rPr>
                <w:color w:val="000000"/>
                <w:sz w:val="24"/>
                <w:szCs w:val="24"/>
              </w:rPr>
              <w:t>欧菲科技</w:t>
            </w:r>
          </w:p>
        </w:tc>
        <w:tc>
          <w:tcPr>
            <w:tcW w:w="1334" w:type="dxa"/>
            <w:vAlign w:val="center"/>
          </w:tcPr>
          <w:p w:rsidR="00512EC2" w:rsidRDefault="00CA2507">
            <w:pPr>
              <w:jc w:val="right"/>
            </w:pPr>
            <w:r>
              <w:rPr>
                <w:color w:val="000000"/>
                <w:sz w:val="24"/>
                <w:szCs w:val="24"/>
              </w:rPr>
              <w:t>8,519,901</w:t>
            </w:r>
          </w:p>
        </w:tc>
        <w:tc>
          <w:tcPr>
            <w:tcW w:w="1924" w:type="dxa"/>
            <w:vAlign w:val="center"/>
          </w:tcPr>
          <w:p w:rsidR="00512EC2" w:rsidRDefault="00CA2507">
            <w:pPr>
              <w:jc w:val="right"/>
            </w:pPr>
            <w:r>
              <w:rPr>
                <w:color w:val="000000"/>
                <w:sz w:val="24"/>
                <w:szCs w:val="24"/>
              </w:rPr>
              <w:t>137,426,003.13</w:t>
            </w:r>
          </w:p>
        </w:tc>
        <w:tc>
          <w:tcPr>
            <w:tcW w:w="1644" w:type="dxa"/>
            <w:vAlign w:val="center"/>
          </w:tcPr>
          <w:p w:rsidR="00512EC2" w:rsidRDefault="00CA2507">
            <w:pPr>
              <w:jc w:val="right"/>
            </w:pPr>
            <w:r>
              <w:rPr>
                <w:color w:val="000000"/>
                <w:sz w:val="24"/>
                <w:szCs w:val="24"/>
              </w:rPr>
              <w:t>4.73</w:t>
            </w:r>
          </w:p>
        </w:tc>
      </w:tr>
      <w:tr w:rsidR="00512EC2">
        <w:trPr>
          <w:jc w:val="center"/>
        </w:trPr>
        <w:tc>
          <w:tcPr>
            <w:tcW w:w="855" w:type="dxa"/>
            <w:vAlign w:val="center"/>
          </w:tcPr>
          <w:p w:rsidR="00512EC2" w:rsidRDefault="00CA2507">
            <w:pPr>
              <w:jc w:val="center"/>
            </w:pPr>
            <w:r>
              <w:rPr>
                <w:color w:val="000000"/>
                <w:sz w:val="24"/>
                <w:szCs w:val="24"/>
              </w:rPr>
              <w:t>9</w:t>
            </w:r>
          </w:p>
        </w:tc>
        <w:tc>
          <w:tcPr>
            <w:tcW w:w="1334" w:type="dxa"/>
            <w:vAlign w:val="center"/>
          </w:tcPr>
          <w:p w:rsidR="00512EC2" w:rsidRDefault="00CA2507">
            <w:pPr>
              <w:jc w:val="center"/>
            </w:pPr>
            <w:r>
              <w:rPr>
                <w:color w:val="000000"/>
                <w:sz w:val="24"/>
                <w:szCs w:val="24"/>
              </w:rPr>
              <w:t>300012</w:t>
            </w:r>
          </w:p>
        </w:tc>
        <w:tc>
          <w:tcPr>
            <w:tcW w:w="1777" w:type="dxa"/>
            <w:vAlign w:val="center"/>
          </w:tcPr>
          <w:p w:rsidR="00512EC2" w:rsidRDefault="00CA2507">
            <w:pPr>
              <w:jc w:val="center"/>
            </w:pPr>
            <w:r>
              <w:rPr>
                <w:color w:val="000000"/>
                <w:sz w:val="24"/>
                <w:szCs w:val="24"/>
              </w:rPr>
              <w:t>华测检测</w:t>
            </w:r>
          </w:p>
        </w:tc>
        <w:tc>
          <w:tcPr>
            <w:tcW w:w="1334" w:type="dxa"/>
            <w:vAlign w:val="center"/>
          </w:tcPr>
          <w:p w:rsidR="00512EC2" w:rsidRDefault="00CA2507">
            <w:pPr>
              <w:jc w:val="right"/>
            </w:pPr>
            <w:r>
              <w:rPr>
                <w:color w:val="000000"/>
                <w:sz w:val="24"/>
                <w:szCs w:val="24"/>
              </w:rPr>
              <w:t>21,532,004</w:t>
            </w:r>
          </w:p>
        </w:tc>
        <w:tc>
          <w:tcPr>
            <w:tcW w:w="1924" w:type="dxa"/>
            <w:vAlign w:val="center"/>
          </w:tcPr>
          <w:p w:rsidR="00512EC2" w:rsidRDefault="00CA2507">
            <w:pPr>
              <w:jc w:val="right"/>
            </w:pPr>
            <w:r>
              <w:rPr>
                <w:color w:val="000000"/>
                <w:sz w:val="24"/>
                <w:szCs w:val="24"/>
              </w:rPr>
              <w:t>123,593,702.96</w:t>
            </w:r>
          </w:p>
        </w:tc>
        <w:tc>
          <w:tcPr>
            <w:tcW w:w="1644" w:type="dxa"/>
            <w:vAlign w:val="center"/>
          </w:tcPr>
          <w:p w:rsidR="00512EC2" w:rsidRDefault="00CA2507">
            <w:pPr>
              <w:jc w:val="right"/>
            </w:pPr>
            <w:r>
              <w:rPr>
                <w:color w:val="000000"/>
                <w:sz w:val="24"/>
                <w:szCs w:val="24"/>
              </w:rPr>
              <w:t>4.26</w:t>
            </w:r>
          </w:p>
        </w:tc>
      </w:tr>
      <w:tr w:rsidR="00512EC2">
        <w:trPr>
          <w:jc w:val="center"/>
        </w:trPr>
        <w:tc>
          <w:tcPr>
            <w:tcW w:w="855" w:type="dxa"/>
            <w:vAlign w:val="center"/>
          </w:tcPr>
          <w:p w:rsidR="00512EC2" w:rsidRDefault="00CA2507">
            <w:pPr>
              <w:jc w:val="center"/>
            </w:pPr>
            <w:r>
              <w:rPr>
                <w:color w:val="000000"/>
                <w:sz w:val="24"/>
                <w:szCs w:val="24"/>
              </w:rPr>
              <w:t>10</w:t>
            </w:r>
          </w:p>
        </w:tc>
        <w:tc>
          <w:tcPr>
            <w:tcW w:w="1334" w:type="dxa"/>
            <w:vAlign w:val="center"/>
          </w:tcPr>
          <w:p w:rsidR="00512EC2" w:rsidRDefault="00CA2507">
            <w:pPr>
              <w:jc w:val="center"/>
            </w:pPr>
            <w:r>
              <w:rPr>
                <w:color w:val="000000"/>
                <w:sz w:val="24"/>
                <w:szCs w:val="24"/>
              </w:rPr>
              <w:t>300170</w:t>
            </w:r>
          </w:p>
        </w:tc>
        <w:tc>
          <w:tcPr>
            <w:tcW w:w="1777" w:type="dxa"/>
            <w:vAlign w:val="center"/>
          </w:tcPr>
          <w:p w:rsidR="00512EC2" w:rsidRDefault="00CA2507">
            <w:pPr>
              <w:jc w:val="center"/>
            </w:pPr>
            <w:r>
              <w:rPr>
                <w:color w:val="000000"/>
                <w:sz w:val="24"/>
                <w:szCs w:val="24"/>
              </w:rPr>
              <w:t>汉得信息</w:t>
            </w:r>
          </w:p>
        </w:tc>
        <w:tc>
          <w:tcPr>
            <w:tcW w:w="1334" w:type="dxa"/>
            <w:vAlign w:val="center"/>
          </w:tcPr>
          <w:p w:rsidR="00512EC2" w:rsidRDefault="00CA2507">
            <w:pPr>
              <w:jc w:val="right"/>
            </w:pPr>
            <w:r>
              <w:rPr>
                <w:color w:val="000000"/>
                <w:sz w:val="24"/>
                <w:szCs w:val="24"/>
              </w:rPr>
              <w:t>6,456,480</w:t>
            </w:r>
          </w:p>
        </w:tc>
        <w:tc>
          <w:tcPr>
            <w:tcW w:w="1924" w:type="dxa"/>
            <w:vAlign w:val="center"/>
          </w:tcPr>
          <w:p w:rsidR="00512EC2" w:rsidRDefault="00CA2507">
            <w:pPr>
              <w:jc w:val="right"/>
            </w:pPr>
            <w:r>
              <w:rPr>
                <w:color w:val="000000"/>
                <w:sz w:val="24"/>
                <w:szCs w:val="24"/>
              </w:rPr>
              <w:t>104,853,235.20</w:t>
            </w:r>
          </w:p>
        </w:tc>
        <w:tc>
          <w:tcPr>
            <w:tcW w:w="1644" w:type="dxa"/>
            <w:vAlign w:val="center"/>
          </w:tcPr>
          <w:p w:rsidR="00512EC2" w:rsidRDefault="00CA2507">
            <w:pPr>
              <w:jc w:val="right"/>
            </w:pPr>
            <w:r>
              <w:rPr>
                <w:color w:val="000000"/>
                <w:sz w:val="24"/>
                <w:szCs w:val="24"/>
              </w:rPr>
              <w:t>3.61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40,000,000.00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40,000,000.00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40,000,000.00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512EC2">
        <w:trPr>
          <w:jc w:val="center"/>
        </w:trPr>
        <w:tc>
          <w:tcPr>
            <w:tcW w:w="850" w:type="dxa"/>
            <w:vAlign w:val="center"/>
          </w:tcPr>
          <w:p w:rsidR="00512EC2" w:rsidRDefault="00CA2507">
            <w:pPr>
              <w:jc w:val="center"/>
            </w:pPr>
            <w:r>
              <w:rPr>
                <w:color w:val="000000"/>
                <w:sz w:val="24"/>
                <w:szCs w:val="24"/>
              </w:rPr>
              <w:t>1</w:t>
            </w:r>
          </w:p>
        </w:tc>
        <w:tc>
          <w:tcPr>
            <w:tcW w:w="1475" w:type="dxa"/>
            <w:vAlign w:val="center"/>
          </w:tcPr>
          <w:p w:rsidR="00512EC2" w:rsidRDefault="00CA2507">
            <w:pPr>
              <w:jc w:val="center"/>
            </w:pPr>
            <w:r>
              <w:rPr>
                <w:color w:val="000000"/>
                <w:sz w:val="24"/>
                <w:szCs w:val="24"/>
              </w:rPr>
              <w:t>170207</w:t>
            </w:r>
          </w:p>
        </w:tc>
        <w:tc>
          <w:tcPr>
            <w:tcW w:w="1769" w:type="dxa"/>
            <w:vAlign w:val="center"/>
          </w:tcPr>
          <w:p w:rsidR="00512EC2" w:rsidRDefault="00CA2507">
            <w:pPr>
              <w:jc w:val="center"/>
            </w:pPr>
            <w:r>
              <w:rPr>
                <w:color w:val="000000"/>
                <w:sz w:val="24"/>
                <w:szCs w:val="24"/>
              </w:rPr>
              <w:t>17</w:t>
            </w:r>
            <w:r>
              <w:rPr>
                <w:color w:val="000000"/>
                <w:sz w:val="24"/>
                <w:szCs w:val="24"/>
              </w:rPr>
              <w:t>国开</w:t>
            </w:r>
            <w:r>
              <w:rPr>
                <w:color w:val="000000"/>
                <w:sz w:val="24"/>
                <w:szCs w:val="24"/>
              </w:rPr>
              <w:t>07</w:t>
            </w:r>
          </w:p>
        </w:tc>
        <w:tc>
          <w:tcPr>
            <w:tcW w:w="1387" w:type="dxa"/>
            <w:vAlign w:val="center"/>
          </w:tcPr>
          <w:p w:rsidR="00512EC2" w:rsidRDefault="00CA2507">
            <w:pPr>
              <w:jc w:val="right"/>
            </w:pPr>
            <w:r>
              <w:rPr>
                <w:color w:val="000000"/>
                <w:sz w:val="24"/>
                <w:szCs w:val="24"/>
              </w:rPr>
              <w:t>400,000</w:t>
            </w:r>
          </w:p>
        </w:tc>
        <w:tc>
          <w:tcPr>
            <w:tcW w:w="2150" w:type="dxa"/>
            <w:vAlign w:val="center"/>
          </w:tcPr>
          <w:p w:rsidR="00512EC2" w:rsidRDefault="00CA2507">
            <w:pPr>
              <w:jc w:val="right"/>
            </w:pPr>
            <w:r>
              <w:rPr>
                <w:color w:val="000000"/>
                <w:sz w:val="24"/>
                <w:szCs w:val="24"/>
              </w:rPr>
              <w:t>40,000,000.00</w:t>
            </w:r>
          </w:p>
        </w:tc>
        <w:tc>
          <w:tcPr>
            <w:tcW w:w="1237" w:type="dxa"/>
            <w:vAlign w:val="center"/>
          </w:tcPr>
          <w:p w:rsidR="00512EC2" w:rsidRDefault="00CA2507">
            <w:pPr>
              <w:jc w:val="right"/>
            </w:pPr>
            <w:r>
              <w:rPr>
                <w:color w:val="000000"/>
                <w:sz w:val="24"/>
                <w:szCs w:val="24"/>
              </w:rPr>
              <w:t>1.38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报告期内本基金投资的前十名证券的发行主体除南京银行（证券代码：</w:t>
      </w:r>
      <w:r w:rsidRPr="00BE5388">
        <w:rPr>
          <w:bCs/>
          <w:color w:val="000000"/>
          <w:kern w:val="0"/>
          <w:sz w:val="24"/>
          <w:szCs w:val="24"/>
        </w:rPr>
        <w:t>601009</w:t>
      </w:r>
      <w:r w:rsidRPr="00BE5388">
        <w:rPr>
          <w:bCs/>
          <w:color w:val="000000"/>
          <w:kern w:val="0"/>
          <w:sz w:val="24"/>
          <w:szCs w:val="24"/>
        </w:rPr>
        <w:t>）外，未出现被监管部门立案调查，或在报告编制日前一年内受到公开谴责、处罚的情形。</w:t>
      </w:r>
    </w:p>
    <w:p w:rsidR="00512EC2" w:rsidRDefault="00CA2507">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报告期内本基金投资的前十名证券之一南京银行（证券代码：</w:t>
      </w:r>
      <w:r>
        <w:rPr>
          <w:bCs/>
          <w:color w:val="000000"/>
          <w:kern w:val="0"/>
          <w:sz w:val="24"/>
          <w:szCs w:val="24"/>
        </w:rPr>
        <w:t>601009</w:t>
      </w:r>
      <w:r>
        <w:rPr>
          <w:bCs/>
          <w:color w:val="000000"/>
          <w:kern w:val="0"/>
          <w:sz w:val="24"/>
          <w:szCs w:val="24"/>
        </w:rPr>
        <w:t>）收到中国银行业监督管理委员会江苏监管局行政处罚决定书（苏银监罚决字【</w:t>
      </w:r>
      <w:r>
        <w:rPr>
          <w:bCs/>
          <w:color w:val="000000"/>
          <w:kern w:val="0"/>
          <w:sz w:val="24"/>
          <w:szCs w:val="24"/>
        </w:rPr>
        <w:t>2018</w:t>
      </w:r>
      <w:r>
        <w:rPr>
          <w:bCs/>
          <w:color w:val="000000"/>
          <w:kern w:val="0"/>
          <w:sz w:val="24"/>
          <w:szCs w:val="24"/>
        </w:rPr>
        <w:t>】</w:t>
      </w:r>
      <w:r>
        <w:rPr>
          <w:bCs/>
          <w:color w:val="000000"/>
          <w:kern w:val="0"/>
          <w:sz w:val="24"/>
          <w:szCs w:val="24"/>
        </w:rPr>
        <w:t xml:space="preserve"> 1 </w:t>
      </w:r>
      <w:r>
        <w:rPr>
          <w:bCs/>
          <w:color w:val="000000"/>
          <w:kern w:val="0"/>
          <w:sz w:val="24"/>
          <w:szCs w:val="24"/>
        </w:rPr>
        <w:t>号</w:t>
      </w:r>
      <w:r>
        <w:rPr>
          <w:bCs/>
          <w:color w:val="000000"/>
          <w:kern w:val="0"/>
          <w:sz w:val="24"/>
          <w:szCs w:val="24"/>
        </w:rPr>
        <w:t>,</w:t>
      </w:r>
      <w:r>
        <w:rPr>
          <w:bCs/>
          <w:color w:val="000000"/>
          <w:kern w:val="0"/>
          <w:sz w:val="24"/>
          <w:szCs w:val="24"/>
        </w:rPr>
        <w:t>对镇江分行违规办理票据业务违反审慎经营原则的行为罚款</w:t>
      </w:r>
      <w:r>
        <w:rPr>
          <w:bCs/>
          <w:color w:val="000000"/>
          <w:kern w:val="0"/>
          <w:sz w:val="24"/>
          <w:szCs w:val="24"/>
        </w:rPr>
        <w:t>3230</w:t>
      </w:r>
      <w:r>
        <w:rPr>
          <w:bCs/>
          <w:color w:val="000000"/>
          <w:kern w:val="0"/>
          <w:sz w:val="24"/>
          <w:szCs w:val="24"/>
        </w:rPr>
        <w:t>万元人民币。</w:t>
      </w:r>
    </w:p>
    <w:p w:rsidR="00512EC2" w:rsidRDefault="00CA2507">
      <w:pPr>
        <w:autoSpaceDE w:val="0"/>
        <w:autoSpaceDN w:val="0"/>
        <w:adjustRightInd w:val="0"/>
        <w:spacing w:before="29" w:line="288" w:lineRule="auto"/>
        <w:jc w:val="left"/>
        <w:rPr>
          <w:bCs/>
          <w:color w:val="000000"/>
          <w:kern w:val="0"/>
          <w:sz w:val="24"/>
          <w:szCs w:val="24"/>
        </w:rPr>
      </w:pPr>
      <w:r>
        <w:rPr>
          <w:bCs/>
          <w:color w:val="000000"/>
          <w:kern w:val="0"/>
          <w:sz w:val="24"/>
          <w:szCs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lastRenderedPageBreak/>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1,024,005.84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33,191,720.43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1,417,372.36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2,021,520.13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37,654,618.76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781012">
        <w:trPr>
          <w:jc w:val="center"/>
        </w:trPr>
        <w:tc>
          <w:tcPr>
            <w:tcW w:w="11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56"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8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72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42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781012">
        <w:trPr>
          <w:jc w:val="center"/>
        </w:trPr>
        <w:tc>
          <w:tcPr>
            <w:tcW w:w="1129" w:type="dxa"/>
            <w:vAlign w:val="center"/>
          </w:tcPr>
          <w:p w:rsidR="00781012" w:rsidRDefault="00781012" w:rsidP="00781012">
            <w:pPr>
              <w:jc w:val="center"/>
            </w:pPr>
            <w:r>
              <w:rPr>
                <w:color w:val="000000"/>
                <w:sz w:val="24"/>
                <w:szCs w:val="24"/>
              </w:rPr>
              <w:t>1</w:t>
            </w:r>
          </w:p>
        </w:tc>
        <w:tc>
          <w:tcPr>
            <w:tcW w:w="1356" w:type="dxa"/>
            <w:vAlign w:val="center"/>
          </w:tcPr>
          <w:p w:rsidR="00781012" w:rsidRDefault="00781012" w:rsidP="00781012">
            <w:pPr>
              <w:jc w:val="center"/>
            </w:pPr>
            <w:r>
              <w:rPr>
                <w:color w:val="000000"/>
                <w:sz w:val="24"/>
                <w:szCs w:val="24"/>
              </w:rPr>
              <w:t>601877</w:t>
            </w:r>
          </w:p>
        </w:tc>
        <w:tc>
          <w:tcPr>
            <w:tcW w:w="1355" w:type="dxa"/>
            <w:vAlign w:val="center"/>
          </w:tcPr>
          <w:p w:rsidR="00781012" w:rsidRDefault="00781012" w:rsidP="00781012">
            <w:pPr>
              <w:jc w:val="center"/>
            </w:pPr>
            <w:r>
              <w:rPr>
                <w:color w:val="000000"/>
                <w:sz w:val="24"/>
                <w:szCs w:val="24"/>
              </w:rPr>
              <w:t>正泰电器</w:t>
            </w:r>
          </w:p>
        </w:tc>
        <w:tc>
          <w:tcPr>
            <w:tcW w:w="1880" w:type="dxa"/>
            <w:vAlign w:val="center"/>
          </w:tcPr>
          <w:p w:rsidR="00781012" w:rsidRDefault="00781012" w:rsidP="00781012">
            <w:pPr>
              <w:jc w:val="right"/>
            </w:pPr>
            <w:r>
              <w:rPr>
                <w:color w:val="000000"/>
                <w:sz w:val="24"/>
                <w:szCs w:val="24"/>
              </w:rPr>
              <w:t>35,802,000.00</w:t>
            </w:r>
          </w:p>
        </w:tc>
        <w:tc>
          <w:tcPr>
            <w:tcW w:w="1724" w:type="dxa"/>
            <w:vAlign w:val="center"/>
          </w:tcPr>
          <w:p w:rsidR="00781012" w:rsidRDefault="00781012" w:rsidP="00781012">
            <w:pPr>
              <w:jc w:val="right"/>
            </w:pPr>
            <w:r>
              <w:rPr>
                <w:color w:val="000000"/>
                <w:sz w:val="24"/>
                <w:szCs w:val="24"/>
              </w:rPr>
              <w:t>1.23</w:t>
            </w:r>
          </w:p>
        </w:tc>
        <w:tc>
          <w:tcPr>
            <w:tcW w:w="1424" w:type="dxa"/>
            <w:vAlign w:val="center"/>
          </w:tcPr>
          <w:p w:rsidR="00781012" w:rsidRDefault="00781012" w:rsidP="00781012">
            <w:pPr>
              <w:jc w:val="right"/>
            </w:pPr>
            <w:r>
              <w:rPr>
                <w:color w:val="000000"/>
                <w:sz w:val="24"/>
                <w:szCs w:val="24"/>
              </w:rPr>
              <w:t>限售股</w:t>
            </w:r>
          </w:p>
        </w:tc>
      </w:tr>
      <w:tr w:rsidR="00512EC2">
        <w:trPr>
          <w:jc w:val="center"/>
        </w:trPr>
        <w:tc>
          <w:tcPr>
            <w:tcW w:w="1129" w:type="dxa"/>
            <w:vAlign w:val="center"/>
          </w:tcPr>
          <w:p w:rsidR="00512EC2" w:rsidRDefault="00781012">
            <w:pPr>
              <w:jc w:val="center"/>
            </w:pPr>
            <w:r>
              <w:rPr>
                <w:color w:val="000000"/>
                <w:sz w:val="24"/>
                <w:szCs w:val="24"/>
              </w:rPr>
              <w:t>2</w:t>
            </w:r>
          </w:p>
        </w:tc>
        <w:tc>
          <w:tcPr>
            <w:tcW w:w="1356" w:type="dxa"/>
            <w:vAlign w:val="center"/>
          </w:tcPr>
          <w:p w:rsidR="00512EC2" w:rsidRDefault="00CA2507">
            <w:pPr>
              <w:jc w:val="center"/>
            </w:pPr>
            <w:r>
              <w:rPr>
                <w:color w:val="000000"/>
                <w:sz w:val="24"/>
                <w:szCs w:val="24"/>
              </w:rPr>
              <w:t>002027</w:t>
            </w:r>
          </w:p>
        </w:tc>
        <w:tc>
          <w:tcPr>
            <w:tcW w:w="1355" w:type="dxa"/>
            <w:vAlign w:val="center"/>
          </w:tcPr>
          <w:p w:rsidR="00512EC2" w:rsidRDefault="00CA2507">
            <w:pPr>
              <w:jc w:val="center"/>
            </w:pPr>
            <w:r>
              <w:rPr>
                <w:color w:val="000000"/>
                <w:sz w:val="24"/>
                <w:szCs w:val="24"/>
              </w:rPr>
              <w:t>分众传媒</w:t>
            </w:r>
          </w:p>
        </w:tc>
        <w:tc>
          <w:tcPr>
            <w:tcW w:w="1880" w:type="dxa"/>
            <w:vAlign w:val="center"/>
          </w:tcPr>
          <w:p w:rsidR="00512EC2" w:rsidRDefault="00CA2507">
            <w:pPr>
              <w:jc w:val="right"/>
            </w:pPr>
            <w:r>
              <w:rPr>
                <w:color w:val="000000"/>
                <w:sz w:val="24"/>
                <w:szCs w:val="24"/>
              </w:rPr>
              <w:t>27,300,000.00</w:t>
            </w:r>
          </w:p>
        </w:tc>
        <w:tc>
          <w:tcPr>
            <w:tcW w:w="1724" w:type="dxa"/>
            <w:vAlign w:val="center"/>
          </w:tcPr>
          <w:p w:rsidR="00512EC2" w:rsidRDefault="00CA2507">
            <w:pPr>
              <w:jc w:val="right"/>
            </w:pPr>
            <w:r>
              <w:rPr>
                <w:color w:val="000000"/>
                <w:sz w:val="24"/>
                <w:szCs w:val="24"/>
              </w:rPr>
              <w:t>0.94</w:t>
            </w:r>
          </w:p>
        </w:tc>
        <w:tc>
          <w:tcPr>
            <w:tcW w:w="1424" w:type="dxa"/>
            <w:vAlign w:val="center"/>
          </w:tcPr>
          <w:p w:rsidR="00512EC2" w:rsidRDefault="00CA2507">
            <w:pPr>
              <w:jc w:val="right"/>
            </w:pPr>
            <w:r>
              <w:rPr>
                <w:color w:val="000000"/>
                <w:sz w:val="24"/>
                <w:szCs w:val="24"/>
              </w:rPr>
              <w:t>限售股</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1F3E2A" w:rsidRDefault="001F3E2A" w:rsidP="00811F33">
      <w:pPr>
        <w:spacing w:before="29" w:line="288" w:lineRule="auto"/>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本报告期持有的基金发生的重大影响事件</w:t>
      </w:r>
    </w:p>
    <w:p w:rsidR="001F3E2A" w:rsidRPr="00810003" w:rsidRDefault="00810003" w:rsidP="00810003">
      <w:pPr>
        <w:spacing w:before="29" w:line="288" w:lineRule="auto"/>
        <w:ind w:firstLineChars="200" w:firstLine="480"/>
        <w:rPr>
          <w:color w:val="000000"/>
          <w:sz w:val="24"/>
          <w:szCs w:val="24"/>
        </w:rPr>
      </w:pPr>
      <w:r>
        <w:rPr>
          <w:rFonts w:hint="eastAsia"/>
          <w:color w:val="000000"/>
          <w:sz w:val="24"/>
          <w:szCs w:val="24"/>
        </w:rPr>
        <w:lastRenderedPageBreak/>
        <w:t>无。</w:t>
      </w: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1,172,976,244.97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531,687,032.22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223,731,910.94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1,480,931,366.25</w:t>
            </w:r>
          </w:p>
        </w:tc>
      </w:tr>
    </w:tbl>
    <w:p w:rsidR="00512EC2" w:rsidRDefault="00CA250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512EC2">
        <w:tc>
          <w:tcPr>
            <w:tcW w:w="993" w:type="dxa"/>
            <w:vMerge w:val="restart"/>
          </w:tcPr>
          <w:p w:rsidR="00512EC2" w:rsidRDefault="00512EC2"/>
          <w:p w:rsidR="00512EC2" w:rsidRDefault="00CA2507">
            <w:r>
              <w:rPr>
                <w:rFonts w:ascii="宋体" w:hAnsi="宋体" w:hint="eastAsia"/>
                <w:bCs/>
                <w:color w:val="000000"/>
                <w:kern w:val="0"/>
              </w:rPr>
              <w:t>机构</w:t>
            </w:r>
          </w:p>
        </w:tc>
        <w:tc>
          <w:tcPr>
            <w:tcW w:w="992" w:type="dxa"/>
            <w:vAlign w:val="center"/>
          </w:tcPr>
          <w:p w:rsidR="00512EC2" w:rsidRDefault="00CA2507">
            <w:pPr>
              <w:jc w:val="center"/>
            </w:pPr>
            <w:r>
              <w:rPr>
                <w:rFonts w:ascii="宋体" w:hAnsi="宋体"/>
                <w:color w:val="000000"/>
                <w:kern w:val="0"/>
              </w:rPr>
              <w:t>1</w:t>
            </w:r>
          </w:p>
        </w:tc>
        <w:tc>
          <w:tcPr>
            <w:tcW w:w="1843" w:type="dxa"/>
            <w:vAlign w:val="center"/>
          </w:tcPr>
          <w:p w:rsidR="00512EC2" w:rsidRDefault="00CA2507">
            <w:pPr>
              <w:jc w:val="center"/>
            </w:pPr>
            <w:r>
              <w:rPr>
                <w:rFonts w:ascii="宋体" w:hAnsi="宋体"/>
                <w:color w:val="000000"/>
                <w:kern w:val="0"/>
              </w:rPr>
              <w:t>2018/4/1-2018/6/30</w:t>
            </w:r>
          </w:p>
        </w:tc>
        <w:tc>
          <w:tcPr>
            <w:tcW w:w="851" w:type="dxa"/>
            <w:vAlign w:val="center"/>
          </w:tcPr>
          <w:p w:rsidR="00512EC2" w:rsidRDefault="00CA2507">
            <w:pPr>
              <w:jc w:val="center"/>
            </w:pPr>
            <w:r>
              <w:rPr>
                <w:rFonts w:ascii="宋体" w:hAnsi="宋体"/>
                <w:color w:val="000000"/>
                <w:kern w:val="0"/>
              </w:rPr>
              <w:t>211,274,971.01</w:t>
            </w:r>
          </w:p>
        </w:tc>
        <w:tc>
          <w:tcPr>
            <w:tcW w:w="850" w:type="dxa"/>
            <w:vAlign w:val="center"/>
          </w:tcPr>
          <w:p w:rsidR="00512EC2" w:rsidRDefault="00CA2507">
            <w:pPr>
              <w:jc w:val="center"/>
            </w:pPr>
            <w:r>
              <w:rPr>
                <w:rFonts w:ascii="宋体" w:hAnsi="宋体"/>
                <w:color w:val="000000"/>
                <w:kern w:val="0"/>
              </w:rPr>
              <w:t>47,800,669.22</w:t>
            </w:r>
          </w:p>
        </w:tc>
        <w:tc>
          <w:tcPr>
            <w:tcW w:w="1134" w:type="dxa"/>
            <w:vAlign w:val="center"/>
          </w:tcPr>
          <w:p w:rsidR="00512EC2" w:rsidRDefault="00CA2507">
            <w:pPr>
              <w:jc w:val="center"/>
            </w:pPr>
            <w:r>
              <w:rPr>
                <w:rFonts w:ascii="宋体" w:hAnsi="宋体"/>
                <w:color w:val="000000"/>
                <w:kern w:val="0"/>
              </w:rPr>
              <w:t>-</w:t>
            </w:r>
          </w:p>
        </w:tc>
        <w:tc>
          <w:tcPr>
            <w:tcW w:w="1419" w:type="dxa"/>
            <w:vAlign w:val="center"/>
          </w:tcPr>
          <w:p w:rsidR="00512EC2" w:rsidRDefault="00CA2507">
            <w:pPr>
              <w:jc w:val="center"/>
            </w:pPr>
            <w:r>
              <w:rPr>
                <w:rFonts w:ascii="宋体" w:hAnsi="宋体"/>
                <w:color w:val="000000"/>
                <w:kern w:val="0"/>
              </w:rPr>
              <w:t>259,075,640.23</w:t>
            </w:r>
          </w:p>
        </w:tc>
        <w:tc>
          <w:tcPr>
            <w:tcW w:w="1130" w:type="dxa"/>
            <w:vAlign w:val="center"/>
          </w:tcPr>
          <w:p w:rsidR="00512EC2" w:rsidRDefault="00CA2507">
            <w:pPr>
              <w:jc w:val="center"/>
            </w:pPr>
            <w:r>
              <w:rPr>
                <w:rFonts w:ascii="宋体" w:hAnsi="宋体"/>
                <w:color w:val="000000"/>
                <w:kern w:val="0"/>
              </w:rPr>
              <w:t>17.49%</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w:t>
            </w:r>
            <w:r w:rsidRPr="004F4D27">
              <w:rPr>
                <w:rFonts w:ascii="宋体" w:hAnsi="宋体" w:hint="eastAsia"/>
                <w:kern w:val="0"/>
              </w:rPr>
              <w:lastRenderedPageBreak/>
              <w:t>强流动性管理，防范相关风险，保护持有人利益。</w:t>
            </w:r>
          </w:p>
        </w:tc>
      </w:tr>
    </w:tbl>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512EC2" w:rsidRDefault="00CA250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、中国证监会准予交银施罗德新成长股票型证券投资基金募集注册的文件；</w:t>
      </w:r>
    </w:p>
    <w:p w:rsidR="00512EC2" w:rsidRDefault="00CA2507">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、《交银施罗德新成长混合型证券投资基金基金合同》；</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、《交银施罗德新成长混合型证券投资基金招募说明书》；</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、《交银施罗德新成长混合型证券投资基金托管协议》；</w:t>
      </w:r>
    </w:p>
    <w:p w:rsidR="00512EC2" w:rsidRDefault="00CA2507">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、关于申请募集注册交银施罗德新成长股票型证券投资基金的法律意见书；</w:t>
      </w:r>
      <w:r>
        <w:rPr>
          <w:color w:val="000000"/>
          <w:sz w:val="24"/>
          <w:szCs w:val="24"/>
        </w:rPr>
        <w:t xml:space="preserve"> </w:t>
      </w:r>
    </w:p>
    <w:p w:rsidR="00512EC2" w:rsidRDefault="00CA2507">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512EC2" w:rsidRDefault="00CA2507">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、报告期内交银施罗德新成长混合型证券投资基金在指定报刊上各项公告的原稿。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512EC2" w:rsidRDefault="00CA250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8F" w:rsidRDefault="00C1128F" w:rsidP="00876D65">
      <w:r>
        <w:separator/>
      </w:r>
    </w:p>
  </w:endnote>
  <w:endnote w:type="continuationSeparator" w:id="0">
    <w:p w:rsidR="00C1128F" w:rsidRDefault="00C1128F"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147D5A">
      <w:rPr>
        <w:noProof/>
        <w:kern w:val="0"/>
        <w:szCs w:val="21"/>
      </w:rPr>
      <w:t>12</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147D5A">
      <w:rPr>
        <w:noProof/>
        <w:kern w:val="0"/>
        <w:szCs w:val="21"/>
      </w:rPr>
      <w:t>12</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8F" w:rsidRDefault="00C1128F" w:rsidP="00876D65">
      <w:r>
        <w:separator/>
      </w:r>
    </w:p>
  </w:footnote>
  <w:footnote w:type="continuationSeparator" w:id="0">
    <w:p w:rsidR="00C1128F" w:rsidRDefault="00C1128F"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交银施罗德新成长混合型证券投资基金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47D5A"/>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2EC2"/>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56F"/>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012"/>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0003"/>
    <w:rsid w:val="00811F33"/>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128F"/>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2507"/>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 w:id="18211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5FA6-88DA-4F0A-811F-2B140C60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12</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580</cp:revision>
  <dcterms:created xsi:type="dcterms:W3CDTF">2012-10-16T06:07:00Z</dcterms:created>
  <dcterms:modified xsi:type="dcterms:W3CDTF">2018-07-16T08:39:00Z</dcterms:modified>
</cp:coreProperties>
</file>