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default" r:id="rId8"/>
          <w:footerReference w:type="default" r:id="rId9"/>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16,863,979.23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13,853,932.13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3,010,047.10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-62,401.43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-46,452.37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-363,466.85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10,377.61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13,624,631.18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2,933,378.23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0.975</w:t>
            </w:r>
          </w:p>
        </w:tc>
      </w:tr>
    </w:tbl>
    <w:p w:rsidR="00B03DA5" w:rsidRDefault="009C5F8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B03DA5" w:rsidRDefault="009C5F8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3DA5">
        <w:trPr>
          <w:jc w:val="center"/>
        </w:trPr>
        <w:tc>
          <w:tcPr>
            <w:tcW w:w="1266" w:type="dxa"/>
            <w:vAlign w:val="center"/>
          </w:tcPr>
          <w:p w:rsidR="00B03DA5" w:rsidRDefault="009C5F84">
            <w:pPr>
              <w:jc w:val="left"/>
            </w:pPr>
            <w:r>
              <w:rPr>
                <w:color w:val="000000"/>
                <w:sz w:val="24"/>
              </w:rPr>
              <w:t>过去三个月</w:t>
            </w:r>
          </w:p>
        </w:tc>
        <w:tc>
          <w:tcPr>
            <w:tcW w:w="1267" w:type="dxa"/>
            <w:vAlign w:val="center"/>
          </w:tcPr>
          <w:p w:rsidR="00B03DA5" w:rsidRDefault="009C5F84">
            <w:pPr>
              <w:jc w:val="center"/>
            </w:pPr>
            <w:r>
              <w:rPr>
                <w:color w:val="000000"/>
                <w:sz w:val="24"/>
              </w:rPr>
              <w:t>-1.99%</w:t>
            </w:r>
          </w:p>
        </w:tc>
        <w:tc>
          <w:tcPr>
            <w:tcW w:w="1267" w:type="dxa"/>
            <w:vAlign w:val="center"/>
          </w:tcPr>
          <w:p w:rsidR="00B03DA5" w:rsidRDefault="009C5F84">
            <w:pPr>
              <w:jc w:val="center"/>
            </w:pPr>
            <w:r>
              <w:rPr>
                <w:color w:val="000000"/>
                <w:sz w:val="24"/>
              </w:rPr>
              <w:t>0.47%</w:t>
            </w:r>
          </w:p>
        </w:tc>
        <w:tc>
          <w:tcPr>
            <w:tcW w:w="1267" w:type="dxa"/>
            <w:vAlign w:val="center"/>
          </w:tcPr>
          <w:p w:rsidR="00B03DA5" w:rsidRDefault="009C5F84">
            <w:pPr>
              <w:jc w:val="center"/>
            </w:pPr>
            <w:r>
              <w:rPr>
                <w:color w:val="000000"/>
                <w:sz w:val="24"/>
              </w:rPr>
              <w:t>1.01%</w:t>
            </w:r>
          </w:p>
        </w:tc>
        <w:tc>
          <w:tcPr>
            <w:tcW w:w="1267" w:type="dxa"/>
            <w:vAlign w:val="center"/>
          </w:tcPr>
          <w:p w:rsidR="00B03DA5" w:rsidRDefault="009C5F84">
            <w:pPr>
              <w:jc w:val="center"/>
            </w:pPr>
            <w:r>
              <w:rPr>
                <w:color w:val="000000"/>
                <w:sz w:val="24"/>
              </w:rPr>
              <w:t>0.10%</w:t>
            </w:r>
          </w:p>
        </w:tc>
        <w:tc>
          <w:tcPr>
            <w:tcW w:w="1267" w:type="dxa"/>
            <w:vAlign w:val="center"/>
          </w:tcPr>
          <w:p w:rsidR="00B03DA5" w:rsidRDefault="009C5F84">
            <w:pPr>
              <w:jc w:val="center"/>
            </w:pPr>
            <w:r>
              <w:rPr>
                <w:color w:val="000000"/>
                <w:sz w:val="24"/>
              </w:rPr>
              <w:t>-3.00%</w:t>
            </w:r>
          </w:p>
        </w:tc>
        <w:tc>
          <w:tcPr>
            <w:tcW w:w="1267" w:type="dxa"/>
            <w:vAlign w:val="center"/>
          </w:tcPr>
          <w:p w:rsidR="00B03DA5" w:rsidRDefault="009C5F84">
            <w:pPr>
              <w:jc w:val="center"/>
            </w:pPr>
            <w:r>
              <w:rPr>
                <w:color w:val="000000"/>
                <w:sz w:val="24"/>
              </w:rPr>
              <w:t>0.37%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3DA5">
        <w:trPr>
          <w:jc w:val="center"/>
        </w:trPr>
        <w:tc>
          <w:tcPr>
            <w:tcW w:w="1266" w:type="dxa"/>
            <w:vAlign w:val="center"/>
          </w:tcPr>
          <w:p w:rsidR="00B03DA5" w:rsidRDefault="009C5F84">
            <w:pPr>
              <w:jc w:val="left"/>
            </w:pPr>
            <w:r>
              <w:rPr>
                <w:color w:val="000000"/>
                <w:sz w:val="24"/>
              </w:rPr>
              <w:t>过去三个月</w:t>
            </w:r>
          </w:p>
        </w:tc>
        <w:tc>
          <w:tcPr>
            <w:tcW w:w="1267" w:type="dxa"/>
            <w:vAlign w:val="center"/>
          </w:tcPr>
          <w:p w:rsidR="00B03DA5" w:rsidRDefault="009C5F84">
            <w:pPr>
              <w:jc w:val="center"/>
            </w:pPr>
            <w:r>
              <w:rPr>
                <w:color w:val="000000"/>
                <w:sz w:val="24"/>
              </w:rPr>
              <w:t>-2.11%</w:t>
            </w:r>
          </w:p>
        </w:tc>
        <w:tc>
          <w:tcPr>
            <w:tcW w:w="1267" w:type="dxa"/>
            <w:vAlign w:val="center"/>
          </w:tcPr>
          <w:p w:rsidR="00B03DA5" w:rsidRDefault="009C5F84">
            <w:pPr>
              <w:jc w:val="center"/>
            </w:pPr>
            <w:r>
              <w:rPr>
                <w:color w:val="000000"/>
                <w:sz w:val="24"/>
              </w:rPr>
              <w:t>0.48%</w:t>
            </w:r>
          </w:p>
        </w:tc>
        <w:tc>
          <w:tcPr>
            <w:tcW w:w="1267" w:type="dxa"/>
            <w:vAlign w:val="center"/>
          </w:tcPr>
          <w:p w:rsidR="00B03DA5" w:rsidRDefault="009C5F84">
            <w:pPr>
              <w:jc w:val="center"/>
            </w:pPr>
            <w:r>
              <w:rPr>
                <w:color w:val="000000"/>
                <w:sz w:val="24"/>
              </w:rPr>
              <w:t>1.01%</w:t>
            </w:r>
          </w:p>
        </w:tc>
        <w:tc>
          <w:tcPr>
            <w:tcW w:w="1267" w:type="dxa"/>
            <w:vAlign w:val="center"/>
          </w:tcPr>
          <w:p w:rsidR="00B03DA5" w:rsidRDefault="009C5F84">
            <w:pPr>
              <w:jc w:val="center"/>
            </w:pPr>
            <w:r>
              <w:rPr>
                <w:color w:val="000000"/>
                <w:sz w:val="24"/>
              </w:rPr>
              <w:t>0.10%</w:t>
            </w:r>
          </w:p>
        </w:tc>
        <w:tc>
          <w:tcPr>
            <w:tcW w:w="1267" w:type="dxa"/>
            <w:vAlign w:val="center"/>
          </w:tcPr>
          <w:p w:rsidR="00B03DA5" w:rsidRDefault="009C5F84">
            <w:pPr>
              <w:jc w:val="center"/>
            </w:pPr>
            <w:r>
              <w:rPr>
                <w:color w:val="000000"/>
                <w:sz w:val="24"/>
              </w:rPr>
              <w:t>-3.12%</w:t>
            </w:r>
          </w:p>
        </w:tc>
        <w:tc>
          <w:tcPr>
            <w:tcW w:w="1267" w:type="dxa"/>
            <w:vAlign w:val="center"/>
          </w:tcPr>
          <w:p w:rsidR="00B03DA5" w:rsidRDefault="009C5F84">
            <w:pPr>
              <w:jc w:val="center"/>
            </w:pPr>
            <w:r>
              <w:rPr>
                <w:color w:val="000000"/>
                <w:sz w:val="24"/>
              </w:rPr>
              <w:t>0.38%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03DA5">
        <w:trPr>
          <w:jc w:val="center"/>
        </w:trPr>
        <w:tc>
          <w:tcPr>
            <w:tcW w:w="946" w:type="dxa"/>
            <w:vAlign w:val="center"/>
          </w:tcPr>
          <w:p w:rsidR="00B03DA5" w:rsidRDefault="009C5F84">
            <w:pPr>
              <w:jc w:val="center"/>
            </w:pPr>
            <w:r>
              <w:rPr>
                <w:color w:val="000000"/>
                <w:sz w:val="24"/>
              </w:rPr>
              <w:t>凌超</w:t>
            </w:r>
          </w:p>
        </w:tc>
        <w:tc>
          <w:tcPr>
            <w:tcW w:w="924" w:type="dxa"/>
            <w:vAlign w:val="center"/>
          </w:tcPr>
          <w:p w:rsidR="00B03DA5" w:rsidRDefault="009C5F84">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B03DA5" w:rsidRDefault="009C5F84">
            <w:pPr>
              <w:jc w:val="center"/>
            </w:pPr>
            <w:r>
              <w:rPr>
                <w:color w:val="000000"/>
                <w:sz w:val="24"/>
              </w:rPr>
              <w:t>2018-02-13</w:t>
            </w:r>
          </w:p>
        </w:tc>
        <w:tc>
          <w:tcPr>
            <w:tcW w:w="1300" w:type="dxa"/>
            <w:vAlign w:val="center"/>
          </w:tcPr>
          <w:p w:rsidR="00B03DA5" w:rsidRDefault="009C5F84">
            <w:pPr>
              <w:jc w:val="center"/>
            </w:pPr>
            <w:r>
              <w:rPr>
                <w:color w:val="000000"/>
                <w:sz w:val="24"/>
              </w:rPr>
              <w:t>-</w:t>
            </w:r>
          </w:p>
        </w:tc>
        <w:tc>
          <w:tcPr>
            <w:tcW w:w="1245" w:type="dxa"/>
            <w:vAlign w:val="center"/>
          </w:tcPr>
          <w:p w:rsidR="00B03DA5" w:rsidRDefault="009C5F84">
            <w:pPr>
              <w:jc w:val="center"/>
            </w:pPr>
            <w:r>
              <w:rPr>
                <w:color w:val="000000"/>
                <w:sz w:val="24"/>
              </w:rPr>
              <w:t>12</w:t>
            </w:r>
            <w:r>
              <w:rPr>
                <w:color w:val="000000"/>
                <w:sz w:val="24"/>
              </w:rPr>
              <w:t>年</w:t>
            </w:r>
          </w:p>
        </w:tc>
        <w:tc>
          <w:tcPr>
            <w:tcW w:w="3251" w:type="dxa"/>
            <w:vAlign w:val="center"/>
          </w:tcPr>
          <w:p w:rsidR="00B03DA5" w:rsidRDefault="009C5F84">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lastRenderedPageBreak/>
              <w:t>年</w:t>
            </w:r>
            <w:r>
              <w:rPr>
                <w:color w:val="000000"/>
                <w:sz w:val="24"/>
              </w:rPr>
              <w:t>7</w:t>
            </w:r>
            <w:r>
              <w:rPr>
                <w:color w:val="000000"/>
                <w:sz w:val="24"/>
              </w:rPr>
              <w:t>月加入交银施罗德基金管理有限公司。</w:t>
            </w:r>
          </w:p>
        </w:tc>
      </w:tr>
      <w:tr w:rsidR="00B03DA5">
        <w:trPr>
          <w:jc w:val="center"/>
        </w:trPr>
        <w:tc>
          <w:tcPr>
            <w:tcW w:w="946" w:type="dxa"/>
            <w:vAlign w:val="center"/>
          </w:tcPr>
          <w:p w:rsidR="00B03DA5" w:rsidRDefault="009C5F84">
            <w:pPr>
              <w:jc w:val="center"/>
            </w:pPr>
            <w:r>
              <w:rPr>
                <w:color w:val="000000"/>
                <w:sz w:val="24"/>
              </w:rPr>
              <w:lastRenderedPageBreak/>
              <w:t>于海颖</w:t>
            </w:r>
          </w:p>
        </w:tc>
        <w:tc>
          <w:tcPr>
            <w:tcW w:w="924" w:type="dxa"/>
            <w:vAlign w:val="center"/>
          </w:tcPr>
          <w:p w:rsidR="00B03DA5" w:rsidRDefault="009C5F84">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w:t>
            </w:r>
            <w:r>
              <w:rPr>
                <w:color w:val="000000"/>
                <w:sz w:val="24"/>
              </w:rPr>
              <w:lastRenderedPageBreak/>
              <w:t>银丰晟收益债券、交银裕如纯债债券的基金经理，公司固定收益（公募）投资总监</w:t>
            </w:r>
          </w:p>
        </w:tc>
        <w:tc>
          <w:tcPr>
            <w:tcW w:w="1202" w:type="dxa"/>
            <w:vAlign w:val="center"/>
          </w:tcPr>
          <w:p w:rsidR="00B03DA5" w:rsidRDefault="009C5F84">
            <w:pPr>
              <w:jc w:val="center"/>
            </w:pPr>
            <w:r>
              <w:rPr>
                <w:color w:val="000000"/>
                <w:sz w:val="24"/>
              </w:rPr>
              <w:lastRenderedPageBreak/>
              <w:t>2017-06-10</w:t>
            </w:r>
          </w:p>
        </w:tc>
        <w:tc>
          <w:tcPr>
            <w:tcW w:w="1300" w:type="dxa"/>
            <w:vAlign w:val="center"/>
          </w:tcPr>
          <w:p w:rsidR="00B03DA5" w:rsidRDefault="009C5F84">
            <w:pPr>
              <w:jc w:val="center"/>
            </w:pPr>
            <w:r>
              <w:rPr>
                <w:color w:val="000000"/>
                <w:sz w:val="24"/>
              </w:rPr>
              <w:t>-</w:t>
            </w:r>
          </w:p>
        </w:tc>
        <w:tc>
          <w:tcPr>
            <w:tcW w:w="1245" w:type="dxa"/>
            <w:vAlign w:val="center"/>
          </w:tcPr>
          <w:p w:rsidR="00B03DA5" w:rsidRDefault="009C5F84">
            <w:pPr>
              <w:jc w:val="center"/>
            </w:pPr>
            <w:r>
              <w:rPr>
                <w:color w:val="000000"/>
                <w:sz w:val="24"/>
              </w:rPr>
              <w:t>12</w:t>
            </w:r>
            <w:r>
              <w:rPr>
                <w:color w:val="000000"/>
                <w:sz w:val="24"/>
              </w:rPr>
              <w:t>年</w:t>
            </w:r>
          </w:p>
        </w:tc>
        <w:tc>
          <w:tcPr>
            <w:tcW w:w="3251" w:type="dxa"/>
            <w:vAlign w:val="center"/>
          </w:tcPr>
          <w:p w:rsidR="00B03DA5" w:rsidRDefault="009C5F8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03DA5" w:rsidRDefault="009C5F8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3DA5" w:rsidRDefault="009C5F8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3DA5" w:rsidRDefault="009C5F8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03DA5" w:rsidRDefault="009C5F84">
      <w:pPr>
        <w:spacing w:before="29" w:line="288" w:lineRule="auto"/>
        <w:ind w:firstLineChars="200" w:firstLine="480"/>
        <w:rPr>
          <w:color w:val="000000"/>
          <w:sz w:val="24"/>
        </w:rPr>
      </w:pPr>
      <w:r>
        <w:rPr>
          <w:color w:val="000000"/>
          <w:sz w:val="24"/>
        </w:rPr>
        <w:t>二季度以来在央行降准、表外融资持续收缩、经济通胀趋弱、贸易战局势反复等多方面因素交织的背景下，债券收益率呈现出先下后上继而再次大幅下行的宽幅波动态势。四月上旬债券收益率延续了一季度以来的下行趋势，央行在四月宣布降准</w:t>
      </w:r>
      <w:r>
        <w:rPr>
          <w:color w:val="000000"/>
          <w:sz w:val="24"/>
        </w:rPr>
        <w:t>1</w:t>
      </w:r>
      <w:r>
        <w:rPr>
          <w:color w:val="000000"/>
          <w:sz w:val="24"/>
        </w:rPr>
        <w:t>个百分点置换</w:t>
      </w:r>
      <w:r>
        <w:rPr>
          <w:color w:val="000000"/>
          <w:sz w:val="24"/>
        </w:rPr>
        <w:t>MLF</w:t>
      </w:r>
      <w:r>
        <w:rPr>
          <w:color w:val="000000"/>
          <w:sz w:val="24"/>
        </w:rPr>
        <w:t>操作，债券市场在降准后出现强势上涨，收益率大幅下行，但随后由于降准释放资金和缴税缴准错位，出现了季末流动性紧张的情况，同时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个百分点，收益率再次开启大幅下行空间，截至六月底，十年期国开收益率自三月末</w:t>
      </w:r>
      <w:r>
        <w:rPr>
          <w:color w:val="000000"/>
          <w:sz w:val="24"/>
        </w:rPr>
        <w:t>4.65%</w:t>
      </w:r>
      <w:r>
        <w:rPr>
          <w:color w:val="000000"/>
          <w:sz w:val="24"/>
        </w:rPr>
        <w:t>下行至</w:t>
      </w:r>
      <w:r>
        <w:rPr>
          <w:color w:val="000000"/>
          <w:sz w:val="24"/>
        </w:rPr>
        <w:t>4.25%</w:t>
      </w:r>
      <w:r>
        <w:rPr>
          <w:color w:val="000000"/>
          <w:sz w:val="24"/>
        </w:rPr>
        <w:t>，市场涨幅明显。信用债方面，受到信用事件的影响，本报告期信用利差出现了一定走阔。</w:t>
      </w:r>
    </w:p>
    <w:p w:rsidR="00B03DA5" w:rsidRDefault="009C5F84">
      <w:pPr>
        <w:spacing w:before="29" w:line="288" w:lineRule="auto"/>
        <w:ind w:firstLineChars="200" w:firstLine="480"/>
        <w:rPr>
          <w:color w:val="000000"/>
          <w:sz w:val="24"/>
        </w:rPr>
      </w:pPr>
      <w:r>
        <w:rPr>
          <w:color w:val="000000"/>
          <w:sz w:val="24"/>
        </w:rPr>
        <w:t>权益市场方面，在经历一季度地产金融及成长的上行后，二季度市场出现调整，消费、价值及部分基本面维持高景气的强周期板块具备一定的防御属性。</w:t>
      </w:r>
    </w:p>
    <w:p w:rsidR="00B03DA5" w:rsidRDefault="009C5F84">
      <w:pPr>
        <w:spacing w:before="29" w:line="288" w:lineRule="auto"/>
        <w:ind w:firstLineChars="200" w:firstLine="480"/>
        <w:rPr>
          <w:color w:val="000000"/>
          <w:sz w:val="24"/>
        </w:rPr>
      </w:pPr>
      <w:r>
        <w:rPr>
          <w:color w:val="000000"/>
          <w:sz w:val="24"/>
        </w:rPr>
        <w:t>本报告期内，考虑到组合规模，债券方面以流动性较好的交易所利率债为主，二季度择机拉长组合久期。股票方面，组合集中配置高景气细分行业。</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社会融资总额增速下滑对于总需求的影响可能逐渐体现，在通胀总体可控，流动性较去年改善的情况下，我们维持对债市谨慎乐观看法，并视市场情况择机考虑继续拉长久期。权益方面，组合将继续关注政策执行对于配置资金的影响，以及海外不确定性事件的进展，并将侧重于挑选高景气细分行业及估值调整至合理的优质个股，择机提升仓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0.983</w:t>
      </w:r>
      <w:r w:rsidRPr="007F52FA">
        <w:rPr>
          <w:color w:val="000000"/>
          <w:sz w:val="24"/>
        </w:rPr>
        <w:t>元，本报告期份额净值增长率为</w:t>
      </w:r>
      <w:r w:rsidRPr="007F52FA">
        <w:rPr>
          <w:color w:val="000000"/>
          <w:sz w:val="24"/>
        </w:rPr>
        <w:t>-1.99%</w:t>
      </w:r>
      <w:r w:rsidRPr="007F52FA">
        <w:rPr>
          <w:color w:val="000000"/>
          <w:sz w:val="24"/>
        </w:rPr>
        <w:t>，同期业绩比较基准增长率为</w:t>
      </w:r>
      <w:r w:rsidRPr="007F52FA">
        <w:rPr>
          <w:color w:val="000000"/>
          <w:sz w:val="24"/>
        </w:rPr>
        <w:t>1.01%</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0.975</w:t>
      </w:r>
      <w:r w:rsidRPr="007F52FA">
        <w:rPr>
          <w:color w:val="000000"/>
          <w:sz w:val="24"/>
        </w:rPr>
        <w:t>元，本报告期份额净值增长率为</w:t>
      </w:r>
      <w:r w:rsidRPr="007F52FA">
        <w:rPr>
          <w:color w:val="000000"/>
          <w:sz w:val="24"/>
        </w:rPr>
        <w:t>-2.11%</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w:t>
      </w:r>
      <w:r w:rsidRPr="002070B4">
        <w:rPr>
          <w:color w:val="000000"/>
          <w:sz w:val="24"/>
        </w:rPr>
        <w:lastRenderedPageBreak/>
        <w:t>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833,456.00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833,456.00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14,619,538.70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14,619,538.70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571,855.52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1,021,567.08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17,046,417.30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322,170.00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339,086.00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172,200.00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833,456.00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5.03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03DA5">
        <w:trPr>
          <w:jc w:val="center"/>
        </w:trPr>
        <w:tc>
          <w:tcPr>
            <w:tcW w:w="850" w:type="dxa"/>
            <w:vAlign w:val="center"/>
          </w:tcPr>
          <w:p w:rsidR="00B03DA5" w:rsidRDefault="009C5F84">
            <w:pPr>
              <w:jc w:val="center"/>
            </w:pPr>
            <w:r>
              <w:rPr>
                <w:color w:val="000000"/>
                <w:sz w:val="24"/>
              </w:rPr>
              <w:t>1</w:t>
            </w:r>
          </w:p>
        </w:tc>
        <w:tc>
          <w:tcPr>
            <w:tcW w:w="1327" w:type="dxa"/>
            <w:vAlign w:val="center"/>
          </w:tcPr>
          <w:p w:rsidR="00B03DA5" w:rsidRDefault="009C5F84">
            <w:pPr>
              <w:jc w:val="center"/>
            </w:pPr>
            <w:r>
              <w:rPr>
                <w:color w:val="000000"/>
                <w:sz w:val="24"/>
              </w:rPr>
              <w:t>000681</w:t>
            </w:r>
          </w:p>
        </w:tc>
        <w:tc>
          <w:tcPr>
            <w:tcW w:w="1769" w:type="dxa"/>
            <w:vAlign w:val="center"/>
          </w:tcPr>
          <w:p w:rsidR="00B03DA5" w:rsidRDefault="009C5F84">
            <w:pPr>
              <w:jc w:val="center"/>
            </w:pPr>
            <w:r>
              <w:rPr>
                <w:color w:val="000000"/>
                <w:sz w:val="24"/>
              </w:rPr>
              <w:t>视觉中国</w:t>
            </w:r>
          </w:p>
        </w:tc>
        <w:tc>
          <w:tcPr>
            <w:tcW w:w="1327" w:type="dxa"/>
            <w:vAlign w:val="center"/>
          </w:tcPr>
          <w:p w:rsidR="00B03DA5" w:rsidRDefault="009C5F84">
            <w:pPr>
              <w:jc w:val="right"/>
            </w:pPr>
            <w:r>
              <w:rPr>
                <w:color w:val="000000"/>
                <w:sz w:val="24"/>
              </w:rPr>
              <w:t>6,000</w:t>
            </w:r>
          </w:p>
        </w:tc>
        <w:tc>
          <w:tcPr>
            <w:tcW w:w="1915" w:type="dxa"/>
            <w:vAlign w:val="center"/>
          </w:tcPr>
          <w:p w:rsidR="00B03DA5" w:rsidRDefault="009C5F84">
            <w:pPr>
              <w:jc w:val="right"/>
            </w:pPr>
            <w:r>
              <w:rPr>
                <w:color w:val="000000"/>
                <w:sz w:val="24"/>
              </w:rPr>
              <w:t>172,200.00</w:t>
            </w:r>
          </w:p>
        </w:tc>
        <w:tc>
          <w:tcPr>
            <w:tcW w:w="1680" w:type="dxa"/>
            <w:vAlign w:val="center"/>
          </w:tcPr>
          <w:p w:rsidR="00B03DA5" w:rsidRDefault="009C5F84">
            <w:pPr>
              <w:jc w:val="right"/>
            </w:pPr>
            <w:r>
              <w:rPr>
                <w:color w:val="000000"/>
                <w:sz w:val="24"/>
              </w:rPr>
              <w:t>1.04</w:t>
            </w:r>
          </w:p>
        </w:tc>
      </w:tr>
      <w:tr w:rsidR="00B03DA5">
        <w:trPr>
          <w:jc w:val="center"/>
        </w:trPr>
        <w:tc>
          <w:tcPr>
            <w:tcW w:w="850" w:type="dxa"/>
            <w:vAlign w:val="center"/>
          </w:tcPr>
          <w:p w:rsidR="00B03DA5" w:rsidRDefault="009C5F84">
            <w:pPr>
              <w:jc w:val="center"/>
            </w:pPr>
            <w:r>
              <w:rPr>
                <w:color w:val="000000"/>
                <w:sz w:val="24"/>
              </w:rPr>
              <w:t>2</w:t>
            </w:r>
          </w:p>
        </w:tc>
        <w:tc>
          <w:tcPr>
            <w:tcW w:w="1327" w:type="dxa"/>
            <w:vAlign w:val="center"/>
          </w:tcPr>
          <w:p w:rsidR="00B03DA5" w:rsidRDefault="009C5F84">
            <w:pPr>
              <w:jc w:val="center"/>
            </w:pPr>
            <w:r>
              <w:rPr>
                <w:color w:val="000000"/>
                <w:sz w:val="24"/>
              </w:rPr>
              <w:t>300188</w:t>
            </w:r>
          </w:p>
        </w:tc>
        <w:tc>
          <w:tcPr>
            <w:tcW w:w="1769" w:type="dxa"/>
            <w:vAlign w:val="center"/>
          </w:tcPr>
          <w:p w:rsidR="00B03DA5" w:rsidRDefault="009C5F84">
            <w:pPr>
              <w:jc w:val="center"/>
            </w:pPr>
            <w:r>
              <w:rPr>
                <w:color w:val="000000"/>
                <w:sz w:val="24"/>
              </w:rPr>
              <w:t>美亚柏科</w:t>
            </w:r>
          </w:p>
        </w:tc>
        <w:tc>
          <w:tcPr>
            <w:tcW w:w="1327" w:type="dxa"/>
            <w:vAlign w:val="center"/>
          </w:tcPr>
          <w:p w:rsidR="00B03DA5" w:rsidRDefault="009C5F84">
            <w:pPr>
              <w:jc w:val="right"/>
            </w:pPr>
            <w:r>
              <w:rPr>
                <w:color w:val="000000"/>
                <w:sz w:val="24"/>
              </w:rPr>
              <w:t>9,300</w:t>
            </w:r>
          </w:p>
        </w:tc>
        <w:tc>
          <w:tcPr>
            <w:tcW w:w="1915" w:type="dxa"/>
            <w:vAlign w:val="center"/>
          </w:tcPr>
          <w:p w:rsidR="00B03DA5" w:rsidRDefault="009C5F84">
            <w:pPr>
              <w:jc w:val="right"/>
            </w:pPr>
            <w:r>
              <w:rPr>
                <w:color w:val="000000"/>
                <w:sz w:val="24"/>
              </w:rPr>
              <w:t>170,190.00</w:t>
            </w:r>
          </w:p>
        </w:tc>
        <w:tc>
          <w:tcPr>
            <w:tcW w:w="1680" w:type="dxa"/>
            <w:vAlign w:val="center"/>
          </w:tcPr>
          <w:p w:rsidR="00B03DA5" w:rsidRDefault="009C5F84">
            <w:pPr>
              <w:jc w:val="right"/>
            </w:pPr>
            <w:r>
              <w:rPr>
                <w:color w:val="000000"/>
                <w:sz w:val="24"/>
              </w:rPr>
              <w:t>1.03</w:t>
            </w:r>
          </w:p>
        </w:tc>
      </w:tr>
      <w:tr w:rsidR="00B03DA5">
        <w:trPr>
          <w:jc w:val="center"/>
        </w:trPr>
        <w:tc>
          <w:tcPr>
            <w:tcW w:w="850" w:type="dxa"/>
            <w:vAlign w:val="center"/>
          </w:tcPr>
          <w:p w:rsidR="00B03DA5" w:rsidRDefault="009C5F84">
            <w:pPr>
              <w:jc w:val="center"/>
            </w:pPr>
            <w:r>
              <w:rPr>
                <w:color w:val="000000"/>
                <w:sz w:val="24"/>
              </w:rPr>
              <w:t>3</w:t>
            </w:r>
          </w:p>
        </w:tc>
        <w:tc>
          <w:tcPr>
            <w:tcW w:w="1327" w:type="dxa"/>
            <w:vAlign w:val="center"/>
          </w:tcPr>
          <w:p w:rsidR="00B03DA5" w:rsidRDefault="009C5F84">
            <w:pPr>
              <w:jc w:val="center"/>
            </w:pPr>
            <w:r>
              <w:rPr>
                <w:color w:val="000000"/>
                <w:sz w:val="24"/>
              </w:rPr>
              <w:t>300170</w:t>
            </w:r>
          </w:p>
        </w:tc>
        <w:tc>
          <w:tcPr>
            <w:tcW w:w="1769" w:type="dxa"/>
            <w:vAlign w:val="center"/>
          </w:tcPr>
          <w:p w:rsidR="00B03DA5" w:rsidRDefault="009C5F84">
            <w:pPr>
              <w:jc w:val="center"/>
            </w:pPr>
            <w:r>
              <w:rPr>
                <w:color w:val="000000"/>
                <w:sz w:val="24"/>
              </w:rPr>
              <w:t>汉得信息</w:t>
            </w:r>
          </w:p>
        </w:tc>
        <w:tc>
          <w:tcPr>
            <w:tcW w:w="1327" w:type="dxa"/>
            <w:vAlign w:val="center"/>
          </w:tcPr>
          <w:p w:rsidR="00B03DA5" w:rsidRDefault="009C5F84">
            <w:pPr>
              <w:jc w:val="right"/>
            </w:pPr>
            <w:r>
              <w:rPr>
                <w:color w:val="000000"/>
                <w:sz w:val="24"/>
              </w:rPr>
              <w:t>10,400</w:t>
            </w:r>
          </w:p>
        </w:tc>
        <w:tc>
          <w:tcPr>
            <w:tcW w:w="1915" w:type="dxa"/>
            <w:vAlign w:val="center"/>
          </w:tcPr>
          <w:p w:rsidR="00B03DA5" w:rsidRDefault="009C5F84">
            <w:pPr>
              <w:jc w:val="right"/>
            </w:pPr>
            <w:r>
              <w:rPr>
                <w:color w:val="000000"/>
                <w:sz w:val="24"/>
              </w:rPr>
              <w:t>168,896.00</w:t>
            </w:r>
          </w:p>
        </w:tc>
        <w:tc>
          <w:tcPr>
            <w:tcW w:w="1680" w:type="dxa"/>
            <w:vAlign w:val="center"/>
          </w:tcPr>
          <w:p w:rsidR="00B03DA5" w:rsidRDefault="009C5F84">
            <w:pPr>
              <w:jc w:val="right"/>
            </w:pPr>
            <w:r>
              <w:rPr>
                <w:color w:val="000000"/>
                <w:sz w:val="24"/>
              </w:rPr>
              <w:t>1.02</w:t>
            </w:r>
          </w:p>
        </w:tc>
      </w:tr>
      <w:tr w:rsidR="00B03DA5">
        <w:trPr>
          <w:jc w:val="center"/>
        </w:trPr>
        <w:tc>
          <w:tcPr>
            <w:tcW w:w="850" w:type="dxa"/>
            <w:vAlign w:val="center"/>
          </w:tcPr>
          <w:p w:rsidR="00B03DA5" w:rsidRDefault="009C5F84">
            <w:pPr>
              <w:jc w:val="center"/>
            </w:pPr>
            <w:r>
              <w:rPr>
                <w:color w:val="000000"/>
                <w:sz w:val="24"/>
              </w:rPr>
              <w:t>4</w:t>
            </w:r>
          </w:p>
        </w:tc>
        <w:tc>
          <w:tcPr>
            <w:tcW w:w="1327" w:type="dxa"/>
            <w:vAlign w:val="center"/>
          </w:tcPr>
          <w:p w:rsidR="00B03DA5" w:rsidRDefault="009C5F84">
            <w:pPr>
              <w:jc w:val="center"/>
            </w:pPr>
            <w:r>
              <w:rPr>
                <w:color w:val="000000"/>
                <w:sz w:val="24"/>
              </w:rPr>
              <w:t>603986</w:t>
            </w:r>
          </w:p>
        </w:tc>
        <w:tc>
          <w:tcPr>
            <w:tcW w:w="1769" w:type="dxa"/>
            <w:vAlign w:val="center"/>
          </w:tcPr>
          <w:p w:rsidR="00B03DA5" w:rsidRDefault="009C5F84">
            <w:pPr>
              <w:jc w:val="center"/>
            </w:pPr>
            <w:r>
              <w:rPr>
                <w:color w:val="000000"/>
                <w:sz w:val="24"/>
              </w:rPr>
              <w:t>兆易创新</w:t>
            </w:r>
          </w:p>
        </w:tc>
        <w:tc>
          <w:tcPr>
            <w:tcW w:w="1327" w:type="dxa"/>
            <w:vAlign w:val="center"/>
          </w:tcPr>
          <w:p w:rsidR="00B03DA5" w:rsidRDefault="009C5F84">
            <w:pPr>
              <w:jc w:val="right"/>
            </w:pPr>
            <w:r>
              <w:rPr>
                <w:color w:val="000000"/>
                <w:sz w:val="24"/>
              </w:rPr>
              <w:t>1,500</w:t>
            </w:r>
          </w:p>
        </w:tc>
        <w:tc>
          <w:tcPr>
            <w:tcW w:w="1915" w:type="dxa"/>
            <w:vAlign w:val="center"/>
          </w:tcPr>
          <w:p w:rsidR="00B03DA5" w:rsidRDefault="009C5F84">
            <w:pPr>
              <w:jc w:val="right"/>
            </w:pPr>
            <w:r>
              <w:rPr>
                <w:color w:val="000000"/>
                <w:sz w:val="24"/>
              </w:rPr>
              <w:t>162,780.00</w:t>
            </w:r>
          </w:p>
        </w:tc>
        <w:tc>
          <w:tcPr>
            <w:tcW w:w="1680" w:type="dxa"/>
            <w:vAlign w:val="center"/>
          </w:tcPr>
          <w:p w:rsidR="00B03DA5" w:rsidRDefault="009C5F84">
            <w:pPr>
              <w:jc w:val="right"/>
            </w:pPr>
            <w:r>
              <w:rPr>
                <w:color w:val="000000"/>
                <w:sz w:val="24"/>
              </w:rPr>
              <w:t>0.98</w:t>
            </w:r>
          </w:p>
        </w:tc>
      </w:tr>
      <w:tr w:rsidR="00B03DA5">
        <w:trPr>
          <w:jc w:val="center"/>
        </w:trPr>
        <w:tc>
          <w:tcPr>
            <w:tcW w:w="850" w:type="dxa"/>
            <w:vAlign w:val="center"/>
          </w:tcPr>
          <w:p w:rsidR="00B03DA5" w:rsidRDefault="009C5F84">
            <w:pPr>
              <w:jc w:val="center"/>
            </w:pPr>
            <w:r>
              <w:rPr>
                <w:color w:val="000000"/>
                <w:sz w:val="24"/>
              </w:rPr>
              <w:t>5</w:t>
            </w:r>
          </w:p>
        </w:tc>
        <w:tc>
          <w:tcPr>
            <w:tcW w:w="1327" w:type="dxa"/>
            <w:vAlign w:val="center"/>
          </w:tcPr>
          <w:p w:rsidR="00B03DA5" w:rsidRDefault="009C5F84">
            <w:pPr>
              <w:jc w:val="center"/>
            </w:pPr>
            <w:r>
              <w:rPr>
                <w:color w:val="000000"/>
                <w:sz w:val="24"/>
              </w:rPr>
              <w:t>000661</w:t>
            </w:r>
          </w:p>
        </w:tc>
        <w:tc>
          <w:tcPr>
            <w:tcW w:w="1769" w:type="dxa"/>
            <w:vAlign w:val="center"/>
          </w:tcPr>
          <w:p w:rsidR="00B03DA5" w:rsidRDefault="009C5F84">
            <w:pPr>
              <w:jc w:val="center"/>
            </w:pPr>
            <w:r>
              <w:rPr>
                <w:color w:val="000000"/>
                <w:sz w:val="24"/>
              </w:rPr>
              <w:t>长春高新</w:t>
            </w:r>
          </w:p>
        </w:tc>
        <w:tc>
          <w:tcPr>
            <w:tcW w:w="1327" w:type="dxa"/>
            <w:vAlign w:val="center"/>
          </w:tcPr>
          <w:p w:rsidR="00B03DA5" w:rsidRDefault="009C5F84">
            <w:pPr>
              <w:jc w:val="right"/>
            </w:pPr>
            <w:r>
              <w:rPr>
                <w:color w:val="000000"/>
                <w:sz w:val="24"/>
              </w:rPr>
              <w:t>700</w:t>
            </w:r>
          </w:p>
        </w:tc>
        <w:tc>
          <w:tcPr>
            <w:tcW w:w="1915" w:type="dxa"/>
            <w:vAlign w:val="center"/>
          </w:tcPr>
          <w:p w:rsidR="00B03DA5" w:rsidRDefault="009C5F84">
            <w:pPr>
              <w:jc w:val="right"/>
            </w:pPr>
            <w:r>
              <w:rPr>
                <w:color w:val="000000"/>
                <w:sz w:val="24"/>
              </w:rPr>
              <w:t>159,390.00</w:t>
            </w:r>
          </w:p>
        </w:tc>
        <w:tc>
          <w:tcPr>
            <w:tcW w:w="1680" w:type="dxa"/>
            <w:vAlign w:val="center"/>
          </w:tcPr>
          <w:p w:rsidR="00B03DA5" w:rsidRDefault="009C5F84">
            <w:pPr>
              <w:jc w:val="right"/>
            </w:pPr>
            <w:r>
              <w:rPr>
                <w:color w:val="000000"/>
                <w:sz w:val="24"/>
              </w:rPr>
              <w:t>0.96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13,947,988.70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84.24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13,947,988.70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84.24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671,550.00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14,619,538.70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03DA5">
        <w:trPr>
          <w:jc w:val="center"/>
        </w:trPr>
        <w:tc>
          <w:tcPr>
            <w:tcW w:w="1075" w:type="dxa"/>
            <w:vAlign w:val="center"/>
          </w:tcPr>
          <w:p w:rsidR="00B03DA5" w:rsidRDefault="009C5F84">
            <w:pPr>
              <w:jc w:val="center"/>
            </w:pPr>
            <w:r>
              <w:rPr>
                <w:color w:val="000000"/>
                <w:sz w:val="24"/>
              </w:rPr>
              <w:t>1</w:t>
            </w:r>
          </w:p>
        </w:tc>
        <w:tc>
          <w:tcPr>
            <w:tcW w:w="1533" w:type="dxa"/>
            <w:vAlign w:val="center"/>
          </w:tcPr>
          <w:p w:rsidR="00B03DA5" w:rsidRDefault="009C5F84">
            <w:pPr>
              <w:jc w:val="center"/>
            </w:pPr>
            <w:r>
              <w:rPr>
                <w:color w:val="000000"/>
                <w:sz w:val="24"/>
              </w:rPr>
              <w:t>018005</w:t>
            </w:r>
          </w:p>
        </w:tc>
        <w:tc>
          <w:tcPr>
            <w:tcW w:w="1533" w:type="dxa"/>
            <w:vAlign w:val="center"/>
          </w:tcPr>
          <w:p w:rsidR="00B03DA5" w:rsidRDefault="009C5F84">
            <w:pPr>
              <w:jc w:val="center"/>
            </w:pPr>
            <w:r>
              <w:rPr>
                <w:color w:val="000000"/>
                <w:sz w:val="24"/>
              </w:rPr>
              <w:t>国开</w:t>
            </w:r>
            <w:r>
              <w:rPr>
                <w:color w:val="000000"/>
                <w:sz w:val="24"/>
              </w:rPr>
              <w:t>1701</w:t>
            </w:r>
          </w:p>
        </w:tc>
        <w:tc>
          <w:tcPr>
            <w:tcW w:w="1394" w:type="dxa"/>
            <w:vAlign w:val="center"/>
          </w:tcPr>
          <w:p w:rsidR="00B03DA5" w:rsidRDefault="009C5F84">
            <w:pPr>
              <w:jc w:val="right"/>
            </w:pPr>
            <w:r>
              <w:rPr>
                <w:color w:val="000000"/>
                <w:sz w:val="24"/>
              </w:rPr>
              <w:t>96,890</w:t>
            </w:r>
          </w:p>
        </w:tc>
        <w:tc>
          <w:tcPr>
            <w:tcW w:w="1944" w:type="dxa"/>
            <w:vAlign w:val="center"/>
          </w:tcPr>
          <w:p w:rsidR="00B03DA5" w:rsidRDefault="009C5F84">
            <w:pPr>
              <w:jc w:val="right"/>
            </w:pPr>
            <w:r>
              <w:rPr>
                <w:color w:val="000000"/>
                <w:sz w:val="24"/>
              </w:rPr>
              <w:t>9,725,818.20</w:t>
            </w:r>
          </w:p>
        </w:tc>
        <w:tc>
          <w:tcPr>
            <w:tcW w:w="1389" w:type="dxa"/>
            <w:vAlign w:val="center"/>
          </w:tcPr>
          <w:p w:rsidR="00B03DA5" w:rsidRDefault="009C5F84">
            <w:pPr>
              <w:jc w:val="right"/>
            </w:pPr>
            <w:r>
              <w:rPr>
                <w:color w:val="000000"/>
                <w:sz w:val="24"/>
              </w:rPr>
              <w:t>58.74</w:t>
            </w:r>
          </w:p>
        </w:tc>
      </w:tr>
      <w:tr w:rsidR="00B03DA5">
        <w:trPr>
          <w:jc w:val="center"/>
        </w:trPr>
        <w:tc>
          <w:tcPr>
            <w:tcW w:w="1075" w:type="dxa"/>
            <w:vAlign w:val="center"/>
          </w:tcPr>
          <w:p w:rsidR="00B03DA5" w:rsidRDefault="009C5F84">
            <w:pPr>
              <w:jc w:val="center"/>
            </w:pPr>
            <w:r>
              <w:rPr>
                <w:color w:val="000000"/>
                <w:sz w:val="24"/>
              </w:rPr>
              <w:t>2</w:t>
            </w:r>
          </w:p>
        </w:tc>
        <w:tc>
          <w:tcPr>
            <w:tcW w:w="1533" w:type="dxa"/>
            <w:vAlign w:val="center"/>
          </w:tcPr>
          <w:p w:rsidR="00B03DA5" w:rsidRDefault="009C5F84">
            <w:pPr>
              <w:jc w:val="center"/>
            </w:pPr>
            <w:r>
              <w:rPr>
                <w:color w:val="000000"/>
                <w:sz w:val="24"/>
              </w:rPr>
              <w:t>018006</w:t>
            </w:r>
          </w:p>
        </w:tc>
        <w:tc>
          <w:tcPr>
            <w:tcW w:w="1533" w:type="dxa"/>
            <w:vAlign w:val="center"/>
          </w:tcPr>
          <w:p w:rsidR="00B03DA5" w:rsidRDefault="009C5F84">
            <w:pPr>
              <w:jc w:val="center"/>
            </w:pPr>
            <w:r>
              <w:rPr>
                <w:color w:val="000000"/>
                <w:sz w:val="24"/>
              </w:rPr>
              <w:t>国开</w:t>
            </w:r>
            <w:r>
              <w:rPr>
                <w:color w:val="000000"/>
                <w:sz w:val="24"/>
              </w:rPr>
              <w:t>1702</w:t>
            </w:r>
          </w:p>
        </w:tc>
        <w:tc>
          <w:tcPr>
            <w:tcW w:w="1394" w:type="dxa"/>
            <w:vAlign w:val="center"/>
          </w:tcPr>
          <w:p w:rsidR="00B03DA5" w:rsidRDefault="009C5F84">
            <w:pPr>
              <w:jc w:val="right"/>
            </w:pPr>
            <w:r>
              <w:rPr>
                <w:color w:val="000000"/>
                <w:sz w:val="24"/>
              </w:rPr>
              <w:t>42,370</w:t>
            </w:r>
          </w:p>
        </w:tc>
        <w:tc>
          <w:tcPr>
            <w:tcW w:w="1944" w:type="dxa"/>
            <w:vAlign w:val="center"/>
          </w:tcPr>
          <w:p w:rsidR="00B03DA5" w:rsidRDefault="009C5F84">
            <w:pPr>
              <w:jc w:val="right"/>
            </w:pPr>
            <w:r>
              <w:rPr>
                <w:color w:val="000000"/>
                <w:sz w:val="24"/>
              </w:rPr>
              <w:t>4,222,170.50</w:t>
            </w:r>
          </w:p>
        </w:tc>
        <w:tc>
          <w:tcPr>
            <w:tcW w:w="1389" w:type="dxa"/>
            <w:vAlign w:val="center"/>
          </w:tcPr>
          <w:p w:rsidR="00B03DA5" w:rsidRDefault="009C5F84">
            <w:pPr>
              <w:jc w:val="right"/>
            </w:pPr>
            <w:r>
              <w:rPr>
                <w:color w:val="000000"/>
                <w:sz w:val="24"/>
              </w:rPr>
              <w:t>25.50</w:t>
            </w:r>
          </w:p>
        </w:tc>
      </w:tr>
      <w:tr w:rsidR="00B03DA5">
        <w:trPr>
          <w:jc w:val="center"/>
        </w:trPr>
        <w:tc>
          <w:tcPr>
            <w:tcW w:w="1075" w:type="dxa"/>
            <w:vAlign w:val="center"/>
          </w:tcPr>
          <w:p w:rsidR="00B03DA5" w:rsidRDefault="009C5F84">
            <w:pPr>
              <w:jc w:val="center"/>
            </w:pPr>
            <w:r>
              <w:rPr>
                <w:color w:val="000000"/>
                <w:sz w:val="24"/>
              </w:rPr>
              <w:t>3</w:t>
            </w:r>
          </w:p>
        </w:tc>
        <w:tc>
          <w:tcPr>
            <w:tcW w:w="1533" w:type="dxa"/>
            <w:vAlign w:val="center"/>
          </w:tcPr>
          <w:p w:rsidR="00B03DA5" w:rsidRDefault="009C5F84">
            <w:pPr>
              <w:jc w:val="center"/>
            </w:pPr>
            <w:r>
              <w:rPr>
                <w:color w:val="000000"/>
                <w:sz w:val="24"/>
              </w:rPr>
              <w:t>124393</w:t>
            </w:r>
          </w:p>
        </w:tc>
        <w:tc>
          <w:tcPr>
            <w:tcW w:w="1533" w:type="dxa"/>
            <w:vAlign w:val="center"/>
          </w:tcPr>
          <w:p w:rsidR="00B03DA5" w:rsidRDefault="009C5F84">
            <w:pPr>
              <w:jc w:val="center"/>
            </w:pPr>
            <w:r>
              <w:rPr>
                <w:color w:val="000000"/>
                <w:sz w:val="24"/>
              </w:rPr>
              <w:t>PR</w:t>
            </w:r>
            <w:r>
              <w:rPr>
                <w:color w:val="000000"/>
                <w:sz w:val="24"/>
              </w:rPr>
              <w:t>连顺兴</w:t>
            </w:r>
          </w:p>
        </w:tc>
        <w:tc>
          <w:tcPr>
            <w:tcW w:w="1394" w:type="dxa"/>
            <w:vAlign w:val="center"/>
          </w:tcPr>
          <w:p w:rsidR="00B03DA5" w:rsidRDefault="009C5F84">
            <w:pPr>
              <w:jc w:val="right"/>
            </w:pPr>
            <w:r>
              <w:rPr>
                <w:color w:val="000000"/>
                <w:sz w:val="24"/>
              </w:rPr>
              <w:t>11,000</w:t>
            </w:r>
          </w:p>
        </w:tc>
        <w:tc>
          <w:tcPr>
            <w:tcW w:w="1944" w:type="dxa"/>
            <w:vAlign w:val="center"/>
          </w:tcPr>
          <w:p w:rsidR="00B03DA5" w:rsidRDefault="009C5F84">
            <w:pPr>
              <w:jc w:val="right"/>
            </w:pPr>
            <w:r>
              <w:rPr>
                <w:color w:val="000000"/>
                <w:sz w:val="24"/>
              </w:rPr>
              <w:t>671,550.00</w:t>
            </w:r>
          </w:p>
        </w:tc>
        <w:tc>
          <w:tcPr>
            <w:tcW w:w="1389" w:type="dxa"/>
            <w:vAlign w:val="center"/>
          </w:tcPr>
          <w:p w:rsidR="00B03DA5" w:rsidRDefault="009C5F84">
            <w:pPr>
              <w:jc w:val="right"/>
            </w:pPr>
            <w:r>
              <w:rPr>
                <w:color w:val="000000"/>
                <w:sz w:val="24"/>
              </w:rPr>
              <w:t>4.06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55,499.27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812,875.07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150,957.05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2,235.69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1,021,567.08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2F5DD6" w:rsidRPr="00575270" w:rsidRDefault="002F5DD6" w:rsidP="002F5DD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2F5DD6" w:rsidRPr="00575270" w:rsidRDefault="002F5DD6" w:rsidP="002F5DD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p w:rsidR="002F5DD6" w:rsidRPr="00575270" w:rsidRDefault="002F5DD6" w:rsidP="002F5DD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lastRenderedPageBreak/>
        <w:t>本基金本报告期末未持有基金。</w:t>
      </w:r>
    </w:p>
    <w:p w:rsidR="002F5DD6" w:rsidRPr="00575270" w:rsidRDefault="002F5DD6" w:rsidP="002F5DD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p w:rsidR="002F5DD6" w:rsidRPr="00575270" w:rsidRDefault="002F5DD6" w:rsidP="002F5DD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t>本基金本报告期内未交易或持有基金。</w:t>
      </w:r>
    </w:p>
    <w:p w:rsidR="002F5DD6" w:rsidRPr="00575270" w:rsidRDefault="002F5DD6" w:rsidP="002F5DD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51B4E" w:rsidRPr="008646FB" w:rsidRDefault="002F5DD6" w:rsidP="008646FB">
      <w:pPr>
        <w:autoSpaceDE w:val="0"/>
        <w:autoSpaceDN w:val="0"/>
        <w:adjustRightInd w:val="0"/>
        <w:spacing w:line="360" w:lineRule="auto"/>
        <w:ind w:firstLineChars="200" w:firstLine="480"/>
        <w:jc w:val="left"/>
        <w:rPr>
          <w:rFonts w:eastAsiaTheme="minorEastAsia"/>
          <w:color w:val="000000" w:themeColor="text1"/>
          <w:sz w:val="24"/>
        </w:rPr>
      </w:pPr>
      <w:r w:rsidRPr="008646FB">
        <w:rPr>
          <w:rFonts w:eastAsiaTheme="minorEastAsia" w:hint="eastAsia"/>
          <w:color w:val="000000" w:themeColor="text1"/>
          <w:sz w:val="24"/>
          <w:szCs w:val="44"/>
        </w:rPr>
        <w:t>无。</w:t>
      </w:r>
    </w:p>
    <w:p w:rsidR="002F5DD6" w:rsidRPr="00C51B4E" w:rsidRDefault="002F5DD6" w:rsidP="0028293E">
      <w:pPr>
        <w:adjustRightInd w:val="0"/>
        <w:snapToGrid w:val="0"/>
        <w:spacing w:beforeLines="50" w:before="156" w:line="360" w:lineRule="auto"/>
        <w:rPr>
          <w:rFonts w:eastAsiaTheme="minorEastAsia"/>
          <w:b/>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34,825,618.87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3,524,328.23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360,488.55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15,230,864.33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21,332,175.29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15,745,145.46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13,853,932.13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3,010,047.10</w:t>
            </w:r>
          </w:p>
        </w:tc>
      </w:tr>
    </w:tbl>
    <w:p w:rsidR="00B03DA5" w:rsidRDefault="009C5F8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03DA5">
        <w:tc>
          <w:tcPr>
            <w:tcW w:w="992" w:type="dxa"/>
            <w:vMerge w:val="restart"/>
          </w:tcPr>
          <w:p w:rsidR="00B03DA5" w:rsidRDefault="00B03DA5"/>
          <w:p w:rsidR="00B03DA5" w:rsidRDefault="009C5F84">
            <w:r>
              <w:rPr>
                <w:rFonts w:ascii="宋体" w:hAnsi="宋体" w:hint="eastAsia"/>
                <w:bCs/>
                <w:color w:val="000000"/>
                <w:kern w:val="0"/>
                <w:szCs w:val="21"/>
              </w:rPr>
              <w:t>机构</w:t>
            </w:r>
          </w:p>
        </w:tc>
        <w:tc>
          <w:tcPr>
            <w:tcW w:w="991" w:type="dxa"/>
            <w:vAlign w:val="center"/>
          </w:tcPr>
          <w:p w:rsidR="00B03DA5" w:rsidRDefault="009C5F84">
            <w:pPr>
              <w:jc w:val="center"/>
            </w:pPr>
            <w:r>
              <w:rPr>
                <w:rFonts w:ascii="宋体" w:hAnsi="宋体" w:hint="eastAsia"/>
                <w:color w:val="000000"/>
                <w:kern w:val="0"/>
                <w:szCs w:val="21"/>
              </w:rPr>
              <w:t>1</w:t>
            </w:r>
          </w:p>
        </w:tc>
        <w:tc>
          <w:tcPr>
            <w:tcW w:w="1843" w:type="dxa"/>
            <w:vAlign w:val="center"/>
          </w:tcPr>
          <w:p w:rsidR="00B03DA5" w:rsidRDefault="009C5F84">
            <w:pPr>
              <w:jc w:val="center"/>
            </w:pPr>
            <w:r>
              <w:rPr>
                <w:rFonts w:ascii="宋体" w:hAnsi="宋体" w:hint="eastAsia"/>
                <w:color w:val="000000"/>
                <w:kern w:val="0"/>
                <w:szCs w:val="21"/>
              </w:rPr>
              <w:t>2018/4/1-2018/6/30</w:t>
            </w:r>
          </w:p>
        </w:tc>
        <w:tc>
          <w:tcPr>
            <w:tcW w:w="851" w:type="dxa"/>
            <w:vAlign w:val="center"/>
          </w:tcPr>
          <w:p w:rsidR="00B03DA5" w:rsidRDefault="009C5F84">
            <w:pPr>
              <w:jc w:val="center"/>
            </w:pPr>
            <w:r>
              <w:rPr>
                <w:rFonts w:ascii="宋体" w:hAnsi="宋体" w:hint="eastAsia"/>
                <w:color w:val="000000"/>
                <w:kern w:val="0"/>
                <w:szCs w:val="21"/>
              </w:rPr>
              <w:t>9,999,000.00</w:t>
            </w:r>
          </w:p>
        </w:tc>
        <w:tc>
          <w:tcPr>
            <w:tcW w:w="850" w:type="dxa"/>
            <w:vAlign w:val="center"/>
          </w:tcPr>
          <w:p w:rsidR="00B03DA5" w:rsidRDefault="009C5F84">
            <w:pPr>
              <w:jc w:val="center"/>
            </w:pPr>
            <w:r>
              <w:rPr>
                <w:rFonts w:ascii="宋体" w:hAnsi="宋体" w:hint="eastAsia"/>
                <w:color w:val="000000"/>
                <w:kern w:val="0"/>
                <w:szCs w:val="21"/>
              </w:rPr>
              <w:t>-</w:t>
            </w:r>
          </w:p>
        </w:tc>
        <w:tc>
          <w:tcPr>
            <w:tcW w:w="1134" w:type="dxa"/>
            <w:vAlign w:val="center"/>
          </w:tcPr>
          <w:p w:rsidR="00B03DA5" w:rsidRDefault="009C5F84">
            <w:pPr>
              <w:jc w:val="center"/>
            </w:pPr>
            <w:r>
              <w:rPr>
                <w:rFonts w:ascii="宋体" w:hAnsi="宋体" w:hint="eastAsia"/>
                <w:color w:val="000000"/>
                <w:kern w:val="0"/>
                <w:szCs w:val="21"/>
              </w:rPr>
              <w:t>9,999,000.00</w:t>
            </w:r>
          </w:p>
        </w:tc>
        <w:tc>
          <w:tcPr>
            <w:tcW w:w="1419" w:type="dxa"/>
            <w:vAlign w:val="center"/>
          </w:tcPr>
          <w:p w:rsidR="00B03DA5" w:rsidRDefault="009C5F84">
            <w:pPr>
              <w:jc w:val="center"/>
            </w:pPr>
            <w:r>
              <w:rPr>
                <w:rFonts w:ascii="宋体" w:hAnsi="宋体" w:hint="eastAsia"/>
                <w:color w:val="000000"/>
                <w:kern w:val="0"/>
                <w:szCs w:val="21"/>
              </w:rPr>
              <w:t>-</w:t>
            </w:r>
          </w:p>
        </w:tc>
        <w:tc>
          <w:tcPr>
            <w:tcW w:w="1130" w:type="dxa"/>
            <w:vAlign w:val="center"/>
          </w:tcPr>
          <w:p w:rsidR="00B03DA5" w:rsidRDefault="009C5F84">
            <w:pPr>
              <w:jc w:val="center"/>
            </w:pPr>
            <w:r>
              <w:rPr>
                <w:rFonts w:ascii="宋体" w:hAnsi="宋体" w:hint="eastAsia"/>
                <w:color w:val="000000"/>
                <w:kern w:val="0"/>
                <w:szCs w:val="21"/>
              </w:rPr>
              <w:t>-</w:t>
            </w:r>
          </w:p>
        </w:tc>
      </w:tr>
      <w:tr w:rsidR="00B03DA5">
        <w:tc>
          <w:tcPr>
            <w:tcW w:w="992" w:type="dxa"/>
            <w:vMerge/>
          </w:tcPr>
          <w:p w:rsidR="00B03DA5" w:rsidRDefault="00B03DA5"/>
        </w:tc>
        <w:tc>
          <w:tcPr>
            <w:tcW w:w="991" w:type="dxa"/>
            <w:vAlign w:val="center"/>
          </w:tcPr>
          <w:p w:rsidR="00B03DA5" w:rsidRDefault="009C5F84">
            <w:pPr>
              <w:jc w:val="center"/>
            </w:pPr>
            <w:r>
              <w:rPr>
                <w:rFonts w:ascii="宋体" w:hAnsi="宋体" w:hint="eastAsia"/>
                <w:color w:val="000000"/>
                <w:kern w:val="0"/>
                <w:szCs w:val="21"/>
              </w:rPr>
              <w:t>2</w:t>
            </w:r>
          </w:p>
        </w:tc>
        <w:tc>
          <w:tcPr>
            <w:tcW w:w="1843" w:type="dxa"/>
            <w:vAlign w:val="center"/>
          </w:tcPr>
          <w:p w:rsidR="00B03DA5" w:rsidRDefault="009C5F84">
            <w:pPr>
              <w:jc w:val="center"/>
            </w:pPr>
            <w:r>
              <w:rPr>
                <w:rFonts w:ascii="宋体" w:hAnsi="宋体" w:hint="eastAsia"/>
                <w:color w:val="000000"/>
                <w:kern w:val="0"/>
                <w:szCs w:val="21"/>
              </w:rPr>
              <w:t>2018/4/1-2018/6/30</w:t>
            </w:r>
          </w:p>
        </w:tc>
        <w:tc>
          <w:tcPr>
            <w:tcW w:w="851" w:type="dxa"/>
            <w:vAlign w:val="center"/>
          </w:tcPr>
          <w:p w:rsidR="00B03DA5" w:rsidRDefault="009C5F84">
            <w:pPr>
              <w:jc w:val="center"/>
            </w:pPr>
            <w:r>
              <w:rPr>
                <w:rFonts w:ascii="宋体" w:hAnsi="宋体" w:hint="eastAsia"/>
                <w:color w:val="000000"/>
                <w:kern w:val="0"/>
                <w:szCs w:val="21"/>
              </w:rPr>
              <w:t>-</w:t>
            </w:r>
          </w:p>
        </w:tc>
        <w:tc>
          <w:tcPr>
            <w:tcW w:w="850" w:type="dxa"/>
            <w:vAlign w:val="center"/>
          </w:tcPr>
          <w:p w:rsidR="00B03DA5" w:rsidRDefault="009C5F84">
            <w:pPr>
              <w:jc w:val="center"/>
            </w:pPr>
            <w:r>
              <w:rPr>
                <w:rFonts w:ascii="宋体" w:hAnsi="宋体" w:hint="eastAsia"/>
                <w:color w:val="000000"/>
                <w:kern w:val="0"/>
                <w:szCs w:val="21"/>
              </w:rPr>
              <w:t>15,045,135.41</w:t>
            </w:r>
          </w:p>
        </w:tc>
        <w:tc>
          <w:tcPr>
            <w:tcW w:w="1134" w:type="dxa"/>
            <w:vAlign w:val="center"/>
          </w:tcPr>
          <w:p w:rsidR="00B03DA5" w:rsidRDefault="009C5F84">
            <w:pPr>
              <w:jc w:val="center"/>
            </w:pPr>
            <w:r>
              <w:rPr>
                <w:rFonts w:ascii="宋体" w:hAnsi="宋体" w:hint="eastAsia"/>
                <w:color w:val="000000"/>
                <w:kern w:val="0"/>
                <w:szCs w:val="21"/>
              </w:rPr>
              <w:t>15,045,135.41</w:t>
            </w:r>
          </w:p>
        </w:tc>
        <w:tc>
          <w:tcPr>
            <w:tcW w:w="1419" w:type="dxa"/>
            <w:vAlign w:val="center"/>
          </w:tcPr>
          <w:p w:rsidR="00B03DA5" w:rsidRDefault="009C5F84">
            <w:pPr>
              <w:jc w:val="center"/>
            </w:pPr>
            <w:r>
              <w:rPr>
                <w:rFonts w:ascii="宋体" w:hAnsi="宋体" w:hint="eastAsia"/>
                <w:color w:val="000000"/>
                <w:kern w:val="0"/>
                <w:szCs w:val="21"/>
              </w:rPr>
              <w:t>-</w:t>
            </w:r>
          </w:p>
        </w:tc>
        <w:tc>
          <w:tcPr>
            <w:tcW w:w="1130" w:type="dxa"/>
            <w:vAlign w:val="center"/>
          </w:tcPr>
          <w:p w:rsidR="00B03DA5" w:rsidRDefault="009C5F84">
            <w:pPr>
              <w:jc w:val="center"/>
            </w:pPr>
            <w:r>
              <w:rPr>
                <w:rFonts w:ascii="宋体" w:hAnsi="宋体" w:hint="eastAsia"/>
                <w:color w:val="000000"/>
                <w:kern w:val="0"/>
                <w:szCs w:val="21"/>
              </w:rPr>
              <w:t>-</w:t>
            </w:r>
          </w:p>
        </w:tc>
      </w:tr>
      <w:tr w:rsidR="00B03DA5">
        <w:tc>
          <w:tcPr>
            <w:tcW w:w="992" w:type="dxa"/>
            <w:vMerge/>
          </w:tcPr>
          <w:p w:rsidR="00B03DA5" w:rsidRDefault="00B03DA5"/>
        </w:tc>
        <w:tc>
          <w:tcPr>
            <w:tcW w:w="991" w:type="dxa"/>
            <w:vAlign w:val="center"/>
          </w:tcPr>
          <w:p w:rsidR="00B03DA5" w:rsidRDefault="009C5F84">
            <w:pPr>
              <w:jc w:val="center"/>
            </w:pPr>
            <w:r>
              <w:rPr>
                <w:rFonts w:ascii="宋体" w:hAnsi="宋体" w:hint="eastAsia"/>
                <w:color w:val="000000"/>
                <w:kern w:val="0"/>
                <w:szCs w:val="21"/>
              </w:rPr>
              <w:t>3</w:t>
            </w:r>
          </w:p>
        </w:tc>
        <w:tc>
          <w:tcPr>
            <w:tcW w:w="1843" w:type="dxa"/>
            <w:vAlign w:val="center"/>
          </w:tcPr>
          <w:p w:rsidR="00B03DA5" w:rsidRDefault="009C5F84">
            <w:pPr>
              <w:jc w:val="center"/>
            </w:pPr>
            <w:r>
              <w:rPr>
                <w:rFonts w:ascii="宋体" w:hAnsi="宋体" w:hint="eastAsia"/>
                <w:color w:val="000000"/>
                <w:kern w:val="0"/>
                <w:szCs w:val="21"/>
              </w:rPr>
              <w:t>2018/4/1-2018/6/30</w:t>
            </w:r>
          </w:p>
        </w:tc>
        <w:tc>
          <w:tcPr>
            <w:tcW w:w="851" w:type="dxa"/>
            <w:vAlign w:val="center"/>
          </w:tcPr>
          <w:p w:rsidR="00B03DA5" w:rsidRDefault="009C5F84">
            <w:pPr>
              <w:jc w:val="center"/>
            </w:pPr>
            <w:r>
              <w:rPr>
                <w:rFonts w:ascii="宋体" w:hAnsi="宋体" w:hint="eastAsia"/>
                <w:color w:val="000000"/>
                <w:kern w:val="0"/>
                <w:szCs w:val="21"/>
              </w:rPr>
              <w:t>9,735,124.63</w:t>
            </w:r>
          </w:p>
        </w:tc>
        <w:tc>
          <w:tcPr>
            <w:tcW w:w="850" w:type="dxa"/>
            <w:vAlign w:val="center"/>
          </w:tcPr>
          <w:p w:rsidR="00B03DA5" w:rsidRDefault="009C5F84">
            <w:pPr>
              <w:jc w:val="center"/>
            </w:pPr>
            <w:r>
              <w:rPr>
                <w:rFonts w:ascii="宋体" w:hAnsi="宋体" w:hint="eastAsia"/>
                <w:color w:val="000000"/>
                <w:kern w:val="0"/>
                <w:szCs w:val="21"/>
              </w:rPr>
              <w:t>-</w:t>
            </w:r>
          </w:p>
        </w:tc>
        <w:tc>
          <w:tcPr>
            <w:tcW w:w="1134" w:type="dxa"/>
            <w:vAlign w:val="center"/>
          </w:tcPr>
          <w:p w:rsidR="00B03DA5" w:rsidRDefault="009C5F84">
            <w:pPr>
              <w:jc w:val="center"/>
            </w:pPr>
            <w:r>
              <w:rPr>
                <w:rFonts w:ascii="宋体" w:hAnsi="宋体" w:hint="eastAsia"/>
                <w:color w:val="000000"/>
                <w:kern w:val="0"/>
                <w:szCs w:val="21"/>
              </w:rPr>
              <w:t>9,735,124.63</w:t>
            </w:r>
          </w:p>
        </w:tc>
        <w:tc>
          <w:tcPr>
            <w:tcW w:w="1419" w:type="dxa"/>
            <w:vAlign w:val="center"/>
          </w:tcPr>
          <w:p w:rsidR="00B03DA5" w:rsidRDefault="009C5F84">
            <w:pPr>
              <w:jc w:val="center"/>
            </w:pPr>
            <w:r>
              <w:rPr>
                <w:rFonts w:ascii="宋体" w:hAnsi="宋体" w:hint="eastAsia"/>
                <w:color w:val="000000"/>
                <w:kern w:val="0"/>
                <w:szCs w:val="21"/>
              </w:rPr>
              <w:t>-</w:t>
            </w:r>
          </w:p>
        </w:tc>
        <w:tc>
          <w:tcPr>
            <w:tcW w:w="1130" w:type="dxa"/>
            <w:vAlign w:val="center"/>
          </w:tcPr>
          <w:p w:rsidR="00B03DA5" w:rsidRDefault="009C5F84">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03DA5" w:rsidRDefault="009C5F8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002F5DD6">
        <w:rPr>
          <w:rFonts w:eastAsiaTheme="minorEastAsia" w:hint="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81" w:rsidRDefault="00D71581">
      <w:r>
        <w:separator/>
      </w:r>
    </w:p>
  </w:endnote>
  <w:endnote w:type="continuationSeparator" w:id="0">
    <w:p w:rsidR="00D71581" w:rsidRDefault="00D7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8646FB">
      <w:rPr>
        <w:noProof/>
        <w:kern w:val="0"/>
        <w:szCs w:val="21"/>
      </w:rPr>
      <w:t>2</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8646FB">
      <w:rPr>
        <w:noProof/>
        <w:kern w:val="0"/>
        <w:szCs w:val="21"/>
      </w:rPr>
      <w:t>16</w:t>
    </w:r>
    <w:r w:rsidR="003F167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81" w:rsidRDefault="00D71581">
      <w:r>
        <w:separator/>
      </w:r>
    </w:p>
  </w:footnote>
  <w:footnote w:type="continuationSeparator" w:id="0">
    <w:p w:rsidR="00D71581" w:rsidRDefault="00D7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5DD6"/>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5D6"/>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5C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46FB"/>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84"/>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3DA5"/>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58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D99E-6908-4EE0-A884-7C8A5C0D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213</TotalTime>
  <Pages>1</Pages>
  <Words>1333</Words>
  <Characters>7600</Characters>
  <Application>Microsoft Office Word</Application>
  <DocSecurity>0</DocSecurity>
  <Lines>63</Lines>
  <Paragraphs>17</Paragraphs>
  <ScaleCrop>false</ScaleCrop>
  <Company>TRT. Ltd. Co.</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379</cp:revision>
  <cp:lastPrinted>2007-07-19T00:46:00Z</cp:lastPrinted>
  <dcterms:created xsi:type="dcterms:W3CDTF">2014-01-17T06:19:00Z</dcterms:created>
  <dcterms:modified xsi:type="dcterms:W3CDTF">2018-07-16T08:27:00Z</dcterms:modified>
</cp:coreProperties>
</file>