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bookmarkStart w:id="0" w:name="_GoBack"/>
      <w:bookmarkEnd w:id="0"/>
    </w:p>
    <w:p w:rsidR="002279D3" w:rsidRPr="0081286B" w:rsidRDefault="002279D3" w:rsidP="00C15CAC">
      <w:pPr>
        <w:spacing w:before="29" w:line="288" w:lineRule="auto"/>
        <w:jc w:val="center"/>
        <w:rPr>
          <w:b/>
          <w:sz w:val="36"/>
          <w:szCs w:val="36"/>
        </w:rPr>
      </w:pPr>
      <w:r w:rsidRPr="0081286B">
        <w:rPr>
          <w:b/>
          <w:sz w:val="36"/>
          <w:szCs w:val="36"/>
        </w:rPr>
        <w:t>交银施罗德定期支付双息平衡混合型证券投资基金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二〇一八年七月十八日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A72702" w:rsidRDefault="00733FE7">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A72702" w:rsidRDefault="00733FE7">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A72702" w:rsidRDefault="00733FE7">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A72702" w:rsidRDefault="00733FE7">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A72702" w:rsidRDefault="00733FE7">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交银定期支付双息平衡混合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519732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519732</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489,302,295.58</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本基金精选具有长期增长潜力和较好分红能力的股票，以及具有较高息票率的债券，力争实现基金资产的长期增值。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中证红利指数收益率</w:t>
            </w:r>
            <w:r w:rsidRPr="00414345">
              <w:rPr>
                <w:color w:val="000000"/>
                <w:kern w:val="0"/>
                <w:sz w:val="24"/>
                <w:szCs w:val="24"/>
              </w:rPr>
              <w:t>+50%×</w:t>
            </w:r>
            <w:r w:rsidRPr="00414345">
              <w:rPr>
                <w:color w:val="000000"/>
                <w:kern w:val="0"/>
                <w:sz w:val="24"/>
                <w:szCs w:val="24"/>
              </w:rPr>
              <w:t>中债综合全价指数收益率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本基金是一只混合型基金，在证券投资基金中属于较高风险的品种，其长期平均风险和预期收益高于货币</w:t>
            </w:r>
            <w:r w:rsidRPr="00414345">
              <w:rPr>
                <w:color w:val="000000"/>
                <w:kern w:val="0"/>
                <w:sz w:val="24"/>
                <w:szCs w:val="24"/>
              </w:rPr>
              <w:lastRenderedPageBreak/>
              <w:t>市场基金和债券型基金，低于股票型基金。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EB5D36" w:rsidRPr="00414345" w:rsidTr="00EB5D36">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EB5D36" w:rsidRPr="00414345" w:rsidTr="00EB5D3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-24,000,916.10</w:t>
            </w:r>
          </w:p>
        </w:tc>
      </w:tr>
      <w:tr w:rsidR="00EB5D36" w:rsidRPr="00414345" w:rsidTr="00EB5D3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-56,940,016.25</w:t>
            </w:r>
          </w:p>
        </w:tc>
      </w:tr>
      <w:tr w:rsidR="00EB5D36" w:rsidRPr="00414345" w:rsidTr="00EB5D3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-0.1626</w:t>
            </w:r>
          </w:p>
        </w:tc>
      </w:tr>
      <w:tr w:rsidR="00EB5D36" w:rsidRPr="00414345" w:rsidTr="00EB5D3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1,444,661,748.84</w:t>
            </w:r>
          </w:p>
        </w:tc>
      </w:tr>
      <w:tr w:rsidR="00EB5D36" w:rsidRPr="00414345" w:rsidTr="00EB5D36">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2.952</w:t>
            </w:r>
          </w:p>
        </w:tc>
      </w:tr>
    </w:tbl>
    <w:p w:rsidR="00A72702" w:rsidRDefault="00733FE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A72702">
        <w:trPr>
          <w:jc w:val="center"/>
        </w:trPr>
        <w:tc>
          <w:tcPr>
            <w:tcW w:w="1701" w:type="dxa"/>
            <w:vAlign w:val="center"/>
          </w:tcPr>
          <w:p w:rsidR="00A72702" w:rsidRDefault="00733FE7">
            <w:pPr>
              <w:jc w:val="left"/>
            </w:pPr>
            <w:r>
              <w:rPr>
                <w:color w:val="000000"/>
                <w:sz w:val="24"/>
                <w:szCs w:val="24"/>
              </w:rPr>
              <w:t>过去三个月</w:t>
            </w:r>
          </w:p>
        </w:tc>
        <w:tc>
          <w:tcPr>
            <w:tcW w:w="1045" w:type="dxa"/>
            <w:vAlign w:val="center"/>
          </w:tcPr>
          <w:p w:rsidR="00A72702" w:rsidRDefault="00733FE7">
            <w:pPr>
              <w:jc w:val="center"/>
            </w:pPr>
            <w:r>
              <w:rPr>
                <w:color w:val="000000"/>
                <w:sz w:val="24"/>
                <w:szCs w:val="24"/>
              </w:rPr>
              <w:t>-5.32%</w:t>
            </w:r>
          </w:p>
        </w:tc>
        <w:tc>
          <w:tcPr>
            <w:tcW w:w="1344" w:type="dxa"/>
            <w:vAlign w:val="center"/>
          </w:tcPr>
          <w:p w:rsidR="00A72702" w:rsidRDefault="00733FE7">
            <w:pPr>
              <w:jc w:val="center"/>
            </w:pPr>
            <w:r>
              <w:rPr>
                <w:color w:val="000000"/>
                <w:sz w:val="24"/>
                <w:szCs w:val="24"/>
              </w:rPr>
              <w:t>1.17%</w:t>
            </w:r>
          </w:p>
        </w:tc>
        <w:tc>
          <w:tcPr>
            <w:tcW w:w="1194" w:type="dxa"/>
            <w:vAlign w:val="center"/>
          </w:tcPr>
          <w:p w:rsidR="00A72702" w:rsidRDefault="00733FE7">
            <w:pPr>
              <w:jc w:val="center"/>
            </w:pPr>
            <w:r>
              <w:rPr>
                <w:color w:val="000000"/>
                <w:sz w:val="24"/>
                <w:szCs w:val="24"/>
              </w:rPr>
              <w:t>-4.05%</w:t>
            </w:r>
          </w:p>
        </w:tc>
        <w:tc>
          <w:tcPr>
            <w:tcW w:w="1492" w:type="dxa"/>
            <w:vAlign w:val="center"/>
          </w:tcPr>
          <w:p w:rsidR="00A72702" w:rsidRDefault="00733FE7">
            <w:pPr>
              <w:jc w:val="center"/>
            </w:pPr>
            <w:r>
              <w:rPr>
                <w:color w:val="000000"/>
                <w:sz w:val="24"/>
                <w:szCs w:val="24"/>
              </w:rPr>
              <w:t>0.52%</w:t>
            </w:r>
          </w:p>
        </w:tc>
        <w:tc>
          <w:tcPr>
            <w:tcW w:w="1194" w:type="dxa"/>
            <w:vAlign w:val="center"/>
          </w:tcPr>
          <w:p w:rsidR="00A72702" w:rsidRDefault="00733FE7">
            <w:pPr>
              <w:jc w:val="center"/>
            </w:pPr>
            <w:r>
              <w:rPr>
                <w:color w:val="000000"/>
                <w:sz w:val="24"/>
                <w:szCs w:val="24"/>
              </w:rPr>
              <w:t>-1.27%</w:t>
            </w:r>
          </w:p>
        </w:tc>
        <w:tc>
          <w:tcPr>
            <w:tcW w:w="898" w:type="dxa"/>
            <w:vAlign w:val="center"/>
          </w:tcPr>
          <w:p w:rsidR="00A72702" w:rsidRDefault="00733FE7">
            <w:pPr>
              <w:jc w:val="center"/>
            </w:pPr>
            <w:r>
              <w:rPr>
                <w:color w:val="000000"/>
                <w:sz w:val="24"/>
                <w:szCs w:val="24"/>
              </w:rPr>
              <w:t>0.65%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交银施罗德定期支付双息平衡混合型证券投资基金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A72702">
        <w:trPr>
          <w:jc w:val="center"/>
        </w:trPr>
        <w:tc>
          <w:tcPr>
            <w:tcW w:w="846" w:type="dxa"/>
            <w:vAlign w:val="center"/>
          </w:tcPr>
          <w:p w:rsidR="00A72702" w:rsidRDefault="00733FE7">
            <w:pPr>
              <w:jc w:val="center"/>
            </w:pPr>
            <w:r>
              <w:rPr>
                <w:color w:val="000000"/>
                <w:sz w:val="24"/>
                <w:szCs w:val="24"/>
              </w:rPr>
              <w:t>杨浩</w:t>
            </w:r>
          </w:p>
        </w:tc>
        <w:tc>
          <w:tcPr>
            <w:tcW w:w="845" w:type="dxa"/>
            <w:vAlign w:val="center"/>
          </w:tcPr>
          <w:p w:rsidR="00A72702" w:rsidRDefault="00733FE7">
            <w:pPr>
              <w:jc w:val="center"/>
            </w:pPr>
            <w:r>
              <w:rPr>
                <w:color w:val="000000"/>
                <w:sz w:val="24"/>
                <w:szCs w:val="24"/>
              </w:rPr>
              <w:t>交银定期支付双息平衡混合、交银新生活力灵活配置混合的基金经理</w:t>
            </w:r>
          </w:p>
        </w:tc>
        <w:tc>
          <w:tcPr>
            <w:tcW w:w="1549" w:type="dxa"/>
            <w:vAlign w:val="center"/>
          </w:tcPr>
          <w:p w:rsidR="00A72702" w:rsidRDefault="00733FE7">
            <w:pPr>
              <w:jc w:val="center"/>
            </w:pPr>
            <w:r>
              <w:rPr>
                <w:color w:val="000000"/>
                <w:sz w:val="24"/>
                <w:szCs w:val="24"/>
              </w:rPr>
              <w:t>2015-08-15</w:t>
            </w:r>
          </w:p>
        </w:tc>
        <w:tc>
          <w:tcPr>
            <w:tcW w:w="1548" w:type="dxa"/>
            <w:vAlign w:val="center"/>
          </w:tcPr>
          <w:p w:rsidR="00A72702" w:rsidRDefault="00733FE7">
            <w:pPr>
              <w:jc w:val="center"/>
            </w:pPr>
            <w:r>
              <w:rPr>
                <w:color w:val="000000"/>
                <w:sz w:val="24"/>
                <w:szCs w:val="24"/>
              </w:rPr>
              <w:t>-</w:t>
            </w:r>
          </w:p>
        </w:tc>
        <w:tc>
          <w:tcPr>
            <w:tcW w:w="1407" w:type="dxa"/>
            <w:vAlign w:val="center"/>
          </w:tcPr>
          <w:p w:rsidR="00A72702" w:rsidRDefault="00733FE7">
            <w:pPr>
              <w:jc w:val="center"/>
            </w:pPr>
            <w:r>
              <w:rPr>
                <w:color w:val="000000"/>
                <w:sz w:val="24"/>
                <w:szCs w:val="24"/>
              </w:rPr>
              <w:t>8</w:t>
            </w:r>
            <w:r>
              <w:rPr>
                <w:color w:val="000000"/>
                <w:sz w:val="24"/>
                <w:szCs w:val="24"/>
              </w:rPr>
              <w:t>年</w:t>
            </w:r>
          </w:p>
        </w:tc>
        <w:tc>
          <w:tcPr>
            <w:tcW w:w="2673" w:type="dxa"/>
            <w:vAlign w:val="center"/>
          </w:tcPr>
          <w:p w:rsidR="00A72702" w:rsidRDefault="00733FE7">
            <w:r>
              <w:rPr>
                <w:color w:val="000000"/>
                <w:sz w:val="24"/>
                <w:szCs w:val="24"/>
              </w:rPr>
              <w:t>杨浩先生，北京邮电大学通信与信息系统专业硕士。</w:t>
            </w:r>
            <w:r>
              <w:rPr>
                <w:color w:val="000000"/>
                <w:sz w:val="24"/>
                <w:szCs w:val="24"/>
              </w:rPr>
              <w:t>2010</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A72702" w:rsidRDefault="00733FE7">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A72702" w:rsidRDefault="00733FE7">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A72702" w:rsidRDefault="00733FE7">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A72702" w:rsidRDefault="00733FE7">
      <w:pPr>
        <w:spacing w:before="29" w:line="288" w:lineRule="auto"/>
        <w:ind w:firstLineChars="200" w:firstLine="480"/>
        <w:rPr>
          <w:color w:val="000000"/>
          <w:sz w:val="24"/>
          <w:szCs w:val="24"/>
        </w:rPr>
      </w:pPr>
      <w:r>
        <w:rPr>
          <w:color w:val="000000"/>
          <w:sz w:val="24"/>
          <w:szCs w:val="24"/>
        </w:rPr>
        <w:t>今年以来，宏观基本面较为复杂。我们一方面处于后金融地产周期，金融去杠杆对传统货币放水发展模式的肃清仍在进行中，另一方面遭遇与美国的贸易冲突，在新兴技术领域出现摩擦。复杂的宏观背景使得中观产业运行的轨迹出现超出市场预期的变化，中央对打破刚性兑付的态度较为坚决，对部分产业补贴收紧，信贷收紧，对僵尸企业、</w:t>
      </w:r>
      <w:r>
        <w:rPr>
          <w:color w:val="000000"/>
          <w:sz w:val="24"/>
          <w:szCs w:val="24"/>
        </w:rPr>
        <w:lastRenderedPageBreak/>
        <w:t>违规企业惩处严厉。不确定性的增强使得本季度资本市场出现大幅波动，本季度，沪深</w:t>
      </w:r>
      <w:r>
        <w:rPr>
          <w:color w:val="000000"/>
          <w:sz w:val="24"/>
          <w:szCs w:val="24"/>
        </w:rPr>
        <w:t>300</w:t>
      </w:r>
      <w:r>
        <w:rPr>
          <w:color w:val="000000"/>
          <w:sz w:val="24"/>
          <w:szCs w:val="24"/>
        </w:rPr>
        <w:t>指数下跌</w:t>
      </w:r>
      <w:r>
        <w:rPr>
          <w:color w:val="000000"/>
          <w:sz w:val="24"/>
          <w:szCs w:val="24"/>
        </w:rPr>
        <w:t>9.9%</w:t>
      </w:r>
      <w:r>
        <w:rPr>
          <w:color w:val="000000"/>
          <w:sz w:val="24"/>
          <w:szCs w:val="24"/>
        </w:rPr>
        <w:t>，创业板指数下跌</w:t>
      </w:r>
      <w:r>
        <w:rPr>
          <w:color w:val="000000"/>
          <w:sz w:val="24"/>
          <w:szCs w:val="24"/>
        </w:rPr>
        <w:t>15.5%</w:t>
      </w:r>
      <w:r>
        <w:rPr>
          <w:color w:val="000000"/>
          <w:sz w:val="24"/>
          <w:szCs w:val="24"/>
        </w:rPr>
        <w:t>。仅日常消费中的医药生物和食品饮料板块表现较好。</w:t>
      </w:r>
    </w:p>
    <w:p w:rsidR="00A72702" w:rsidRDefault="00733FE7">
      <w:pPr>
        <w:spacing w:before="29" w:line="288" w:lineRule="auto"/>
        <w:ind w:firstLineChars="200" w:firstLine="480"/>
        <w:rPr>
          <w:color w:val="000000"/>
          <w:sz w:val="24"/>
          <w:szCs w:val="24"/>
        </w:rPr>
      </w:pPr>
      <w:r>
        <w:rPr>
          <w:color w:val="000000"/>
          <w:sz w:val="24"/>
          <w:szCs w:val="24"/>
        </w:rPr>
        <w:t>本基金在本季度虽未跑赢业绩比较基准，但跑赢</w:t>
      </w:r>
      <w:r>
        <w:rPr>
          <w:color w:val="000000"/>
          <w:sz w:val="24"/>
          <w:szCs w:val="24"/>
        </w:rPr>
        <w:t>A</w:t>
      </w:r>
      <w:r>
        <w:rPr>
          <w:color w:val="000000"/>
          <w:sz w:val="24"/>
          <w:szCs w:val="24"/>
        </w:rPr>
        <w:t>股各大主要指数，主要源于重仓股中的计算机、医药生物、垂直互联网中的龙头企业股价表现相对较好，整体仓位维持中性。</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我们认为目前比较复杂的外部环境和内部去杠杆的强势预期可能造成短中期宏观经济的回落，对存量经济占比比较大的蓝筹公司需要审慎对待，相较而言，代表经济新方向的优质成长股是我们认为会获得相对收益的标的。我们将积极关注下半年政策的组合拳，并据时做出相应应对，同时我们也乐观地看到货币水位的下降也带来竞争压力的出清，我们也努力在寻找更多逐渐浮现的新兴产业龙头。</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2.952</w:t>
      </w:r>
      <w:r w:rsidRPr="00414345">
        <w:rPr>
          <w:color w:val="000000"/>
          <w:sz w:val="24"/>
          <w:szCs w:val="24"/>
        </w:rPr>
        <w:t>元，本报告期份额净值增长率为</w:t>
      </w:r>
      <w:r w:rsidRPr="00414345">
        <w:rPr>
          <w:color w:val="000000"/>
          <w:sz w:val="24"/>
          <w:szCs w:val="24"/>
        </w:rPr>
        <w:t>-5.32%</w:t>
      </w:r>
      <w:r w:rsidRPr="00414345">
        <w:rPr>
          <w:color w:val="000000"/>
          <w:sz w:val="24"/>
          <w:szCs w:val="24"/>
        </w:rPr>
        <w:t>，同期业绩比较基准增长率为</w:t>
      </w:r>
      <w:r w:rsidRPr="00414345">
        <w:rPr>
          <w:color w:val="000000"/>
          <w:sz w:val="24"/>
          <w:szCs w:val="24"/>
        </w:rPr>
        <w:t>-4.05%</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893,187,599.80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60.83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893,187,599.80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60.83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447,783,493.43</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30.50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122,406,402.54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8.34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4,854,747.19</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0.33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1,468,232,242.96</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14,618,682.50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220,174,421.54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15.24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71,559.85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96,474,985.38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42,938,317.25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338,052,407.66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23.40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26,858,409.00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17,085,895.20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21,633,003.84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81,226.14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115,198,691.44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7.97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893,187,599.80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61.83</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A72702">
        <w:trPr>
          <w:jc w:val="center"/>
        </w:trPr>
        <w:tc>
          <w:tcPr>
            <w:tcW w:w="855" w:type="dxa"/>
            <w:vAlign w:val="center"/>
          </w:tcPr>
          <w:p w:rsidR="00A72702" w:rsidRDefault="00733FE7">
            <w:pPr>
              <w:jc w:val="center"/>
            </w:pPr>
            <w:r>
              <w:rPr>
                <w:color w:val="000000"/>
                <w:sz w:val="24"/>
                <w:szCs w:val="24"/>
              </w:rPr>
              <w:t>1</w:t>
            </w:r>
          </w:p>
        </w:tc>
        <w:tc>
          <w:tcPr>
            <w:tcW w:w="1334" w:type="dxa"/>
            <w:vAlign w:val="center"/>
          </w:tcPr>
          <w:p w:rsidR="00A72702" w:rsidRDefault="00733FE7">
            <w:pPr>
              <w:jc w:val="center"/>
            </w:pPr>
            <w:r>
              <w:rPr>
                <w:color w:val="000000"/>
                <w:sz w:val="24"/>
                <w:szCs w:val="24"/>
              </w:rPr>
              <w:t>300413</w:t>
            </w:r>
          </w:p>
        </w:tc>
        <w:tc>
          <w:tcPr>
            <w:tcW w:w="1777" w:type="dxa"/>
            <w:vAlign w:val="center"/>
          </w:tcPr>
          <w:p w:rsidR="00A72702" w:rsidRDefault="00733FE7">
            <w:pPr>
              <w:jc w:val="center"/>
            </w:pPr>
            <w:r>
              <w:rPr>
                <w:color w:val="000000"/>
                <w:sz w:val="24"/>
                <w:szCs w:val="24"/>
              </w:rPr>
              <w:t>快乐购</w:t>
            </w:r>
          </w:p>
        </w:tc>
        <w:tc>
          <w:tcPr>
            <w:tcW w:w="1334" w:type="dxa"/>
            <w:vAlign w:val="center"/>
          </w:tcPr>
          <w:p w:rsidR="00A72702" w:rsidRDefault="00733FE7">
            <w:pPr>
              <w:jc w:val="right"/>
            </w:pPr>
            <w:r>
              <w:rPr>
                <w:color w:val="000000"/>
                <w:sz w:val="24"/>
                <w:szCs w:val="24"/>
              </w:rPr>
              <w:t>2,043,672</w:t>
            </w:r>
          </w:p>
        </w:tc>
        <w:tc>
          <w:tcPr>
            <w:tcW w:w="1924" w:type="dxa"/>
            <w:vAlign w:val="center"/>
          </w:tcPr>
          <w:p w:rsidR="00A72702" w:rsidRDefault="00733FE7">
            <w:pPr>
              <w:jc w:val="right"/>
            </w:pPr>
            <w:r>
              <w:rPr>
                <w:color w:val="000000"/>
                <w:sz w:val="24"/>
                <w:szCs w:val="24"/>
              </w:rPr>
              <w:t>77,536,915.68</w:t>
            </w:r>
          </w:p>
        </w:tc>
        <w:tc>
          <w:tcPr>
            <w:tcW w:w="1644" w:type="dxa"/>
            <w:vAlign w:val="center"/>
          </w:tcPr>
          <w:p w:rsidR="00A72702" w:rsidRDefault="00733FE7">
            <w:pPr>
              <w:jc w:val="right"/>
            </w:pPr>
            <w:r>
              <w:rPr>
                <w:color w:val="000000"/>
                <w:sz w:val="24"/>
                <w:szCs w:val="24"/>
              </w:rPr>
              <w:t>5.37</w:t>
            </w:r>
          </w:p>
        </w:tc>
      </w:tr>
      <w:tr w:rsidR="00A72702">
        <w:trPr>
          <w:jc w:val="center"/>
        </w:trPr>
        <w:tc>
          <w:tcPr>
            <w:tcW w:w="855" w:type="dxa"/>
            <w:vAlign w:val="center"/>
          </w:tcPr>
          <w:p w:rsidR="00A72702" w:rsidRDefault="00733FE7">
            <w:pPr>
              <w:jc w:val="center"/>
            </w:pPr>
            <w:r>
              <w:rPr>
                <w:color w:val="000000"/>
                <w:sz w:val="24"/>
                <w:szCs w:val="24"/>
              </w:rPr>
              <w:t>2</w:t>
            </w:r>
          </w:p>
        </w:tc>
        <w:tc>
          <w:tcPr>
            <w:tcW w:w="1334" w:type="dxa"/>
            <w:vAlign w:val="center"/>
          </w:tcPr>
          <w:p w:rsidR="00A72702" w:rsidRDefault="00733FE7">
            <w:pPr>
              <w:jc w:val="center"/>
            </w:pPr>
            <w:r>
              <w:rPr>
                <w:color w:val="000000"/>
                <w:sz w:val="24"/>
                <w:szCs w:val="24"/>
              </w:rPr>
              <w:t>300170</w:t>
            </w:r>
          </w:p>
        </w:tc>
        <w:tc>
          <w:tcPr>
            <w:tcW w:w="1777" w:type="dxa"/>
            <w:vAlign w:val="center"/>
          </w:tcPr>
          <w:p w:rsidR="00A72702" w:rsidRDefault="00733FE7">
            <w:pPr>
              <w:jc w:val="center"/>
            </w:pPr>
            <w:r>
              <w:rPr>
                <w:color w:val="000000"/>
                <w:sz w:val="24"/>
                <w:szCs w:val="24"/>
              </w:rPr>
              <w:t>汉得信息</w:t>
            </w:r>
          </w:p>
        </w:tc>
        <w:tc>
          <w:tcPr>
            <w:tcW w:w="1334" w:type="dxa"/>
            <w:vAlign w:val="center"/>
          </w:tcPr>
          <w:p w:rsidR="00A72702" w:rsidRDefault="00733FE7">
            <w:pPr>
              <w:jc w:val="right"/>
            </w:pPr>
            <w:r>
              <w:rPr>
                <w:color w:val="000000"/>
                <w:sz w:val="24"/>
                <w:szCs w:val="24"/>
              </w:rPr>
              <w:t>4,736,900</w:t>
            </w:r>
          </w:p>
        </w:tc>
        <w:tc>
          <w:tcPr>
            <w:tcW w:w="1924" w:type="dxa"/>
            <w:vAlign w:val="center"/>
          </w:tcPr>
          <w:p w:rsidR="00A72702" w:rsidRDefault="00733FE7">
            <w:pPr>
              <w:jc w:val="right"/>
            </w:pPr>
            <w:r>
              <w:rPr>
                <w:color w:val="000000"/>
                <w:sz w:val="24"/>
                <w:szCs w:val="24"/>
              </w:rPr>
              <w:t>76,927,256.00</w:t>
            </w:r>
          </w:p>
        </w:tc>
        <w:tc>
          <w:tcPr>
            <w:tcW w:w="1644" w:type="dxa"/>
            <w:vAlign w:val="center"/>
          </w:tcPr>
          <w:p w:rsidR="00A72702" w:rsidRDefault="00733FE7">
            <w:pPr>
              <w:jc w:val="right"/>
            </w:pPr>
            <w:r>
              <w:rPr>
                <w:color w:val="000000"/>
                <w:sz w:val="24"/>
                <w:szCs w:val="24"/>
              </w:rPr>
              <w:t>5.32</w:t>
            </w:r>
          </w:p>
        </w:tc>
      </w:tr>
      <w:tr w:rsidR="00A72702">
        <w:trPr>
          <w:jc w:val="center"/>
        </w:trPr>
        <w:tc>
          <w:tcPr>
            <w:tcW w:w="855" w:type="dxa"/>
            <w:vAlign w:val="center"/>
          </w:tcPr>
          <w:p w:rsidR="00A72702" w:rsidRDefault="00733FE7">
            <w:pPr>
              <w:jc w:val="center"/>
            </w:pPr>
            <w:r>
              <w:rPr>
                <w:color w:val="000000"/>
                <w:sz w:val="24"/>
                <w:szCs w:val="24"/>
              </w:rPr>
              <w:t>3</w:t>
            </w:r>
          </w:p>
        </w:tc>
        <w:tc>
          <w:tcPr>
            <w:tcW w:w="1334" w:type="dxa"/>
            <w:vAlign w:val="center"/>
          </w:tcPr>
          <w:p w:rsidR="00A72702" w:rsidRDefault="00733FE7">
            <w:pPr>
              <w:jc w:val="center"/>
            </w:pPr>
            <w:r>
              <w:rPr>
                <w:color w:val="000000"/>
                <w:sz w:val="24"/>
                <w:szCs w:val="24"/>
              </w:rPr>
              <w:t>300188</w:t>
            </w:r>
          </w:p>
        </w:tc>
        <w:tc>
          <w:tcPr>
            <w:tcW w:w="1777" w:type="dxa"/>
            <w:vAlign w:val="center"/>
          </w:tcPr>
          <w:p w:rsidR="00A72702" w:rsidRDefault="00733FE7">
            <w:pPr>
              <w:jc w:val="center"/>
            </w:pPr>
            <w:r>
              <w:rPr>
                <w:color w:val="000000"/>
                <w:sz w:val="24"/>
                <w:szCs w:val="24"/>
              </w:rPr>
              <w:t>美亚柏科</w:t>
            </w:r>
          </w:p>
        </w:tc>
        <w:tc>
          <w:tcPr>
            <w:tcW w:w="1334" w:type="dxa"/>
            <w:vAlign w:val="center"/>
          </w:tcPr>
          <w:p w:rsidR="00A72702" w:rsidRDefault="00733FE7">
            <w:pPr>
              <w:jc w:val="right"/>
            </w:pPr>
            <w:r>
              <w:rPr>
                <w:color w:val="000000"/>
                <w:sz w:val="24"/>
                <w:szCs w:val="24"/>
              </w:rPr>
              <w:t>3,837,495</w:t>
            </w:r>
          </w:p>
        </w:tc>
        <w:tc>
          <w:tcPr>
            <w:tcW w:w="1924" w:type="dxa"/>
            <w:vAlign w:val="center"/>
          </w:tcPr>
          <w:p w:rsidR="00A72702" w:rsidRDefault="00733FE7">
            <w:pPr>
              <w:jc w:val="right"/>
            </w:pPr>
            <w:r>
              <w:rPr>
                <w:color w:val="000000"/>
                <w:sz w:val="24"/>
                <w:szCs w:val="24"/>
              </w:rPr>
              <w:t>70,226,158.50</w:t>
            </w:r>
          </w:p>
        </w:tc>
        <w:tc>
          <w:tcPr>
            <w:tcW w:w="1644" w:type="dxa"/>
            <w:vAlign w:val="center"/>
          </w:tcPr>
          <w:p w:rsidR="00A72702" w:rsidRDefault="00733FE7">
            <w:pPr>
              <w:jc w:val="right"/>
            </w:pPr>
            <w:r>
              <w:rPr>
                <w:color w:val="000000"/>
                <w:sz w:val="24"/>
                <w:szCs w:val="24"/>
              </w:rPr>
              <w:t>4.86</w:t>
            </w:r>
          </w:p>
        </w:tc>
      </w:tr>
      <w:tr w:rsidR="00A72702">
        <w:trPr>
          <w:jc w:val="center"/>
        </w:trPr>
        <w:tc>
          <w:tcPr>
            <w:tcW w:w="855" w:type="dxa"/>
            <w:vAlign w:val="center"/>
          </w:tcPr>
          <w:p w:rsidR="00A72702" w:rsidRDefault="00733FE7">
            <w:pPr>
              <w:jc w:val="center"/>
            </w:pPr>
            <w:r>
              <w:rPr>
                <w:color w:val="000000"/>
                <w:sz w:val="24"/>
                <w:szCs w:val="24"/>
              </w:rPr>
              <w:t>4</w:t>
            </w:r>
          </w:p>
        </w:tc>
        <w:tc>
          <w:tcPr>
            <w:tcW w:w="1334" w:type="dxa"/>
            <w:vAlign w:val="center"/>
          </w:tcPr>
          <w:p w:rsidR="00A72702" w:rsidRDefault="00733FE7">
            <w:pPr>
              <w:jc w:val="center"/>
            </w:pPr>
            <w:r>
              <w:rPr>
                <w:color w:val="000000"/>
                <w:sz w:val="24"/>
                <w:szCs w:val="24"/>
              </w:rPr>
              <w:t>300059</w:t>
            </w:r>
          </w:p>
        </w:tc>
        <w:tc>
          <w:tcPr>
            <w:tcW w:w="1777" w:type="dxa"/>
            <w:vAlign w:val="center"/>
          </w:tcPr>
          <w:p w:rsidR="00A72702" w:rsidRDefault="00733FE7">
            <w:pPr>
              <w:jc w:val="center"/>
            </w:pPr>
            <w:r>
              <w:rPr>
                <w:color w:val="000000"/>
                <w:sz w:val="24"/>
                <w:szCs w:val="24"/>
              </w:rPr>
              <w:t>东方财富</w:t>
            </w:r>
          </w:p>
        </w:tc>
        <w:tc>
          <w:tcPr>
            <w:tcW w:w="1334" w:type="dxa"/>
            <w:vAlign w:val="center"/>
          </w:tcPr>
          <w:p w:rsidR="00A72702" w:rsidRDefault="00733FE7">
            <w:pPr>
              <w:jc w:val="right"/>
            </w:pPr>
            <w:r>
              <w:rPr>
                <w:color w:val="000000"/>
                <w:sz w:val="24"/>
                <w:szCs w:val="24"/>
              </w:rPr>
              <w:t>4,874,673</w:t>
            </w:r>
          </w:p>
        </w:tc>
        <w:tc>
          <w:tcPr>
            <w:tcW w:w="1924" w:type="dxa"/>
            <w:vAlign w:val="center"/>
          </w:tcPr>
          <w:p w:rsidR="00A72702" w:rsidRDefault="00733FE7">
            <w:pPr>
              <w:jc w:val="right"/>
            </w:pPr>
            <w:r>
              <w:rPr>
                <w:color w:val="000000"/>
                <w:sz w:val="24"/>
                <w:szCs w:val="24"/>
              </w:rPr>
              <w:t>64,248,190.14</w:t>
            </w:r>
          </w:p>
        </w:tc>
        <w:tc>
          <w:tcPr>
            <w:tcW w:w="1644" w:type="dxa"/>
            <w:vAlign w:val="center"/>
          </w:tcPr>
          <w:p w:rsidR="00A72702" w:rsidRDefault="00733FE7">
            <w:pPr>
              <w:jc w:val="right"/>
            </w:pPr>
            <w:r>
              <w:rPr>
                <w:color w:val="000000"/>
                <w:sz w:val="24"/>
                <w:szCs w:val="24"/>
              </w:rPr>
              <w:t>4.45</w:t>
            </w:r>
          </w:p>
        </w:tc>
      </w:tr>
      <w:tr w:rsidR="00A72702">
        <w:trPr>
          <w:jc w:val="center"/>
        </w:trPr>
        <w:tc>
          <w:tcPr>
            <w:tcW w:w="855" w:type="dxa"/>
            <w:vAlign w:val="center"/>
          </w:tcPr>
          <w:p w:rsidR="00A72702" w:rsidRDefault="00733FE7">
            <w:pPr>
              <w:jc w:val="center"/>
            </w:pPr>
            <w:r>
              <w:rPr>
                <w:color w:val="000000"/>
                <w:sz w:val="24"/>
                <w:szCs w:val="24"/>
              </w:rPr>
              <w:t>5</w:t>
            </w:r>
          </w:p>
        </w:tc>
        <w:tc>
          <w:tcPr>
            <w:tcW w:w="1334" w:type="dxa"/>
            <w:vAlign w:val="center"/>
          </w:tcPr>
          <w:p w:rsidR="00A72702" w:rsidRDefault="00733FE7">
            <w:pPr>
              <w:jc w:val="center"/>
            </w:pPr>
            <w:r>
              <w:rPr>
                <w:color w:val="000000"/>
                <w:sz w:val="24"/>
                <w:szCs w:val="24"/>
              </w:rPr>
              <w:t>000681</w:t>
            </w:r>
          </w:p>
        </w:tc>
        <w:tc>
          <w:tcPr>
            <w:tcW w:w="1777" w:type="dxa"/>
            <w:vAlign w:val="center"/>
          </w:tcPr>
          <w:p w:rsidR="00A72702" w:rsidRDefault="00733FE7">
            <w:pPr>
              <w:jc w:val="center"/>
            </w:pPr>
            <w:r>
              <w:rPr>
                <w:color w:val="000000"/>
                <w:sz w:val="24"/>
                <w:szCs w:val="24"/>
              </w:rPr>
              <w:t>视觉中国</w:t>
            </w:r>
          </w:p>
        </w:tc>
        <w:tc>
          <w:tcPr>
            <w:tcW w:w="1334" w:type="dxa"/>
            <w:vAlign w:val="center"/>
          </w:tcPr>
          <w:p w:rsidR="00A72702" w:rsidRDefault="00733FE7">
            <w:pPr>
              <w:jc w:val="right"/>
            </w:pPr>
            <w:r>
              <w:rPr>
                <w:color w:val="000000"/>
                <w:sz w:val="24"/>
                <w:szCs w:val="24"/>
              </w:rPr>
              <w:t>2,155,900</w:t>
            </w:r>
          </w:p>
        </w:tc>
        <w:tc>
          <w:tcPr>
            <w:tcW w:w="1924" w:type="dxa"/>
            <w:vAlign w:val="center"/>
          </w:tcPr>
          <w:p w:rsidR="00A72702" w:rsidRDefault="00733FE7">
            <w:pPr>
              <w:jc w:val="right"/>
            </w:pPr>
            <w:r>
              <w:rPr>
                <w:color w:val="000000"/>
                <w:sz w:val="24"/>
                <w:szCs w:val="24"/>
              </w:rPr>
              <w:t>61,874,330.00</w:t>
            </w:r>
          </w:p>
        </w:tc>
        <w:tc>
          <w:tcPr>
            <w:tcW w:w="1644" w:type="dxa"/>
            <w:vAlign w:val="center"/>
          </w:tcPr>
          <w:p w:rsidR="00A72702" w:rsidRDefault="00733FE7">
            <w:pPr>
              <w:jc w:val="right"/>
            </w:pPr>
            <w:r>
              <w:rPr>
                <w:color w:val="000000"/>
                <w:sz w:val="24"/>
                <w:szCs w:val="24"/>
              </w:rPr>
              <w:t>4.28</w:t>
            </w:r>
          </w:p>
        </w:tc>
      </w:tr>
      <w:tr w:rsidR="00A72702">
        <w:trPr>
          <w:jc w:val="center"/>
        </w:trPr>
        <w:tc>
          <w:tcPr>
            <w:tcW w:w="855" w:type="dxa"/>
            <w:vAlign w:val="center"/>
          </w:tcPr>
          <w:p w:rsidR="00A72702" w:rsidRDefault="00733FE7">
            <w:pPr>
              <w:jc w:val="center"/>
            </w:pPr>
            <w:r>
              <w:rPr>
                <w:color w:val="000000"/>
                <w:sz w:val="24"/>
                <w:szCs w:val="24"/>
              </w:rPr>
              <w:t>6</w:t>
            </w:r>
          </w:p>
        </w:tc>
        <w:tc>
          <w:tcPr>
            <w:tcW w:w="1334" w:type="dxa"/>
            <w:vAlign w:val="center"/>
          </w:tcPr>
          <w:p w:rsidR="00A72702" w:rsidRDefault="00733FE7">
            <w:pPr>
              <w:jc w:val="center"/>
            </w:pPr>
            <w:r>
              <w:rPr>
                <w:color w:val="000000"/>
                <w:sz w:val="24"/>
                <w:szCs w:val="24"/>
              </w:rPr>
              <w:t>002475</w:t>
            </w:r>
          </w:p>
        </w:tc>
        <w:tc>
          <w:tcPr>
            <w:tcW w:w="1777" w:type="dxa"/>
            <w:vAlign w:val="center"/>
          </w:tcPr>
          <w:p w:rsidR="00A72702" w:rsidRDefault="00733FE7">
            <w:pPr>
              <w:jc w:val="center"/>
            </w:pPr>
            <w:r>
              <w:rPr>
                <w:color w:val="000000"/>
                <w:sz w:val="24"/>
                <w:szCs w:val="24"/>
              </w:rPr>
              <w:t>立讯精密</w:t>
            </w:r>
          </w:p>
        </w:tc>
        <w:tc>
          <w:tcPr>
            <w:tcW w:w="1334" w:type="dxa"/>
            <w:vAlign w:val="center"/>
          </w:tcPr>
          <w:p w:rsidR="00A72702" w:rsidRDefault="00733FE7">
            <w:pPr>
              <w:jc w:val="right"/>
            </w:pPr>
            <w:r>
              <w:rPr>
                <w:color w:val="000000"/>
                <w:sz w:val="24"/>
                <w:szCs w:val="24"/>
              </w:rPr>
              <w:t>1,821,800</w:t>
            </w:r>
          </w:p>
        </w:tc>
        <w:tc>
          <w:tcPr>
            <w:tcW w:w="1924" w:type="dxa"/>
            <w:vAlign w:val="center"/>
          </w:tcPr>
          <w:p w:rsidR="00A72702" w:rsidRDefault="00733FE7">
            <w:pPr>
              <w:jc w:val="right"/>
            </w:pPr>
            <w:r>
              <w:rPr>
                <w:color w:val="000000"/>
                <w:sz w:val="24"/>
                <w:szCs w:val="24"/>
              </w:rPr>
              <w:t>41,063,372.00</w:t>
            </w:r>
          </w:p>
        </w:tc>
        <w:tc>
          <w:tcPr>
            <w:tcW w:w="1644" w:type="dxa"/>
            <w:vAlign w:val="center"/>
          </w:tcPr>
          <w:p w:rsidR="00A72702" w:rsidRDefault="00733FE7">
            <w:pPr>
              <w:jc w:val="right"/>
            </w:pPr>
            <w:r>
              <w:rPr>
                <w:color w:val="000000"/>
                <w:sz w:val="24"/>
                <w:szCs w:val="24"/>
              </w:rPr>
              <w:t>2.84</w:t>
            </w:r>
          </w:p>
        </w:tc>
      </w:tr>
      <w:tr w:rsidR="00A72702">
        <w:trPr>
          <w:jc w:val="center"/>
        </w:trPr>
        <w:tc>
          <w:tcPr>
            <w:tcW w:w="855" w:type="dxa"/>
            <w:vAlign w:val="center"/>
          </w:tcPr>
          <w:p w:rsidR="00A72702" w:rsidRDefault="00733FE7">
            <w:pPr>
              <w:jc w:val="center"/>
            </w:pPr>
            <w:r>
              <w:rPr>
                <w:color w:val="000000"/>
                <w:sz w:val="24"/>
                <w:szCs w:val="24"/>
              </w:rPr>
              <w:t>7</w:t>
            </w:r>
          </w:p>
        </w:tc>
        <w:tc>
          <w:tcPr>
            <w:tcW w:w="1334" w:type="dxa"/>
            <w:vAlign w:val="center"/>
          </w:tcPr>
          <w:p w:rsidR="00A72702" w:rsidRDefault="00733FE7">
            <w:pPr>
              <w:jc w:val="center"/>
            </w:pPr>
            <w:r>
              <w:rPr>
                <w:color w:val="000000"/>
                <w:sz w:val="24"/>
                <w:szCs w:val="24"/>
              </w:rPr>
              <w:t>603039</w:t>
            </w:r>
          </w:p>
        </w:tc>
        <w:tc>
          <w:tcPr>
            <w:tcW w:w="1777" w:type="dxa"/>
            <w:vAlign w:val="center"/>
          </w:tcPr>
          <w:p w:rsidR="00A72702" w:rsidRDefault="00733FE7">
            <w:pPr>
              <w:jc w:val="center"/>
            </w:pPr>
            <w:r>
              <w:rPr>
                <w:color w:val="000000"/>
                <w:sz w:val="24"/>
                <w:szCs w:val="24"/>
              </w:rPr>
              <w:t>泛微网络</w:t>
            </w:r>
          </w:p>
        </w:tc>
        <w:tc>
          <w:tcPr>
            <w:tcW w:w="1334" w:type="dxa"/>
            <w:vAlign w:val="center"/>
          </w:tcPr>
          <w:p w:rsidR="00A72702" w:rsidRDefault="00733FE7">
            <w:pPr>
              <w:jc w:val="right"/>
            </w:pPr>
            <w:r>
              <w:rPr>
                <w:color w:val="000000"/>
                <w:sz w:val="24"/>
                <w:szCs w:val="24"/>
              </w:rPr>
              <w:t>437,246</w:t>
            </w:r>
          </w:p>
        </w:tc>
        <w:tc>
          <w:tcPr>
            <w:tcW w:w="1924" w:type="dxa"/>
            <w:vAlign w:val="center"/>
          </w:tcPr>
          <w:p w:rsidR="00A72702" w:rsidRDefault="00733FE7">
            <w:pPr>
              <w:jc w:val="right"/>
            </w:pPr>
            <w:r>
              <w:rPr>
                <w:color w:val="000000"/>
                <w:sz w:val="24"/>
                <w:szCs w:val="24"/>
              </w:rPr>
              <w:t>38,425,178.48</w:t>
            </w:r>
          </w:p>
        </w:tc>
        <w:tc>
          <w:tcPr>
            <w:tcW w:w="1644" w:type="dxa"/>
            <w:vAlign w:val="center"/>
          </w:tcPr>
          <w:p w:rsidR="00A72702" w:rsidRDefault="00733FE7">
            <w:pPr>
              <w:jc w:val="right"/>
            </w:pPr>
            <w:r>
              <w:rPr>
                <w:color w:val="000000"/>
                <w:sz w:val="24"/>
                <w:szCs w:val="24"/>
              </w:rPr>
              <w:t>2.66</w:t>
            </w:r>
          </w:p>
        </w:tc>
      </w:tr>
      <w:tr w:rsidR="00A72702">
        <w:trPr>
          <w:jc w:val="center"/>
        </w:trPr>
        <w:tc>
          <w:tcPr>
            <w:tcW w:w="855" w:type="dxa"/>
            <w:vAlign w:val="center"/>
          </w:tcPr>
          <w:p w:rsidR="00A72702" w:rsidRDefault="00733FE7">
            <w:pPr>
              <w:jc w:val="center"/>
            </w:pPr>
            <w:r>
              <w:rPr>
                <w:color w:val="000000"/>
                <w:sz w:val="24"/>
                <w:szCs w:val="24"/>
              </w:rPr>
              <w:t>8</w:t>
            </w:r>
          </w:p>
        </w:tc>
        <w:tc>
          <w:tcPr>
            <w:tcW w:w="1334" w:type="dxa"/>
            <w:vAlign w:val="center"/>
          </w:tcPr>
          <w:p w:rsidR="00A72702" w:rsidRDefault="00733FE7">
            <w:pPr>
              <w:jc w:val="center"/>
            </w:pPr>
            <w:r>
              <w:rPr>
                <w:color w:val="000000"/>
                <w:sz w:val="24"/>
                <w:szCs w:val="24"/>
              </w:rPr>
              <w:t>000661</w:t>
            </w:r>
          </w:p>
        </w:tc>
        <w:tc>
          <w:tcPr>
            <w:tcW w:w="1777" w:type="dxa"/>
            <w:vAlign w:val="center"/>
          </w:tcPr>
          <w:p w:rsidR="00A72702" w:rsidRDefault="00733FE7">
            <w:pPr>
              <w:jc w:val="center"/>
            </w:pPr>
            <w:r>
              <w:rPr>
                <w:color w:val="000000"/>
                <w:sz w:val="24"/>
                <w:szCs w:val="24"/>
              </w:rPr>
              <w:t>长春高新</w:t>
            </w:r>
          </w:p>
        </w:tc>
        <w:tc>
          <w:tcPr>
            <w:tcW w:w="1334" w:type="dxa"/>
            <w:vAlign w:val="center"/>
          </w:tcPr>
          <w:p w:rsidR="00A72702" w:rsidRDefault="00733FE7">
            <w:pPr>
              <w:jc w:val="right"/>
            </w:pPr>
            <w:r>
              <w:rPr>
                <w:color w:val="000000"/>
                <w:sz w:val="24"/>
                <w:szCs w:val="24"/>
              </w:rPr>
              <w:t>158,100</w:t>
            </w:r>
          </w:p>
        </w:tc>
        <w:tc>
          <w:tcPr>
            <w:tcW w:w="1924" w:type="dxa"/>
            <w:vAlign w:val="center"/>
          </w:tcPr>
          <w:p w:rsidR="00A72702" w:rsidRDefault="00733FE7">
            <w:pPr>
              <w:jc w:val="right"/>
            </w:pPr>
            <w:r>
              <w:rPr>
                <w:color w:val="000000"/>
                <w:sz w:val="24"/>
                <w:szCs w:val="24"/>
              </w:rPr>
              <w:t>35,999,370.00</w:t>
            </w:r>
          </w:p>
        </w:tc>
        <w:tc>
          <w:tcPr>
            <w:tcW w:w="1644" w:type="dxa"/>
            <w:vAlign w:val="center"/>
          </w:tcPr>
          <w:p w:rsidR="00A72702" w:rsidRDefault="00733FE7">
            <w:pPr>
              <w:jc w:val="right"/>
            </w:pPr>
            <w:r>
              <w:rPr>
                <w:color w:val="000000"/>
                <w:sz w:val="24"/>
                <w:szCs w:val="24"/>
              </w:rPr>
              <w:t>2.49</w:t>
            </w:r>
          </w:p>
        </w:tc>
      </w:tr>
      <w:tr w:rsidR="00A72702">
        <w:trPr>
          <w:jc w:val="center"/>
        </w:trPr>
        <w:tc>
          <w:tcPr>
            <w:tcW w:w="855" w:type="dxa"/>
            <w:vAlign w:val="center"/>
          </w:tcPr>
          <w:p w:rsidR="00A72702" w:rsidRDefault="00733FE7">
            <w:pPr>
              <w:jc w:val="center"/>
            </w:pPr>
            <w:r>
              <w:rPr>
                <w:color w:val="000000"/>
                <w:sz w:val="24"/>
                <w:szCs w:val="24"/>
              </w:rPr>
              <w:t>9</w:t>
            </w:r>
          </w:p>
        </w:tc>
        <w:tc>
          <w:tcPr>
            <w:tcW w:w="1334" w:type="dxa"/>
            <w:vAlign w:val="center"/>
          </w:tcPr>
          <w:p w:rsidR="00A72702" w:rsidRDefault="00733FE7">
            <w:pPr>
              <w:jc w:val="center"/>
            </w:pPr>
            <w:r>
              <w:rPr>
                <w:color w:val="000000"/>
                <w:sz w:val="24"/>
                <w:szCs w:val="24"/>
              </w:rPr>
              <w:t>300182</w:t>
            </w:r>
          </w:p>
        </w:tc>
        <w:tc>
          <w:tcPr>
            <w:tcW w:w="1777" w:type="dxa"/>
            <w:vAlign w:val="center"/>
          </w:tcPr>
          <w:p w:rsidR="00A72702" w:rsidRDefault="00733FE7">
            <w:pPr>
              <w:jc w:val="center"/>
            </w:pPr>
            <w:r>
              <w:rPr>
                <w:color w:val="000000"/>
                <w:sz w:val="24"/>
                <w:szCs w:val="24"/>
              </w:rPr>
              <w:t>捷成股份</w:t>
            </w:r>
          </w:p>
        </w:tc>
        <w:tc>
          <w:tcPr>
            <w:tcW w:w="1334" w:type="dxa"/>
            <w:vAlign w:val="center"/>
          </w:tcPr>
          <w:p w:rsidR="00A72702" w:rsidRDefault="00733FE7">
            <w:pPr>
              <w:jc w:val="right"/>
            </w:pPr>
            <w:r>
              <w:rPr>
                <w:color w:val="000000"/>
                <w:sz w:val="24"/>
                <w:szCs w:val="24"/>
              </w:rPr>
              <w:t>3,870,468</w:t>
            </w:r>
          </w:p>
        </w:tc>
        <w:tc>
          <w:tcPr>
            <w:tcW w:w="1924" w:type="dxa"/>
            <w:vAlign w:val="center"/>
          </w:tcPr>
          <w:p w:rsidR="00A72702" w:rsidRDefault="00733FE7">
            <w:pPr>
              <w:jc w:val="right"/>
            </w:pPr>
            <w:r>
              <w:rPr>
                <w:color w:val="000000"/>
                <w:sz w:val="24"/>
                <w:szCs w:val="24"/>
              </w:rPr>
              <w:t>29,338,147.44</w:t>
            </w:r>
          </w:p>
        </w:tc>
        <w:tc>
          <w:tcPr>
            <w:tcW w:w="1644" w:type="dxa"/>
            <w:vAlign w:val="center"/>
          </w:tcPr>
          <w:p w:rsidR="00A72702" w:rsidRDefault="00733FE7">
            <w:pPr>
              <w:jc w:val="right"/>
            </w:pPr>
            <w:r>
              <w:rPr>
                <w:color w:val="000000"/>
                <w:sz w:val="24"/>
                <w:szCs w:val="24"/>
              </w:rPr>
              <w:t>2.03</w:t>
            </w:r>
          </w:p>
        </w:tc>
      </w:tr>
      <w:tr w:rsidR="00A72702">
        <w:trPr>
          <w:jc w:val="center"/>
        </w:trPr>
        <w:tc>
          <w:tcPr>
            <w:tcW w:w="855" w:type="dxa"/>
            <w:vAlign w:val="center"/>
          </w:tcPr>
          <w:p w:rsidR="00A72702" w:rsidRDefault="00733FE7">
            <w:pPr>
              <w:jc w:val="center"/>
            </w:pPr>
            <w:r>
              <w:rPr>
                <w:color w:val="000000"/>
                <w:sz w:val="24"/>
                <w:szCs w:val="24"/>
              </w:rPr>
              <w:t>10</w:t>
            </w:r>
          </w:p>
        </w:tc>
        <w:tc>
          <w:tcPr>
            <w:tcW w:w="1334" w:type="dxa"/>
            <w:vAlign w:val="center"/>
          </w:tcPr>
          <w:p w:rsidR="00A72702" w:rsidRDefault="00733FE7">
            <w:pPr>
              <w:jc w:val="center"/>
            </w:pPr>
            <w:r>
              <w:rPr>
                <w:color w:val="000000"/>
                <w:sz w:val="24"/>
                <w:szCs w:val="24"/>
              </w:rPr>
              <w:t>600048</w:t>
            </w:r>
          </w:p>
        </w:tc>
        <w:tc>
          <w:tcPr>
            <w:tcW w:w="1777" w:type="dxa"/>
            <w:vAlign w:val="center"/>
          </w:tcPr>
          <w:p w:rsidR="00A72702" w:rsidRDefault="00733FE7">
            <w:pPr>
              <w:jc w:val="center"/>
            </w:pPr>
            <w:r>
              <w:rPr>
                <w:color w:val="000000"/>
                <w:sz w:val="24"/>
                <w:szCs w:val="24"/>
              </w:rPr>
              <w:t>保利地产</w:t>
            </w:r>
          </w:p>
        </w:tc>
        <w:tc>
          <w:tcPr>
            <w:tcW w:w="1334" w:type="dxa"/>
            <w:vAlign w:val="center"/>
          </w:tcPr>
          <w:p w:rsidR="00A72702" w:rsidRDefault="00733FE7">
            <w:pPr>
              <w:jc w:val="right"/>
            </w:pPr>
            <w:r>
              <w:rPr>
                <w:color w:val="000000"/>
                <w:sz w:val="24"/>
                <w:szCs w:val="24"/>
              </w:rPr>
              <w:t>2,181,345</w:t>
            </w:r>
          </w:p>
        </w:tc>
        <w:tc>
          <w:tcPr>
            <w:tcW w:w="1924" w:type="dxa"/>
            <w:vAlign w:val="center"/>
          </w:tcPr>
          <w:p w:rsidR="00A72702" w:rsidRDefault="00733FE7">
            <w:pPr>
              <w:jc w:val="right"/>
            </w:pPr>
            <w:r>
              <w:rPr>
                <w:color w:val="000000"/>
                <w:sz w:val="24"/>
                <w:szCs w:val="24"/>
              </w:rPr>
              <w:t>26,612,409.00</w:t>
            </w:r>
          </w:p>
        </w:tc>
        <w:tc>
          <w:tcPr>
            <w:tcW w:w="1644" w:type="dxa"/>
            <w:vAlign w:val="center"/>
          </w:tcPr>
          <w:p w:rsidR="00A72702" w:rsidRDefault="00733FE7">
            <w:pPr>
              <w:jc w:val="right"/>
            </w:pPr>
            <w:r>
              <w:rPr>
                <w:color w:val="000000"/>
                <w:sz w:val="24"/>
                <w:szCs w:val="24"/>
              </w:rPr>
              <w:t>1.84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334,428.33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203,176.39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4,317,142.47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4,854,747.19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p w:rsidR="001F3E2A" w:rsidRDefault="00EB5D36" w:rsidP="00C15CAC">
      <w:pPr>
        <w:spacing w:before="29" w:line="288" w:lineRule="auto"/>
        <w:ind w:firstLineChars="200" w:firstLine="480"/>
        <w:rPr>
          <w:color w:val="000000"/>
          <w:sz w:val="24"/>
          <w:szCs w:val="24"/>
        </w:rPr>
      </w:pPr>
      <w:r w:rsidRPr="00575270">
        <w:rPr>
          <w:rFonts w:eastAsiaTheme="minorEastAsia" w:hint="eastAsia"/>
          <w:color w:val="000000" w:themeColor="text1"/>
          <w:sz w:val="24"/>
          <w:szCs w:val="24"/>
        </w:rPr>
        <w:t>无。</w:t>
      </w:r>
    </w:p>
    <w:p w:rsidR="00EB5D36" w:rsidRPr="00414345" w:rsidRDefault="00EB5D36" w:rsidP="00C15CAC">
      <w:pPr>
        <w:spacing w:before="29" w:line="288" w:lineRule="auto"/>
        <w:ind w:firstLineChars="200" w:firstLine="480"/>
        <w:rPr>
          <w:color w:val="000000"/>
          <w:sz w:val="24"/>
          <w:szCs w:val="24"/>
        </w:rPr>
      </w:pP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197,589,724.63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434,314,979.03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142,602,408.08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489,302,295.58</w:t>
            </w:r>
          </w:p>
        </w:tc>
      </w:tr>
    </w:tbl>
    <w:p w:rsidR="00A72702" w:rsidRDefault="00733FE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A72702" w:rsidRDefault="00733FE7">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、中国证监会批准交银施罗德定期支付双息平衡混合型证券投资基金募集的文件；</w:t>
      </w:r>
      <w:r>
        <w:rPr>
          <w:color w:val="000000"/>
          <w:sz w:val="24"/>
          <w:szCs w:val="24"/>
        </w:rPr>
        <w:t xml:space="preserve"> </w:t>
      </w:r>
    </w:p>
    <w:p w:rsidR="00A72702" w:rsidRDefault="00733FE7">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、《交银施罗德定期支付双息平衡混合型证券投资基金基金合同》；</w:t>
      </w:r>
      <w:r>
        <w:rPr>
          <w:color w:val="000000"/>
          <w:sz w:val="24"/>
          <w:szCs w:val="24"/>
        </w:rPr>
        <w:t xml:space="preserve"> </w:t>
      </w:r>
    </w:p>
    <w:p w:rsidR="00A72702" w:rsidRDefault="00733FE7">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、《交银施罗德定期支付双息平衡混合型证券投资基金招募说明书》；</w:t>
      </w:r>
      <w:r>
        <w:rPr>
          <w:color w:val="000000"/>
          <w:sz w:val="24"/>
          <w:szCs w:val="24"/>
        </w:rPr>
        <w:t xml:space="preserve"> </w:t>
      </w:r>
    </w:p>
    <w:p w:rsidR="00A72702" w:rsidRDefault="00733FE7">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、《交银施罗德定期支付双息平衡混合型证券投资基金托管协议》；</w:t>
      </w:r>
      <w:r>
        <w:rPr>
          <w:color w:val="000000"/>
          <w:sz w:val="24"/>
          <w:szCs w:val="24"/>
        </w:rPr>
        <w:t xml:space="preserve"> </w:t>
      </w:r>
    </w:p>
    <w:p w:rsidR="00A72702" w:rsidRDefault="00733FE7">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、关于募集交银施罗德定期支付双息平衡混合型证券投资基金之法律意见书；</w:t>
      </w:r>
      <w:r>
        <w:rPr>
          <w:color w:val="000000"/>
          <w:sz w:val="24"/>
          <w:szCs w:val="24"/>
        </w:rPr>
        <w:t xml:space="preserve"> </w:t>
      </w:r>
    </w:p>
    <w:p w:rsidR="00A72702" w:rsidRDefault="00733FE7">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A72702" w:rsidRDefault="00733FE7">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、报告期内交银施罗德定期支付双息平衡混合型证券投资基金在指定报刊上各项公告的原稿。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A72702" w:rsidRDefault="00733FE7">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64A" w:rsidRDefault="0004664A" w:rsidP="00876D65">
      <w:r>
        <w:separator/>
      </w:r>
    </w:p>
  </w:endnote>
  <w:endnote w:type="continuationSeparator" w:id="0">
    <w:p w:rsidR="0004664A" w:rsidRDefault="0004664A"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A12869">
      <w:rPr>
        <w:noProof/>
        <w:kern w:val="0"/>
        <w:szCs w:val="21"/>
      </w:rPr>
      <w:t>3</w:t>
    </w:r>
    <w:r w:rsidR="00006A28">
      <w:rPr>
        <w:kern w:val="0"/>
        <w:szCs w:val="21"/>
      </w:rPr>
      <w:fldChar w:fldCharType="end"/>
    </w:r>
    <w:r>
      <w:rPr>
        <w:rFonts w:hint="eastAsia"/>
        <w:kern w:val="0"/>
        <w:szCs w:val="21"/>
      </w:rPr>
      <w:t>页共</w:t>
    </w:r>
    <w:r w:rsidR="00006A28">
      <w:rPr>
        <w:kern w:val="0"/>
        <w:szCs w:val="21"/>
      </w:rPr>
      <w:fldChar w:fldCharType="begin"/>
    </w:r>
    <w:r>
      <w:rPr>
        <w:kern w:val="0"/>
        <w:szCs w:val="21"/>
      </w:rPr>
      <w:instrText xml:space="preserve"> NUMPAGES </w:instrText>
    </w:r>
    <w:r w:rsidR="00006A28">
      <w:rPr>
        <w:kern w:val="0"/>
        <w:szCs w:val="21"/>
      </w:rPr>
      <w:fldChar w:fldCharType="separate"/>
    </w:r>
    <w:r w:rsidR="00A12869">
      <w:rPr>
        <w:noProof/>
        <w:kern w:val="0"/>
        <w:szCs w:val="21"/>
      </w:rPr>
      <w:t>11</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64A" w:rsidRDefault="0004664A" w:rsidP="00876D65">
      <w:r>
        <w:separator/>
      </w:r>
    </w:p>
  </w:footnote>
  <w:footnote w:type="continuationSeparator" w:id="0">
    <w:p w:rsidR="0004664A" w:rsidRDefault="0004664A"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交银施罗德定期支付双息平衡混合型证券投资基金</w:t>
    </w:r>
    <w:r w:rsidRPr="003E676C">
      <w:rPr>
        <w:sz w:val="24"/>
        <w:szCs w:val="24"/>
      </w:rPr>
      <w:t>2018</w:t>
    </w:r>
    <w:r w:rsidRPr="003E676C">
      <w:rPr>
        <w:sz w:val="24"/>
        <w:szCs w:val="24"/>
      </w:rPr>
      <w:t>年第</w:t>
    </w:r>
    <w:r w:rsidRPr="003E676C">
      <w:rPr>
        <w:sz w:val="24"/>
        <w:szCs w:val="24"/>
      </w:rPr>
      <w:t>2</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4664A"/>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33FE7"/>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12869"/>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270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B5D36"/>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 w:type="paragraph" w:styleId="afc">
    <w:name w:val="Revision"/>
    <w:hidden/>
    <w:uiPriority w:val="99"/>
    <w:semiHidden/>
    <w:rsid w:val="00EB5D36"/>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DEBE1-CEA5-4E92-A604-09DCC9A3C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11</Pages>
  <Words>964</Words>
  <Characters>5500</Characters>
  <Application>Microsoft Office Word</Application>
  <DocSecurity>0</DocSecurity>
  <Lines>45</Lines>
  <Paragraphs>12</Paragraphs>
  <ScaleCrop>false</ScaleCrop>
  <Company/>
  <LinksUpToDate>false</LinksUpToDate>
  <CharactersWithSpaces>6452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荣华</cp:lastModifiedBy>
  <cp:revision>578</cp:revision>
  <dcterms:created xsi:type="dcterms:W3CDTF">2012-10-16T06:07:00Z</dcterms:created>
  <dcterms:modified xsi:type="dcterms:W3CDTF">2018-07-16T07:50:00Z</dcterms:modified>
</cp:coreProperties>
</file>