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D9393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C0247" w:rsidRDefault="008A53C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C0247" w:rsidRDefault="008A53C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C0247" w:rsidRDefault="008A53C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C0247" w:rsidRDefault="008A53CE">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0C0247" w:rsidRDefault="008A53C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9393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532,930,967.97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9393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A6631" w:rsidRPr="00414345" w:rsidTr="00CA66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A6631" w:rsidRPr="00414345" w:rsidTr="00CA66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4,776,018.15</w:t>
            </w:r>
          </w:p>
        </w:tc>
      </w:tr>
      <w:tr w:rsidR="00CA6631" w:rsidRPr="00414345" w:rsidTr="00CA66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7,002,468.43</w:t>
            </w:r>
          </w:p>
        </w:tc>
      </w:tr>
      <w:tr w:rsidR="00CA6631" w:rsidRPr="00414345" w:rsidTr="00CA66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0.0123</w:t>
            </w:r>
          </w:p>
        </w:tc>
      </w:tr>
      <w:tr w:rsidR="00CA6631" w:rsidRPr="00414345" w:rsidTr="00CA66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554,689,143.42</w:t>
            </w:r>
          </w:p>
        </w:tc>
      </w:tr>
      <w:tr w:rsidR="00CA6631" w:rsidRPr="00414345" w:rsidTr="00CA66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1.041</w:t>
            </w:r>
          </w:p>
        </w:tc>
      </w:tr>
    </w:tbl>
    <w:p w:rsidR="000C0247" w:rsidRDefault="008A53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C0247">
        <w:trPr>
          <w:jc w:val="center"/>
        </w:trPr>
        <w:tc>
          <w:tcPr>
            <w:tcW w:w="1701" w:type="dxa"/>
            <w:vAlign w:val="center"/>
          </w:tcPr>
          <w:p w:rsidR="000C0247" w:rsidRDefault="008A53CE">
            <w:pPr>
              <w:jc w:val="left"/>
            </w:pPr>
            <w:r>
              <w:rPr>
                <w:color w:val="000000"/>
                <w:sz w:val="24"/>
                <w:szCs w:val="24"/>
              </w:rPr>
              <w:t>过去三个月</w:t>
            </w:r>
          </w:p>
        </w:tc>
        <w:tc>
          <w:tcPr>
            <w:tcW w:w="1045" w:type="dxa"/>
            <w:vAlign w:val="center"/>
          </w:tcPr>
          <w:p w:rsidR="000C0247" w:rsidRDefault="008A53CE">
            <w:pPr>
              <w:jc w:val="center"/>
            </w:pPr>
            <w:r>
              <w:rPr>
                <w:color w:val="000000"/>
                <w:sz w:val="24"/>
                <w:szCs w:val="24"/>
              </w:rPr>
              <w:t>1.17%</w:t>
            </w:r>
          </w:p>
        </w:tc>
        <w:tc>
          <w:tcPr>
            <w:tcW w:w="1344" w:type="dxa"/>
            <w:vAlign w:val="center"/>
          </w:tcPr>
          <w:p w:rsidR="000C0247" w:rsidRDefault="008A53CE">
            <w:pPr>
              <w:jc w:val="center"/>
            </w:pPr>
            <w:r>
              <w:rPr>
                <w:color w:val="000000"/>
                <w:sz w:val="24"/>
                <w:szCs w:val="24"/>
              </w:rPr>
              <w:t>0.08%</w:t>
            </w:r>
          </w:p>
        </w:tc>
        <w:tc>
          <w:tcPr>
            <w:tcW w:w="1194" w:type="dxa"/>
            <w:vAlign w:val="center"/>
          </w:tcPr>
          <w:p w:rsidR="000C0247" w:rsidRDefault="008A53CE">
            <w:pPr>
              <w:jc w:val="center"/>
            </w:pPr>
            <w:r>
              <w:rPr>
                <w:color w:val="000000"/>
                <w:sz w:val="24"/>
                <w:szCs w:val="24"/>
              </w:rPr>
              <w:t>0.70%</w:t>
            </w:r>
          </w:p>
        </w:tc>
        <w:tc>
          <w:tcPr>
            <w:tcW w:w="1492" w:type="dxa"/>
            <w:vAlign w:val="center"/>
          </w:tcPr>
          <w:p w:rsidR="000C0247" w:rsidRDefault="008A53CE">
            <w:pPr>
              <w:jc w:val="center"/>
            </w:pPr>
            <w:r>
              <w:rPr>
                <w:color w:val="000000"/>
                <w:sz w:val="24"/>
                <w:szCs w:val="24"/>
              </w:rPr>
              <w:t>0.01%</w:t>
            </w:r>
          </w:p>
        </w:tc>
        <w:tc>
          <w:tcPr>
            <w:tcW w:w="1194" w:type="dxa"/>
            <w:vAlign w:val="center"/>
          </w:tcPr>
          <w:p w:rsidR="000C0247" w:rsidRDefault="008A53CE">
            <w:pPr>
              <w:jc w:val="center"/>
            </w:pPr>
            <w:r>
              <w:rPr>
                <w:color w:val="000000"/>
                <w:sz w:val="24"/>
                <w:szCs w:val="24"/>
              </w:rPr>
              <w:t>0.47%</w:t>
            </w:r>
          </w:p>
        </w:tc>
        <w:tc>
          <w:tcPr>
            <w:tcW w:w="898" w:type="dxa"/>
            <w:vAlign w:val="center"/>
          </w:tcPr>
          <w:p w:rsidR="000C0247" w:rsidRDefault="008A53CE">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rFonts w:hint="eastAsia"/>
          <w:color w:val="000000"/>
          <w:sz w:val="24"/>
          <w:szCs w:val="24"/>
        </w:rPr>
      </w:pPr>
    </w:p>
    <w:p w:rsidR="004061AC" w:rsidRPr="00414345" w:rsidRDefault="004061AC" w:rsidP="00D9393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C0247">
        <w:trPr>
          <w:jc w:val="center"/>
        </w:trPr>
        <w:tc>
          <w:tcPr>
            <w:tcW w:w="846" w:type="dxa"/>
            <w:vAlign w:val="center"/>
          </w:tcPr>
          <w:p w:rsidR="000C0247" w:rsidRDefault="008A53CE">
            <w:pPr>
              <w:jc w:val="center"/>
            </w:pPr>
            <w:r>
              <w:rPr>
                <w:color w:val="000000"/>
                <w:sz w:val="24"/>
                <w:szCs w:val="24"/>
              </w:rPr>
              <w:t>于海颖</w:t>
            </w:r>
          </w:p>
        </w:tc>
        <w:tc>
          <w:tcPr>
            <w:tcW w:w="845" w:type="dxa"/>
            <w:vAlign w:val="center"/>
          </w:tcPr>
          <w:p w:rsidR="000C0247" w:rsidRDefault="008A53CE">
            <w:pPr>
              <w:jc w:val="center"/>
            </w:pPr>
            <w:r>
              <w:rPr>
                <w:color w:val="000000"/>
                <w:sz w:val="24"/>
                <w:szCs w:val="24"/>
              </w:rPr>
              <w:t>交银增利债券、交银纯债债券发起、交银荣祥保本混合、交银定期支付月月丰债</w:t>
            </w:r>
            <w:r>
              <w:rPr>
                <w:color w:val="000000"/>
                <w:sz w:val="24"/>
                <w:szCs w:val="24"/>
              </w:rPr>
              <w:lastRenderedPageBreak/>
              <w:t>券、交银增强收益债券、交银强化回报债券、交银丰盈收益债券、交银丰硕收益债券、交银荣鑫保本混合、交银增利增强债券、交银丰晟收益债券、交银裕如纯债债券的基金经理，公司固定收益（公募）投资总监</w:t>
            </w:r>
          </w:p>
        </w:tc>
        <w:tc>
          <w:tcPr>
            <w:tcW w:w="1549" w:type="dxa"/>
            <w:vAlign w:val="center"/>
          </w:tcPr>
          <w:p w:rsidR="000C0247" w:rsidRDefault="008A53CE">
            <w:pPr>
              <w:jc w:val="center"/>
            </w:pPr>
            <w:r>
              <w:rPr>
                <w:color w:val="000000"/>
                <w:sz w:val="24"/>
                <w:szCs w:val="24"/>
              </w:rPr>
              <w:lastRenderedPageBreak/>
              <w:t>2017-06-10</w:t>
            </w:r>
          </w:p>
        </w:tc>
        <w:tc>
          <w:tcPr>
            <w:tcW w:w="1548" w:type="dxa"/>
            <w:vAlign w:val="center"/>
          </w:tcPr>
          <w:p w:rsidR="000C0247" w:rsidRDefault="008A53CE">
            <w:pPr>
              <w:jc w:val="center"/>
            </w:pPr>
            <w:r>
              <w:rPr>
                <w:color w:val="000000"/>
                <w:sz w:val="24"/>
                <w:szCs w:val="24"/>
              </w:rPr>
              <w:t>-</w:t>
            </w:r>
          </w:p>
        </w:tc>
        <w:tc>
          <w:tcPr>
            <w:tcW w:w="1407" w:type="dxa"/>
            <w:vAlign w:val="center"/>
          </w:tcPr>
          <w:p w:rsidR="000C0247" w:rsidRDefault="008A53CE">
            <w:pPr>
              <w:jc w:val="center"/>
            </w:pPr>
            <w:r>
              <w:rPr>
                <w:color w:val="000000"/>
                <w:sz w:val="24"/>
                <w:szCs w:val="24"/>
              </w:rPr>
              <w:t>12</w:t>
            </w:r>
            <w:r>
              <w:rPr>
                <w:color w:val="000000"/>
                <w:sz w:val="24"/>
                <w:szCs w:val="24"/>
              </w:rPr>
              <w:t>年</w:t>
            </w:r>
          </w:p>
        </w:tc>
        <w:tc>
          <w:tcPr>
            <w:tcW w:w="2673" w:type="dxa"/>
            <w:vAlign w:val="center"/>
          </w:tcPr>
          <w:p w:rsidR="000C0247" w:rsidRDefault="008A53CE">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w:t>
            </w:r>
            <w:r>
              <w:rPr>
                <w:color w:val="000000"/>
                <w:sz w:val="24"/>
                <w:szCs w:val="24"/>
              </w:rPr>
              <w:t>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w:t>
            </w:r>
            <w:r>
              <w:rPr>
                <w:color w:val="000000"/>
                <w:sz w:val="24"/>
                <w:szCs w:val="24"/>
              </w:rPr>
              <w:lastRenderedPageBreak/>
              <w:t>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C0247" w:rsidRDefault="008A53C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C0247" w:rsidRDefault="008A53CE">
      <w:pPr>
        <w:spacing w:before="29" w:line="288" w:lineRule="auto"/>
        <w:ind w:firstLineChars="200" w:firstLine="480"/>
        <w:rPr>
          <w:color w:val="000000"/>
          <w:sz w:val="24"/>
          <w:szCs w:val="24"/>
        </w:rPr>
      </w:pPr>
      <w:r>
        <w:rPr>
          <w:color w:val="000000"/>
          <w:sz w:val="24"/>
          <w:szCs w:val="24"/>
        </w:rPr>
        <w:t>公司建立资源共享的投资研究信息平台，确保各投资组合在获</w:t>
      </w:r>
      <w:r>
        <w:rPr>
          <w:color w:val="000000"/>
          <w:sz w:val="24"/>
          <w:szCs w:val="24"/>
        </w:rPr>
        <w:t>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C0247" w:rsidRDefault="008A53C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szCs w:val="24"/>
        </w:rPr>
        <w:t>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C0247" w:rsidRDefault="008A53CE">
      <w:pPr>
        <w:spacing w:before="29" w:line="288" w:lineRule="auto"/>
        <w:ind w:firstLineChars="200" w:firstLine="480"/>
        <w:rPr>
          <w:color w:val="000000"/>
          <w:sz w:val="24"/>
          <w:szCs w:val="24"/>
        </w:rPr>
      </w:pPr>
      <w:r>
        <w:rPr>
          <w:color w:val="000000"/>
          <w:sz w:val="24"/>
          <w:szCs w:val="24"/>
        </w:rPr>
        <w:t>二季度以来在央行降准、表外融资持续收缩、经济通胀趋弱、贸易战局势反复等多方面因素交织的背景下，债券收益率呈现出先下后上继而再次大幅下行的宽幅波动态势。四月上旬债券收益率延续了一季度以来的下行趋势，央行在四月宣布降准</w:t>
      </w:r>
      <w:r>
        <w:rPr>
          <w:color w:val="000000"/>
          <w:sz w:val="24"/>
          <w:szCs w:val="24"/>
        </w:rPr>
        <w:t>1</w:t>
      </w:r>
      <w:r>
        <w:rPr>
          <w:color w:val="000000"/>
          <w:sz w:val="24"/>
          <w:szCs w:val="24"/>
        </w:rPr>
        <w:t>个百分点置换</w:t>
      </w:r>
      <w:r>
        <w:rPr>
          <w:color w:val="000000"/>
          <w:sz w:val="24"/>
          <w:szCs w:val="24"/>
        </w:rPr>
        <w:t>MLF</w:t>
      </w:r>
      <w:r>
        <w:rPr>
          <w:color w:val="000000"/>
          <w:sz w:val="24"/>
          <w:szCs w:val="24"/>
        </w:rPr>
        <w:t>操作，债券市场在降准后出现强势上涨，收益率大幅下行，但随后由于降准释放资金和缴税缴准错位，出现了季末流动性紧张的情况，同时叠加资管新规的出台，收益率震荡上行。进入六月后随着最新社会融资规模数据公布，信用收紧格局下收益率重</w:t>
      </w:r>
      <w:r>
        <w:rPr>
          <w:color w:val="000000"/>
          <w:sz w:val="24"/>
          <w:szCs w:val="24"/>
        </w:rPr>
        <w:lastRenderedPageBreak/>
        <w:t>回下行通道。六月底央行再</w:t>
      </w:r>
      <w:r>
        <w:rPr>
          <w:color w:val="000000"/>
          <w:sz w:val="24"/>
          <w:szCs w:val="24"/>
        </w:rPr>
        <w:t>一次降准</w:t>
      </w:r>
      <w:r>
        <w:rPr>
          <w:color w:val="000000"/>
          <w:sz w:val="24"/>
          <w:szCs w:val="24"/>
        </w:rPr>
        <w:t>0.5</w:t>
      </w:r>
      <w:r>
        <w:rPr>
          <w:color w:val="000000"/>
          <w:sz w:val="24"/>
          <w:szCs w:val="24"/>
        </w:rPr>
        <w:t>个百分点，收益率再次开启大幅下行空间，截至六月底，十年期国开收益率自三月末</w:t>
      </w:r>
      <w:r>
        <w:rPr>
          <w:color w:val="000000"/>
          <w:sz w:val="24"/>
          <w:szCs w:val="24"/>
        </w:rPr>
        <w:t>4.65%</w:t>
      </w:r>
      <w:r>
        <w:rPr>
          <w:color w:val="000000"/>
          <w:sz w:val="24"/>
          <w:szCs w:val="24"/>
        </w:rPr>
        <w:t>下行至</w:t>
      </w:r>
      <w:r>
        <w:rPr>
          <w:color w:val="000000"/>
          <w:sz w:val="24"/>
          <w:szCs w:val="24"/>
        </w:rPr>
        <w:t>4.25%</w:t>
      </w:r>
      <w:r>
        <w:rPr>
          <w:color w:val="000000"/>
          <w:sz w:val="24"/>
          <w:szCs w:val="24"/>
        </w:rPr>
        <w:t>，市场涨幅明显。信用债方面，受到信用事件的影响，本报告期信用利差出现了一定走阔。</w:t>
      </w:r>
    </w:p>
    <w:p w:rsidR="000C0247" w:rsidRDefault="008A53CE">
      <w:pPr>
        <w:spacing w:before="29" w:line="288" w:lineRule="auto"/>
        <w:ind w:firstLineChars="200" w:firstLine="480"/>
        <w:rPr>
          <w:color w:val="000000"/>
          <w:sz w:val="24"/>
          <w:szCs w:val="24"/>
        </w:rPr>
      </w:pPr>
      <w:r>
        <w:rPr>
          <w:color w:val="000000"/>
          <w:sz w:val="24"/>
          <w:szCs w:val="24"/>
        </w:rPr>
        <w:t>权益市场方面，在经历一季度地产金融及成长的上行后，二季度市场出现调整，消费、价值及部分基本面维持高景气的强周期板块具备一定的防御属性。</w:t>
      </w:r>
    </w:p>
    <w:p w:rsidR="000C0247" w:rsidRDefault="008A53CE">
      <w:pPr>
        <w:spacing w:before="29" w:line="288" w:lineRule="auto"/>
        <w:ind w:firstLineChars="200" w:firstLine="480"/>
        <w:rPr>
          <w:color w:val="000000"/>
          <w:sz w:val="24"/>
          <w:szCs w:val="24"/>
        </w:rPr>
      </w:pPr>
      <w:r>
        <w:rPr>
          <w:color w:val="000000"/>
          <w:sz w:val="24"/>
          <w:szCs w:val="24"/>
        </w:rPr>
        <w:t>本报告期内，本基金继续在</w:t>
      </w:r>
      <w:r>
        <w:rPr>
          <w:color w:val="000000"/>
          <w:sz w:val="24"/>
          <w:szCs w:val="24"/>
        </w:rPr>
        <w:t>CPPI</w:t>
      </w:r>
      <w:r>
        <w:rPr>
          <w:color w:val="000000"/>
          <w:sz w:val="24"/>
          <w:szCs w:val="24"/>
        </w:rPr>
        <w:t>策略的基础上积累组合安全垫，并利用收益率较高的时点动态拉长组合久期，主要操作依然是将短久期存单置换为保本周期范围内稍长久期的高收益优质品种，以提升组</w:t>
      </w:r>
      <w:r>
        <w:rPr>
          <w:color w:val="000000"/>
          <w:sz w:val="24"/>
          <w:szCs w:val="24"/>
        </w:rPr>
        <w:t>合静态收益。权益方面，考虑到海外市场的不确定性，组合择机降低了转债仓位，以控制回撤。</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社会融资总额增速下滑对于总需求的影响可能逐渐体现，在通胀总体可控，流动性较去年改善的情况下，我们维持对债市谨慎乐观看法，在流动性相对宽松的背景下，保本组合将继续采用杠杆策略，并根据市场情况，在保本周期范围内动态调整资产久期，增厚收益。权益方面，组合暂时维持低仓位转债资产配置，控制回撤，等待前期市场风险消化后寻找低估值高景气品种择机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1.041</w:t>
      </w:r>
      <w:r w:rsidRPr="00414345">
        <w:rPr>
          <w:color w:val="000000"/>
          <w:sz w:val="24"/>
          <w:szCs w:val="24"/>
        </w:rPr>
        <w:t>元，本报告期份额净值增长率为</w:t>
      </w:r>
      <w:r w:rsidRPr="00414345">
        <w:rPr>
          <w:color w:val="000000"/>
          <w:sz w:val="24"/>
          <w:szCs w:val="24"/>
        </w:rPr>
        <w:t>1.17%</w:t>
      </w:r>
      <w:r w:rsidRPr="00414345">
        <w:rPr>
          <w:color w:val="000000"/>
          <w:sz w:val="24"/>
          <w:szCs w:val="24"/>
        </w:rPr>
        <w:t>，同期业绩比较基准增长率为</w:t>
      </w:r>
      <w:r w:rsidRPr="00414345">
        <w:rPr>
          <w:color w:val="000000"/>
          <w:sz w:val="24"/>
          <w:szCs w:val="24"/>
        </w:rPr>
        <w:t>0.7%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D9393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876,868,585.20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96.71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876,868,585.20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96.71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16,869,954.11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12,967,666.30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906,706,205.61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CA6631" w:rsidRPr="00414345" w:rsidRDefault="00CA6631" w:rsidP="00C15CAC">
      <w:pPr>
        <w:autoSpaceDE w:val="0"/>
        <w:autoSpaceDN w:val="0"/>
        <w:adjustRightInd w:val="0"/>
        <w:spacing w:before="29" w:line="288" w:lineRule="auto"/>
        <w:jc w:val="left"/>
        <w:rPr>
          <w:rFonts w:hint="eastAsia"/>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28,106,400.00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28,106,400.00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196,241,000.00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35.38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3.60</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70,765,000.00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12.76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7,000,185.20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1.26</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554,810,000.00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100.02</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876,868,585.20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158.08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C0247">
        <w:trPr>
          <w:jc w:val="center"/>
        </w:trPr>
        <w:tc>
          <w:tcPr>
            <w:tcW w:w="850" w:type="dxa"/>
            <w:vAlign w:val="center"/>
          </w:tcPr>
          <w:p w:rsidR="000C0247" w:rsidRDefault="008A53CE">
            <w:pPr>
              <w:jc w:val="center"/>
            </w:pPr>
            <w:r>
              <w:rPr>
                <w:color w:val="000000"/>
                <w:sz w:val="24"/>
                <w:szCs w:val="24"/>
              </w:rPr>
              <w:t>1</w:t>
            </w:r>
          </w:p>
        </w:tc>
        <w:tc>
          <w:tcPr>
            <w:tcW w:w="1475" w:type="dxa"/>
            <w:vAlign w:val="center"/>
          </w:tcPr>
          <w:p w:rsidR="000C0247" w:rsidRDefault="008A53CE">
            <w:pPr>
              <w:jc w:val="center"/>
            </w:pPr>
            <w:r>
              <w:rPr>
                <w:color w:val="000000"/>
                <w:sz w:val="24"/>
                <w:szCs w:val="24"/>
              </w:rPr>
              <w:t>111814035</w:t>
            </w:r>
          </w:p>
        </w:tc>
        <w:tc>
          <w:tcPr>
            <w:tcW w:w="1769" w:type="dxa"/>
            <w:vAlign w:val="center"/>
          </w:tcPr>
          <w:p w:rsidR="000C0247" w:rsidRDefault="008A53CE">
            <w:pPr>
              <w:jc w:val="center"/>
            </w:pPr>
            <w:r>
              <w:rPr>
                <w:color w:val="000000"/>
                <w:sz w:val="24"/>
                <w:szCs w:val="24"/>
              </w:rPr>
              <w:t>18</w:t>
            </w:r>
            <w:r>
              <w:rPr>
                <w:color w:val="000000"/>
                <w:sz w:val="24"/>
                <w:szCs w:val="24"/>
              </w:rPr>
              <w:t>江苏银行</w:t>
            </w:r>
            <w:r>
              <w:rPr>
                <w:color w:val="000000"/>
                <w:sz w:val="24"/>
                <w:szCs w:val="24"/>
              </w:rPr>
              <w:t>CD035</w:t>
            </w:r>
          </w:p>
        </w:tc>
        <w:tc>
          <w:tcPr>
            <w:tcW w:w="1387" w:type="dxa"/>
            <w:vAlign w:val="center"/>
          </w:tcPr>
          <w:p w:rsidR="000C0247" w:rsidRDefault="008A53CE">
            <w:pPr>
              <w:jc w:val="right"/>
            </w:pPr>
            <w:r>
              <w:rPr>
                <w:color w:val="000000"/>
                <w:sz w:val="24"/>
                <w:szCs w:val="24"/>
              </w:rPr>
              <w:t>1,000,000</w:t>
            </w:r>
          </w:p>
        </w:tc>
        <w:tc>
          <w:tcPr>
            <w:tcW w:w="2150" w:type="dxa"/>
            <w:vAlign w:val="center"/>
          </w:tcPr>
          <w:p w:rsidR="000C0247" w:rsidRDefault="008A53CE">
            <w:pPr>
              <w:jc w:val="right"/>
            </w:pPr>
            <w:r>
              <w:rPr>
                <w:color w:val="000000"/>
                <w:sz w:val="24"/>
                <w:szCs w:val="24"/>
              </w:rPr>
              <w:t>95,650,000.00</w:t>
            </w:r>
          </w:p>
        </w:tc>
        <w:tc>
          <w:tcPr>
            <w:tcW w:w="1237" w:type="dxa"/>
            <w:vAlign w:val="center"/>
          </w:tcPr>
          <w:p w:rsidR="000C0247" w:rsidRDefault="008A53CE">
            <w:pPr>
              <w:jc w:val="right"/>
            </w:pPr>
            <w:r>
              <w:rPr>
                <w:color w:val="000000"/>
                <w:sz w:val="24"/>
                <w:szCs w:val="24"/>
              </w:rPr>
              <w:t>17.24</w:t>
            </w:r>
          </w:p>
        </w:tc>
      </w:tr>
      <w:tr w:rsidR="000C0247">
        <w:trPr>
          <w:jc w:val="center"/>
        </w:trPr>
        <w:tc>
          <w:tcPr>
            <w:tcW w:w="850" w:type="dxa"/>
            <w:vAlign w:val="center"/>
          </w:tcPr>
          <w:p w:rsidR="000C0247" w:rsidRDefault="008A53CE">
            <w:pPr>
              <w:jc w:val="center"/>
            </w:pPr>
            <w:r>
              <w:rPr>
                <w:color w:val="000000"/>
                <w:sz w:val="24"/>
                <w:szCs w:val="24"/>
              </w:rPr>
              <w:t>2</w:t>
            </w:r>
          </w:p>
        </w:tc>
        <w:tc>
          <w:tcPr>
            <w:tcW w:w="1475" w:type="dxa"/>
            <w:vAlign w:val="center"/>
          </w:tcPr>
          <w:p w:rsidR="000C0247" w:rsidRDefault="008A53CE">
            <w:pPr>
              <w:jc w:val="center"/>
            </w:pPr>
            <w:r>
              <w:rPr>
                <w:color w:val="000000"/>
                <w:sz w:val="24"/>
                <w:szCs w:val="24"/>
              </w:rPr>
              <w:t>111892033</w:t>
            </w:r>
          </w:p>
        </w:tc>
        <w:tc>
          <w:tcPr>
            <w:tcW w:w="1769" w:type="dxa"/>
            <w:vAlign w:val="center"/>
          </w:tcPr>
          <w:p w:rsidR="000C0247" w:rsidRDefault="008A53CE">
            <w:pPr>
              <w:jc w:val="center"/>
            </w:pPr>
            <w:r>
              <w:rPr>
                <w:color w:val="000000"/>
                <w:sz w:val="24"/>
                <w:szCs w:val="24"/>
              </w:rPr>
              <w:t>18</w:t>
            </w:r>
            <w:r>
              <w:rPr>
                <w:color w:val="000000"/>
                <w:sz w:val="24"/>
                <w:szCs w:val="24"/>
              </w:rPr>
              <w:t>宁波银行</w:t>
            </w:r>
            <w:r>
              <w:rPr>
                <w:color w:val="000000"/>
                <w:sz w:val="24"/>
                <w:szCs w:val="24"/>
              </w:rPr>
              <w:t>CD032</w:t>
            </w:r>
          </w:p>
        </w:tc>
        <w:tc>
          <w:tcPr>
            <w:tcW w:w="1387" w:type="dxa"/>
            <w:vAlign w:val="center"/>
          </w:tcPr>
          <w:p w:rsidR="000C0247" w:rsidRDefault="008A53CE">
            <w:pPr>
              <w:jc w:val="right"/>
            </w:pPr>
            <w:r>
              <w:rPr>
                <w:color w:val="000000"/>
                <w:sz w:val="24"/>
                <w:szCs w:val="24"/>
              </w:rPr>
              <w:t>1,000,000</w:t>
            </w:r>
          </w:p>
        </w:tc>
        <w:tc>
          <w:tcPr>
            <w:tcW w:w="2150" w:type="dxa"/>
            <w:vAlign w:val="center"/>
          </w:tcPr>
          <w:p w:rsidR="000C0247" w:rsidRDefault="008A53CE">
            <w:pPr>
              <w:jc w:val="right"/>
            </w:pPr>
            <w:r>
              <w:rPr>
                <w:color w:val="000000"/>
                <w:sz w:val="24"/>
                <w:szCs w:val="24"/>
              </w:rPr>
              <w:t>95,620,000.00</w:t>
            </w:r>
          </w:p>
        </w:tc>
        <w:tc>
          <w:tcPr>
            <w:tcW w:w="1237" w:type="dxa"/>
            <w:vAlign w:val="center"/>
          </w:tcPr>
          <w:p w:rsidR="000C0247" w:rsidRDefault="008A53CE">
            <w:pPr>
              <w:jc w:val="right"/>
            </w:pPr>
            <w:r>
              <w:rPr>
                <w:color w:val="000000"/>
                <w:sz w:val="24"/>
                <w:szCs w:val="24"/>
              </w:rPr>
              <w:t>17.24</w:t>
            </w:r>
          </w:p>
        </w:tc>
      </w:tr>
      <w:tr w:rsidR="000C0247">
        <w:trPr>
          <w:jc w:val="center"/>
        </w:trPr>
        <w:tc>
          <w:tcPr>
            <w:tcW w:w="850" w:type="dxa"/>
            <w:vAlign w:val="center"/>
          </w:tcPr>
          <w:p w:rsidR="000C0247" w:rsidRDefault="008A53CE">
            <w:pPr>
              <w:jc w:val="center"/>
            </w:pPr>
            <w:r>
              <w:rPr>
                <w:color w:val="000000"/>
                <w:sz w:val="24"/>
                <w:szCs w:val="24"/>
              </w:rPr>
              <w:t>3</w:t>
            </w:r>
          </w:p>
        </w:tc>
        <w:tc>
          <w:tcPr>
            <w:tcW w:w="1475" w:type="dxa"/>
            <w:vAlign w:val="center"/>
          </w:tcPr>
          <w:p w:rsidR="000C0247" w:rsidRDefault="008A53CE">
            <w:pPr>
              <w:jc w:val="center"/>
            </w:pPr>
            <w:r>
              <w:rPr>
                <w:color w:val="000000"/>
                <w:sz w:val="24"/>
                <w:szCs w:val="24"/>
              </w:rPr>
              <w:t>111893071</w:t>
            </w:r>
          </w:p>
        </w:tc>
        <w:tc>
          <w:tcPr>
            <w:tcW w:w="1769" w:type="dxa"/>
            <w:vAlign w:val="center"/>
          </w:tcPr>
          <w:p w:rsidR="000C0247" w:rsidRDefault="008A53CE">
            <w:pPr>
              <w:jc w:val="center"/>
            </w:pPr>
            <w:r>
              <w:rPr>
                <w:color w:val="000000"/>
                <w:sz w:val="24"/>
                <w:szCs w:val="24"/>
              </w:rPr>
              <w:t>18</w:t>
            </w:r>
            <w:r>
              <w:rPr>
                <w:color w:val="000000"/>
                <w:sz w:val="24"/>
                <w:szCs w:val="24"/>
              </w:rPr>
              <w:t>杭州银行</w:t>
            </w:r>
            <w:r>
              <w:rPr>
                <w:color w:val="000000"/>
                <w:sz w:val="24"/>
                <w:szCs w:val="24"/>
              </w:rPr>
              <w:t>CD011</w:t>
            </w:r>
          </w:p>
        </w:tc>
        <w:tc>
          <w:tcPr>
            <w:tcW w:w="1387" w:type="dxa"/>
            <w:vAlign w:val="center"/>
          </w:tcPr>
          <w:p w:rsidR="000C0247" w:rsidRDefault="008A53CE">
            <w:pPr>
              <w:jc w:val="right"/>
            </w:pPr>
            <w:r>
              <w:rPr>
                <w:color w:val="000000"/>
                <w:sz w:val="24"/>
                <w:szCs w:val="24"/>
              </w:rPr>
              <w:t>1,000,000</w:t>
            </w:r>
          </w:p>
        </w:tc>
        <w:tc>
          <w:tcPr>
            <w:tcW w:w="2150" w:type="dxa"/>
            <w:vAlign w:val="center"/>
          </w:tcPr>
          <w:p w:rsidR="000C0247" w:rsidRDefault="008A53CE">
            <w:pPr>
              <w:jc w:val="right"/>
            </w:pPr>
            <w:r>
              <w:rPr>
                <w:color w:val="000000"/>
                <w:sz w:val="24"/>
                <w:szCs w:val="24"/>
              </w:rPr>
              <w:t>95,620,000.00</w:t>
            </w:r>
          </w:p>
        </w:tc>
        <w:tc>
          <w:tcPr>
            <w:tcW w:w="1237" w:type="dxa"/>
            <w:vAlign w:val="center"/>
          </w:tcPr>
          <w:p w:rsidR="000C0247" w:rsidRDefault="008A53CE">
            <w:pPr>
              <w:jc w:val="right"/>
            </w:pPr>
            <w:r>
              <w:rPr>
                <w:color w:val="000000"/>
                <w:sz w:val="24"/>
                <w:szCs w:val="24"/>
              </w:rPr>
              <w:t>17.24</w:t>
            </w:r>
          </w:p>
        </w:tc>
      </w:tr>
      <w:tr w:rsidR="000C0247">
        <w:trPr>
          <w:jc w:val="center"/>
        </w:trPr>
        <w:tc>
          <w:tcPr>
            <w:tcW w:w="850" w:type="dxa"/>
            <w:vAlign w:val="center"/>
          </w:tcPr>
          <w:p w:rsidR="000C0247" w:rsidRDefault="008A53CE">
            <w:pPr>
              <w:jc w:val="center"/>
            </w:pPr>
            <w:r>
              <w:rPr>
                <w:color w:val="000000"/>
                <w:sz w:val="24"/>
                <w:szCs w:val="24"/>
              </w:rPr>
              <w:t>4</w:t>
            </w:r>
          </w:p>
        </w:tc>
        <w:tc>
          <w:tcPr>
            <w:tcW w:w="1475" w:type="dxa"/>
            <w:vAlign w:val="center"/>
          </w:tcPr>
          <w:p w:rsidR="000C0247" w:rsidRDefault="008A53CE">
            <w:pPr>
              <w:jc w:val="center"/>
            </w:pPr>
            <w:r>
              <w:rPr>
                <w:color w:val="000000"/>
                <w:sz w:val="24"/>
                <w:szCs w:val="24"/>
              </w:rPr>
              <w:t>111892484</w:t>
            </w:r>
          </w:p>
        </w:tc>
        <w:tc>
          <w:tcPr>
            <w:tcW w:w="1769" w:type="dxa"/>
            <w:vAlign w:val="center"/>
          </w:tcPr>
          <w:p w:rsidR="000C0247" w:rsidRDefault="008A53CE">
            <w:pPr>
              <w:jc w:val="center"/>
            </w:pPr>
            <w:r>
              <w:rPr>
                <w:color w:val="000000"/>
                <w:sz w:val="24"/>
                <w:szCs w:val="24"/>
              </w:rPr>
              <w:t>18</w:t>
            </w:r>
            <w:r>
              <w:rPr>
                <w:color w:val="000000"/>
                <w:sz w:val="24"/>
                <w:szCs w:val="24"/>
              </w:rPr>
              <w:t>广州农村商业银行</w:t>
            </w:r>
            <w:r>
              <w:rPr>
                <w:color w:val="000000"/>
                <w:sz w:val="24"/>
                <w:szCs w:val="24"/>
              </w:rPr>
              <w:t>CD001</w:t>
            </w:r>
          </w:p>
        </w:tc>
        <w:tc>
          <w:tcPr>
            <w:tcW w:w="1387" w:type="dxa"/>
            <w:vAlign w:val="center"/>
          </w:tcPr>
          <w:p w:rsidR="000C0247" w:rsidRDefault="008A53CE">
            <w:pPr>
              <w:jc w:val="right"/>
            </w:pPr>
            <w:r>
              <w:rPr>
                <w:color w:val="000000"/>
                <w:sz w:val="24"/>
                <w:szCs w:val="24"/>
              </w:rPr>
              <w:t>1,000,000</w:t>
            </w:r>
          </w:p>
        </w:tc>
        <w:tc>
          <w:tcPr>
            <w:tcW w:w="2150" w:type="dxa"/>
            <w:vAlign w:val="center"/>
          </w:tcPr>
          <w:p w:rsidR="000C0247" w:rsidRDefault="008A53CE">
            <w:pPr>
              <w:jc w:val="right"/>
            </w:pPr>
            <w:r>
              <w:rPr>
                <w:color w:val="000000"/>
                <w:sz w:val="24"/>
                <w:szCs w:val="24"/>
              </w:rPr>
              <w:t>95,600,000.00</w:t>
            </w:r>
          </w:p>
        </w:tc>
        <w:tc>
          <w:tcPr>
            <w:tcW w:w="1237" w:type="dxa"/>
            <w:vAlign w:val="center"/>
          </w:tcPr>
          <w:p w:rsidR="000C0247" w:rsidRDefault="008A53CE">
            <w:pPr>
              <w:jc w:val="right"/>
            </w:pPr>
            <w:r>
              <w:rPr>
                <w:color w:val="000000"/>
                <w:sz w:val="24"/>
                <w:szCs w:val="24"/>
              </w:rPr>
              <w:t>17.23</w:t>
            </w:r>
          </w:p>
        </w:tc>
      </w:tr>
      <w:tr w:rsidR="000C0247">
        <w:trPr>
          <w:jc w:val="center"/>
        </w:trPr>
        <w:tc>
          <w:tcPr>
            <w:tcW w:w="850" w:type="dxa"/>
            <w:vAlign w:val="center"/>
          </w:tcPr>
          <w:p w:rsidR="000C0247" w:rsidRDefault="008A53CE">
            <w:pPr>
              <w:jc w:val="center"/>
            </w:pPr>
            <w:r>
              <w:rPr>
                <w:color w:val="000000"/>
                <w:sz w:val="24"/>
                <w:szCs w:val="24"/>
              </w:rPr>
              <w:t>5</w:t>
            </w:r>
          </w:p>
        </w:tc>
        <w:tc>
          <w:tcPr>
            <w:tcW w:w="1475" w:type="dxa"/>
            <w:vAlign w:val="center"/>
          </w:tcPr>
          <w:p w:rsidR="000C0247" w:rsidRDefault="008A53CE">
            <w:pPr>
              <w:jc w:val="center"/>
            </w:pPr>
            <w:r>
              <w:rPr>
                <w:color w:val="000000"/>
                <w:sz w:val="24"/>
                <w:szCs w:val="24"/>
              </w:rPr>
              <w:t>136721</w:t>
            </w:r>
          </w:p>
        </w:tc>
        <w:tc>
          <w:tcPr>
            <w:tcW w:w="1769" w:type="dxa"/>
            <w:vAlign w:val="center"/>
          </w:tcPr>
          <w:p w:rsidR="000C0247" w:rsidRDefault="008A53CE">
            <w:pPr>
              <w:jc w:val="center"/>
            </w:pPr>
            <w:r>
              <w:rPr>
                <w:color w:val="000000"/>
                <w:sz w:val="24"/>
                <w:szCs w:val="24"/>
              </w:rPr>
              <w:t>16</w:t>
            </w:r>
            <w:r>
              <w:rPr>
                <w:color w:val="000000"/>
                <w:sz w:val="24"/>
                <w:szCs w:val="24"/>
              </w:rPr>
              <w:t>石化</w:t>
            </w:r>
            <w:r>
              <w:rPr>
                <w:color w:val="000000"/>
                <w:sz w:val="24"/>
                <w:szCs w:val="24"/>
              </w:rPr>
              <w:t>01</w:t>
            </w:r>
          </w:p>
        </w:tc>
        <w:tc>
          <w:tcPr>
            <w:tcW w:w="1387" w:type="dxa"/>
            <w:vAlign w:val="center"/>
          </w:tcPr>
          <w:p w:rsidR="000C0247" w:rsidRDefault="008A53CE">
            <w:pPr>
              <w:jc w:val="right"/>
            </w:pPr>
            <w:r>
              <w:rPr>
                <w:color w:val="000000"/>
                <w:sz w:val="24"/>
                <w:szCs w:val="24"/>
              </w:rPr>
              <w:t>500,000</w:t>
            </w:r>
          </w:p>
        </w:tc>
        <w:tc>
          <w:tcPr>
            <w:tcW w:w="2150" w:type="dxa"/>
            <w:vAlign w:val="center"/>
          </w:tcPr>
          <w:p w:rsidR="000C0247" w:rsidRDefault="008A53CE">
            <w:pPr>
              <w:jc w:val="right"/>
            </w:pPr>
            <w:r>
              <w:rPr>
                <w:color w:val="000000"/>
                <w:sz w:val="24"/>
                <w:szCs w:val="24"/>
              </w:rPr>
              <w:t>48,965,000.00</w:t>
            </w:r>
          </w:p>
        </w:tc>
        <w:tc>
          <w:tcPr>
            <w:tcW w:w="1237" w:type="dxa"/>
            <w:vAlign w:val="center"/>
          </w:tcPr>
          <w:p w:rsidR="000C0247" w:rsidRDefault="008A53CE">
            <w:pPr>
              <w:jc w:val="right"/>
            </w:pPr>
            <w:r>
              <w:rPr>
                <w:color w:val="000000"/>
                <w:sz w:val="24"/>
                <w:szCs w:val="24"/>
              </w:rPr>
              <w:t>8.83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18</w:t>
      </w:r>
      <w:r w:rsidRPr="00BE5388">
        <w:rPr>
          <w:bCs/>
          <w:color w:val="000000"/>
          <w:kern w:val="0"/>
          <w:sz w:val="24"/>
          <w:szCs w:val="24"/>
        </w:rPr>
        <w:t>南京银行</w:t>
      </w:r>
      <w:r w:rsidRPr="00BE5388">
        <w:rPr>
          <w:bCs/>
          <w:color w:val="000000"/>
          <w:kern w:val="0"/>
          <w:sz w:val="24"/>
          <w:szCs w:val="24"/>
        </w:rPr>
        <w:t>CD027</w:t>
      </w:r>
      <w:r w:rsidRPr="00BE5388">
        <w:rPr>
          <w:bCs/>
          <w:color w:val="000000"/>
          <w:kern w:val="0"/>
          <w:sz w:val="24"/>
          <w:szCs w:val="24"/>
        </w:rPr>
        <w:t>（证券代码：</w:t>
      </w:r>
      <w:r w:rsidRPr="00BE5388">
        <w:rPr>
          <w:bCs/>
          <w:color w:val="000000"/>
          <w:kern w:val="0"/>
          <w:sz w:val="24"/>
          <w:szCs w:val="24"/>
        </w:rPr>
        <w:t>111892301</w:t>
      </w:r>
      <w:r w:rsidRPr="00BE5388">
        <w:rPr>
          <w:bCs/>
          <w:color w:val="000000"/>
          <w:kern w:val="0"/>
          <w:sz w:val="24"/>
          <w:szCs w:val="24"/>
        </w:rPr>
        <w:t>）、</w:t>
      </w:r>
      <w:r w:rsidRPr="00BE5388">
        <w:rPr>
          <w:bCs/>
          <w:color w:val="000000"/>
          <w:kern w:val="0"/>
          <w:sz w:val="24"/>
          <w:szCs w:val="24"/>
        </w:rPr>
        <w:t>18</w:t>
      </w:r>
      <w:r w:rsidRPr="00BE5388">
        <w:rPr>
          <w:bCs/>
          <w:color w:val="000000"/>
          <w:kern w:val="0"/>
          <w:sz w:val="24"/>
          <w:szCs w:val="24"/>
        </w:rPr>
        <w:t>南京银行</w:t>
      </w:r>
      <w:r w:rsidRPr="00BE5388">
        <w:rPr>
          <w:bCs/>
          <w:color w:val="000000"/>
          <w:kern w:val="0"/>
          <w:sz w:val="24"/>
          <w:szCs w:val="24"/>
        </w:rPr>
        <w:t>CD033</w:t>
      </w:r>
      <w:r w:rsidRPr="00BE5388">
        <w:rPr>
          <w:bCs/>
          <w:color w:val="000000"/>
          <w:kern w:val="0"/>
          <w:sz w:val="24"/>
          <w:szCs w:val="24"/>
        </w:rPr>
        <w:t>（证券代码：</w:t>
      </w:r>
      <w:r w:rsidRPr="00BE5388">
        <w:rPr>
          <w:bCs/>
          <w:color w:val="000000"/>
          <w:kern w:val="0"/>
          <w:sz w:val="24"/>
          <w:szCs w:val="24"/>
        </w:rPr>
        <w:t>111892638</w:t>
      </w:r>
      <w:r w:rsidRPr="00BE5388">
        <w:rPr>
          <w:bCs/>
          <w:color w:val="000000"/>
          <w:kern w:val="0"/>
          <w:sz w:val="24"/>
          <w:szCs w:val="24"/>
        </w:rPr>
        <w:t>）外，未出现被监管部门立案</w:t>
      </w:r>
      <w:r w:rsidRPr="00BE5388">
        <w:rPr>
          <w:bCs/>
          <w:color w:val="000000"/>
          <w:kern w:val="0"/>
          <w:sz w:val="24"/>
          <w:szCs w:val="24"/>
        </w:rPr>
        <w:lastRenderedPageBreak/>
        <w:t>调查，或在报告编制日前一年内受到公开谴责、处罚的情形。</w:t>
      </w:r>
    </w:p>
    <w:p w:rsidR="000C0247" w:rsidRDefault="008A53CE">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18</w:t>
      </w:r>
      <w:r>
        <w:rPr>
          <w:bCs/>
          <w:color w:val="000000"/>
          <w:kern w:val="0"/>
          <w:sz w:val="24"/>
          <w:szCs w:val="24"/>
        </w:rPr>
        <w:t>南京银行</w:t>
      </w:r>
      <w:r>
        <w:rPr>
          <w:bCs/>
          <w:color w:val="000000"/>
          <w:kern w:val="0"/>
          <w:sz w:val="24"/>
          <w:szCs w:val="24"/>
        </w:rPr>
        <w:t>CD027</w:t>
      </w:r>
      <w:r>
        <w:rPr>
          <w:bCs/>
          <w:color w:val="000000"/>
          <w:kern w:val="0"/>
          <w:sz w:val="24"/>
          <w:szCs w:val="24"/>
        </w:rPr>
        <w:t>（证券代码：</w:t>
      </w:r>
      <w:r>
        <w:rPr>
          <w:bCs/>
          <w:color w:val="000000"/>
          <w:kern w:val="0"/>
          <w:sz w:val="24"/>
          <w:szCs w:val="24"/>
        </w:rPr>
        <w:t>111892301</w:t>
      </w:r>
      <w:r>
        <w:rPr>
          <w:bCs/>
          <w:color w:val="000000"/>
          <w:kern w:val="0"/>
          <w:sz w:val="24"/>
          <w:szCs w:val="24"/>
        </w:rPr>
        <w:t>）的发行主体南京银行于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w:t>
      </w:r>
      <w:r>
        <w:rPr>
          <w:bCs/>
          <w:color w:val="000000"/>
          <w:kern w:val="0"/>
          <w:sz w:val="24"/>
          <w:szCs w:val="24"/>
        </w:rPr>
        <w:t>务违反审慎经营原则的行为罚款</w:t>
      </w:r>
      <w:r>
        <w:rPr>
          <w:bCs/>
          <w:color w:val="000000"/>
          <w:kern w:val="0"/>
          <w:sz w:val="24"/>
          <w:szCs w:val="24"/>
        </w:rPr>
        <w:t>3230</w:t>
      </w:r>
      <w:r>
        <w:rPr>
          <w:bCs/>
          <w:color w:val="000000"/>
          <w:kern w:val="0"/>
          <w:sz w:val="24"/>
          <w:szCs w:val="24"/>
        </w:rPr>
        <w:t>万元人民币。</w:t>
      </w:r>
    </w:p>
    <w:p w:rsidR="000C0247" w:rsidRDefault="008A53CE">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18</w:t>
      </w:r>
      <w:r>
        <w:rPr>
          <w:bCs/>
          <w:color w:val="000000"/>
          <w:kern w:val="0"/>
          <w:sz w:val="24"/>
          <w:szCs w:val="24"/>
        </w:rPr>
        <w:t>南京银行</w:t>
      </w:r>
      <w:r>
        <w:rPr>
          <w:bCs/>
          <w:color w:val="000000"/>
          <w:kern w:val="0"/>
          <w:sz w:val="24"/>
          <w:szCs w:val="24"/>
        </w:rPr>
        <w:t>CD033</w:t>
      </w:r>
      <w:r>
        <w:rPr>
          <w:bCs/>
          <w:color w:val="000000"/>
          <w:kern w:val="0"/>
          <w:sz w:val="24"/>
          <w:szCs w:val="24"/>
        </w:rPr>
        <w:t>（证券代码：</w:t>
      </w:r>
      <w:r>
        <w:rPr>
          <w:bCs/>
          <w:color w:val="000000"/>
          <w:kern w:val="0"/>
          <w:sz w:val="24"/>
          <w:szCs w:val="24"/>
        </w:rPr>
        <w:t>111892638</w:t>
      </w:r>
      <w:r>
        <w:rPr>
          <w:bCs/>
          <w:color w:val="000000"/>
          <w:kern w:val="0"/>
          <w:sz w:val="24"/>
          <w:szCs w:val="24"/>
        </w:rPr>
        <w:t>）的发行主体南京银行于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0C0247" w:rsidRDefault="008A53CE">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本基金管理人对上述证券投资决策程序的说明如下：本基金管理人对证券投资特别是重仓个券的投资有严格的投资决策流程控制。本基金在对上述证券的投资也严格执行投资决策流程。</w:t>
      </w:r>
      <w:r>
        <w:rPr>
          <w:bCs/>
          <w:color w:val="000000"/>
          <w:kern w:val="0"/>
          <w:sz w:val="24"/>
          <w:szCs w:val="24"/>
        </w:rPr>
        <w:t>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5,110.25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12,962,296.36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259.69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12,967,666.30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C0247">
        <w:trPr>
          <w:jc w:val="center"/>
        </w:trPr>
        <w:tc>
          <w:tcPr>
            <w:tcW w:w="1883" w:type="dxa"/>
            <w:vAlign w:val="center"/>
          </w:tcPr>
          <w:p w:rsidR="000C0247" w:rsidRDefault="008A53CE">
            <w:pPr>
              <w:jc w:val="center"/>
            </w:pPr>
            <w:r>
              <w:rPr>
                <w:color w:val="000000"/>
                <w:sz w:val="24"/>
                <w:szCs w:val="24"/>
              </w:rPr>
              <w:t>1</w:t>
            </w:r>
          </w:p>
        </w:tc>
        <w:tc>
          <w:tcPr>
            <w:tcW w:w="1801" w:type="dxa"/>
            <w:vAlign w:val="center"/>
          </w:tcPr>
          <w:p w:rsidR="000C0247" w:rsidRDefault="008A53CE">
            <w:pPr>
              <w:jc w:val="center"/>
            </w:pPr>
            <w:r>
              <w:rPr>
                <w:color w:val="000000"/>
                <w:sz w:val="24"/>
                <w:szCs w:val="24"/>
              </w:rPr>
              <w:t>113011</w:t>
            </w:r>
          </w:p>
        </w:tc>
        <w:tc>
          <w:tcPr>
            <w:tcW w:w="1727" w:type="dxa"/>
            <w:vAlign w:val="center"/>
          </w:tcPr>
          <w:p w:rsidR="000C0247" w:rsidRDefault="008A53CE">
            <w:pPr>
              <w:jc w:val="center"/>
            </w:pPr>
            <w:r>
              <w:rPr>
                <w:color w:val="000000"/>
                <w:sz w:val="24"/>
                <w:szCs w:val="24"/>
              </w:rPr>
              <w:t>光大转债</w:t>
            </w:r>
          </w:p>
        </w:tc>
        <w:tc>
          <w:tcPr>
            <w:tcW w:w="1768" w:type="dxa"/>
            <w:vAlign w:val="center"/>
          </w:tcPr>
          <w:p w:rsidR="000C0247" w:rsidRDefault="008A53CE">
            <w:pPr>
              <w:jc w:val="right"/>
            </w:pPr>
            <w:r>
              <w:rPr>
                <w:color w:val="000000"/>
                <w:sz w:val="24"/>
                <w:szCs w:val="24"/>
              </w:rPr>
              <w:t>5,072,985.20</w:t>
            </w:r>
          </w:p>
        </w:tc>
        <w:tc>
          <w:tcPr>
            <w:tcW w:w="1689" w:type="dxa"/>
            <w:vAlign w:val="center"/>
          </w:tcPr>
          <w:p w:rsidR="000C0247" w:rsidRDefault="008A53CE">
            <w:pPr>
              <w:jc w:val="right"/>
            </w:pPr>
            <w:r>
              <w:rPr>
                <w:color w:val="000000"/>
                <w:sz w:val="24"/>
                <w:szCs w:val="24"/>
              </w:rPr>
              <w:t>0.91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0C0247" w:rsidRDefault="008A53CE">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rFonts w:hint="eastAsia"/>
          <w:color w:val="000000"/>
          <w:sz w:val="24"/>
          <w:szCs w:val="24"/>
        </w:rPr>
      </w:pPr>
      <w:bookmarkStart w:id="0" w:name="_GoBack"/>
      <w:bookmarkEnd w:id="0"/>
    </w:p>
    <w:p w:rsidR="001F3E2A" w:rsidRPr="00575270" w:rsidRDefault="001F3E2A" w:rsidP="00D9393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D9393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D9393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D9393A">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600,121,006.57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734,852.77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67,924,891.37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532,930,967.97</w:t>
            </w:r>
          </w:p>
        </w:tc>
      </w:tr>
    </w:tbl>
    <w:p w:rsidR="000C0247" w:rsidRDefault="008A53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9393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D9393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C0247" w:rsidRDefault="008A53C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0C0247" w:rsidRDefault="008A53C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0C0247" w:rsidRDefault="008A53C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0C0247" w:rsidRDefault="008A53C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0C0247" w:rsidRDefault="008A53CE">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0C0247" w:rsidRDefault="008A53CE">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0C0247" w:rsidRDefault="008A53CE">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0C0247" w:rsidRDefault="008A53CE">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C0247" w:rsidRDefault="008A53C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CE" w:rsidRDefault="008A53CE" w:rsidP="00876D65">
      <w:r>
        <w:separator/>
      </w:r>
    </w:p>
  </w:endnote>
  <w:endnote w:type="continuationSeparator" w:id="0">
    <w:p w:rsidR="008A53CE" w:rsidRDefault="008A53C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8C15BF">
      <w:rPr>
        <w:kern w:val="0"/>
        <w:szCs w:val="21"/>
      </w:rPr>
      <w:fldChar w:fldCharType="begin"/>
    </w:r>
    <w:r>
      <w:rPr>
        <w:kern w:val="0"/>
        <w:szCs w:val="21"/>
      </w:rPr>
      <w:instrText xml:space="preserve"> PAGE </w:instrText>
    </w:r>
    <w:r w:rsidR="008C15BF">
      <w:rPr>
        <w:kern w:val="0"/>
        <w:szCs w:val="21"/>
      </w:rPr>
      <w:fldChar w:fldCharType="separate"/>
    </w:r>
    <w:r w:rsidR="00CA6631">
      <w:rPr>
        <w:noProof/>
        <w:kern w:val="0"/>
        <w:szCs w:val="21"/>
      </w:rPr>
      <w:t>12</w:t>
    </w:r>
    <w:r w:rsidR="008C15BF">
      <w:rPr>
        <w:kern w:val="0"/>
        <w:szCs w:val="21"/>
      </w:rPr>
      <w:fldChar w:fldCharType="end"/>
    </w:r>
    <w:r>
      <w:rPr>
        <w:rFonts w:hint="eastAsia"/>
        <w:kern w:val="0"/>
        <w:szCs w:val="21"/>
      </w:rPr>
      <w:t>页共</w:t>
    </w:r>
    <w:r w:rsidR="008C15BF">
      <w:rPr>
        <w:kern w:val="0"/>
        <w:szCs w:val="21"/>
      </w:rPr>
      <w:fldChar w:fldCharType="begin"/>
    </w:r>
    <w:r>
      <w:rPr>
        <w:kern w:val="0"/>
        <w:szCs w:val="21"/>
      </w:rPr>
      <w:instrText xml:space="preserve"> NUMPAGES </w:instrText>
    </w:r>
    <w:r w:rsidR="008C15BF">
      <w:rPr>
        <w:kern w:val="0"/>
        <w:szCs w:val="21"/>
      </w:rPr>
      <w:fldChar w:fldCharType="separate"/>
    </w:r>
    <w:r w:rsidR="00CA6631">
      <w:rPr>
        <w:noProof/>
        <w:kern w:val="0"/>
        <w:szCs w:val="21"/>
      </w:rPr>
      <w:t>12</w:t>
    </w:r>
    <w:r w:rsidR="008C15B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CE" w:rsidRDefault="008A53CE" w:rsidP="00876D65">
      <w:r>
        <w:separator/>
      </w:r>
    </w:p>
  </w:footnote>
  <w:footnote w:type="continuationSeparator" w:id="0">
    <w:p w:rsidR="008A53CE" w:rsidRDefault="008A53C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交银施罗德荣祥保本混合型证券投资基金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0247"/>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3CE"/>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6631"/>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2129B-9C1F-41F0-A69E-2BFEC6E1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5113-FDDA-4AAE-AEBE-C582C410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12</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578</cp:revision>
  <dcterms:created xsi:type="dcterms:W3CDTF">2012-10-16T06:07:00Z</dcterms:created>
  <dcterms:modified xsi:type="dcterms:W3CDTF">2018-07-16T08:38:00Z</dcterms:modified>
</cp:coreProperties>
</file>