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交银施罗德纯债债券型发起式证券投资基金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交银纯债债券发起</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519718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2012</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463,809,142.30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本基金为纯债基金，在严格控制投资风险的基础上，追求稳定的当期收益和基金资产的稳健增值。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交银纯债债券发起</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519718</w:t>
            </w:r>
            <w:r w:rsidRPr="007F52FA">
              <w:rPr>
                <w:color w:val="000000" w:themeColor="text1"/>
                <w:sz w:val="24"/>
              </w:rPr>
              <w:t>（前端）、</w:t>
            </w:r>
            <w:r w:rsidRPr="007F52FA">
              <w:rPr>
                <w:color w:val="000000" w:themeColor="text1"/>
                <w:sz w:val="24"/>
              </w:rPr>
              <w:t>519719</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458,158,467.75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5,650,674.55</w:t>
            </w:r>
            <w:r w:rsidRPr="007F52FA">
              <w:rPr>
                <w:color w:val="000000"/>
                <w:kern w:val="0"/>
                <w:sz w:val="24"/>
              </w:rPr>
              <w:t>份</w:t>
            </w:r>
          </w:p>
        </w:tc>
      </w:tr>
    </w:tbl>
    <w:p w:rsidR="00A157C6" w:rsidRDefault="0040114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类基金份额采用前端收费模式，</w:t>
      </w:r>
      <w:r>
        <w:rPr>
          <w:rFonts w:eastAsiaTheme="minorEastAsia"/>
          <w:color w:val="000000"/>
          <w:sz w:val="24"/>
        </w:rPr>
        <w:t>B</w:t>
      </w:r>
      <w:r>
        <w:rPr>
          <w:rFonts w:eastAsiaTheme="minorEastAsia"/>
          <w:color w:val="000000"/>
          <w:sz w:val="24"/>
        </w:rPr>
        <w:t>类基金份额采用后端收费模式，前端交易代码即为</w:t>
      </w:r>
      <w:r>
        <w:rPr>
          <w:rFonts w:eastAsiaTheme="minorEastAsia"/>
          <w:color w:val="000000"/>
          <w:sz w:val="24"/>
        </w:rPr>
        <w:t>A</w:t>
      </w:r>
      <w:r>
        <w:rPr>
          <w:rFonts w:eastAsiaTheme="minorEastAsia"/>
          <w:color w:val="000000"/>
          <w:sz w:val="24"/>
        </w:rPr>
        <w:t>类基金份额交易代码，后端交易代码即为</w:t>
      </w:r>
      <w:r>
        <w:rPr>
          <w:rFonts w:eastAsiaTheme="minorEastAsia"/>
          <w:color w:val="000000"/>
          <w:sz w:val="24"/>
        </w:rPr>
        <w:t>B</w:t>
      </w:r>
      <w:r>
        <w:rPr>
          <w:rFonts w:eastAsiaTheme="minorEastAsia"/>
          <w:color w:val="000000"/>
          <w:sz w:val="24"/>
        </w:rPr>
        <w:t>类基金份额交易代码。</w:t>
      </w:r>
    </w:p>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、本基金为发起式基金。</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交银纯债债券发起</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交银纯债债券发起</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5,247,851.54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176,847.16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6,653,324.49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73,972.64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475,121,210.13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5,809,308.11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1.028</w:t>
            </w:r>
          </w:p>
        </w:tc>
      </w:tr>
    </w:tbl>
    <w:p w:rsidR="00A157C6" w:rsidRDefault="0040114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交银纯债债券发起</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157C6">
        <w:trPr>
          <w:jc w:val="center"/>
        </w:trPr>
        <w:tc>
          <w:tcPr>
            <w:tcW w:w="1266" w:type="dxa"/>
            <w:vAlign w:val="center"/>
          </w:tcPr>
          <w:p w:rsidR="00A157C6" w:rsidRDefault="0040114B">
            <w:pPr>
              <w:jc w:val="left"/>
            </w:pPr>
            <w:r>
              <w:rPr>
                <w:color w:val="000000"/>
                <w:sz w:val="24"/>
              </w:rPr>
              <w:t>过去三个月</w:t>
            </w:r>
          </w:p>
        </w:tc>
        <w:tc>
          <w:tcPr>
            <w:tcW w:w="1267" w:type="dxa"/>
            <w:vAlign w:val="center"/>
          </w:tcPr>
          <w:p w:rsidR="00A157C6" w:rsidRDefault="0040114B">
            <w:pPr>
              <w:jc w:val="center"/>
            </w:pPr>
            <w:r>
              <w:rPr>
                <w:color w:val="000000"/>
                <w:sz w:val="24"/>
              </w:rPr>
              <w:t>1.47%</w:t>
            </w:r>
          </w:p>
        </w:tc>
        <w:tc>
          <w:tcPr>
            <w:tcW w:w="1267" w:type="dxa"/>
            <w:vAlign w:val="center"/>
          </w:tcPr>
          <w:p w:rsidR="00A157C6" w:rsidRDefault="0040114B" w:rsidP="00C16747">
            <w:pPr>
              <w:jc w:val="center"/>
            </w:pPr>
            <w:r>
              <w:rPr>
                <w:color w:val="000000"/>
                <w:sz w:val="24"/>
              </w:rPr>
              <w:t>0.0</w:t>
            </w:r>
            <w:r w:rsidR="00C16747">
              <w:rPr>
                <w:color w:val="000000"/>
                <w:sz w:val="24"/>
              </w:rPr>
              <w:t>9</w:t>
            </w:r>
            <w:r>
              <w:rPr>
                <w:color w:val="000000"/>
                <w:sz w:val="24"/>
              </w:rPr>
              <w:t>%</w:t>
            </w:r>
          </w:p>
        </w:tc>
        <w:tc>
          <w:tcPr>
            <w:tcW w:w="1267" w:type="dxa"/>
            <w:vAlign w:val="center"/>
          </w:tcPr>
          <w:p w:rsidR="00A157C6" w:rsidRDefault="0040114B">
            <w:pPr>
              <w:jc w:val="center"/>
            </w:pPr>
            <w:r>
              <w:rPr>
                <w:color w:val="000000"/>
                <w:sz w:val="24"/>
              </w:rPr>
              <w:t>1.01%</w:t>
            </w:r>
          </w:p>
        </w:tc>
        <w:tc>
          <w:tcPr>
            <w:tcW w:w="1267" w:type="dxa"/>
            <w:vAlign w:val="center"/>
          </w:tcPr>
          <w:p w:rsidR="00A157C6" w:rsidRDefault="0040114B">
            <w:pPr>
              <w:jc w:val="center"/>
            </w:pPr>
            <w:r>
              <w:rPr>
                <w:color w:val="000000"/>
                <w:sz w:val="24"/>
              </w:rPr>
              <w:t>0.10%</w:t>
            </w:r>
          </w:p>
        </w:tc>
        <w:tc>
          <w:tcPr>
            <w:tcW w:w="1267" w:type="dxa"/>
            <w:vAlign w:val="center"/>
          </w:tcPr>
          <w:p w:rsidR="00A157C6" w:rsidRDefault="0040114B">
            <w:pPr>
              <w:jc w:val="center"/>
            </w:pPr>
            <w:r>
              <w:rPr>
                <w:color w:val="000000"/>
                <w:sz w:val="24"/>
              </w:rPr>
              <w:t>0.46%</w:t>
            </w:r>
          </w:p>
        </w:tc>
        <w:tc>
          <w:tcPr>
            <w:tcW w:w="1267" w:type="dxa"/>
            <w:vAlign w:val="center"/>
          </w:tcPr>
          <w:p w:rsidR="00A157C6" w:rsidRDefault="0040114B" w:rsidP="00C16747">
            <w:pPr>
              <w:jc w:val="center"/>
            </w:pPr>
            <w:r>
              <w:rPr>
                <w:color w:val="000000"/>
                <w:sz w:val="24"/>
              </w:rPr>
              <w:t>-0.0</w:t>
            </w:r>
            <w:r w:rsidR="00C16747">
              <w:rPr>
                <w:color w:val="000000"/>
                <w:sz w:val="24"/>
              </w:rPr>
              <w:t>1</w:t>
            </w:r>
            <w:r>
              <w:rPr>
                <w:color w:val="000000"/>
                <w:sz w:val="24"/>
              </w:rPr>
              <w:t>%</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交银纯债债券发起</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157C6">
        <w:trPr>
          <w:jc w:val="center"/>
        </w:trPr>
        <w:tc>
          <w:tcPr>
            <w:tcW w:w="1266" w:type="dxa"/>
            <w:vAlign w:val="center"/>
          </w:tcPr>
          <w:p w:rsidR="00A157C6" w:rsidRDefault="0040114B">
            <w:pPr>
              <w:jc w:val="left"/>
            </w:pPr>
            <w:r>
              <w:rPr>
                <w:color w:val="000000"/>
                <w:sz w:val="24"/>
              </w:rPr>
              <w:t>过去三个月</w:t>
            </w:r>
          </w:p>
        </w:tc>
        <w:tc>
          <w:tcPr>
            <w:tcW w:w="1267" w:type="dxa"/>
            <w:vAlign w:val="center"/>
          </w:tcPr>
          <w:p w:rsidR="00A157C6" w:rsidRDefault="0040114B">
            <w:pPr>
              <w:jc w:val="center"/>
            </w:pPr>
            <w:r>
              <w:rPr>
                <w:color w:val="000000"/>
                <w:sz w:val="24"/>
              </w:rPr>
              <w:t>1.38%</w:t>
            </w:r>
          </w:p>
        </w:tc>
        <w:tc>
          <w:tcPr>
            <w:tcW w:w="1267" w:type="dxa"/>
            <w:vAlign w:val="center"/>
          </w:tcPr>
          <w:p w:rsidR="00A157C6" w:rsidRDefault="0040114B">
            <w:pPr>
              <w:jc w:val="center"/>
            </w:pPr>
            <w:r>
              <w:rPr>
                <w:color w:val="000000"/>
                <w:sz w:val="24"/>
              </w:rPr>
              <w:t>0.09%</w:t>
            </w:r>
          </w:p>
        </w:tc>
        <w:tc>
          <w:tcPr>
            <w:tcW w:w="1267" w:type="dxa"/>
            <w:vAlign w:val="center"/>
          </w:tcPr>
          <w:p w:rsidR="00A157C6" w:rsidRDefault="0040114B">
            <w:pPr>
              <w:jc w:val="center"/>
            </w:pPr>
            <w:r>
              <w:rPr>
                <w:color w:val="000000"/>
                <w:sz w:val="24"/>
              </w:rPr>
              <w:t>1.01%</w:t>
            </w:r>
          </w:p>
        </w:tc>
        <w:tc>
          <w:tcPr>
            <w:tcW w:w="1267" w:type="dxa"/>
            <w:vAlign w:val="center"/>
          </w:tcPr>
          <w:p w:rsidR="00A157C6" w:rsidRDefault="0040114B">
            <w:pPr>
              <w:jc w:val="center"/>
            </w:pPr>
            <w:r>
              <w:rPr>
                <w:color w:val="000000"/>
                <w:sz w:val="24"/>
              </w:rPr>
              <w:t>0.10%</w:t>
            </w:r>
          </w:p>
        </w:tc>
        <w:tc>
          <w:tcPr>
            <w:tcW w:w="1267" w:type="dxa"/>
            <w:vAlign w:val="center"/>
          </w:tcPr>
          <w:p w:rsidR="00A157C6" w:rsidRDefault="0040114B">
            <w:pPr>
              <w:jc w:val="center"/>
            </w:pPr>
            <w:r>
              <w:rPr>
                <w:color w:val="000000"/>
                <w:sz w:val="24"/>
              </w:rPr>
              <w:t>0.37%</w:t>
            </w:r>
          </w:p>
        </w:tc>
        <w:tc>
          <w:tcPr>
            <w:tcW w:w="1267" w:type="dxa"/>
            <w:vAlign w:val="center"/>
          </w:tcPr>
          <w:p w:rsidR="00A157C6" w:rsidRDefault="0040114B">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交银施罗德纯债债券型发起式证券投资基金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2012</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交银纯债债券发起</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交银纯债债券发起</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04754A" w:rsidRDefault="006C5BC9" w:rsidP="007C14DF">
      <w:pPr>
        <w:tabs>
          <w:tab w:val="left" w:pos="1800"/>
        </w:tabs>
        <w:spacing w:before="29" w:line="288" w:lineRule="auto"/>
        <w:rPr>
          <w:rFonts w:eastAsiaTheme="minorEastAsia" w:hint="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157C6">
        <w:trPr>
          <w:jc w:val="center"/>
        </w:trPr>
        <w:tc>
          <w:tcPr>
            <w:tcW w:w="946" w:type="dxa"/>
            <w:vAlign w:val="center"/>
          </w:tcPr>
          <w:p w:rsidR="00A157C6" w:rsidRDefault="0040114B">
            <w:pPr>
              <w:jc w:val="center"/>
            </w:pPr>
            <w:r>
              <w:rPr>
                <w:color w:val="000000"/>
                <w:sz w:val="24"/>
              </w:rPr>
              <w:t>于海颖</w:t>
            </w:r>
          </w:p>
        </w:tc>
        <w:tc>
          <w:tcPr>
            <w:tcW w:w="924" w:type="dxa"/>
            <w:vAlign w:val="center"/>
          </w:tcPr>
          <w:p w:rsidR="00A157C6" w:rsidRDefault="0040114B">
            <w:pPr>
              <w:jc w:val="center"/>
            </w:pPr>
            <w:r>
              <w:rPr>
                <w:color w:val="000000"/>
                <w:sz w:val="24"/>
              </w:rPr>
              <w:t>交银增利债券、交银纯债债券发起、交银荣祥保本混合、</w:t>
            </w:r>
            <w:r>
              <w:rPr>
                <w:color w:val="000000"/>
                <w:sz w:val="24"/>
              </w:rPr>
              <w:lastRenderedPageBreak/>
              <w:t>交银定期支付月月丰债券、交银增强收益债券、交银强化回报债券、交银丰盈收益债券、交银丰硕收益债券、交银荣鑫保本混合、交银增利增强债券、交银丰晟收益债券、交银裕如纯债债券的基金经理，公司固定收益（公</w:t>
            </w:r>
            <w:r>
              <w:rPr>
                <w:color w:val="000000"/>
                <w:sz w:val="24"/>
              </w:rPr>
              <w:lastRenderedPageBreak/>
              <w:t>募）投资总监</w:t>
            </w:r>
          </w:p>
        </w:tc>
        <w:tc>
          <w:tcPr>
            <w:tcW w:w="1202" w:type="dxa"/>
            <w:vAlign w:val="center"/>
          </w:tcPr>
          <w:p w:rsidR="00A157C6" w:rsidRDefault="0040114B">
            <w:pPr>
              <w:jc w:val="center"/>
            </w:pPr>
            <w:r>
              <w:rPr>
                <w:color w:val="000000"/>
                <w:sz w:val="24"/>
              </w:rPr>
              <w:lastRenderedPageBreak/>
              <w:t>2017-06-10</w:t>
            </w:r>
          </w:p>
        </w:tc>
        <w:tc>
          <w:tcPr>
            <w:tcW w:w="1300" w:type="dxa"/>
            <w:vAlign w:val="center"/>
          </w:tcPr>
          <w:p w:rsidR="00A157C6" w:rsidRDefault="0040114B">
            <w:pPr>
              <w:jc w:val="center"/>
            </w:pPr>
            <w:r>
              <w:rPr>
                <w:color w:val="000000"/>
                <w:sz w:val="24"/>
              </w:rPr>
              <w:t>-</w:t>
            </w:r>
          </w:p>
        </w:tc>
        <w:tc>
          <w:tcPr>
            <w:tcW w:w="1245" w:type="dxa"/>
            <w:vAlign w:val="center"/>
          </w:tcPr>
          <w:p w:rsidR="00A157C6" w:rsidRDefault="0040114B">
            <w:pPr>
              <w:jc w:val="center"/>
            </w:pPr>
            <w:r>
              <w:rPr>
                <w:color w:val="000000"/>
                <w:sz w:val="24"/>
              </w:rPr>
              <w:t>12</w:t>
            </w:r>
            <w:r>
              <w:rPr>
                <w:color w:val="000000"/>
                <w:sz w:val="24"/>
              </w:rPr>
              <w:t>年</w:t>
            </w:r>
          </w:p>
        </w:tc>
        <w:tc>
          <w:tcPr>
            <w:tcW w:w="3251" w:type="dxa"/>
            <w:vAlign w:val="center"/>
          </w:tcPr>
          <w:p w:rsidR="00A157C6" w:rsidRDefault="0040114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r>
              <w:rPr>
                <w:color w:val="000000"/>
                <w:sz w:val="24"/>
              </w:rPr>
              <w:lastRenderedPageBreak/>
              <w:t>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157C6" w:rsidRDefault="0040114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157C6" w:rsidRDefault="0040114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157C6" w:rsidRDefault="0040114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157C6" w:rsidRDefault="0040114B">
      <w:pPr>
        <w:spacing w:before="29" w:line="288" w:lineRule="auto"/>
        <w:ind w:firstLineChars="200" w:firstLine="480"/>
        <w:rPr>
          <w:color w:val="000000"/>
          <w:sz w:val="24"/>
        </w:rPr>
      </w:pPr>
      <w:r>
        <w:rPr>
          <w:color w:val="000000"/>
          <w:sz w:val="24"/>
        </w:rPr>
        <w:t>二季度以来在央行降准、表外融资持续收缩、经济通胀趋弱、贸易战局势反复等多</w:t>
      </w:r>
      <w:r>
        <w:rPr>
          <w:color w:val="000000"/>
          <w:sz w:val="24"/>
        </w:rPr>
        <w:lastRenderedPageBreak/>
        <w:t>方面因素交织的背景下，债券收益率呈现出先下后上继而再次大幅下行的宽幅波动态势。四月上旬债券收益率延续了一季度以来的下行趋势，央行在四月宣布降准</w:t>
      </w:r>
      <w:r>
        <w:rPr>
          <w:color w:val="000000"/>
          <w:sz w:val="24"/>
        </w:rPr>
        <w:t>1</w:t>
      </w:r>
      <w:r>
        <w:rPr>
          <w:color w:val="000000"/>
          <w:sz w:val="24"/>
        </w:rPr>
        <w:t>个百分点置换</w:t>
      </w:r>
      <w:r>
        <w:rPr>
          <w:color w:val="000000"/>
          <w:sz w:val="24"/>
        </w:rPr>
        <w:t>MLF</w:t>
      </w:r>
      <w:r>
        <w:rPr>
          <w:color w:val="000000"/>
          <w:sz w:val="24"/>
        </w:rPr>
        <w:t>操作，债券市场在降准后出现强势上涨，收益率大幅下行，但随后由于降准释放资金和缴税缴准错位，出现了季末流动性紧张的情况，同时叠加资管新规的出台，收益率震荡上行。进入六月后随着最新社会融资规模数据公布，信用收紧格局下收益率重回下行通道。六月底央行再一次降准</w:t>
      </w:r>
      <w:r>
        <w:rPr>
          <w:color w:val="000000"/>
          <w:sz w:val="24"/>
        </w:rPr>
        <w:t>0.5</w:t>
      </w:r>
      <w:r>
        <w:rPr>
          <w:color w:val="000000"/>
          <w:sz w:val="24"/>
        </w:rPr>
        <w:t>个百分点，收益率再次开启大幅下行空间，截至六月底，十年期国开收益率自三月末</w:t>
      </w:r>
      <w:r>
        <w:rPr>
          <w:color w:val="000000"/>
          <w:sz w:val="24"/>
        </w:rPr>
        <w:t>4.65%</w:t>
      </w:r>
      <w:r>
        <w:rPr>
          <w:color w:val="000000"/>
          <w:sz w:val="24"/>
        </w:rPr>
        <w:t>下行至</w:t>
      </w:r>
      <w:r>
        <w:rPr>
          <w:color w:val="000000"/>
          <w:sz w:val="24"/>
        </w:rPr>
        <w:t>4.25%</w:t>
      </w:r>
      <w:r>
        <w:rPr>
          <w:color w:val="000000"/>
          <w:sz w:val="24"/>
        </w:rPr>
        <w:t>，市场涨幅明显。信用债方面，受到信用事件的影响，本报告期信用利差出现了一定走阔。</w:t>
      </w:r>
    </w:p>
    <w:p w:rsidR="00A157C6" w:rsidRDefault="0040114B">
      <w:pPr>
        <w:spacing w:before="29" w:line="288" w:lineRule="auto"/>
        <w:ind w:firstLineChars="200" w:firstLine="480"/>
        <w:rPr>
          <w:color w:val="000000"/>
          <w:sz w:val="24"/>
        </w:rPr>
      </w:pPr>
      <w:r>
        <w:rPr>
          <w:color w:val="000000"/>
          <w:sz w:val="24"/>
        </w:rPr>
        <w:t>报告期内，基于对债券市场偏乐观和流动性稳健的判断下，本组合保持了较高的杠杆和较长的久期债券组合以获取杠杆收益和资本利得收益。同时，择机进行了长久期利率债的波段操作，增强组合收益。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我们判断债市收益率下行的趋势不改。经济基本面仍面临一定的下行压力，一方面体现在融资环境收缩对地产和基建投资的挤压上，另一方面表现为中美贸易摩擦升级对出口的负面影响上。随着去杠杆政策的持续推进，为了避免信用风险发酵带来流动性危机和经济失速下滑，我们预计货币政策将保持较为宽松态势，宽货币紧信用的经济环境将继续支持债券市场收益率下行。风险方面，我们关注监管政策落地带来的短期调整风险和不断压缩的中美利差可能阶段性地成为制约债市收益率下行的因素。整体而言我们认为债券市场上涨的机会大于下跌的风险。随着去杠杆进程的推进，信用风险逐渐暴露，我们认为低等级信用债利差未能充分反应未来的信用风险，我们将继续规避中低评级信用债，以中高等级的信用债为底仓，保持中性偏高久期，择机进行利率债的波段操作，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日，交银纯债债券发起</w:t>
      </w:r>
      <w:r w:rsidRPr="007F52FA">
        <w:rPr>
          <w:color w:val="000000"/>
          <w:sz w:val="24"/>
        </w:rPr>
        <w:t>A/B</w:t>
      </w:r>
      <w:r w:rsidRPr="007F52FA">
        <w:rPr>
          <w:color w:val="000000"/>
          <w:sz w:val="24"/>
        </w:rPr>
        <w:t>份额净值为</w:t>
      </w:r>
      <w:r w:rsidRPr="007F52FA">
        <w:rPr>
          <w:color w:val="000000"/>
          <w:sz w:val="24"/>
        </w:rPr>
        <w:t>1.037</w:t>
      </w:r>
      <w:r w:rsidRPr="007F52FA">
        <w:rPr>
          <w:color w:val="000000"/>
          <w:sz w:val="24"/>
        </w:rPr>
        <w:t>元，本报告期份额净值增长率为</w:t>
      </w:r>
      <w:r w:rsidRPr="007F52FA">
        <w:rPr>
          <w:color w:val="000000"/>
          <w:sz w:val="24"/>
        </w:rPr>
        <w:t>1.47%</w:t>
      </w:r>
      <w:r w:rsidRPr="007F52FA">
        <w:rPr>
          <w:color w:val="000000"/>
          <w:sz w:val="24"/>
        </w:rPr>
        <w:t>，同期业绩比较基准增长率为</w:t>
      </w:r>
      <w:r w:rsidRPr="007F52FA">
        <w:rPr>
          <w:color w:val="000000"/>
          <w:sz w:val="24"/>
        </w:rPr>
        <w:t>1.01%</w:t>
      </w:r>
      <w:r w:rsidRPr="007F52FA">
        <w:rPr>
          <w:color w:val="000000"/>
          <w:sz w:val="24"/>
        </w:rPr>
        <w:t>；交银纯债债券发起</w:t>
      </w:r>
      <w:r w:rsidRPr="007F52FA">
        <w:rPr>
          <w:color w:val="000000"/>
          <w:sz w:val="24"/>
        </w:rPr>
        <w:t>C</w:t>
      </w:r>
      <w:r w:rsidRPr="007F52FA">
        <w:rPr>
          <w:color w:val="000000"/>
          <w:sz w:val="24"/>
        </w:rPr>
        <w:t>份额净值为</w:t>
      </w:r>
      <w:r w:rsidRPr="007F52FA">
        <w:rPr>
          <w:color w:val="000000"/>
          <w:sz w:val="24"/>
        </w:rPr>
        <w:t>1.028</w:t>
      </w:r>
      <w:r w:rsidRPr="007F52FA">
        <w:rPr>
          <w:color w:val="000000"/>
          <w:sz w:val="24"/>
        </w:rPr>
        <w:t>元，本报告期份额净值增长率为</w:t>
      </w:r>
      <w:r w:rsidRPr="007F52FA">
        <w:rPr>
          <w:color w:val="000000"/>
          <w:sz w:val="24"/>
        </w:rPr>
        <w:t>1.38%</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620,930,795.80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613,930,795.80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94.45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19,143,267.73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9,932,051.30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650,006,114.83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04754A" w:rsidRPr="007F52FA" w:rsidRDefault="0004754A"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65,115,200.00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65,115,200.00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280,909,595.80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58.41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267,906,000.00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55.71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613,930,795.80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127.65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157C6">
        <w:trPr>
          <w:jc w:val="center"/>
        </w:trPr>
        <w:tc>
          <w:tcPr>
            <w:tcW w:w="1075" w:type="dxa"/>
            <w:vAlign w:val="center"/>
          </w:tcPr>
          <w:p w:rsidR="00A157C6" w:rsidRDefault="0040114B">
            <w:pPr>
              <w:jc w:val="center"/>
            </w:pPr>
            <w:r>
              <w:rPr>
                <w:color w:val="000000"/>
                <w:sz w:val="24"/>
              </w:rPr>
              <w:t>1</w:t>
            </w:r>
          </w:p>
        </w:tc>
        <w:tc>
          <w:tcPr>
            <w:tcW w:w="1533" w:type="dxa"/>
            <w:vAlign w:val="center"/>
          </w:tcPr>
          <w:p w:rsidR="00A157C6" w:rsidRDefault="0040114B">
            <w:pPr>
              <w:jc w:val="center"/>
            </w:pPr>
            <w:r>
              <w:rPr>
                <w:color w:val="000000"/>
                <w:sz w:val="24"/>
              </w:rPr>
              <w:t>180406</w:t>
            </w:r>
          </w:p>
        </w:tc>
        <w:tc>
          <w:tcPr>
            <w:tcW w:w="1533" w:type="dxa"/>
            <w:vAlign w:val="center"/>
          </w:tcPr>
          <w:p w:rsidR="00A157C6" w:rsidRDefault="0040114B">
            <w:pPr>
              <w:jc w:val="center"/>
            </w:pPr>
            <w:r>
              <w:rPr>
                <w:color w:val="000000"/>
                <w:sz w:val="24"/>
              </w:rPr>
              <w:t>18</w:t>
            </w:r>
            <w:r>
              <w:rPr>
                <w:color w:val="000000"/>
                <w:sz w:val="24"/>
              </w:rPr>
              <w:t>农发</w:t>
            </w:r>
            <w:r>
              <w:rPr>
                <w:color w:val="000000"/>
                <w:sz w:val="24"/>
              </w:rPr>
              <w:t>06</w:t>
            </w:r>
          </w:p>
        </w:tc>
        <w:tc>
          <w:tcPr>
            <w:tcW w:w="1394" w:type="dxa"/>
            <w:vAlign w:val="center"/>
          </w:tcPr>
          <w:p w:rsidR="00A157C6" w:rsidRDefault="0040114B">
            <w:pPr>
              <w:jc w:val="right"/>
            </w:pPr>
            <w:r>
              <w:rPr>
                <w:color w:val="000000"/>
                <w:sz w:val="24"/>
              </w:rPr>
              <w:t>400,000</w:t>
            </w:r>
          </w:p>
        </w:tc>
        <w:tc>
          <w:tcPr>
            <w:tcW w:w="1944" w:type="dxa"/>
            <w:vAlign w:val="center"/>
          </w:tcPr>
          <w:p w:rsidR="00A157C6" w:rsidRDefault="0040114B">
            <w:pPr>
              <w:jc w:val="right"/>
            </w:pPr>
            <w:r>
              <w:rPr>
                <w:color w:val="000000"/>
                <w:sz w:val="24"/>
              </w:rPr>
              <w:t>41,024,000.00</w:t>
            </w:r>
          </w:p>
        </w:tc>
        <w:tc>
          <w:tcPr>
            <w:tcW w:w="1389" w:type="dxa"/>
            <w:vAlign w:val="center"/>
          </w:tcPr>
          <w:p w:rsidR="00A157C6" w:rsidRDefault="0040114B">
            <w:pPr>
              <w:jc w:val="right"/>
            </w:pPr>
            <w:r>
              <w:rPr>
                <w:color w:val="000000"/>
                <w:sz w:val="24"/>
              </w:rPr>
              <w:t>8.53</w:t>
            </w:r>
          </w:p>
        </w:tc>
      </w:tr>
      <w:tr w:rsidR="00A157C6">
        <w:trPr>
          <w:jc w:val="center"/>
        </w:trPr>
        <w:tc>
          <w:tcPr>
            <w:tcW w:w="1075" w:type="dxa"/>
            <w:vAlign w:val="center"/>
          </w:tcPr>
          <w:p w:rsidR="00A157C6" w:rsidRDefault="0040114B">
            <w:pPr>
              <w:jc w:val="center"/>
            </w:pPr>
            <w:r>
              <w:rPr>
                <w:color w:val="000000"/>
                <w:sz w:val="24"/>
              </w:rPr>
              <w:t>2</w:t>
            </w:r>
          </w:p>
        </w:tc>
        <w:tc>
          <w:tcPr>
            <w:tcW w:w="1533" w:type="dxa"/>
            <w:vAlign w:val="center"/>
          </w:tcPr>
          <w:p w:rsidR="00A157C6" w:rsidRDefault="0040114B">
            <w:pPr>
              <w:jc w:val="center"/>
            </w:pPr>
            <w:r>
              <w:rPr>
                <w:color w:val="000000"/>
                <w:sz w:val="24"/>
              </w:rPr>
              <w:t>124602</w:t>
            </w:r>
          </w:p>
        </w:tc>
        <w:tc>
          <w:tcPr>
            <w:tcW w:w="1533" w:type="dxa"/>
            <w:vAlign w:val="center"/>
          </w:tcPr>
          <w:p w:rsidR="00A157C6" w:rsidRDefault="0040114B">
            <w:pPr>
              <w:jc w:val="center"/>
            </w:pPr>
            <w:r>
              <w:rPr>
                <w:color w:val="000000"/>
                <w:sz w:val="24"/>
              </w:rPr>
              <w:t>14</w:t>
            </w:r>
            <w:r>
              <w:rPr>
                <w:color w:val="000000"/>
                <w:sz w:val="24"/>
              </w:rPr>
              <w:t>国网</w:t>
            </w:r>
            <w:r>
              <w:rPr>
                <w:color w:val="000000"/>
                <w:sz w:val="24"/>
              </w:rPr>
              <w:t>01</w:t>
            </w:r>
          </w:p>
        </w:tc>
        <w:tc>
          <w:tcPr>
            <w:tcW w:w="1394" w:type="dxa"/>
            <w:vAlign w:val="center"/>
          </w:tcPr>
          <w:p w:rsidR="00A157C6" w:rsidRDefault="0040114B">
            <w:pPr>
              <w:jc w:val="right"/>
            </w:pPr>
            <w:r>
              <w:rPr>
                <w:color w:val="000000"/>
                <w:sz w:val="24"/>
              </w:rPr>
              <w:t>400,000</w:t>
            </w:r>
          </w:p>
        </w:tc>
        <w:tc>
          <w:tcPr>
            <w:tcW w:w="1944" w:type="dxa"/>
            <w:vAlign w:val="center"/>
          </w:tcPr>
          <w:p w:rsidR="00A157C6" w:rsidRDefault="0040114B">
            <w:pPr>
              <w:jc w:val="right"/>
            </w:pPr>
            <w:r>
              <w:rPr>
                <w:color w:val="000000"/>
                <w:sz w:val="24"/>
              </w:rPr>
              <w:t>40,452,000.00</w:t>
            </w:r>
          </w:p>
        </w:tc>
        <w:tc>
          <w:tcPr>
            <w:tcW w:w="1389" w:type="dxa"/>
            <w:vAlign w:val="center"/>
          </w:tcPr>
          <w:p w:rsidR="00A157C6" w:rsidRDefault="0040114B">
            <w:pPr>
              <w:jc w:val="right"/>
            </w:pPr>
            <w:r>
              <w:rPr>
                <w:color w:val="000000"/>
                <w:sz w:val="24"/>
              </w:rPr>
              <w:t>8.41</w:t>
            </w:r>
          </w:p>
        </w:tc>
      </w:tr>
      <w:tr w:rsidR="00A157C6">
        <w:trPr>
          <w:jc w:val="center"/>
        </w:trPr>
        <w:tc>
          <w:tcPr>
            <w:tcW w:w="1075" w:type="dxa"/>
            <w:vAlign w:val="center"/>
          </w:tcPr>
          <w:p w:rsidR="00A157C6" w:rsidRDefault="0040114B">
            <w:pPr>
              <w:jc w:val="center"/>
            </w:pPr>
            <w:r>
              <w:rPr>
                <w:color w:val="000000"/>
                <w:sz w:val="24"/>
              </w:rPr>
              <w:t>3</w:t>
            </w:r>
          </w:p>
        </w:tc>
        <w:tc>
          <w:tcPr>
            <w:tcW w:w="1533" w:type="dxa"/>
            <w:vAlign w:val="center"/>
          </w:tcPr>
          <w:p w:rsidR="00A157C6" w:rsidRDefault="0040114B">
            <w:pPr>
              <w:jc w:val="center"/>
            </w:pPr>
            <w:r>
              <w:rPr>
                <w:color w:val="000000"/>
                <w:sz w:val="24"/>
              </w:rPr>
              <w:t>143064</w:t>
            </w:r>
          </w:p>
        </w:tc>
        <w:tc>
          <w:tcPr>
            <w:tcW w:w="1533" w:type="dxa"/>
            <w:vAlign w:val="center"/>
          </w:tcPr>
          <w:p w:rsidR="00A157C6" w:rsidRDefault="0040114B">
            <w:pPr>
              <w:jc w:val="center"/>
            </w:pPr>
            <w:r>
              <w:rPr>
                <w:color w:val="000000"/>
                <w:sz w:val="24"/>
              </w:rPr>
              <w:t>17</w:t>
            </w:r>
            <w:r>
              <w:rPr>
                <w:color w:val="000000"/>
                <w:sz w:val="24"/>
              </w:rPr>
              <w:t>邮政</w:t>
            </w:r>
            <w:r>
              <w:rPr>
                <w:color w:val="000000"/>
                <w:sz w:val="24"/>
              </w:rPr>
              <w:t>02</w:t>
            </w:r>
          </w:p>
        </w:tc>
        <w:tc>
          <w:tcPr>
            <w:tcW w:w="1394" w:type="dxa"/>
            <w:vAlign w:val="center"/>
          </w:tcPr>
          <w:p w:rsidR="00A157C6" w:rsidRDefault="0040114B">
            <w:pPr>
              <w:jc w:val="right"/>
            </w:pPr>
            <w:r>
              <w:rPr>
                <w:color w:val="000000"/>
                <w:sz w:val="24"/>
              </w:rPr>
              <w:t>400,000</w:t>
            </w:r>
          </w:p>
        </w:tc>
        <w:tc>
          <w:tcPr>
            <w:tcW w:w="1944" w:type="dxa"/>
            <w:vAlign w:val="center"/>
          </w:tcPr>
          <w:p w:rsidR="00A157C6" w:rsidRDefault="0040114B">
            <w:pPr>
              <w:jc w:val="right"/>
            </w:pPr>
            <w:r>
              <w:rPr>
                <w:color w:val="000000"/>
                <w:sz w:val="24"/>
              </w:rPr>
              <w:t>39,768,000.00</w:t>
            </w:r>
          </w:p>
        </w:tc>
        <w:tc>
          <w:tcPr>
            <w:tcW w:w="1389" w:type="dxa"/>
            <w:vAlign w:val="center"/>
          </w:tcPr>
          <w:p w:rsidR="00A157C6" w:rsidRDefault="0040114B">
            <w:pPr>
              <w:jc w:val="right"/>
            </w:pPr>
            <w:r>
              <w:rPr>
                <w:color w:val="000000"/>
                <w:sz w:val="24"/>
              </w:rPr>
              <w:t>8.27</w:t>
            </w:r>
          </w:p>
        </w:tc>
      </w:tr>
      <w:tr w:rsidR="00A157C6">
        <w:trPr>
          <w:jc w:val="center"/>
        </w:trPr>
        <w:tc>
          <w:tcPr>
            <w:tcW w:w="1075" w:type="dxa"/>
            <w:vAlign w:val="center"/>
          </w:tcPr>
          <w:p w:rsidR="00A157C6" w:rsidRDefault="0040114B">
            <w:pPr>
              <w:jc w:val="center"/>
            </w:pPr>
            <w:r>
              <w:rPr>
                <w:color w:val="000000"/>
                <w:sz w:val="24"/>
              </w:rPr>
              <w:t>4</w:t>
            </w:r>
          </w:p>
        </w:tc>
        <w:tc>
          <w:tcPr>
            <w:tcW w:w="1533" w:type="dxa"/>
            <w:vAlign w:val="center"/>
          </w:tcPr>
          <w:p w:rsidR="00A157C6" w:rsidRDefault="0040114B">
            <w:pPr>
              <w:jc w:val="center"/>
            </w:pPr>
            <w:r>
              <w:rPr>
                <w:color w:val="000000"/>
                <w:sz w:val="24"/>
              </w:rPr>
              <w:t>143496</w:t>
            </w:r>
          </w:p>
        </w:tc>
        <w:tc>
          <w:tcPr>
            <w:tcW w:w="1533" w:type="dxa"/>
            <w:vAlign w:val="center"/>
          </w:tcPr>
          <w:p w:rsidR="00A157C6" w:rsidRDefault="0040114B">
            <w:pPr>
              <w:jc w:val="center"/>
            </w:pPr>
            <w:r>
              <w:rPr>
                <w:color w:val="000000"/>
                <w:sz w:val="24"/>
              </w:rPr>
              <w:t>18</w:t>
            </w:r>
            <w:r>
              <w:rPr>
                <w:color w:val="000000"/>
                <w:sz w:val="24"/>
              </w:rPr>
              <w:t>沪资</w:t>
            </w:r>
            <w:r>
              <w:rPr>
                <w:color w:val="000000"/>
                <w:sz w:val="24"/>
              </w:rPr>
              <w:t>01</w:t>
            </w:r>
          </w:p>
        </w:tc>
        <w:tc>
          <w:tcPr>
            <w:tcW w:w="1394" w:type="dxa"/>
            <w:vAlign w:val="center"/>
          </w:tcPr>
          <w:p w:rsidR="00A157C6" w:rsidRDefault="0040114B">
            <w:pPr>
              <w:jc w:val="right"/>
            </w:pPr>
            <w:r>
              <w:rPr>
                <w:color w:val="000000"/>
                <w:sz w:val="24"/>
              </w:rPr>
              <w:t>300,000</w:t>
            </w:r>
          </w:p>
        </w:tc>
        <w:tc>
          <w:tcPr>
            <w:tcW w:w="1944" w:type="dxa"/>
            <w:vAlign w:val="center"/>
          </w:tcPr>
          <w:p w:rsidR="00A157C6" w:rsidRDefault="0040114B">
            <w:pPr>
              <w:jc w:val="right"/>
            </w:pPr>
            <w:r>
              <w:rPr>
                <w:color w:val="000000"/>
                <w:sz w:val="24"/>
              </w:rPr>
              <w:t>30,516,000.00</w:t>
            </w:r>
          </w:p>
        </w:tc>
        <w:tc>
          <w:tcPr>
            <w:tcW w:w="1389" w:type="dxa"/>
            <w:vAlign w:val="center"/>
          </w:tcPr>
          <w:p w:rsidR="00A157C6" w:rsidRDefault="0040114B">
            <w:pPr>
              <w:jc w:val="right"/>
            </w:pPr>
            <w:r>
              <w:rPr>
                <w:color w:val="000000"/>
                <w:sz w:val="24"/>
              </w:rPr>
              <w:t>6.35</w:t>
            </w:r>
          </w:p>
        </w:tc>
      </w:tr>
      <w:tr w:rsidR="00A157C6">
        <w:trPr>
          <w:jc w:val="center"/>
        </w:trPr>
        <w:tc>
          <w:tcPr>
            <w:tcW w:w="1075" w:type="dxa"/>
            <w:vAlign w:val="center"/>
          </w:tcPr>
          <w:p w:rsidR="00A157C6" w:rsidRDefault="0040114B">
            <w:pPr>
              <w:jc w:val="center"/>
            </w:pPr>
            <w:r>
              <w:rPr>
                <w:color w:val="000000"/>
                <w:sz w:val="24"/>
              </w:rPr>
              <w:t>5</w:t>
            </w:r>
          </w:p>
        </w:tc>
        <w:tc>
          <w:tcPr>
            <w:tcW w:w="1533" w:type="dxa"/>
            <w:vAlign w:val="center"/>
          </w:tcPr>
          <w:p w:rsidR="00A157C6" w:rsidRDefault="0040114B">
            <w:pPr>
              <w:jc w:val="center"/>
            </w:pPr>
            <w:r>
              <w:rPr>
                <w:color w:val="000000"/>
                <w:sz w:val="24"/>
              </w:rPr>
              <w:t>122514</w:t>
            </w:r>
          </w:p>
        </w:tc>
        <w:tc>
          <w:tcPr>
            <w:tcW w:w="1533" w:type="dxa"/>
            <w:vAlign w:val="center"/>
          </w:tcPr>
          <w:p w:rsidR="00A157C6" w:rsidRDefault="0040114B">
            <w:pPr>
              <w:jc w:val="center"/>
            </w:pPr>
            <w:r>
              <w:rPr>
                <w:color w:val="000000"/>
                <w:sz w:val="24"/>
              </w:rPr>
              <w:t>12</w:t>
            </w:r>
            <w:r>
              <w:rPr>
                <w:color w:val="000000"/>
                <w:sz w:val="24"/>
              </w:rPr>
              <w:t>金融街</w:t>
            </w:r>
          </w:p>
        </w:tc>
        <w:tc>
          <w:tcPr>
            <w:tcW w:w="1394" w:type="dxa"/>
            <w:vAlign w:val="center"/>
          </w:tcPr>
          <w:p w:rsidR="00A157C6" w:rsidRDefault="0040114B">
            <w:pPr>
              <w:jc w:val="right"/>
            </w:pPr>
            <w:r>
              <w:rPr>
                <w:color w:val="000000"/>
                <w:sz w:val="24"/>
              </w:rPr>
              <w:t>300,000</w:t>
            </w:r>
          </w:p>
        </w:tc>
        <w:tc>
          <w:tcPr>
            <w:tcW w:w="1944" w:type="dxa"/>
            <w:vAlign w:val="center"/>
          </w:tcPr>
          <w:p w:rsidR="00A157C6" w:rsidRDefault="0040114B">
            <w:pPr>
              <w:jc w:val="right"/>
            </w:pPr>
            <w:r>
              <w:rPr>
                <w:color w:val="000000"/>
                <w:sz w:val="24"/>
              </w:rPr>
              <w:t>30,186,000.00</w:t>
            </w:r>
          </w:p>
        </w:tc>
        <w:tc>
          <w:tcPr>
            <w:tcW w:w="1389" w:type="dxa"/>
            <w:vAlign w:val="center"/>
          </w:tcPr>
          <w:p w:rsidR="00A157C6" w:rsidRDefault="0040114B">
            <w:pPr>
              <w:jc w:val="right"/>
            </w:pPr>
            <w:r>
              <w:rPr>
                <w:color w:val="000000"/>
                <w:sz w:val="24"/>
              </w:rPr>
              <w:t>6.28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62"/>
        <w:gridCol w:w="1481"/>
        <w:gridCol w:w="1463"/>
        <w:gridCol w:w="1480"/>
        <w:gridCol w:w="1502"/>
        <w:gridCol w:w="1480"/>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A157C6">
        <w:trPr>
          <w:jc w:val="center"/>
        </w:trPr>
        <w:tc>
          <w:tcPr>
            <w:tcW w:w="0" w:type="auto"/>
            <w:vAlign w:val="center"/>
          </w:tcPr>
          <w:p w:rsidR="00A157C6" w:rsidRDefault="0040114B">
            <w:pPr>
              <w:jc w:val="center"/>
            </w:pPr>
            <w:r>
              <w:rPr>
                <w:color w:val="000000"/>
                <w:sz w:val="24"/>
              </w:rPr>
              <w:t>1</w:t>
            </w:r>
          </w:p>
        </w:tc>
        <w:tc>
          <w:tcPr>
            <w:tcW w:w="0" w:type="auto"/>
            <w:vAlign w:val="center"/>
          </w:tcPr>
          <w:p w:rsidR="00A157C6" w:rsidRDefault="0040114B">
            <w:pPr>
              <w:jc w:val="center"/>
            </w:pPr>
            <w:r>
              <w:rPr>
                <w:color w:val="000000"/>
                <w:sz w:val="24"/>
              </w:rPr>
              <w:t>123935</w:t>
            </w:r>
          </w:p>
        </w:tc>
        <w:tc>
          <w:tcPr>
            <w:tcW w:w="0" w:type="auto"/>
            <w:vAlign w:val="center"/>
          </w:tcPr>
          <w:p w:rsidR="00A157C6" w:rsidRDefault="0040114B">
            <w:pPr>
              <w:jc w:val="center"/>
            </w:pPr>
            <w:r>
              <w:rPr>
                <w:color w:val="000000"/>
                <w:sz w:val="24"/>
              </w:rPr>
              <w:t>15</w:t>
            </w:r>
            <w:r>
              <w:rPr>
                <w:color w:val="000000"/>
                <w:sz w:val="24"/>
              </w:rPr>
              <w:t>濮热</w:t>
            </w:r>
            <w:r>
              <w:rPr>
                <w:color w:val="000000"/>
                <w:sz w:val="24"/>
              </w:rPr>
              <w:t>03</w:t>
            </w:r>
          </w:p>
        </w:tc>
        <w:tc>
          <w:tcPr>
            <w:tcW w:w="0" w:type="auto"/>
            <w:vAlign w:val="center"/>
          </w:tcPr>
          <w:p w:rsidR="00A157C6" w:rsidRDefault="0040114B">
            <w:pPr>
              <w:jc w:val="right"/>
            </w:pPr>
            <w:r>
              <w:rPr>
                <w:color w:val="000000"/>
                <w:sz w:val="24"/>
              </w:rPr>
              <w:t>50,000</w:t>
            </w:r>
          </w:p>
        </w:tc>
        <w:tc>
          <w:tcPr>
            <w:tcW w:w="0" w:type="auto"/>
            <w:vAlign w:val="center"/>
          </w:tcPr>
          <w:p w:rsidR="00A157C6" w:rsidRDefault="0040114B">
            <w:pPr>
              <w:jc w:val="right"/>
            </w:pPr>
            <w:r>
              <w:rPr>
                <w:color w:val="000000"/>
                <w:sz w:val="24"/>
              </w:rPr>
              <w:t>5,000,000.00</w:t>
            </w:r>
          </w:p>
        </w:tc>
        <w:tc>
          <w:tcPr>
            <w:tcW w:w="0" w:type="auto"/>
            <w:vAlign w:val="center"/>
          </w:tcPr>
          <w:p w:rsidR="00A157C6" w:rsidRDefault="0040114B">
            <w:pPr>
              <w:jc w:val="right"/>
            </w:pPr>
            <w:r>
              <w:rPr>
                <w:color w:val="000000"/>
                <w:sz w:val="24"/>
              </w:rPr>
              <w:t>1.04</w:t>
            </w:r>
          </w:p>
        </w:tc>
      </w:tr>
      <w:tr w:rsidR="00A157C6">
        <w:trPr>
          <w:jc w:val="center"/>
        </w:trPr>
        <w:tc>
          <w:tcPr>
            <w:tcW w:w="0" w:type="auto"/>
            <w:vAlign w:val="center"/>
          </w:tcPr>
          <w:p w:rsidR="00A157C6" w:rsidRDefault="0040114B">
            <w:pPr>
              <w:jc w:val="center"/>
            </w:pPr>
            <w:r>
              <w:rPr>
                <w:color w:val="000000"/>
                <w:sz w:val="24"/>
              </w:rPr>
              <w:t>2</w:t>
            </w:r>
          </w:p>
        </w:tc>
        <w:tc>
          <w:tcPr>
            <w:tcW w:w="0" w:type="auto"/>
            <w:vAlign w:val="center"/>
          </w:tcPr>
          <w:p w:rsidR="00A157C6" w:rsidRDefault="0040114B">
            <w:pPr>
              <w:jc w:val="center"/>
            </w:pPr>
            <w:r>
              <w:rPr>
                <w:color w:val="000000"/>
                <w:sz w:val="24"/>
              </w:rPr>
              <w:t>116239</w:t>
            </w:r>
          </w:p>
        </w:tc>
        <w:tc>
          <w:tcPr>
            <w:tcW w:w="0" w:type="auto"/>
            <w:vAlign w:val="center"/>
          </w:tcPr>
          <w:p w:rsidR="00A157C6" w:rsidRDefault="0040114B">
            <w:pPr>
              <w:jc w:val="center"/>
            </w:pPr>
            <w:r>
              <w:rPr>
                <w:color w:val="000000"/>
                <w:sz w:val="24"/>
              </w:rPr>
              <w:t>16</w:t>
            </w:r>
            <w:r>
              <w:rPr>
                <w:color w:val="000000"/>
                <w:sz w:val="24"/>
              </w:rPr>
              <w:t>惠通</w:t>
            </w:r>
            <w:r>
              <w:rPr>
                <w:color w:val="000000"/>
                <w:sz w:val="24"/>
              </w:rPr>
              <w:t>A3</w:t>
            </w:r>
          </w:p>
        </w:tc>
        <w:tc>
          <w:tcPr>
            <w:tcW w:w="0" w:type="auto"/>
            <w:vAlign w:val="center"/>
          </w:tcPr>
          <w:p w:rsidR="00A157C6" w:rsidRDefault="0040114B">
            <w:pPr>
              <w:jc w:val="right"/>
            </w:pPr>
            <w:r>
              <w:rPr>
                <w:color w:val="000000"/>
                <w:sz w:val="24"/>
              </w:rPr>
              <w:t>20,000</w:t>
            </w:r>
          </w:p>
        </w:tc>
        <w:tc>
          <w:tcPr>
            <w:tcW w:w="0" w:type="auto"/>
            <w:vAlign w:val="center"/>
          </w:tcPr>
          <w:p w:rsidR="00A157C6" w:rsidRDefault="0040114B">
            <w:pPr>
              <w:jc w:val="right"/>
            </w:pPr>
            <w:r>
              <w:rPr>
                <w:color w:val="000000"/>
                <w:sz w:val="24"/>
              </w:rPr>
              <w:t>2,000,000.00</w:t>
            </w:r>
          </w:p>
        </w:tc>
        <w:tc>
          <w:tcPr>
            <w:tcW w:w="0" w:type="auto"/>
            <w:vAlign w:val="center"/>
          </w:tcPr>
          <w:p w:rsidR="00A157C6" w:rsidRDefault="0040114B">
            <w:pPr>
              <w:jc w:val="right"/>
            </w:pPr>
            <w:r>
              <w:rPr>
                <w:color w:val="000000"/>
                <w:sz w:val="24"/>
              </w:rPr>
              <w:t>0.42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13,309.45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9,774,474.52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144,267.33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9,932,051.30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04754A"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04754A">
        <w:rPr>
          <w:rFonts w:eastAsiaTheme="minorEastAsia"/>
          <w:color w:val="000000" w:themeColor="text1"/>
          <w:kern w:val="0"/>
          <w:sz w:val="24"/>
          <w:szCs w:val="24"/>
        </w:rPr>
        <w:t>§6</w:t>
      </w:r>
      <w:r w:rsidRPr="0004754A">
        <w:rPr>
          <w:rFonts w:eastAsiaTheme="minorEastAsia" w:hint="eastAsia"/>
          <w:color w:val="000000" w:themeColor="text1"/>
          <w:kern w:val="0"/>
          <w:sz w:val="24"/>
          <w:szCs w:val="24"/>
        </w:rPr>
        <w:t xml:space="preserve">  </w:t>
      </w:r>
      <w:r w:rsidRPr="0004754A">
        <w:rPr>
          <w:rFonts w:eastAsiaTheme="minorEastAsia" w:hint="eastAsia"/>
          <w:color w:val="000000" w:themeColor="text1"/>
          <w:kern w:val="0"/>
          <w:sz w:val="24"/>
          <w:szCs w:val="24"/>
        </w:rPr>
        <w:t>基金中基金</w:t>
      </w:r>
    </w:p>
    <w:p w:rsidR="00C51B4E" w:rsidRPr="0004754A" w:rsidRDefault="00C51B4E" w:rsidP="00C51B4E">
      <w:pPr>
        <w:adjustRightInd w:val="0"/>
        <w:snapToGrid w:val="0"/>
        <w:spacing w:line="360" w:lineRule="auto"/>
        <w:rPr>
          <w:rFonts w:eastAsiaTheme="minorEastAsia"/>
          <w:b/>
          <w:color w:val="000000" w:themeColor="text1"/>
          <w:kern w:val="0"/>
          <w:sz w:val="24"/>
        </w:rPr>
      </w:pPr>
      <w:r w:rsidRPr="0004754A">
        <w:rPr>
          <w:rFonts w:eastAsiaTheme="minorEastAsia"/>
          <w:b/>
          <w:color w:val="000000" w:themeColor="text1"/>
          <w:kern w:val="0"/>
          <w:sz w:val="24"/>
        </w:rPr>
        <w:t>6.1</w:t>
      </w:r>
      <w:r w:rsidRPr="0004754A">
        <w:rPr>
          <w:rFonts w:eastAsiaTheme="minorEastAsia" w:hint="eastAsia"/>
          <w:b/>
          <w:color w:val="000000" w:themeColor="text1"/>
          <w:kern w:val="0"/>
          <w:sz w:val="24"/>
        </w:rPr>
        <w:t xml:space="preserve"> </w:t>
      </w:r>
      <w:r w:rsidRPr="0004754A">
        <w:rPr>
          <w:rFonts w:eastAsiaTheme="minorEastAsia" w:hint="eastAsia"/>
          <w:b/>
          <w:color w:val="000000" w:themeColor="text1"/>
          <w:kern w:val="0"/>
          <w:sz w:val="24"/>
        </w:rPr>
        <w:t>报告期末按公允价值占基金资产净值比例大小排序的前十名基金投资明细</w:t>
      </w:r>
    </w:p>
    <w:p w:rsidR="00C51B4E" w:rsidRPr="0004754A"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4754A">
        <w:rPr>
          <w:rFonts w:eastAsiaTheme="minorEastAsia"/>
          <w:color w:val="000000" w:themeColor="text1"/>
          <w:sz w:val="24"/>
        </w:rPr>
        <w:t>本基金本报告期末未持有基金。</w:t>
      </w:r>
    </w:p>
    <w:p w:rsidR="00C51B4E" w:rsidRPr="0004754A" w:rsidRDefault="00C51B4E" w:rsidP="0028293E">
      <w:pPr>
        <w:adjustRightInd w:val="0"/>
        <w:snapToGrid w:val="0"/>
        <w:spacing w:beforeLines="50" w:before="156" w:line="360" w:lineRule="auto"/>
        <w:rPr>
          <w:rFonts w:eastAsiaTheme="minorEastAsia"/>
          <w:b/>
          <w:color w:val="000000" w:themeColor="text1"/>
          <w:kern w:val="0"/>
          <w:sz w:val="24"/>
        </w:rPr>
      </w:pPr>
      <w:r w:rsidRPr="0004754A">
        <w:rPr>
          <w:rFonts w:eastAsiaTheme="minorEastAsia"/>
          <w:b/>
          <w:color w:val="000000" w:themeColor="text1"/>
          <w:kern w:val="0"/>
          <w:sz w:val="24"/>
        </w:rPr>
        <w:t>6.2</w:t>
      </w:r>
      <w:r w:rsidRPr="0004754A">
        <w:rPr>
          <w:rFonts w:eastAsiaTheme="minorEastAsia" w:hint="eastAsia"/>
          <w:b/>
          <w:color w:val="000000" w:themeColor="text1"/>
          <w:kern w:val="0"/>
          <w:sz w:val="24"/>
        </w:rPr>
        <w:t xml:space="preserve"> </w:t>
      </w:r>
      <w:r w:rsidRPr="0004754A">
        <w:rPr>
          <w:rFonts w:eastAsiaTheme="minorEastAsia" w:hint="eastAsia"/>
          <w:b/>
          <w:color w:val="000000" w:themeColor="text1"/>
          <w:kern w:val="0"/>
          <w:sz w:val="24"/>
        </w:rPr>
        <w:t>当期交易及持有基金产生的费用</w:t>
      </w:r>
    </w:p>
    <w:p w:rsidR="00C51B4E" w:rsidRPr="0004754A"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4754A">
        <w:rPr>
          <w:rFonts w:eastAsiaTheme="minorEastAsia"/>
          <w:color w:val="000000" w:themeColor="text1"/>
          <w:sz w:val="24"/>
        </w:rPr>
        <w:t>本基金本报告期内未交易或持有基金。</w:t>
      </w:r>
      <w:bookmarkStart w:id="0" w:name="_GoBack"/>
      <w:bookmarkEnd w:id="0"/>
    </w:p>
    <w:p w:rsidR="00C51B4E" w:rsidRPr="0004754A" w:rsidRDefault="00C51B4E" w:rsidP="0028293E">
      <w:pPr>
        <w:adjustRightInd w:val="0"/>
        <w:snapToGrid w:val="0"/>
        <w:spacing w:beforeLines="50" w:before="156" w:line="360" w:lineRule="auto"/>
        <w:rPr>
          <w:rFonts w:eastAsiaTheme="minorEastAsia"/>
          <w:b/>
          <w:color w:val="000000" w:themeColor="text1"/>
          <w:kern w:val="0"/>
          <w:sz w:val="24"/>
        </w:rPr>
      </w:pPr>
      <w:r w:rsidRPr="0004754A">
        <w:rPr>
          <w:rFonts w:eastAsiaTheme="minorEastAsia"/>
          <w:b/>
          <w:color w:val="000000" w:themeColor="text1"/>
          <w:kern w:val="0"/>
          <w:sz w:val="24"/>
        </w:rPr>
        <w:t>6.3</w:t>
      </w:r>
      <w:r w:rsidRPr="0004754A">
        <w:rPr>
          <w:rFonts w:eastAsiaTheme="minorEastAsia" w:hint="eastAsia"/>
          <w:b/>
          <w:color w:val="000000" w:themeColor="text1"/>
          <w:kern w:val="0"/>
          <w:sz w:val="24"/>
        </w:rPr>
        <w:t xml:space="preserve"> </w:t>
      </w:r>
      <w:r w:rsidRPr="0004754A">
        <w:rPr>
          <w:rFonts w:eastAsiaTheme="minorEastAsia" w:hint="eastAsia"/>
          <w:b/>
          <w:color w:val="000000" w:themeColor="text1"/>
          <w:kern w:val="0"/>
          <w:sz w:val="24"/>
        </w:rPr>
        <w:t>本报告期持有的基金发生的重大影响事件</w:t>
      </w:r>
    </w:p>
    <w:p w:rsidR="008E4479" w:rsidRPr="0004754A" w:rsidRDefault="008E4479" w:rsidP="008E4479">
      <w:pPr>
        <w:spacing w:before="29" w:line="288" w:lineRule="auto"/>
        <w:ind w:firstLineChars="200" w:firstLine="480"/>
        <w:rPr>
          <w:color w:val="000000"/>
          <w:sz w:val="24"/>
        </w:rPr>
      </w:pPr>
      <w:r w:rsidRPr="0004754A">
        <w:rPr>
          <w:rFonts w:hint="eastAsia"/>
          <w:color w:val="000000"/>
          <w:sz w:val="24"/>
        </w:rPr>
        <w:t>无。</w:t>
      </w:r>
    </w:p>
    <w:p w:rsidR="008E4479" w:rsidRPr="008E4479" w:rsidRDefault="008E4479" w:rsidP="0028293E">
      <w:pPr>
        <w:adjustRightInd w:val="0"/>
        <w:snapToGrid w:val="0"/>
        <w:spacing w:beforeLines="50" w:before="156" w:line="360" w:lineRule="auto"/>
        <w:rPr>
          <w:rFonts w:eastAsiaTheme="minorEastAsia"/>
          <w:b/>
          <w:color w:val="000000" w:themeColor="text1"/>
          <w:kern w:val="0"/>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交银纯债债券发起</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459,865,524.05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5,882,759.71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52,059,612.89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52,249,984.38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53,766,669.19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52,482,069.54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458,158,467.75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5,650,674.55</w:t>
            </w:r>
          </w:p>
        </w:tc>
      </w:tr>
    </w:tbl>
    <w:p w:rsidR="00A157C6" w:rsidRDefault="0040114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B47574" w:rsidRPr="007F52FA" w:rsidRDefault="00B47574" w:rsidP="0028293E">
      <w:pPr>
        <w:pStyle w:val="1"/>
        <w:spacing w:beforeLines="100" w:before="312" w:afterLines="100" w:after="312" w:line="288" w:lineRule="auto"/>
        <w:jc w:val="center"/>
        <w:rPr>
          <w:rFonts w:eastAsiaTheme="minorEastAsia"/>
          <w:b w:val="0"/>
          <w:color w:val="000000"/>
          <w:sz w:val="24"/>
          <w:szCs w:val="24"/>
        </w:rPr>
      </w:pPr>
      <w:r w:rsidRPr="007F52FA">
        <w:rPr>
          <w:rFonts w:eastAsiaTheme="minorEastAsia"/>
          <w:color w:val="000000"/>
          <w:kern w:val="0"/>
          <w:sz w:val="24"/>
          <w:szCs w:val="24"/>
        </w:rPr>
        <w:t xml:space="preserve">§9  </w:t>
      </w:r>
      <w:r w:rsidR="00EA7533" w:rsidRPr="007F52FA">
        <w:rPr>
          <w:rFonts w:eastAsiaTheme="minorEastAsia"/>
          <w:color w:val="000000"/>
          <w:kern w:val="0"/>
          <w:sz w:val="24"/>
          <w:szCs w:val="24"/>
        </w:rPr>
        <w:t>报告期末</w:t>
      </w:r>
      <w:r w:rsidRPr="007F52FA">
        <w:rPr>
          <w:rFonts w:eastAsiaTheme="minorEastAsia"/>
          <w:color w:val="000000"/>
          <w:kern w:val="0"/>
          <w:sz w:val="24"/>
          <w:szCs w:val="24"/>
        </w:rPr>
        <w:t>发起式基金发起资金持有份额情况</w:t>
      </w:r>
    </w:p>
    <w:p w:rsidR="00B47574" w:rsidRPr="007F52FA" w:rsidRDefault="00B4757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基金管理人于本基金募集期内运用固有资金认购本基金份额</w:t>
      </w:r>
      <w:r w:rsidRPr="007F52FA">
        <w:rPr>
          <w:rFonts w:eastAsiaTheme="minorEastAsia"/>
          <w:color w:val="000000"/>
          <w:sz w:val="24"/>
        </w:rPr>
        <w:t>10,000,000.00</w:t>
      </w:r>
      <w:r w:rsidRPr="007F52FA">
        <w:rPr>
          <w:rFonts w:eastAsiaTheme="minorEastAsia"/>
          <w:color w:val="000000"/>
          <w:sz w:val="24"/>
        </w:rPr>
        <w:t>元人民币（不含募集期利息结转的份额），作为本基金的发起资金。自本基金基金合同生效之日起，发起资金所认购的基金份额持有期限不低于三年。本基金管理人持有的发起份额已于</w:t>
      </w:r>
      <w:r w:rsidRPr="007F52FA">
        <w:rPr>
          <w:rFonts w:eastAsiaTheme="minorEastAsia"/>
          <w:color w:val="000000"/>
          <w:sz w:val="24"/>
        </w:rPr>
        <w:t>2017</w:t>
      </w:r>
      <w:r w:rsidRPr="007F52FA">
        <w:rPr>
          <w:rFonts w:eastAsiaTheme="minorEastAsia"/>
          <w:color w:val="000000"/>
          <w:sz w:val="24"/>
        </w:rPr>
        <w:t>年一季度全部赎回，相应份额的持有期限符合基金合同的约定。</w:t>
      </w:r>
    </w:p>
    <w:p w:rsidR="00574FC7" w:rsidRPr="007F52FA" w:rsidRDefault="00574FC7"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§10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10.1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157C6">
        <w:tc>
          <w:tcPr>
            <w:tcW w:w="992" w:type="dxa"/>
            <w:vMerge w:val="restart"/>
          </w:tcPr>
          <w:p w:rsidR="00A157C6" w:rsidRDefault="00A157C6"/>
          <w:p w:rsidR="00A157C6" w:rsidRDefault="0040114B">
            <w:r>
              <w:rPr>
                <w:rFonts w:ascii="宋体" w:hAnsi="宋体" w:hint="eastAsia"/>
                <w:bCs/>
                <w:color w:val="000000"/>
                <w:kern w:val="0"/>
                <w:szCs w:val="21"/>
              </w:rPr>
              <w:t>机构</w:t>
            </w:r>
          </w:p>
        </w:tc>
        <w:tc>
          <w:tcPr>
            <w:tcW w:w="991" w:type="dxa"/>
            <w:vAlign w:val="center"/>
          </w:tcPr>
          <w:p w:rsidR="00A157C6" w:rsidRDefault="0040114B">
            <w:pPr>
              <w:jc w:val="center"/>
            </w:pPr>
            <w:r>
              <w:rPr>
                <w:rFonts w:ascii="宋体" w:hAnsi="宋体" w:hint="eastAsia"/>
                <w:color w:val="000000"/>
                <w:kern w:val="0"/>
                <w:szCs w:val="21"/>
              </w:rPr>
              <w:t>1</w:t>
            </w:r>
          </w:p>
        </w:tc>
        <w:tc>
          <w:tcPr>
            <w:tcW w:w="1843" w:type="dxa"/>
            <w:vAlign w:val="center"/>
          </w:tcPr>
          <w:p w:rsidR="00A157C6" w:rsidRDefault="0040114B">
            <w:pPr>
              <w:jc w:val="center"/>
            </w:pPr>
            <w:r>
              <w:rPr>
                <w:rFonts w:ascii="宋体" w:hAnsi="宋体" w:hint="eastAsia"/>
                <w:color w:val="000000"/>
                <w:kern w:val="0"/>
                <w:szCs w:val="21"/>
              </w:rPr>
              <w:t>2018/4/1-2018/6/30</w:t>
            </w:r>
          </w:p>
        </w:tc>
        <w:tc>
          <w:tcPr>
            <w:tcW w:w="851" w:type="dxa"/>
            <w:vAlign w:val="center"/>
          </w:tcPr>
          <w:p w:rsidR="00A157C6" w:rsidRDefault="0040114B">
            <w:pPr>
              <w:jc w:val="center"/>
            </w:pPr>
            <w:r>
              <w:rPr>
                <w:rFonts w:ascii="宋体" w:hAnsi="宋体" w:hint="eastAsia"/>
                <w:color w:val="000000"/>
                <w:kern w:val="0"/>
                <w:szCs w:val="21"/>
              </w:rPr>
              <w:t>442,516,861.48</w:t>
            </w:r>
          </w:p>
        </w:tc>
        <w:tc>
          <w:tcPr>
            <w:tcW w:w="850" w:type="dxa"/>
            <w:vAlign w:val="center"/>
          </w:tcPr>
          <w:p w:rsidR="00A157C6" w:rsidRDefault="0040114B">
            <w:pPr>
              <w:jc w:val="center"/>
            </w:pPr>
            <w:r>
              <w:rPr>
                <w:rFonts w:ascii="宋体" w:hAnsi="宋体" w:hint="eastAsia"/>
                <w:color w:val="000000"/>
                <w:kern w:val="0"/>
                <w:szCs w:val="21"/>
              </w:rPr>
              <w:t>-</w:t>
            </w:r>
          </w:p>
        </w:tc>
        <w:tc>
          <w:tcPr>
            <w:tcW w:w="1134" w:type="dxa"/>
            <w:vAlign w:val="center"/>
          </w:tcPr>
          <w:p w:rsidR="00A157C6" w:rsidRDefault="0040114B">
            <w:pPr>
              <w:jc w:val="center"/>
            </w:pPr>
            <w:r>
              <w:rPr>
                <w:rFonts w:ascii="宋体" w:hAnsi="宋体" w:hint="eastAsia"/>
                <w:color w:val="000000"/>
                <w:kern w:val="0"/>
                <w:szCs w:val="21"/>
              </w:rPr>
              <w:t>-</w:t>
            </w:r>
          </w:p>
        </w:tc>
        <w:tc>
          <w:tcPr>
            <w:tcW w:w="1419" w:type="dxa"/>
            <w:vAlign w:val="center"/>
          </w:tcPr>
          <w:p w:rsidR="00A157C6" w:rsidRDefault="0040114B">
            <w:pPr>
              <w:jc w:val="center"/>
            </w:pPr>
            <w:r>
              <w:rPr>
                <w:rFonts w:ascii="宋体" w:hAnsi="宋体" w:hint="eastAsia"/>
                <w:color w:val="000000"/>
                <w:kern w:val="0"/>
                <w:szCs w:val="21"/>
              </w:rPr>
              <w:t>442,516,861.48</w:t>
            </w:r>
          </w:p>
        </w:tc>
        <w:tc>
          <w:tcPr>
            <w:tcW w:w="1130" w:type="dxa"/>
            <w:vAlign w:val="center"/>
          </w:tcPr>
          <w:p w:rsidR="00A157C6" w:rsidRDefault="0040114B">
            <w:pPr>
              <w:jc w:val="center"/>
            </w:pPr>
            <w:r>
              <w:rPr>
                <w:rFonts w:ascii="宋体" w:hAnsi="宋体" w:hint="eastAsia"/>
                <w:color w:val="000000"/>
                <w:kern w:val="0"/>
                <w:szCs w:val="21"/>
              </w:rPr>
              <w:t>95.41%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11</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、中国证监会批准交银施罗德纯债债券型发起式证券投资基金募集的文件；</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、《交银施罗德纯债债券型发起式证券投资基金基金合同》；</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、《交银施罗德纯债债券型发起式证券投资基金招募说明书》；</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、《交银施罗德纯债债券型发起式证券投资基金托管协议》；</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、关于募集交银施罗德纯债债券型发起式证券投资基金之法律意见书；</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、报告期内交银施罗德纯债债券型发起式证券投资基金在指定报刊上各项公告的原稿。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11.2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11.3</w:t>
      </w:r>
      <w:r w:rsidR="00FB3C94" w:rsidRPr="007F52FA">
        <w:rPr>
          <w:rFonts w:eastAsiaTheme="minorEastAsia"/>
          <w:b/>
          <w:bCs/>
          <w:color w:val="000000"/>
          <w:kern w:val="0"/>
          <w:sz w:val="24"/>
        </w:rPr>
        <w:t>查阅方式</w:t>
      </w:r>
    </w:p>
    <w:p w:rsidR="00A157C6" w:rsidRDefault="0040114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5F1" w:rsidRDefault="00ED15F1">
      <w:r>
        <w:separator/>
      </w:r>
    </w:p>
  </w:endnote>
  <w:endnote w:type="continuationSeparator" w:id="0">
    <w:p w:rsidR="00ED15F1" w:rsidRDefault="00ED1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04754A">
      <w:rPr>
        <w:noProof/>
        <w:kern w:val="0"/>
        <w:szCs w:val="21"/>
      </w:rPr>
      <w:t>14</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04754A">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5F1" w:rsidRDefault="00ED15F1">
      <w:r>
        <w:separator/>
      </w:r>
    </w:p>
  </w:footnote>
  <w:footnote w:type="continuationSeparator" w:id="0">
    <w:p w:rsidR="00ED15F1" w:rsidRDefault="00ED15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交银施罗德纯债债券型发起式证券投资基金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54A"/>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4B24"/>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14B"/>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4479"/>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7C6"/>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6747"/>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15F1"/>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755589569">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CDB79-DB94-4D79-A1CE-9C65294FE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209</TotalTime>
  <Pages>14</Pages>
  <Words>1208</Words>
  <Characters>6890</Characters>
  <Application>Microsoft Office Word</Application>
  <DocSecurity>0</DocSecurity>
  <Lines>57</Lines>
  <Paragraphs>16</Paragraphs>
  <ScaleCrop>false</ScaleCrop>
  <Company>TRT. Ltd. Co.</Company>
  <LinksUpToDate>false</LinksUpToDate>
  <CharactersWithSpaces>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378</cp:revision>
  <cp:lastPrinted>2007-07-19T00:46:00Z</cp:lastPrinted>
  <dcterms:created xsi:type="dcterms:W3CDTF">2014-01-17T06:19:00Z</dcterms:created>
  <dcterms:modified xsi:type="dcterms:W3CDTF">2018-07-16T08:37:00Z</dcterms:modified>
</cp:coreProperties>
</file>