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交银施罗德策略回报灵活配置混合型证券投资基金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74813" w:rsidRDefault="00E33B1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74813" w:rsidRDefault="00E33B15">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74813" w:rsidRDefault="00E33B1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74813" w:rsidRDefault="00E33B1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74813" w:rsidRDefault="00E33B1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交银策略回报灵活配置混合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552,021,035.86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本基金根据对宏观经济周期和市场环境的分析研究，自上而下配置资产，并通过对类属资产灵活运用多种投资策略，力争实现基金资产的长期稳定增值。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本基金将通过</w:t>
            </w:r>
            <w:r w:rsidRPr="00414345">
              <w:rPr>
                <w:color w:val="000000"/>
                <w:kern w:val="0"/>
                <w:sz w:val="24"/>
                <w:szCs w:val="24"/>
              </w:rPr>
              <w:t>“</w:t>
            </w:r>
            <w:r w:rsidRPr="00414345">
              <w:rPr>
                <w:color w:val="000000"/>
                <w:kern w:val="0"/>
                <w:sz w:val="24"/>
                <w:szCs w:val="24"/>
              </w:rPr>
              <w:t>自上而下</w:t>
            </w:r>
            <w:r w:rsidRPr="00414345">
              <w:rPr>
                <w:color w:val="000000"/>
                <w:kern w:val="0"/>
                <w:sz w:val="24"/>
                <w:szCs w:val="24"/>
              </w:rPr>
              <w:t>”</w:t>
            </w:r>
            <w:r w:rsidRPr="00414345">
              <w:rPr>
                <w:color w:val="000000"/>
                <w:kern w:val="0"/>
                <w:sz w:val="24"/>
                <w:szCs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本基金为混合型证券投资基金，其预期收益和风险高于货币市场基金、债券型基金，而低于股票型基金，属于证券投资基金中的中高风险品种。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57B07" w:rsidRPr="00414345" w:rsidTr="00057B0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57B07" w:rsidRPr="00414345" w:rsidTr="00057B0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16,968,229.97</w:t>
            </w:r>
          </w:p>
        </w:tc>
      </w:tr>
      <w:tr w:rsidR="00057B07" w:rsidRPr="00414345" w:rsidTr="00057B0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23,576,995.45</w:t>
            </w:r>
          </w:p>
        </w:tc>
      </w:tr>
      <w:tr w:rsidR="00057B07" w:rsidRPr="00414345" w:rsidTr="00057B0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0.0410</w:t>
            </w:r>
          </w:p>
        </w:tc>
      </w:tr>
      <w:tr w:rsidR="00057B07" w:rsidRPr="00414345" w:rsidTr="00057B0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736,106,143.98</w:t>
            </w:r>
          </w:p>
        </w:tc>
      </w:tr>
      <w:tr w:rsidR="00057B07" w:rsidRPr="00414345" w:rsidTr="00057B0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1.333</w:t>
            </w:r>
          </w:p>
        </w:tc>
      </w:tr>
    </w:tbl>
    <w:p w:rsidR="00874813" w:rsidRDefault="00E33B1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74813">
        <w:trPr>
          <w:jc w:val="center"/>
        </w:trPr>
        <w:tc>
          <w:tcPr>
            <w:tcW w:w="1701" w:type="dxa"/>
            <w:vAlign w:val="center"/>
          </w:tcPr>
          <w:p w:rsidR="00874813" w:rsidRDefault="00E33B15">
            <w:pPr>
              <w:jc w:val="left"/>
            </w:pPr>
            <w:r>
              <w:rPr>
                <w:color w:val="000000"/>
                <w:sz w:val="24"/>
                <w:szCs w:val="24"/>
              </w:rPr>
              <w:t>过去三个月</w:t>
            </w:r>
          </w:p>
        </w:tc>
        <w:tc>
          <w:tcPr>
            <w:tcW w:w="1045" w:type="dxa"/>
            <w:vAlign w:val="center"/>
          </w:tcPr>
          <w:p w:rsidR="00874813" w:rsidRDefault="00E33B15">
            <w:pPr>
              <w:jc w:val="center"/>
            </w:pPr>
            <w:r>
              <w:rPr>
                <w:color w:val="000000"/>
                <w:sz w:val="24"/>
                <w:szCs w:val="24"/>
              </w:rPr>
              <w:t>3.09%</w:t>
            </w:r>
          </w:p>
        </w:tc>
        <w:tc>
          <w:tcPr>
            <w:tcW w:w="1344" w:type="dxa"/>
            <w:vAlign w:val="center"/>
          </w:tcPr>
          <w:p w:rsidR="00874813" w:rsidRDefault="00E33B15">
            <w:pPr>
              <w:jc w:val="center"/>
            </w:pPr>
            <w:r>
              <w:rPr>
                <w:color w:val="000000"/>
                <w:sz w:val="24"/>
                <w:szCs w:val="24"/>
              </w:rPr>
              <w:t>1.39%</w:t>
            </w:r>
          </w:p>
        </w:tc>
        <w:tc>
          <w:tcPr>
            <w:tcW w:w="1194" w:type="dxa"/>
            <w:vAlign w:val="center"/>
          </w:tcPr>
          <w:p w:rsidR="00874813" w:rsidRDefault="00E33B15">
            <w:pPr>
              <w:jc w:val="center"/>
            </w:pPr>
            <w:r>
              <w:rPr>
                <w:color w:val="000000"/>
                <w:sz w:val="24"/>
                <w:szCs w:val="24"/>
              </w:rPr>
              <w:t>-5.26%</w:t>
            </w:r>
          </w:p>
        </w:tc>
        <w:tc>
          <w:tcPr>
            <w:tcW w:w="1492" w:type="dxa"/>
            <w:vAlign w:val="center"/>
          </w:tcPr>
          <w:p w:rsidR="00874813" w:rsidRDefault="00E33B15">
            <w:pPr>
              <w:jc w:val="center"/>
            </w:pPr>
            <w:r>
              <w:rPr>
                <w:color w:val="000000"/>
                <w:sz w:val="24"/>
                <w:szCs w:val="24"/>
              </w:rPr>
              <w:t>0.68%</w:t>
            </w:r>
          </w:p>
        </w:tc>
        <w:tc>
          <w:tcPr>
            <w:tcW w:w="1194" w:type="dxa"/>
            <w:vAlign w:val="center"/>
          </w:tcPr>
          <w:p w:rsidR="00874813" w:rsidRDefault="00E33B15">
            <w:pPr>
              <w:jc w:val="center"/>
            </w:pPr>
            <w:r>
              <w:rPr>
                <w:color w:val="000000"/>
                <w:sz w:val="24"/>
                <w:szCs w:val="24"/>
              </w:rPr>
              <w:t>8.35%</w:t>
            </w:r>
          </w:p>
        </w:tc>
        <w:tc>
          <w:tcPr>
            <w:tcW w:w="898" w:type="dxa"/>
            <w:vAlign w:val="center"/>
          </w:tcPr>
          <w:p w:rsidR="00874813" w:rsidRDefault="00E33B15">
            <w:pPr>
              <w:jc w:val="center"/>
            </w:pPr>
            <w:r>
              <w:rPr>
                <w:color w:val="000000"/>
                <w:sz w:val="24"/>
                <w:szCs w:val="24"/>
              </w:rPr>
              <w:t>0.71%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交银施罗德策略回报灵活配置混合型证券投资基金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注：本基金由交银施罗德荣安保本混合型证券投资基金转型而来。基金转型日为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日。本基金的投资转型期为交银施罗德荣安保本混合型证券投资基金保本周期到期选择期截止日次日（即</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74813">
        <w:trPr>
          <w:jc w:val="center"/>
        </w:trPr>
        <w:tc>
          <w:tcPr>
            <w:tcW w:w="846" w:type="dxa"/>
            <w:vAlign w:val="center"/>
          </w:tcPr>
          <w:p w:rsidR="00874813" w:rsidRDefault="00E33B15">
            <w:pPr>
              <w:jc w:val="center"/>
            </w:pPr>
            <w:r>
              <w:rPr>
                <w:color w:val="000000"/>
                <w:sz w:val="24"/>
                <w:szCs w:val="24"/>
              </w:rPr>
              <w:t>王少成</w:t>
            </w:r>
          </w:p>
        </w:tc>
        <w:tc>
          <w:tcPr>
            <w:tcW w:w="845" w:type="dxa"/>
            <w:vAlign w:val="center"/>
          </w:tcPr>
          <w:p w:rsidR="00874813" w:rsidRDefault="00E33B15">
            <w:pPr>
              <w:jc w:val="center"/>
            </w:pPr>
            <w:r>
              <w:rPr>
                <w:color w:val="000000"/>
                <w:sz w:val="24"/>
                <w:szCs w:val="24"/>
              </w:rPr>
              <w:t>交</w:t>
            </w:r>
            <w:proofErr w:type="gramStart"/>
            <w:r>
              <w:rPr>
                <w:color w:val="000000"/>
                <w:sz w:val="24"/>
                <w:szCs w:val="24"/>
              </w:rPr>
              <w:t>银成长</w:t>
            </w:r>
            <w:proofErr w:type="gramEnd"/>
            <w:r>
              <w:rPr>
                <w:color w:val="000000"/>
                <w:sz w:val="24"/>
                <w:szCs w:val="24"/>
              </w:rPr>
              <w:t>混合、交银策略回报</w:t>
            </w:r>
            <w:r>
              <w:rPr>
                <w:color w:val="000000"/>
                <w:sz w:val="24"/>
                <w:szCs w:val="24"/>
              </w:rPr>
              <w:lastRenderedPageBreak/>
              <w:t>灵活配置混合、交</w:t>
            </w:r>
            <w:proofErr w:type="gramStart"/>
            <w:r>
              <w:rPr>
                <w:color w:val="000000"/>
                <w:sz w:val="24"/>
                <w:szCs w:val="24"/>
              </w:rPr>
              <w:t>银成长</w:t>
            </w:r>
            <w:proofErr w:type="gramEnd"/>
            <w:r>
              <w:rPr>
                <w:color w:val="000000"/>
                <w:sz w:val="24"/>
                <w:szCs w:val="24"/>
              </w:rPr>
              <w:t>30</w:t>
            </w:r>
            <w:r>
              <w:rPr>
                <w:color w:val="000000"/>
                <w:sz w:val="24"/>
                <w:szCs w:val="24"/>
              </w:rPr>
              <w:t>混合的基金经理，公司权益投资总监</w:t>
            </w:r>
          </w:p>
        </w:tc>
        <w:tc>
          <w:tcPr>
            <w:tcW w:w="1549" w:type="dxa"/>
            <w:vAlign w:val="center"/>
          </w:tcPr>
          <w:p w:rsidR="00874813" w:rsidRDefault="00E33B15">
            <w:pPr>
              <w:jc w:val="center"/>
            </w:pPr>
            <w:r>
              <w:rPr>
                <w:color w:val="000000"/>
                <w:sz w:val="24"/>
                <w:szCs w:val="24"/>
              </w:rPr>
              <w:lastRenderedPageBreak/>
              <w:t>2015-11-07</w:t>
            </w:r>
          </w:p>
        </w:tc>
        <w:tc>
          <w:tcPr>
            <w:tcW w:w="1548" w:type="dxa"/>
            <w:vAlign w:val="center"/>
          </w:tcPr>
          <w:p w:rsidR="00874813" w:rsidRDefault="00E33B15">
            <w:pPr>
              <w:jc w:val="center"/>
            </w:pPr>
            <w:r>
              <w:rPr>
                <w:color w:val="000000"/>
                <w:sz w:val="24"/>
                <w:szCs w:val="24"/>
              </w:rPr>
              <w:t>2018-06-08</w:t>
            </w:r>
          </w:p>
        </w:tc>
        <w:tc>
          <w:tcPr>
            <w:tcW w:w="1407" w:type="dxa"/>
            <w:vAlign w:val="center"/>
          </w:tcPr>
          <w:p w:rsidR="00874813" w:rsidRDefault="00E33B15">
            <w:pPr>
              <w:jc w:val="center"/>
            </w:pPr>
            <w:r>
              <w:rPr>
                <w:color w:val="000000"/>
                <w:sz w:val="24"/>
                <w:szCs w:val="24"/>
              </w:rPr>
              <w:t>14</w:t>
            </w:r>
            <w:r>
              <w:rPr>
                <w:color w:val="000000"/>
                <w:sz w:val="24"/>
                <w:szCs w:val="24"/>
              </w:rPr>
              <w:t>年</w:t>
            </w:r>
          </w:p>
        </w:tc>
        <w:tc>
          <w:tcPr>
            <w:tcW w:w="2673" w:type="dxa"/>
            <w:vAlign w:val="center"/>
          </w:tcPr>
          <w:p w:rsidR="00874813" w:rsidRDefault="00E33B15">
            <w:r>
              <w:rPr>
                <w:color w:val="000000"/>
                <w:sz w:val="24"/>
                <w:szCs w:val="24"/>
              </w:rPr>
              <w:t>王少成先生，复旦大学硕士学历。历任上海融昌资产管理公司研究员，中原证券投资经理，信诚基金管理有限公司研究总监助理，东吴基</w:t>
            </w:r>
            <w:r>
              <w:rPr>
                <w:color w:val="000000"/>
                <w:sz w:val="24"/>
                <w:szCs w:val="24"/>
              </w:rPr>
              <w:lastRenderedPageBreak/>
              <w:t>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5</w:t>
            </w:r>
            <w:r>
              <w:rPr>
                <w:color w:val="000000"/>
                <w:sz w:val="24"/>
                <w:szCs w:val="24"/>
              </w:rPr>
              <w:t>月</w:t>
            </w:r>
            <w:r>
              <w:rPr>
                <w:color w:val="000000"/>
                <w:sz w:val="24"/>
                <w:szCs w:val="24"/>
              </w:rPr>
              <w:t>15</w:t>
            </w:r>
            <w:r>
              <w:rPr>
                <w:color w:val="000000"/>
                <w:sz w:val="24"/>
                <w:szCs w:val="24"/>
              </w:rPr>
              <w:t>日担任交银施罗德荣和保本混合型证券投资基金的基金经理，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7</w:t>
            </w:r>
            <w:r>
              <w:rPr>
                <w:color w:val="000000"/>
                <w:sz w:val="24"/>
                <w:szCs w:val="24"/>
              </w:rPr>
              <w:t>日担任交银施罗德策略回报灵活配置混合型证券投资基金的基金经理。</w:t>
            </w:r>
          </w:p>
        </w:tc>
      </w:tr>
      <w:tr w:rsidR="00874813">
        <w:trPr>
          <w:jc w:val="center"/>
        </w:trPr>
        <w:tc>
          <w:tcPr>
            <w:tcW w:w="846" w:type="dxa"/>
            <w:vAlign w:val="center"/>
          </w:tcPr>
          <w:p w:rsidR="00874813" w:rsidRDefault="00E33B15">
            <w:pPr>
              <w:jc w:val="center"/>
            </w:pPr>
            <w:r>
              <w:rPr>
                <w:color w:val="000000"/>
                <w:sz w:val="24"/>
                <w:szCs w:val="24"/>
              </w:rPr>
              <w:lastRenderedPageBreak/>
              <w:t>韩威俊</w:t>
            </w:r>
          </w:p>
        </w:tc>
        <w:tc>
          <w:tcPr>
            <w:tcW w:w="845" w:type="dxa"/>
            <w:vAlign w:val="center"/>
          </w:tcPr>
          <w:p w:rsidR="00874813" w:rsidRDefault="00E33B15">
            <w:pPr>
              <w:jc w:val="center"/>
            </w:pPr>
            <w:r>
              <w:rPr>
                <w:color w:val="000000"/>
                <w:sz w:val="24"/>
                <w:szCs w:val="24"/>
              </w:rPr>
              <w:t>交银趋势混合、交银策略回报</w:t>
            </w:r>
            <w:r>
              <w:rPr>
                <w:color w:val="000000"/>
                <w:sz w:val="24"/>
                <w:szCs w:val="24"/>
              </w:rPr>
              <w:lastRenderedPageBreak/>
              <w:t>灵活配置混合、交银股息优化混合、交银品质升级混合的基金经理</w:t>
            </w:r>
          </w:p>
        </w:tc>
        <w:tc>
          <w:tcPr>
            <w:tcW w:w="1549" w:type="dxa"/>
            <w:vAlign w:val="center"/>
          </w:tcPr>
          <w:p w:rsidR="00874813" w:rsidRDefault="00E33B15">
            <w:pPr>
              <w:jc w:val="center"/>
            </w:pPr>
            <w:r>
              <w:rPr>
                <w:color w:val="000000"/>
                <w:sz w:val="24"/>
                <w:szCs w:val="24"/>
              </w:rPr>
              <w:lastRenderedPageBreak/>
              <w:t>2016-01-20</w:t>
            </w:r>
          </w:p>
        </w:tc>
        <w:tc>
          <w:tcPr>
            <w:tcW w:w="1548" w:type="dxa"/>
            <w:vAlign w:val="center"/>
          </w:tcPr>
          <w:p w:rsidR="00874813" w:rsidRDefault="00E33B15">
            <w:pPr>
              <w:jc w:val="center"/>
            </w:pPr>
            <w:r>
              <w:rPr>
                <w:color w:val="000000"/>
                <w:sz w:val="24"/>
                <w:szCs w:val="24"/>
              </w:rPr>
              <w:t>-</w:t>
            </w:r>
          </w:p>
        </w:tc>
        <w:tc>
          <w:tcPr>
            <w:tcW w:w="1407" w:type="dxa"/>
            <w:vAlign w:val="center"/>
          </w:tcPr>
          <w:p w:rsidR="00874813" w:rsidRDefault="00E33B15">
            <w:pPr>
              <w:jc w:val="center"/>
            </w:pPr>
            <w:r>
              <w:rPr>
                <w:color w:val="000000"/>
                <w:sz w:val="24"/>
                <w:szCs w:val="24"/>
              </w:rPr>
              <w:t>12</w:t>
            </w:r>
            <w:r>
              <w:rPr>
                <w:color w:val="000000"/>
                <w:sz w:val="24"/>
                <w:szCs w:val="24"/>
              </w:rPr>
              <w:t>年</w:t>
            </w:r>
          </w:p>
        </w:tc>
        <w:tc>
          <w:tcPr>
            <w:tcW w:w="2673" w:type="dxa"/>
            <w:vAlign w:val="center"/>
          </w:tcPr>
          <w:p w:rsidR="00874813" w:rsidRDefault="00E33B15">
            <w:r>
              <w:rPr>
                <w:color w:val="000000"/>
                <w:sz w:val="24"/>
                <w:szCs w:val="24"/>
              </w:rPr>
              <w:t>韩威俊先生，上海财经大学金融学硕士。历任申银万国证券研究所助理分析师、北京鼎天资产管理有限公司董事助理、申银万国证券研究</w:t>
            </w:r>
            <w:r>
              <w:rPr>
                <w:color w:val="000000"/>
                <w:sz w:val="24"/>
                <w:szCs w:val="24"/>
              </w:rPr>
              <w:lastRenderedPageBreak/>
              <w:t>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74813" w:rsidRDefault="00E33B1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74813" w:rsidRDefault="00E33B1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74813" w:rsidRDefault="00E33B1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w:t>
      </w:r>
      <w:r w:rsidRPr="00414345">
        <w:rPr>
          <w:color w:val="000000"/>
          <w:sz w:val="24"/>
          <w:szCs w:val="24"/>
        </w:rPr>
        <w:lastRenderedPageBreak/>
        <w:t>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74813" w:rsidRDefault="00E33B15">
      <w:pPr>
        <w:spacing w:before="29" w:line="288" w:lineRule="auto"/>
        <w:ind w:firstLineChars="200" w:firstLine="480"/>
        <w:rPr>
          <w:color w:val="000000"/>
          <w:sz w:val="24"/>
          <w:szCs w:val="24"/>
        </w:rPr>
      </w:pPr>
      <w:r>
        <w:rPr>
          <w:color w:val="000000"/>
          <w:sz w:val="24"/>
          <w:szCs w:val="24"/>
        </w:rPr>
        <w:t>回顾</w:t>
      </w:r>
      <w:r>
        <w:rPr>
          <w:color w:val="000000"/>
          <w:sz w:val="24"/>
          <w:szCs w:val="24"/>
        </w:rPr>
        <w:t>2018</w:t>
      </w:r>
      <w:r>
        <w:rPr>
          <w:color w:val="000000"/>
          <w:sz w:val="24"/>
          <w:szCs w:val="24"/>
        </w:rPr>
        <w:t>年二季度，国际经济形势特别复杂，贸易战、人民币汇率波动以及</w:t>
      </w:r>
      <w:r>
        <w:rPr>
          <w:color w:val="000000"/>
          <w:sz w:val="24"/>
          <w:szCs w:val="24"/>
        </w:rPr>
        <w:t>CDR</w:t>
      </w:r>
      <w:r>
        <w:rPr>
          <w:color w:val="000000"/>
          <w:sz w:val="24"/>
          <w:szCs w:val="24"/>
        </w:rPr>
        <w:t>等各种影响导致市场流动性进一步收紧。虽然中国纳入</w:t>
      </w:r>
      <w:r>
        <w:rPr>
          <w:color w:val="000000"/>
          <w:sz w:val="24"/>
          <w:szCs w:val="24"/>
        </w:rPr>
        <w:t>MSCI</w:t>
      </w:r>
      <w:r>
        <w:rPr>
          <w:color w:val="000000"/>
          <w:sz w:val="24"/>
          <w:szCs w:val="24"/>
        </w:rPr>
        <w:t>的带动白马蓝筹在五月份表现较好，但六月份因为资金流出，导致整个市场赚钱效应较为疲弱。</w:t>
      </w:r>
    </w:p>
    <w:p w:rsidR="00874813" w:rsidRDefault="00E33B15">
      <w:pPr>
        <w:spacing w:before="29" w:line="288" w:lineRule="auto"/>
        <w:ind w:firstLineChars="200" w:firstLine="480"/>
        <w:rPr>
          <w:color w:val="000000"/>
          <w:sz w:val="24"/>
          <w:szCs w:val="24"/>
        </w:rPr>
      </w:pPr>
      <w:r>
        <w:rPr>
          <w:color w:val="000000"/>
          <w:sz w:val="24"/>
          <w:szCs w:val="24"/>
        </w:rPr>
        <w:t>本基金在二季度基本上维持了相对较高的仓位，继续维持配置现金流趋势性向上的价值成长白马股，适当减持了部分流动性较差的个股。五月份整体涨幅较大，六月份出现回撤，二季度绝对收益和相对收益整体表现一般。</w:t>
      </w:r>
    </w:p>
    <w:p w:rsidR="00874813" w:rsidRDefault="00E33B15">
      <w:pPr>
        <w:spacing w:before="29" w:line="288" w:lineRule="auto"/>
        <w:ind w:firstLineChars="200" w:firstLine="480"/>
        <w:rPr>
          <w:color w:val="000000"/>
          <w:sz w:val="24"/>
          <w:szCs w:val="24"/>
        </w:rPr>
      </w:pPr>
      <w:r>
        <w:rPr>
          <w:color w:val="000000"/>
          <w:sz w:val="24"/>
          <w:szCs w:val="24"/>
        </w:rPr>
        <w:t>展望</w:t>
      </w:r>
      <w:r>
        <w:rPr>
          <w:color w:val="000000"/>
          <w:sz w:val="24"/>
          <w:szCs w:val="24"/>
        </w:rPr>
        <w:t>2018</w:t>
      </w:r>
      <w:r>
        <w:rPr>
          <w:color w:val="000000"/>
          <w:sz w:val="24"/>
          <w:szCs w:val="24"/>
        </w:rPr>
        <w:t>年三季度，在高油价、高信用风险的背景下，整个市场的流动性和风险偏好很难出现系统性上升，市场将继续出现小区间震荡的趋势，除非流动性出现明显放松，否则市场很难出现系统性上涨。</w:t>
      </w:r>
      <w:r>
        <w:rPr>
          <w:color w:val="000000"/>
          <w:sz w:val="24"/>
          <w:szCs w:val="24"/>
        </w:rPr>
        <w:t>2017</w:t>
      </w:r>
      <w:r>
        <w:rPr>
          <w:color w:val="000000"/>
          <w:sz w:val="24"/>
          <w:szCs w:val="24"/>
        </w:rPr>
        <w:t>年由于整个白马蓝筹表现较好，市场上绝对收益策略组合的仓位相对较高，我们预计这类产品后续仍然将继续降低仓位比例，而在此震荡环境中相对收益策略产品的风险偏好也很难出现明显上升，市场对于业绩确定性、现金流确定性和投资风险的要求会越来越高。市场上除了主题投资以外，每个板块内部的个股表现分化将更加明显，二季度增长较快的公司有望进一步跑赢市场。</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希望通过自下而上的分析，选择继续持有业绩和现金流持续好转的个股，特别是对二季度增速快于一季度，三季度增速可能快于二季度的个股做重点配置。此外，部分小市值成长股在经过两年估值消化以后，具备了一定的吸引力，我们后续会考虑适当进行一些成长股的配置比例。</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日，本基金基金份额净值为</w:t>
      </w:r>
      <w:r w:rsidRPr="00414345">
        <w:rPr>
          <w:color w:val="000000"/>
          <w:sz w:val="24"/>
          <w:szCs w:val="24"/>
        </w:rPr>
        <w:t>1.333</w:t>
      </w:r>
      <w:r w:rsidRPr="00414345">
        <w:rPr>
          <w:color w:val="000000"/>
          <w:sz w:val="24"/>
          <w:szCs w:val="24"/>
        </w:rPr>
        <w:t>元，本报告期份额净值增长率为</w:t>
      </w:r>
      <w:r w:rsidRPr="00414345">
        <w:rPr>
          <w:color w:val="000000"/>
          <w:sz w:val="24"/>
          <w:szCs w:val="24"/>
        </w:rPr>
        <w:t>3.09%</w:t>
      </w:r>
      <w:r w:rsidRPr="00414345">
        <w:rPr>
          <w:color w:val="000000"/>
          <w:sz w:val="24"/>
          <w:szCs w:val="24"/>
        </w:rPr>
        <w:t>，同期业绩比较基准增长率为</w:t>
      </w:r>
      <w:r w:rsidRPr="00414345">
        <w:rPr>
          <w:color w:val="000000"/>
          <w:sz w:val="24"/>
          <w:szCs w:val="24"/>
        </w:rPr>
        <w:t>-5.26%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584,111,607.65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78.94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584,111,607.65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78.94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65,669,159.83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65,669,159.83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84,103,741.81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11.37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6,057,557.99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0.82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739,942,067.28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15,716,184.00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461,427,382.58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48,456.00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30,519,629.58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15,242,439.03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44,139,094.80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7,894,551.66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9,123,870.00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584,111,607.65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79.35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74813">
        <w:trPr>
          <w:jc w:val="center"/>
        </w:trPr>
        <w:tc>
          <w:tcPr>
            <w:tcW w:w="855" w:type="dxa"/>
            <w:vAlign w:val="center"/>
          </w:tcPr>
          <w:p w:rsidR="00874813" w:rsidRDefault="00E33B15">
            <w:pPr>
              <w:jc w:val="center"/>
            </w:pPr>
            <w:r>
              <w:rPr>
                <w:color w:val="000000"/>
                <w:sz w:val="24"/>
                <w:szCs w:val="24"/>
              </w:rPr>
              <w:t>1</w:t>
            </w:r>
          </w:p>
        </w:tc>
        <w:tc>
          <w:tcPr>
            <w:tcW w:w="1334" w:type="dxa"/>
            <w:vAlign w:val="center"/>
          </w:tcPr>
          <w:p w:rsidR="00874813" w:rsidRDefault="00E33B15">
            <w:pPr>
              <w:jc w:val="center"/>
            </w:pPr>
            <w:r>
              <w:rPr>
                <w:color w:val="000000"/>
                <w:sz w:val="24"/>
                <w:szCs w:val="24"/>
              </w:rPr>
              <w:t>603808</w:t>
            </w:r>
          </w:p>
        </w:tc>
        <w:tc>
          <w:tcPr>
            <w:tcW w:w="1777" w:type="dxa"/>
            <w:vAlign w:val="center"/>
          </w:tcPr>
          <w:p w:rsidR="00874813" w:rsidRDefault="00E33B15">
            <w:pPr>
              <w:jc w:val="center"/>
            </w:pPr>
            <w:r>
              <w:rPr>
                <w:color w:val="000000"/>
                <w:sz w:val="24"/>
                <w:szCs w:val="24"/>
              </w:rPr>
              <w:t>歌力思</w:t>
            </w:r>
          </w:p>
        </w:tc>
        <w:tc>
          <w:tcPr>
            <w:tcW w:w="1334" w:type="dxa"/>
            <w:vAlign w:val="center"/>
          </w:tcPr>
          <w:p w:rsidR="00874813" w:rsidRDefault="00E33B15">
            <w:pPr>
              <w:jc w:val="right"/>
            </w:pPr>
            <w:r>
              <w:rPr>
                <w:color w:val="000000"/>
                <w:sz w:val="24"/>
                <w:szCs w:val="24"/>
              </w:rPr>
              <w:t>3,013,730</w:t>
            </w:r>
          </w:p>
        </w:tc>
        <w:tc>
          <w:tcPr>
            <w:tcW w:w="1924" w:type="dxa"/>
            <w:vAlign w:val="center"/>
          </w:tcPr>
          <w:p w:rsidR="00874813" w:rsidRDefault="00E33B15">
            <w:pPr>
              <w:jc w:val="right"/>
            </w:pPr>
            <w:r>
              <w:rPr>
                <w:color w:val="000000"/>
                <w:sz w:val="24"/>
                <w:szCs w:val="24"/>
              </w:rPr>
              <w:t>67,839,062.30</w:t>
            </w:r>
          </w:p>
        </w:tc>
        <w:tc>
          <w:tcPr>
            <w:tcW w:w="1644" w:type="dxa"/>
            <w:vAlign w:val="center"/>
          </w:tcPr>
          <w:p w:rsidR="00874813" w:rsidRDefault="00E33B15">
            <w:pPr>
              <w:jc w:val="right"/>
            </w:pPr>
            <w:r>
              <w:rPr>
                <w:color w:val="000000"/>
                <w:sz w:val="24"/>
                <w:szCs w:val="24"/>
              </w:rPr>
              <w:t>9.22</w:t>
            </w:r>
          </w:p>
        </w:tc>
      </w:tr>
      <w:tr w:rsidR="00874813">
        <w:trPr>
          <w:jc w:val="center"/>
        </w:trPr>
        <w:tc>
          <w:tcPr>
            <w:tcW w:w="855" w:type="dxa"/>
            <w:vAlign w:val="center"/>
          </w:tcPr>
          <w:p w:rsidR="00874813" w:rsidRDefault="00E33B15">
            <w:pPr>
              <w:jc w:val="center"/>
            </w:pPr>
            <w:r>
              <w:rPr>
                <w:color w:val="000000"/>
                <w:sz w:val="24"/>
                <w:szCs w:val="24"/>
              </w:rPr>
              <w:t>2</w:t>
            </w:r>
          </w:p>
        </w:tc>
        <w:tc>
          <w:tcPr>
            <w:tcW w:w="1334" w:type="dxa"/>
            <w:vAlign w:val="center"/>
          </w:tcPr>
          <w:p w:rsidR="00874813" w:rsidRDefault="00E33B15">
            <w:pPr>
              <w:jc w:val="center"/>
            </w:pPr>
            <w:r>
              <w:rPr>
                <w:color w:val="000000"/>
                <w:sz w:val="24"/>
                <w:szCs w:val="24"/>
              </w:rPr>
              <w:t>600887</w:t>
            </w:r>
          </w:p>
        </w:tc>
        <w:tc>
          <w:tcPr>
            <w:tcW w:w="1777" w:type="dxa"/>
            <w:vAlign w:val="center"/>
          </w:tcPr>
          <w:p w:rsidR="00874813" w:rsidRDefault="00E33B15">
            <w:pPr>
              <w:jc w:val="center"/>
            </w:pPr>
            <w:r>
              <w:rPr>
                <w:color w:val="000000"/>
                <w:sz w:val="24"/>
                <w:szCs w:val="24"/>
              </w:rPr>
              <w:t>伊利股份</w:t>
            </w:r>
          </w:p>
        </w:tc>
        <w:tc>
          <w:tcPr>
            <w:tcW w:w="1334" w:type="dxa"/>
            <w:vAlign w:val="center"/>
          </w:tcPr>
          <w:p w:rsidR="00874813" w:rsidRDefault="00E33B15">
            <w:pPr>
              <w:jc w:val="right"/>
            </w:pPr>
            <w:r>
              <w:rPr>
                <w:color w:val="000000"/>
                <w:sz w:val="24"/>
                <w:szCs w:val="24"/>
              </w:rPr>
              <w:t>2,322,029</w:t>
            </w:r>
          </w:p>
        </w:tc>
        <w:tc>
          <w:tcPr>
            <w:tcW w:w="1924" w:type="dxa"/>
            <w:vAlign w:val="center"/>
          </w:tcPr>
          <w:p w:rsidR="00874813" w:rsidRDefault="00E33B15">
            <w:pPr>
              <w:jc w:val="right"/>
            </w:pPr>
            <w:r>
              <w:rPr>
                <w:color w:val="000000"/>
                <w:sz w:val="24"/>
                <w:szCs w:val="24"/>
              </w:rPr>
              <w:t>64,784,609.10</w:t>
            </w:r>
          </w:p>
        </w:tc>
        <w:tc>
          <w:tcPr>
            <w:tcW w:w="1644" w:type="dxa"/>
            <w:vAlign w:val="center"/>
          </w:tcPr>
          <w:p w:rsidR="00874813" w:rsidRDefault="00E33B15">
            <w:pPr>
              <w:jc w:val="right"/>
            </w:pPr>
            <w:r>
              <w:rPr>
                <w:color w:val="000000"/>
                <w:sz w:val="24"/>
                <w:szCs w:val="24"/>
              </w:rPr>
              <w:t>8.80</w:t>
            </w:r>
          </w:p>
        </w:tc>
      </w:tr>
      <w:tr w:rsidR="00874813">
        <w:trPr>
          <w:jc w:val="center"/>
        </w:trPr>
        <w:tc>
          <w:tcPr>
            <w:tcW w:w="855" w:type="dxa"/>
            <w:vAlign w:val="center"/>
          </w:tcPr>
          <w:p w:rsidR="00874813" w:rsidRDefault="00E33B15">
            <w:pPr>
              <w:jc w:val="center"/>
            </w:pPr>
            <w:r>
              <w:rPr>
                <w:color w:val="000000"/>
                <w:sz w:val="24"/>
                <w:szCs w:val="24"/>
              </w:rPr>
              <w:t>3</w:t>
            </w:r>
          </w:p>
        </w:tc>
        <w:tc>
          <w:tcPr>
            <w:tcW w:w="1334" w:type="dxa"/>
            <w:vAlign w:val="center"/>
          </w:tcPr>
          <w:p w:rsidR="00874813" w:rsidRDefault="00E33B15">
            <w:pPr>
              <w:jc w:val="center"/>
            </w:pPr>
            <w:r>
              <w:rPr>
                <w:color w:val="000000"/>
                <w:sz w:val="24"/>
                <w:szCs w:val="24"/>
              </w:rPr>
              <w:t>600519</w:t>
            </w:r>
          </w:p>
        </w:tc>
        <w:tc>
          <w:tcPr>
            <w:tcW w:w="1777" w:type="dxa"/>
            <w:vAlign w:val="center"/>
          </w:tcPr>
          <w:p w:rsidR="00874813" w:rsidRDefault="00E33B15">
            <w:pPr>
              <w:jc w:val="center"/>
            </w:pPr>
            <w:r>
              <w:rPr>
                <w:color w:val="000000"/>
                <w:sz w:val="24"/>
                <w:szCs w:val="24"/>
              </w:rPr>
              <w:t>贵州茅台</w:t>
            </w:r>
          </w:p>
        </w:tc>
        <w:tc>
          <w:tcPr>
            <w:tcW w:w="1334" w:type="dxa"/>
            <w:vAlign w:val="center"/>
          </w:tcPr>
          <w:p w:rsidR="00874813" w:rsidRDefault="00E33B15">
            <w:pPr>
              <w:jc w:val="right"/>
            </w:pPr>
            <w:r>
              <w:rPr>
                <w:color w:val="000000"/>
                <w:sz w:val="24"/>
                <w:szCs w:val="24"/>
              </w:rPr>
              <w:t>87,825</w:t>
            </w:r>
          </w:p>
        </w:tc>
        <w:tc>
          <w:tcPr>
            <w:tcW w:w="1924" w:type="dxa"/>
            <w:vAlign w:val="center"/>
          </w:tcPr>
          <w:p w:rsidR="00874813" w:rsidRDefault="00E33B15">
            <w:pPr>
              <w:jc w:val="right"/>
            </w:pPr>
            <w:r>
              <w:rPr>
                <w:color w:val="000000"/>
                <w:sz w:val="24"/>
                <w:szCs w:val="24"/>
              </w:rPr>
              <w:t>64,240,474.50</w:t>
            </w:r>
          </w:p>
        </w:tc>
        <w:tc>
          <w:tcPr>
            <w:tcW w:w="1644" w:type="dxa"/>
            <w:vAlign w:val="center"/>
          </w:tcPr>
          <w:p w:rsidR="00874813" w:rsidRDefault="00E33B15">
            <w:pPr>
              <w:jc w:val="right"/>
            </w:pPr>
            <w:r>
              <w:rPr>
                <w:color w:val="000000"/>
                <w:sz w:val="24"/>
                <w:szCs w:val="24"/>
              </w:rPr>
              <w:t>8.73</w:t>
            </w:r>
          </w:p>
        </w:tc>
      </w:tr>
      <w:tr w:rsidR="00874813">
        <w:trPr>
          <w:jc w:val="center"/>
        </w:trPr>
        <w:tc>
          <w:tcPr>
            <w:tcW w:w="855" w:type="dxa"/>
            <w:vAlign w:val="center"/>
          </w:tcPr>
          <w:p w:rsidR="00874813" w:rsidRDefault="00E33B15">
            <w:pPr>
              <w:jc w:val="center"/>
            </w:pPr>
            <w:r>
              <w:rPr>
                <w:color w:val="000000"/>
                <w:sz w:val="24"/>
                <w:szCs w:val="24"/>
              </w:rPr>
              <w:t>4</w:t>
            </w:r>
          </w:p>
        </w:tc>
        <w:tc>
          <w:tcPr>
            <w:tcW w:w="1334" w:type="dxa"/>
            <w:vAlign w:val="center"/>
          </w:tcPr>
          <w:p w:rsidR="00874813" w:rsidRDefault="00E33B15">
            <w:pPr>
              <w:jc w:val="center"/>
            </w:pPr>
            <w:r>
              <w:rPr>
                <w:color w:val="000000"/>
                <w:sz w:val="24"/>
                <w:szCs w:val="24"/>
              </w:rPr>
              <w:t>002304</w:t>
            </w:r>
          </w:p>
        </w:tc>
        <w:tc>
          <w:tcPr>
            <w:tcW w:w="1777" w:type="dxa"/>
            <w:vAlign w:val="center"/>
          </w:tcPr>
          <w:p w:rsidR="00874813" w:rsidRDefault="00E33B15">
            <w:pPr>
              <w:jc w:val="center"/>
            </w:pPr>
            <w:r>
              <w:rPr>
                <w:color w:val="000000"/>
                <w:sz w:val="24"/>
                <w:szCs w:val="24"/>
              </w:rPr>
              <w:t>洋河股份</w:t>
            </w:r>
          </w:p>
        </w:tc>
        <w:tc>
          <w:tcPr>
            <w:tcW w:w="1334" w:type="dxa"/>
            <w:vAlign w:val="center"/>
          </w:tcPr>
          <w:p w:rsidR="00874813" w:rsidRDefault="00E33B15">
            <w:pPr>
              <w:jc w:val="right"/>
            </w:pPr>
            <w:r>
              <w:rPr>
                <w:color w:val="000000"/>
                <w:sz w:val="24"/>
                <w:szCs w:val="24"/>
              </w:rPr>
              <w:t>447,643</w:t>
            </w:r>
          </w:p>
        </w:tc>
        <w:tc>
          <w:tcPr>
            <w:tcW w:w="1924" w:type="dxa"/>
            <w:vAlign w:val="center"/>
          </w:tcPr>
          <w:p w:rsidR="00874813" w:rsidRDefault="00E33B15">
            <w:pPr>
              <w:jc w:val="right"/>
            </w:pPr>
            <w:r>
              <w:rPr>
                <w:color w:val="000000"/>
                <w:sz w:val="24"/>
                <w:szCs w:val="24"/>
              </w:rPr>
              <w:t>58,909,818.80</w:t>
            </w:r>
          </w:p>
        </w:tc>
        <w:tc>
          <w:tcPr>
            <w:tcW w:w="1644" w:type="dxa"/>
            <w:vAlign w:val="center"/>
          </w:tcPr>
          <w:p w:rsidR="00874813" w:rsidRDefault="00E33B15">
            <w:pPr>
              <w:jc w:val="right"/>
            </w:pPr>
            <w:r>
              <w:rPr>
                <w:color w:val="000000"/>
                <w:sz w:val="24"/>
                <w:szCs w:val="24"/>
              </w:rPr>
              <w:t>8.00</w:t>
            </w:r>
          </w:p>
        </w:tc>
      </w:tr>
      <w:tr w:rsidR="00874813">
        <w:trPr>
          <w:jc w:val="center"/>
        </w:trPr>
        <w:tc>
          <w:tcPr>
            <w:tcW w:w="855" w:type="dxa"/>
            <w:vAlign w:val="center"/>
          </w:tcPr>
          <w:p w:rsidR="00874813" w:rsidRDefault="00E33B15">
            <w:pPr>
              <w:jc w:val="center"/>
            </w:pPr>
            <w:r>
              <w:rPr>
                <w:color w:val="000000"/>
                <w:sz w:val="24"/>
                <w:szCs w:val="24"/>
              </w:rPr>
              <w:t>5</w:t>
            </w:r>
          </w:p>
        </w:tc>
        <w:tc>
          <w:tcPr>
            <w:tcW w:w="1334" w:type="dxa"/>
            <w:vAlign w:val="center"/>
          </w:tcPr>
          <w:p w:rsidR="00874813" w:rsidRDefault="00E33B15">
            <w:pPr>
              <w:jc w:val="center"/>
            </w:pPr>
            <w:r>
              <w:rPr>
                <w:color w:val="000000"/>
                <w:sz w:val="24"/>
                <w:szCs w:val="24"/>
              </w:rPr>
              <w:t>000858</w:t>
            </w:r>
          </w:p>
        </w:tc>
        <w:tc>
          <w:tcPr>
            <w:tcW w:w="1777" w:type="dxa"/>
            <w:vAlign w:val="center"/>
          </w:tcPr>
          <w:p w:rsidR="00874813" w:rsidRDefault="00E33B15">
            <w:pPr>
              <w:jc w:val="center"/>
            </w:pPr>
            <w:r>
              <w:rPr>
                <w:color w:val="000000"/>
                <w:sz w:val="24"/>
                <w:szCs w:val="24"/>
              </w:rPr>
              <w:t>五粮液</w:t>
            </w:r>
          </w:p>
        </w:tc>
        <w:tc>
          <w:tcPr>
            <w:tcW w:w="1334" w:type="dxa"/>
            <w:vAlign w:val="center"/>
          </w:tcPr>
          <w:p w:rsidR="00874813" w:rsidRDefault="00E33B15">
            <w:pPr>
              <w:jc w:val="right"/>
            </w:pPr>
            <w:r>
              <w:rPr>
                <w:color w:val="000000"/>
                <w:sz w:val="24"/>
                <w:szCs w:val="24"/>
              </w:rPr>
              <w:t>767,720</w:t>
            </w:r>
          </w:p>
        </w:tc>
        <w:tc>
          <w:tcPr>
            <w:tcW w:w="1924" w:type="dxa"/>
            <w:vAlign w:val="center"/>
          </w:tcPr>
          <w:p w:rsidR="00874813" w:rsidRDefault="00E33B15">
            <w:pPr>
              <w:jc w:val="right"/>
            </w:pPr>
            <w:r>
              <w:rPr>
                <w:color w:val="000000"/>
                <w:sz w:val="24"/>
                <w:szCs w:val="24"/>
              </w:rPr>
              <w:t>58,346,720.00</w:t>
            </w:r>
          </w:p>
        </w:tc>
        <w:tc>
          <w:tcPr>
            <w:tcW w:w="1644" w:type="dxa"/>
            <w:vAlign w:val="center"/>
          </w:tcPr>
          <w:p w:rsidR="00874813" w:rsidRDefault="00E33B15">
            <w:pPr>
              <w:jc w:val="right"/>
            </w:pPr>
            <w:r>
              <w:rPr>
                <w:color w:val="000000"/>
                <w:sz w:val="24"/>
                <w:szCs w:val="24"/>
              </w:rPr>
              <w:t>7.93</w:t>
            </w:r>
          </w:p>
        </w:tc>
      </w:tr>
      <w:tr w:rsidR="00874813">
        <w:trPr>
          <w:jc w:val="center"/>
        </w:trPr>
        <w:tc>
          <w:tcPr>
            <w:tcW w:w="855" w:type="dxa"/>
            <w:vAlign w:val="center"/>
          </w:tcPr>
          <w:p w:rsidR="00874813" w:rsidRDefault="00E33B15">
            <w:pPr>
              <w:jc w:val="center"/>
            </w:pPr>
            <w:r>
              <w:rPr>
                <w:color w:val="000000"/>
                <w:sz w:val="24"/>
                <w:szCs w:val="24"/>
              </w:rPr>
              <w:t>6</w:t>
            </w:r>
          </w:p>
        </w:tc>
        <w:tc>
          <w:tcPr>
            <w:tcW w:w="1334" w:type="dxa"/>
            <w:vAlign w:val="center"/>
          </w:tcPr>
          <w:p w:rsidR="00874813" w:rsidRDefault="00E33B15">
            <w:pPr>
              <w:jc w:val="center"/>
            </w:pPr>
            <w:r>
              <w:rPr>
                <w:color w:val="000000"/>
                <w:sz w:val="24"/>
                <w:szCs w:val="24"/>
              </w:rPr>
              <w:t>002027</w:t>
            </w:r>
          </w:p>
        </w:tc>
        <w:tc>
          <w:tcPr>
            <w:tcW w:w="1777" w:type="dxa"/>
            <w:vAlign w:val="center"/>
          </w:tcPr>
          <w:p w:rsidR="00874813" w:rsidRDefault="00E33B15">
            <w:pPr>
              <w:jc w:val="center"/>
            </w:pPr>
            <w:r>
              <w:rPr>
                <w:color w:val="000000"/>
                <w:sz w:val="24"/>
                <w:szCs w:val="24"/>
              </w:rPr>
              <w:t>分众传媒</w:t>
            </w:r>
          </w:p>
        </w:tc>
        <w:tc>
          <w:tcPr>
            <w:tcW w:w="1334" w:type="dxa"/>
            <w:vAlign w:val="center"/>
          </w:tcPr>
          <w:p w:rsidR="00874813" w:rsidRDefault="00E33B15">
            <w:pPr>
              <w:jc w:val="right"/>
            </w:pPr>
            <w:r>
              <w:rPr>
                <w:color w:val="000000"/>
                <w:sz w:val="24"/>
                <w:szCs w:val="24"/>
              </w:rPr>
              <w:t>4,677,240</w:t>
            </w:r>
          </w:p>
        </w:tc>
        <w:tc>
          <w:tcPr>
            <w:tcW w:w="1924" w:type="dxa"/>
            <w:vAlign w:val="center"/>
          </w:tcPr>
          <w:p w:rsidR="00874813" w:rsidRDefault="00E33B15">
            <w:pPr>
              <w:jc w:val="right"/>
            </w:pPr>
            <w:r>
              <w:rPr>
                <w:color w:val="000000"/>
                <w:sz w:val="24"/>
                <w:szCs w:val="24"/>
              </w:rPr>
              <w:t>44,139,094.80</w:t>
            </w:r>
          </w:p>
        </w:tc>
        <w:tc>
          <w:tcPr>
            <w:tcW w:w="1644" w:type="dxa"/>
            <w:vAlign w:val="center"/>
          </w:tcPr>
          <w:p w:rsidR="00874813" w:rsidRDefault="00E33B15">
            <w:pPr>
              <w:jc w:val="right"/>
            </w:pPr>
            <w:r>
              <w:rPr>
                <w:color w:val="000000"/>
                <w:sz w:val="24"/>
                <w:szCs w:val="24"/>
              </w:rPr>
              <w:t>6.00</w:t>
            </w:r>
          </w:p>
        </w:tc>
      </w:tr>
      <w:tr w:rsidR="00874813">
        <w:trPr>
          <w:jc w:val="center"/>
        </w:trPr>
        <w:tc>
          <w:tcPr>
            <w:tcW w:w="855" w:type="dxa"/>
            <w:vAlign w:val="center"/>
          </w:tcPr>
          <w:p w:rsidR="00874813" w:rsidRDefault="00E33B15">
            <w:pPr>
              <w:jc w:val="center"/>
            </w:pPr>
            <w:r>
              <w:rPr>
                <w:color w:val="000000"/>
                <w:sz w:val="24"/>
                <w:szCs w:val="24"/>
              </w:rPr>
              <w:t>7</w:t>
            </w:r>
          </w:p>
        </w:tc>
        <w:tc>
          <w:tcPr>
            <w:tcW w:w="1334" w:type="dxa"/>
            <w:vAlign w:val="center"/>
          </w:tcPr>
          <w:p w:rsidR="00874813" w:rsidRDefault="00E33B15">
            <w:pPr>
              <w:jc w:val="center"/>
            </w:pPr>
            <w:r>
              <w:rPr>
                <w:color w:val="000000"/>
                <w:sz w:val="24"/>
                <w:szCs w:val="24"/>
              </w:rPr>
              <w:t>600559</w:t>
            </w:r>
          </w:p>
        </w:tc>
        <w:tc>
          <w:tcPr>
            <w:tcW w:w="1777" w:type="dxa"/>
            <w:vAlign w:val="center"/>
          </w:tcPr>
          <w:p w:rsidR="00874813" w:rsidRDefault="00E33B15">
            <w:pPr>
              <w:jc w:val="center"/>
            </w:pPr>
            <w:r>
              <w:rPr>
                <w:color w:val="000000"/>
                <w:sz w:val="24"/>
                <w:szCs w:val="24"/>
              </w:rPr>
              <w:t>老白干酒</w:t>
            </w:r>
          </w:p>
        </w:tc>
        <w:tc>
          <w:tcPr>
            <w:tcW w:w="1334" w:type="dxa"/>
            <w:vAlign w:val="center"/>
          </w:tcPr>
          <w:p w:rsidR="00874813" w:rsidRDefault="00E33B15">
            <w:pPr>
              <w:jc w:val="right"/>
            </w:pPr>
            <w:r>
              <w:rPr>
                <w:color w:val="000000"/>
                <w:sz w:val="24"/>
                <w:szCs w:val="24"/>
              </w:rPr>
              <w:t>1,492,789</w:t>
            </w:r>
          </w:p>
        </w:tc>
        <w:tc>
          <w:tcPr>
            <w:tcW w:w="1924" w:type="dxa"/>
            <w:vAlign w:val="center"/>
          </w:tcPr>
          <w:p w:rsidR="00874813" w:rsidRDefault="00E33B15">
            <w:pPr>
              <w:jc w:val="right"/>
            </w:pPr>
            <w:r>
              <w:rPr>
                <w:color w:val="000000"/>
                <w:sz w:val="24"/>
                <w:szCs w:val="24"/>
              </w:rPr>
              <w:t>29,840,852.11</w:t>
            </w:r>
          </w:p>
        </w:tc>
        <w:tc>
          <w:tcPr>
            <w:tcW w:w="1644" w:type="dxa"/>
            <w:vAlign w:val="center"/>
          </w:tcPr>
          <w:p w:rsidR="00874813" w:rsidRDefault="00E33B15">
            <w:pPr>
              <w:jc w:val="right"/>
            </w:pPr>
            <w:r>
              <w:rPr>
                <w:color w:val="000000"/>
                <w:sz w:val="24"/>
                <w:szCs w:val="24"/>
              </w:rPr>
              <w:t>4.05</w:t>
            </w:r>
          </w:p>
        </w:tc>
      </w:tr>
      <w:tr w:rsidR="00874813">
        <w:trPr>
          <w:jc w:val="center"/>
        </w:trPr>
        <w:tc>
          <w:tcPr>
            <w:tcW w:w="855" w:type="dxa"/>
            <w:vAlign w:val="center"/>
          </w:tcPr>
          <w:p w:rsidR="00874813" w:rsidRDefault="00E33B15">
            <w:pPr>
              <w:jc w:val="center"/>
            </w:pPr>
            <w:r>
              <w:rPr>
                <w:color w:val="000000"/>
                <w:sz w:val="24"/>
                <w:szCs w:val="24"/>
              </w:rPr>
              <w:t>8</w:t>
            </w:r>
          </w:p>
        </w:tc>
        <w:tc>
          <w:tcPr>
            <w:tcW w:w="1334" w:type="dxa"/>
            <w:vAlign w:val="center"/>
          </w:tcPr>
          <w:p w:rsidR="00874813" w:rsidRDefault="00E33B15">
            <w:pPr>
              <w:jc w:val="center"/>
            </w:pPr>
            <w:r>
              <w:rPr>
                <w:color w:val="000000"/>
                <w:sz w:val="24"/>
                <w:szCs w:val="24"/>
              </w:rPr>
              <w:t>600315</w:t>
            </w:r>
          </w:p>
        </w:tc>
        <w:tc>
          <w:tcPr>
            <w:tcW w:w="1777" w:type="dxa"/>
            <w:vAlign w:val="center"/>
          </w:tcPr>
          <w:p w:rsidR="00874813" w:rsidRDefault="00E33B15">
            <w:pPr>
              <w:jc w:val="center"/>
            </w:pPr>
            <w:r>
              <w:rPr>
                <w:color w:val="000000"/>
                <w:sz w:val="24"/>
                <w:szCs w:val="24"/>
              </w:rPr>
              <w:t>上海家化</w:t>
            </w:r>
          </w:p>
        </w:tc>
        <w:tc>
          <w:tcPr>
            <w:tcW w:w="1334" w:type="dxa"/>
            <w:vAlign w:val="center"/>
          </w:tcPr>
          <w:p w:rsidR="00874813" w:rsidRDefault="00E33B15">
            <w:pPr>
              <w:jc w:val="right"/>
            </w:pPr>
            <w:r>
              <w:rPr>
                <w:color w:val="000000"/>
                <w:sz w:val="24"/>
                <w:szCs w:val="24"/>
              </w:rPr>
              <w:t>574,953</w:t>
            </w:r>
          </w:p>
        </w:tc>
        <w:tc>
          <w:tcPr>
            <w:tcW w:w="1924" w:type="dxa"/>
            <w:vAlign w:val="center"/>
          </w:tcPr>
          <w:p w:rsidR="00874813" w:rsidRDefault="00E33B15">
            <w:pPr>
              <w:jc w:val="right"/>
            </w:pPr>
            <w:r>
              <w:rPr>
                <w:color w:val="000000"/>
                <w:sz w:val="24"/>
                <w:szCs w:val="24"/>
              </w:rPr>
              <w:t>22,785,387.39</w:t>
            </w:r>
          </w:p>
        </w:tc>
        <w:tc>
          <w:tcPr>
            <w:tcW w:w="1644" w:type="dxa"/>
            <w:vAlign w:val="center"/>
          </w:tcPr>
          <w:p w:rsidR="00874813" w:rsidRDefault="00E33B15">
            <w:pPr>
              <w:jc w:val="right"/>
            </w:pPr>
            <w:r>
              <w:rPr>
                <w:color w:val="000000"/>
                <w:sz w:val="24"/>
                <w:szCs w:val="24"/>
              </w:rPr>
              <w:t>3.10</w:t>
            </w:r>
          </w:p>
        </w:tc>
      </w:tr>
      <w:tr w:rsidR="00874813">
        <w:trPr>
          <w:jc w:val="center"/>
        </w:trPr>
        <w:tc>
          <w:tcPr>
            <w:tcW w:w="855" w:type="dxa"/>
            <w:vAlign w:val="center"/>
          </w:tcPr>
          <w:p w:rsidR="00874813" w:rsidRDefault="00E33B15">
            <w:pPr>
              <w:jc w:val="center"/>
            </w:pPr>
            <w:r>
              <w:rPr>
                <w:color w:val="000000"/>
                <w:sz w:val="24"/>
                <w:szCs w:val="24"/>
              </w:rPr>
              <w:t>9</w:t>
            </w:r>
          </w:p>
        </w:tc>
        <w:tc>
          <w:tcPr>
            <w:tcW w:w="1334" w:type="dxa"/>
            <w:vAlign w:val="center"/>
          </w:tcPr>
          <w:p w:rsidR="00874813" w:rsidRDefault="00E33B15">
            <w:pPr>
              <w:jc w:val="center"/>
            </w:pPr>
            <w:r>
              <w:rPr>
                <w:color w:val="000000"/>
                <w:sz w:val="24"/>
                <w:szCs w:val="24"/>
              </w:rPr>
              <w:t>002024</w:t>
            </w:r>
          </w:p>
        </w:tc>
        <w:tc>
          <w:tcPr>
            <w:tcW w:w="1777" w:type="dxa"/>
            <w:vAlign w:val="center"/>
          </w:tcPr>
          <w:p w:rsidR="00874813" w:rsidRDefault="00E33B15">
            <w:pPr>
              <w:jc w:val="center"/>
            </w:pPr>
            <w:r>
              <w:rPr>
                <w:color w:val="000000"/>
                <w:sz w:val="24"/>
                <w:szCs w:val="24"/>
              </w:rPr>
              <w:t>苏宁易购</w:t>
            </w:r>
          </w:p>
        </w:tc>
        <w:tc>
          <w:tcPr>
            <w:tcW w:w="1334" w:type="dxa"/>
            <w:vAlign w:val="center"/>
          </w:tcPr>
          <w:p w:rsidR="00874813" w:rsidRDefault="00E33B15">
            <w:pPr>
              <w:jc w:val="right"/>
            </w:pPr>
            <w:r>
              <w:rPr>
                <w:color w:val="000000"/>
                <w:sz w:val="24"/>
                <w:szCs w:val="24"/>
              </w:rPr>
              <w:t>1,575,000</w:t>
            </w:r>
          </w:p>
        </w:tc>
        <w:tc>
          <w:tcPr>
            <w:tcW w:w="1924" w:type="dxa"/>
            <w:vAlign w:val="center"/>
          </w:tcPr>
          <w:p w:rsidR="00874813" w:rsidRDefault="00E33B15">
            <w:pPr>
              <w:jc w:val="right"/>
            </w:pPr>
            <w:r>
              <w:rPr>
                <w:color w:val="000000"/>
                <w:sz w:val="24"/>
                <w:szCs w:val="24"/>
              </w:rPr>
              <w:t>22,176,000.00</w:t>
            </w:r>
          </w:p>
        </w:tc>
        <w:tc>
          <w:tcPr>
            <w:tcW w:w="1644" w:type="dxa"/>
            <w:vAlign w:val="center"/>
          </w:tcPr>
          <w:p w:rsidR="00874813" w:rsidRDefault="00E33B15">
            <w:pPr>
              <w:jc w:val="right"/>
            </w:pPr>
            <w:r>
              <w:rPr>
                <w:color w:val="000000"/>
                <w:sz w:val="24"/>
                <w:szCs w:val="24"/>
              </w:rPr>
              <w:t>3.01</w:t>
            </w:r>
          </w:p>
        </w:tc>
      </w:tr>
      <w:tr w:rsidR="00874813">
        <w:trPr>
          <w:jc w:val="center"/>
        </w:trPr>
        <w:tc>
          <w:tcPr>
            <w:tcW w:w="855" w:type="dxa"/>
            <w:vAlign w:val="center"/>
          </w:tcPr>
          <w:p w:rsidR="00874813" w:rsidRDefault="00E33B15">
            <w:pPr>
              <w:jc w:val="center"/>
            </w:pPr>
            <w:r>
              <w:rPr>
                <w:color w:val="000000"/>
                <w:sz w:val="24"/>
                <w:szCs w:val="24"/>
              </w:rPr>
              <w:t>10</w:t>
            </w:r>
          </w:p>
        </w:tc>
        <w:tc>
          <w:tcPr>
            <w:tcW w:w="1334" w:type="dxa"/>
            <w:vAlign w:val="center"/>
          </w:tcPr>
          <w:p w:rsidR="00874813" w:rsidRDefault="00E33B15">
            <w:pPr>
              <w:jc w:val="center"/>
            </w:pPr>
            <w:r>
              <w:rPr>
                <w:color w:val="000000"/>
                <w:sz w:val="24"/>
                <w:szCs w:val="24"/>
              </w:rPr>
              <w:t>000596</w:t>
            </w:r>
          </w:p>
        </w:tc>
        <w:tc>
          <w:tcPr>
            <w:tcW w:w="1777" w:type="dxa"/>
            <w:vAlign w:val="center"/>
          </w:tcPr>
          <w:p w:rsidR="00874813" w:rsidRDefault="00E33B15">
            <w:pPr>
              <w:jc w:val="center"/>
            </w:pPr>
            <w:r>
              <w:rPr>
                <w:color w:val="000000"/>
                <w:sz w:val="24"/>
                <w:szCs w:val="24"/>
              </w:rPr>
              <w:t>古井贡酒</w:t>
            </w:r>
          </w:p>
        </w:tc>
        <w:tc>
          <w:tcPr>
            <w:tcW w:w="1334" w:type="dxa"/>
            <w:vAlign w:val="center"/>
          </w:tcPr>
          <w:p w:rsidR="00874813" w:rsidRDefault="00E33B15">
            <w:pPr>
              <w:jc w:val="right"/>
            </w:pPr>
            <w:r>
              <w:rPr>
                <w:color w:val="000000"/>
                <w:sz w:val="24"/>
                <w:szCs w:val="24"/>
              </w:rPr>
              <w:t>235,200</w:t>
            </w:r>
          </w:p>
        </w:tc>
        <w:tc>
          <w:tcPr>
            <w:tcW w:w="1924" w:type="dxa"/>
            <w:vAlign w:val="center"/>
          </w:tcPr>
          <w:p w:rsidR="00874813" w:rsidRDefault="00E33B15">
            <w:pPr>
              <w:jc w:val="right"/>
            </w:pPr>
            <w:r>
              <w:rPr>
                <w:color w:val="000000"/>
                <w:sz w:val="24"/>
                <w:szCs w:val="24"/>
              </w:rPr>
              <w:t>20,881,056.00</w:t>
            </w:r>
          </w:p>
        </w:tc>
        <w:tc>
          <w:tcPr>
            <w:tcW w:w="1644" w:type="dxa"/>
            <w:vAlign w:val="center"/>
          </w:tcPr>
          <w:p w:rsidR="00874813" w:rsidRDefault="00E33B15">
            <w:pPr>
              <w:jc w:val="right"/>
            </w:pPr>
            <w:r>
              <w:rPr>
                <w:color w:val="000000"/>
                <w:sz w:val="24"/>
                <w:szCs w:val="24"/>
              </w:rPr>
              <w:t>2.84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25,669,159.83</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3.49</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65,669,159.83</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8.92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74813">
        <w:trPr>
          <w:jc w:val="center"/>
        </w:trPr>
        <w:tc>
          <w:tcPr>
            <w:tcW w:w="850" w:type="dxa"/>
            <w:vAlign w:val="center"/>
          </w:tcPr>
          <w:p w:rsidR="00874813" w:rsidRDefault="00E33B15">
            <w:pPr>
              <w:jc w:val="center"/>
            </w:pPr>
            <w:r>
              <w:rPr>
                <w:color w:val="000000"/>
                <w:sz w:val="24"/>
                <w:szCs w:val="24"/>
              </w:rPr>
              <w:t>1</w:t>
            </w:r>
          </w:p>
        </w:tc>
        <w:tc>
          <w:tcPr>
            <w:tcW w:w="1475" w:type="dxa"/>
            <w:vAlign w:val="center"/>
          </w:tcPr>
          <w:p w:rsidR="00874813" w:rsidRDefault="00E33B15">
            <w:pPr>
              <w:jc w:val="center"/>
            </w:pPr>
            <w:r>
              <w:rPr>
                <w:color w:val="000000"/>
                <w:sz w:val="24"/>
                <w:szCs w:val="24"/>
              </w:rPr>
              <w:t>170308</w:t>
            </w:r>
          </w:p>
        </w:tc>
        <w:tc>
          <w:tcPr>
            <w:tcW w:w="1769" w:type="dxa"/>
            <w:vAlign w:val="center"/>
          </w:tcPr>
          <w:p w:rsidR="00874813" w:rsidRDefault="00E33B15">
            <w:pPr>
              <w:jc w:val="center"/>
            </w:pPr>
            <w:r>
              <w:rPr>
                <w:color w:val="000000"/>
                <w:sz w:val="24"/>
                <w:szCs w:val="24"/>
              </w:rPr>
              <w:t>17</w:t>
            </w:r>
            <w:r>
              <w:rPr>
                <w:color w:val="000000"/>
                <w:sz w:val="24"/>
                <w:szCs w:val="24"/>
              </w:rPr>
              <w:t>进出</w:t>
            </w:r>
            <w:r>
              <w:rPr>
                <w:color w:val="000000"/>
                <w:sz w:val="24"/>
                <w:szCs w:val="24"/>
              </w:rPr>
              <w:t>08</w:t>
            </w:r>
          </w:p>
        </w:tc>
        <w:tc>
          <w:tcPr>
            <w:tcW w:w="1387" w:type="dxa"/>
            <w:vAlign w:val="center"/>
          </w:tcPr>
          <w:p w:rsidR="00874813" w:rsidRDefault="00E33B15">
            <w:pPr>
              <w:jc w:val="right"/>
            </w:pPr>
            <w:r>
              <w:rPr>
                <w:color w:val="000000"/>
                <w:sz w:val="24"/>
                <w:szCs w:val="24"/>
              </w:rPr>
              <w:t>400,000</w:t>
            </w:r>
          </w:p>
        </w:tc>
        <w:tc>
          <w:tcPr>
            <w:tcW w:w="2150" w:type="dxa"/>
            <w:vAlign w:val="center"/>
          </w:tcPr>
          <w:p w:rsidR="00874813" w:rsidRDefault="00E33B15">
            <w:pPr>
              <w:jc w:val="right"/>
            </w:pPr>
            <w:r>
              <w:rPr>
                <w:color w:val="000000"/>
                <w:sz w:val="24"/>
                <w:szCs w:val="24"/>
              </w:rPr>
              <w:t>40,000,000.00</w:t>
            </w:r>
          </w:p>
        </w:tc>
        <w:tc>
          <w:tcPr>
            <w:tcW w:w="1237" w:type="dxa"/>
            <w:vAlign w:val="center"/>
          </w:tcPr>
          <w:p w:rsidR="00874813" w:rsidRDefault="00E33B15">
            <w:pPr>
              <w:jc w:val="right"/>
            </w:pPr>
            <w:r>
              <w:rPr>
                <w:color w:val="000000"/>
                <w:sz w:val="24"/>
                <w:szCs w:val="24"/>
              </w:rPr>
              <w:t>5.43</w:t>
            </w:r>
          </w:p>
        </w:tc>
      </w:tr>
      <w:tr w:rsidR="00874813">
        <w:trPr>
          <w:jc w:val="center"/>
        </w:trPr>
        <w:tc>
          <w:tcPr>
            <w:tcW w:w="850" w:type="dxa"/>
            <w:vAlign w:val="center"/>
          </w:tcPr>
          <w:p w:rsidR="00874813" w:rsidRDefault="00E33B15">
            <w:pPr>
              <w:jc w:val="center"/>
            </w:pPr>
            <w:r>
              <w:rPr>
                <w:color w:val="000000"/>
                <w:sz w:val="24"/>
                <w:szCs w:val="24"/>
              </w:rPr>
              <w:t>2</w:t>
            </w:r>
          </w:p>
        </w:tc>
        <w:tc>
          <w:tcPr>
            <w:tcW w:w="1475" w:type="dxa"/>
            <w:vAlign w:val="center"/>
          </w:tcPr>
          <w:p w:rsidR="00874813" w:rsidRDefault="00E33B15">
            <w:pPr>
              <w:jc w:val="center"/>
            </w:pPr>
            <w:r>
              <w:rPr>
                <w:color w:val="000000"/>
                <w:sz w:val="24"/>
                <w:szCs w:val="24"/>
              </w:rPr>
              <w:t>127003</w:t>
            </w:r>
          </w:p>
        </w:tc>
        <w:tc>
          <w:tcPr>
            <w:tcW w:w="1769" w:type="dxa"/>
            <w:vAlign w:val="center"/>
          </w:tcPr>
          <w:p w:rsidR="00874813" w:rsidRDefault="00E33B15">
            <w:pPr>
              <w:jc w:val="center"/>
            </w:pPr>
            <w:r>
              <w:rPr>
                <w:color w:val="000000"/>
                <w:sz w:val="24"/>
                <w:szCs w:val="24"/>
              </w:rPr>
              <w:t>海印转债</w:t>
            </w:r>
          </w:p>
        </w:tc>
        <w:tc>
          <w:tcPr>
            <w:tcW w:w="1387" w:type="dxa"/>
            <w:vAlign w:val="center"/>
          </w:tcPr>
          <w:p w:rsidR="00874813" w:rsidRDefault="00E33B15">
            <w:pPr>
              <w:jc w:val="right"/>
            </w:pPr>
            <w:r>
              <w:rPr>
                <w:color w:val="000000"/>
                <w:sz w:val="24"/>
                <w:szCs w:val="24"/>
              </w:rPr>
              <w:t>128,375</w:t>
            </w:r>
          </w:p>
        </w:tc>
        <w:tc>
          <w:tcPr>
            <w:tcW w:w="2150" w:type="dxa"/>
            <w:vAlign w:val="center"/>
          </w:tcPr>
          <w:p w:rsidR="00874813" w:rsidRDefault="00E33B15">
            <w:pPr>
              <w:jc w:val="right"/>
            </w:pPr>
            <w:r>
              <w:rPr>
                <w:color w:val="000000"/>
                <w:sz w:val="24"/>
                <w:szCs w:val="24"/>
              </w:rPr>
              <w:t>10,771,946.25</w:t>
            </w:r>
          </w:p>
        </w:tc>
        <w:tc>
          <w:tcPr>
            <w:tcW w:w="1237" w:type="dxa"/>
            <w:vAlign w:val="center"/>
          </w:tcPr>
          <w:p w:rsidR="00874813" w:rsidRDefault="00E33B15">
            <w:pPr>
              <w:jc w:val="right"/>
            </w:pPr>
            <w:r>
              <w:rPr>
                <w:color w:val="000000"/>
                <w:sz w:val="24"/>
                <w:szCs w:val="24"/>
              </w:rPr>
              <w:t>1.46</w:t>
            </w:r>
          </w:p>
        </w:tc>
      </w:tr>
      <w:tr w:rsidR="00874813">
        <w:trPr>
          <w:jc w:val="center"/>
        </w:trPr>
        <w:tc>
          <w:tcPr>
            <w:tcW w:w="850" w:type="dxa"/>
            <w:vAlign w:val="center"/>
          </w:tcPr>
          <w:p w:rsidR="00874813" w:rsidRDefault="00E33B15">
            <w:pPr>
              <w:jc w:val="center"/>
            </w:pPr>
            <w:r>
              <w:rPr>
                <w:color w:val="000000"/>
                <w:sz w:val="24"/>
                <w:szCs w:val="24"/>
              </w:rPr>
              <w:t>3</w:t>
            </w:r>
          </w:p>
        </w:tc>
        <w:tc>
          <w:tcPr>
            <w:tcW w:w="1475" w:type="dxa"/>
            <w:vAlign w:val="center"/>
          </w:tcPr>
          <w:p w:rsidR="00874813" w:rsidRDefault="00E33B15">
            <w:pPr>
              <w:jc w:val="center"/>
            </w:pPr>
            <w:r>
              <w:rPr>
                <w:color w:val="000000"/>
                <w:sz w:val="24"/>
                <w:szCs w:val="24"/>
              </w:rPr>
              <w:t>128013</w:t>
            </w:r>
          </w:p>
        </w:tc>
        <w:tc>
          <w:tcPr>
            <w:tcW w:w="1769" w:type="dxa"/>
            <w:vAlign w:val="center"/>
          </w:tcPr>
          <w:p w:rsidR="00874813" w:rsidRDefault="00E33B15">
            <w:pPr>
              <w:jc w:val="center"/>
            </w:pPr>
            <w:r>
              <w:rPr>
                <w:color w:val="000000"/>
                <w:sz w:val="24"/>
                <w:szCs w:val="24"/>
              </w:rPr>
              <w:t>洪涛转债</w:t>
            </w:r>
          </w:p>
        </w:tc>
        <w:tc>
          <w:tcPr>
            <w:tcW w:w="1387" w:type="dxa"/>
            <w:vAlign w:val="center"/>
          </w:tcPr>
          <w:p w:rsidR="00874813" w:rsidRDefault="00E33B15">
            <w:pPr>
              <w:jc w:val="right"/>
            </w:pPr>
            <w:r>
              <w:rPr>
                <w:color w:val="000000"/>
                <w:sz w:val="24"/>
                <w:szCs w:val="24"/>
              </w:rPr>
              <w:t>112,134</w:t>
            </w:r>
          </w:p>
        </w:tc>
        <w:tc>
          <w:tcPr>
            <w:tcW w:w="2150" w:type="dxa"/>
            <w:vAlign w:val="center"/>
          </w:tcPr>
          <w:p w:rsidR="00874813" w:rsidRDefault="00E33B15">
            <w:pPr>
              <w:jc w:val="right"/>
            </w:pPr>
            <w:r>
              <w:rPr>
                <w:color w:val="000000"/>
                <w:sz w:val="24"/>
                <w:szCs w:val="24"/>
              </w:rPr>
              <w:t>9,685,013.58</w:t>
            </w:r>
          </w:p>
        </w:tc>
        <w:tc>
          <w:tcPr>
            <w:tcW w:w="1237" w:type="dxa"/>
            <w:vAlign w:val="center"/>
          </w:tcPr>
          <w:p w:rsidR="00874813" w:rsidRDefault="00E33B15">
            <w:pPr>
              <w:jc w:val="right"/>
            </w:pPr>
            <w:r>
              <w:rPr>
                <w:color w:val="000000"/>
                <w:sz w:val="24"/>
                <w:szCs w:val="24"/>
              </w:rPr>
              <w:t>1.32</w:t>
            </w:r>
          </w:p>
        </w:tc>
      </w:tr>
      <w:tr w:rsidR="00874813">
        <w:trPr>
          <w:jc w:val="center"/>
        </w:trPr>
        <w:tc>
          <w:tcPr>
            <w:tcW w:w="850" w:type="dxa"/>
            <w:vAlign w:val="center"/>
          </w:tcPr>
          <w:p w:rsidR="00874813" w:rsidRDefault="00E33B15">
            <w:pPr>
              <w:jc w:val="center"/>
            </w:pPr>
            <w:r>
              <w:rPr>
                <w:color w:val="000000"/>
                <w:sz w:val="24"/>
                <w:szCs w:val="24"/>
              </w:rPr>
              <w:t>4</w:t>
            </w:r>
          </w:p>
        </w:tc>
        <w:tc>
          <w:tcPr>
            <w:tcW w:w="1475" w:type="dxa"/>
            <w:vAlign w:val="center"/>
          </w:tcPr>
          <w:p w:rsidR="00874813" w:rsidRDefault="00E33B15">
            <w:pPr>
              <w:jc w:val="center"/>
            </w:pPr>
            <w:r>
              <w:rPr>
                <w:color w:val="000000"/>
                <w:sz w:val="24"/>
                <w:szCs w:val="24"/>
              </w:rPr>
              <w:t>123001</w:t>
            </w:r>
          </w:p>
        </w:tc>
        <w:tc>
          <w:tcPr>
            <w:tcW w:w="1769" w:type="dxa"/>
            <w:vAlign w:val="center"/>
          </w:tcPr>
          <w:p w:rsidR="00874813" w:rsidRDefault="00E33B15">
            <w:pPr>
              <w:jc w:val="center"/>
            </w:pPr>
            <w:r>
              <w:rPr>
                <w:color w:val="000000"/>
                <w:sz w:val="24"/>
                <w:szCs w:val="24"/>
              </w:rPr>
              <w:t>蓝标转债</w:t>
            </w:r>
          </w:p>
        </w:tc>
        <w:tc>
          <w:tcPr>
            <w:tcW w:w="1387" w:type="dxa"/>
            <w:vAlign w:val="center"/>
          </w:tcPr>
          <w:p w:rsidR="00874813" w:rsidRDefault="00E33B15">
            <w:pPr>
              <w:jc w:val="right"/>
            </w:pPr>
            <w:r>
              <w:rPr>
                <w:color w:val="000000"/>
                <w:sz w:val="24"/>
                <w:szCs w:val="24"/>
              </w:rPr>
              <w:t>60,000</w:t>
            </w:r>
          </w:p>
        </w:tc>
        <w:tc>
          <w:tcPr>
            <w:tcW w:w="2150" w:type="dxa"/>
            <w:vAlign w:val="center"/>
          </w:tcPr>
          <w:p w:rsidR="00874813" w:rsidRDefault="00E33B15">
            <w:pPr>
              <w:jc w:val="right"/>
            </w:pPr>
            <w:r>
              <w:rPr>
                <w:color w:val="000000"/>
                <w:sz w:val="24"/>
                <w:szCs w:val="24"/>
              </w:rPr>
              <w:t>5,212,200.00</w:t>
            </w:r>
          </w:p>
        </w:tc>
        <w:tc>
          <w:tcPr>
            <w:tcW w:w="1237" w:type="dxa"/>
            <w:vAlign w:val="center"/>
          </w:tcPr>
          <w:p w:rsidR="00874813" w:rsidRDefault="00E33B15">
            <w:pPr>
              <w:jc w:val="right"/>
            </w:pPr>
            <w:r>
              <w:rPr>
                <w:color w:val="000000"/>
                <w:sz w:val="24"/>
                <w:szCs w:val="24"/>
              </w:rPr>
              <w:t>0.71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248,877.14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3,415,327.49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1,630,552.70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762,800.66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6,057,557.99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874813">
        <w:trPr>
          <w:jc w:val="center"/>
        </w:trPr>
        <w:tc>
          <w:tcPr>
            <w:tcW w:w="1883" w:type="dxa"/>
            <w:vAlign w:val="center"/>
          </w:tcPr>
          <w:p w:rsidR="00874813" w:rsidRDefault="00E33B15">
            <w:pPr>
              <w:jc w:val="center"/>
            </w:pPr>
            <w:r>
              <w:rPr>
                <w:color w:val="000000"/>
                <w:sz w:val="24"/>
                <w:szCs w:val="24"/>
              </w:rPr>
              <w:t>1</w:t>
            </w:r>
          </w:p>
        </w:tc>
        <w:tc>
          <w:tcPr>
            <w:tcW w:w="1801" w:type="dxa"/>
            <w:vAlign w:val="center"/>
          </w:tcPr>
          <w:p w:rsidR="00874813" w:rsidRDefault="00E33B15">
            <w:pPr>
              <w:jc w:val="center"/>
            </w:pPr>
            <w:r>
              <w:rPr>
                <w:color w:val="000000"/>
                <w:sz w:val="24"/>
                <w:szCs w:val="24"/>
              </w:rPr>
              <w:t>127003</w:t>
            </w:r>
          </w:p>
        </w:tc>
        <w:tc>
          <w:tcPr>
            <w:tcW w:w="1727" w:type="dxa"/>
            <w:vAlign w:val="center"/>
          </w:tcPr>
          <w:p w:rsidR="00874813" w:rsidRDefault="00E33B15">
            <w:pPr>
              <w:jc w:val="center"/>
            </w:pPr>
            <w:r>
              <w:rPr>
                <w:color w:val="000000"/>
                <w:sz w:val="24"/>
                <w:szCs w:val="24"/>
              </w:rPr>
              <w:t>海印转债</w:t>
            </w:r>
          </w:p>
        </w:tc>
        <w:tc>
          <w:tcPr>
            <w:tcW w:w="1768" w:type="dxa"/>
            <w:vAlign w:val="center"/>
          </w:tcPr>
          <w:p w:rsidR="00874813" w:rsidRDefault="00E33B15">
            <w:pPr>
              <w:jc w:val="right"/>
            </w:pPr>
            <w:r>
              <w:rPr>
                <w:color w:val="000000"/>
                <w:sz w:val="24"/>
                <w:szCs w:val="24"/>
              </w:rPr>
              <w:t>10,771,946.25</w:t>
            </w:r>
          </w:p>
        </w:tc>
        <w:tc>
          <w:tcPr>
            <w:tcW w:w="1689" w:type="dxa"/>
            <w:vAlign w:val="center"/>
          </w:tcPr>
          <w:p w:rsidR="00874813" w:rsidRDefault="00E33B15">
            <w:pPr>
              <w:jc w:val="right"/>
            </w:pPr>
            <w:r>
              <w:rPr>
                <w:color w:val="000000"/>
                <w:sz w:val="24"/>
                <w:szCs w:val="24"/>
              </w:rPr>
              <w:t>1.46</w:t>
            </w:r>
          </w:p>
        </w:tc>
      </w:tr>
      <w:tr w:rsidR="00874813">
        <w:trPr>
          <w:jc w:val="center"/>
        </w:trPr>
        <w:tc>
          <w:tcPr>
            <w:tcW w:w="1883" w:type="dxa"/>
            <w:vAlign w:val="center"/>
          </w:tcPr>
          <w:p w:rsidR="00874813" w:rsidRDefault="00E33B15">
            <w:pPr>
              <w:jc w:val="center"/>
            </w:pPr>
            <w:r>
              <w:rPr>
                <w:color w:val="000000"/>
                <w:sz w:val="24"/>
                <w:szCs w:val="24"/>
              </w:rPr>
              <w:t>2</w:t>
            </w:r>
          </w:p>
        </w:tc>
        <w:tc>
          <w:tcPr>
            <w:tcW w:w="1801" w:type="dxa"/>
            <w:vAlign w:val="center"/>
          </w:tcPr>
          <w:p w:rsidR="00874813" w:rsidRDefault="00E33B15">
            <w:pPr>
              <w:jc w:val="center"/>
            </w:pPr>
            <w:r>
              <w:rPr>
                <w:color w:val="000000"/>
                <w:sz w:val="24"/>
                <w:szCs w:val="24"/>
              </w:rPr>
              <w:t>123001</w:t>
            </w:r>
          </w:p>
        </w:tc>
        <w:tc>
          <w:tcPr>
            <w:tcW w:w="1727" w:type="dxa"/>
            <w:vAlign w:val="center"/>
          </w:tcPr>
          <w:p w:rsidR="00874813" w:rsidRDefault="00E33B15">
            <w:pPr>
              <w:jc w:val="center"/>
            </w:pPr>
            <w:r>
              <w:rPr>
                <w:color w:val="000000"/>
                <w:sz w:val="24"/>
                <w:szCs w:val="24"/>
              </w:rPr>
              <w:t>蓝标转债</w:t>
            </w:r>
          </w:p>
        </w:tc>
        <w:tc>
          <w:tcPr>
            <w:tcW w:w="1768" w:type="dxa"/>
            <w:vAlign w:val="center"/>
          </w:tcPr>
          <w:p w:rsidR="00874813" w:rsidRDefault="00E33B15">
            <w:pPr>
              <w:jc w:val="right"/>
            </w:pPr>
            <w:r>
              <w:rPr>
                <w:color w:val="000000"/>
                <w:sz w:val="24"/>
                <w:szCs w:val="24"/>
              </w:rPr>
              <w:t>5,212,200.00</w:t>
            </w:r>
          </w:p>
        </w:tc>
        <w:tc>
          <w:tcPr>
            <w:tcW w:w="1689" w:type="dxa"/>
            <w:vAlign w:val="center"/>
          </w:tcPr>
          <w:p w:rsidR="00874813" w:rsidRDefault="00E33B15">
            <w:pPr>
              <w:jc w:val="right"/>
            </w:pPr>
            <w:r>
              <w:rPr>
                <w:color w:val="000000"/>
                <w:sz w:val="24"/>
                <w:szCs w:val="24"/>
              </w:rPr>
              <w:t>0.71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874813">
        <w:trPr>
          <w:jc w:val="center"/>
        </w:trPr>
        <w:tc>
          <w:tcPr>
            <w:tcW w:w="1129" w:type="dxa"/>
            <w:vAlign w:val="center"/>
          </w:tcPr>
          <w:p w:rsidR="00874813" w:rsidRDefault="00E33B15">
            <w:pPr>
              <w:jc w:val="center"/>
            </w:pPr>
            <w:r>
              <w:rPr>
                <w:color w:val="000000"/>
                <w:sz w:val="24"/>
                <w:szCs w:val="24"/>
              </w:rPr>
              <w:t>1</w:t>
            </w:r>
          </w:p>
        </w:tc>
        <w:tc>
          <w:tcPr>
            <w:tcW w:w="1356" w:type="dxa"/>
            <w:vAlign w:val="center"/>
          </w:tcPr>
          <w:p w:rsidR="00874813" w:rsidRDefault="00E33B15">
            <w:pPr>
              <w:jc w:val="center"/>
            </w:pPr>
            <w:r>
              <w:rPr>
                <w:color w:val="000000"/>
                <w:sz w:val="24"/>
                <w:szCs w:val="24"/>
              </w:rPr>
              <w:t>002027</w:t>
            </w:r>
          </w:p>
        </w:tc>
        <w:tc>
          <w:tcPr>
            <w:tcW w:w="1355" w:type="dxa"/>
            <w:vAlign w:val="center"/>
          </w:tcPr>
          <w:p w:rsidR="00874813" w:rsidRDefault="00E33B15">
            <w:pPr>
              <w:jc w:val="center"/>
            </w:pPr>
            <w:r>
              <w:rPr>
                <w:color w:val="000000"/>
                <w:sz w:val="24"/>
                <w:szCs w:val="24"/>
              </w:rPr>
              <w:t>分众传媒</w:t>
            </w:r>
          </w:p>
        </w:tc>
        <w:tc>
          <w:tcPr>
            <w:tcW w:w="1880" w:type="dxa"/>
            <w:vAlign w:val="center"/>
          </w:tcPr>
          <w:p w:rsidR="00874813" w:rsidRDefault="00E33B15">
            <w:pPr>
              <w:jc w:val="right"/>
            </w:pPr>
            <w:r>
              <w:rPr>
                <w:color w:val="000000"/>
                <w:sz w:val="24"/>
                <w:szCs w:val="24"/>
              </w:rPr>
              <w:t>12,044,760.00</w:t>
            </w:r>
          </w:p>
        </w:tc>
        <w:tc>
          <w:tcPr>
            <w:tcW w:w="1724" w:type="dxa"/>
            <w:vAlign w:val="center"/>
          </w:tcPr>
          <w:p w:rsidR="00874813" w:rsidRDefault="00E33B15">
            <w:pPr>
              <w:jc w:val="right"/>
            </w:pPr>
            <w:r>
              <w:rPr>
                <w:color w:val="000000"/>
                <w:sz w:val="24"/>
                <w:szCs w:val="24"/>
              </w:rPr>
              <w:t>1.64</w:t>
            </w:r>
          </w:p>
        </w:tc>
        <w:tc>
          <w:tcPr>
            <w:tcW w:w="1424" w:type="dxa"/>
            <w:vAlign w:val="center"/>
          </w:tcPr>
          <w:p w:rsidR="00874813" w:rsidRDefault="00E33B15">
            <w:pPr>
              <w:jc w:val="right"/>
            </w:pPr>
            <w:r>
              <w:rPr>
                <w:color w:val="000000"/>
                <w:sz w:val="24"/>
                <w:szCs w:val="24"/>
              </w:rPr>
              <w:t>-</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414345" w:rsidRDefault="00C80C74" w:rsidP="00C15CAC">
      <w:pPr>
        <w:spacing w:before="29" w:line="288" w:lineRule="auto"/>
        <w:ind w:firstLineChars="200" w:firstLine="480"/>
        <w:rPr>
          <w:color w:val="000000"/>
          <w:sz w:val="24"/>
          <w:szCs w:val="24"/>
        </w:rPr>
      </w:pPr>
      <w:r w:rsidRPr="00575270">
        <w:rPr>
          <w:rFonts w:eastAsiaTheme="minorEastAsia" w:hint="eastAsia"/>
          <w:color w:val="000000" w:themeColor="text1"/>
          <w:sz w:val="24"/>
          <w:szCs w:val="24"/>
        </w:rPr>
        <w:t>无。</w:t>
      </w:r>
      <w:bookmarkStart w:id="0" w:name="_GoBack"/>
      <w:bookmarkEnd w:id="0"/>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618,536,649.77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53,922,484.27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120,438,098.18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552,021,035.86</w:t>
            </w:r>
          </w:p>
        </w:tc>
      </w:tr>
    </w:tbl>
    <w:p w:rsidR="00874813" w:rsidRDefault="00E33B1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74813" w:rsidRDefault="00E33B1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、中国证监会批准交银施罗德荣安保本混合型证券投资基金募集的文件；</w:t>
      </w:r>
    </w:p>
    <w:p w:rsidR="00874813" w:rsidRDefault="00E33B1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、《交银施罗德策略回报灵活配置混合型证券投资基金基金合同》；</w:t>
      </w:r>
    </w:p>
    <w:p w:rsidR="00874813" w:rsidRDefault="00E33B1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、《交银施罗德策略回报灵活配置混合型证券投资基金招募说明书》；</w:t>
      </w:r>
    </w:p>
    <w:p w:rsidR="00874813" w:rsidRDefault="00E33B1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、《交银施罗德策略回报灵活配置混合型证券投资基金托管协议》；</w:t>
      </w:r>
    </w:p>
    <w:p w:rsidR="00874813" w:rsidRDefault="00E33B15">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、《交银施罗德荣安保本混合型证券投资基金基金合同》；</w:t>
      </w:r>
    </w:p>
    <w:p w:rsidR="00874813" w:rsidRDefault="00E33B15">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、《交银施罗德荣安保本混合型证券投资基金招募说明书》；</w:t>
      </w:r>
    </w:p>
    <w:p w:rsidR="00874813" w:rsidRDefault="00E33B15">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、《交银施罗德荣安保本混合型证券投资基金托管协议》；</w:t>
      </w:r>
    </w:p>
    <w:p w:rsidR="00874813" w:rsidRDefault="00E33B15">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、《交银施罗德荣安保本混合型证券投资基金保证合同》；</w:t>
      </w:r>
      <w:r>
        <w:rPr>
          <w:color w:val="000000"/>
          <w:sz w:val="24"/>
          <w:szCs w:val="24"/>
        </w:rPr>
        <w:t xml:space="preserve"> </w:t>
      </w:r>
    </w:p>
    <w:p w:rsidR="00874813" w:rsidRDefault="00E33B15">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p>
    <w:p w:rsidR="00874813" w:rsidRDefault="00E33B15">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p>
    <w:p w:rsidR="00874813" w:rsidRDefault="00E33B15">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、关于申请募集交银施罗德荣安保本混合型证券投资基金之法律意见书；</w:t>
      </w:r>
    </w:p>
    <w:p w:rsidR="00874813" w:rsidRDefault="00E33B15">
      <w:pPr>
        <w:spacing w:before="29" w:line="288" w:lineRule="auto"/>
        <w:ind w:firstLineChars="200" w:firstLine="480"/>
        <w:rPr>
          <w:color w:val="000000"/>
          <w:sz w:val="24"/>
          <w:szCs w:val="24"/>
        </w:rPr>
      </w:pPr>
      <w:r>
        <w:rPr>
          <w:color w:val="000000"/>
          <w:sz w:val="24"/>
          <w:szCs w:val="24"/>
        </w:rPr>
        <w:t>12</w:t>
      </w:r>
      <w:r>
        <w:rPr>
          <w:color w:val="000000"/>
          <w:sz w:val="24"/>
          <w:szCs w:val="24"/>
        </w:rPr>
        <w:t>、关于修改《交银施罗德荣安保本混合型证券投资基金基金合同》的法律意见；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、报告期内交银施罗德策略回报灵活配置混合型证券投资基金在指定报刊上各项公告的原稿。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74813" w:rsidRDefault="00E33B1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BBB" w:rsidRDefault="008D6BBB" w:rsidP="00876D65">
      <w:r>
        <w:separator/>
      </w:r>
    </w:p>
  </w:endnote>
  <w:endnote w:type="continuationSeparator" w:id="0">
    <w:p w:rsidR="008D6BBB" w:rsidRDefault="008D6BB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C80C74">
      <w:rPr>
        <w:noProof/>
        <w:kern w:val="0"/>
        <w:szCs w:val="21"/>
      </w:rPr>
      <w:t>13</w:t>
    </w:r>
    <w:r w:rsidR="00006A28">
      <w:rPr>
        <w:kern w:val="0"/>
        <w:szCs w:val="21"/>
      </w:rPr>
      <w:fldChar w:fldCharType="end"/>
    </w:r>
    <w:proofErr w:type="gramStart"/>
    <w:r>
      <w:rPr>
        <w:rFonts w:hint="eastAsia"/>
        <w:kern w:val="0"/>
        <w:szCs w:val="21"/>
      </w:rPr>
      <w:t>页共</w:t>
    </w:r>
    <w:proofErr w:type="gramEnd"/>
    <w:r w:rsidR="00006A28">
      <w:rPr>
        <w:kern w:val="0"/>
        <w:szCs w:val="21"/>
      </w:rPr>
      <w:fldChar w:fldCharType="begin"/>
    </w:r>
    <w:r>
      <w:rPr>
        <w:kern w:val="0"/>
        <w:szCs w:val="21"/>
      </w:rPr>
      <w:instrText xml:space="preserve"> NUMPAGES </w:instrText>
    </w:r>
    <w:r w:rsidR="00006A28">
      <w:rPr>
        <w:kern w:val="0"/>
        <w:szCs w:val="21"/>
      </w:rPr>
      <w:fldChar w:fldCharType="separate"/>
    </w:r>
    <w:r w:rsidR="00C80C74">
      <w:rPr>
        <w:noProof/>
        <w:kern w:val="0"/>
        <w:szCs w:val="21"/>
      </w:rPr>
      <w:t>13</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BBB" w:rsidRDefault="008D6BBB" w:rsidP="00876D65">
      <w:r>
        <w:separator/>
      </w:r>
    </w:p>
  </w:footnote>
  <w:footnote w:type="continuationSeparator" w:id="0">
    <w:p w:rsidR="008D6BBB" w:rsidRDefault="008D6BB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交银施罗德策略回报灵活配置混合型证券投资基金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57B07"/>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37A1"/>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3D27"/>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813"/>
    <w:rsid w:val="008749A7"/>
    <w:rsid w:val="00875DAC"/>
    <w:rsid w:val="00876D65"/>
    <w:rsid w:val="008837D3"/>
    <w:rsid w:val="00883B3C"/>
    <w:rsid w:val="00883D7C"/>
    <w:rsid w:val="00891261"/>
    <w:rsid w:val="008A21B2"/>
    <w:rsid w:val="008A3DAA"/>
    <w:rsid w:val="008A5B20"/>
    <w:rsid w:val="008B2FDD"/>
    <w:rsid w:val="008B3C7E"/>
    <w:rsid w:val="008B4A75"/>
    <w:rsid w:val="008C575A"/>
    <w:rsid w:val="008C75E7"/>
    <w:rsid w:val="008C7CA8"/>
    <w:rsid w:val="008C7FFA"/>
    <w:rsid w:val="008D09EC"/>
    <w:rsid w:val="008D6BBB"/>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0C74"/>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3B15"/>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F05EA-14D2-4BC7-9BE4-5CE8E1D3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13</Pages>
  <Words>1216</Words>
  <Characters>6932</Characters>
  <Application>Microsoft Office Word</Application>
  <DocSecurity>0</DocSecurity>
  <Lines>57</Lines>
  <Paragraphs>16</Paragraphs>
  <ScaleCrop>false</ScaleCrop>
  <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580</cp:revision>
  <dcterms:created xsi:type="dcterms:W3CDTF">2012-10-16T06:07:00Z</dcterms:created>
  <dcterms:modified xsi:type="dcterms:W3CDTF">2018-07-16T08:10:00Z</dcterms:modified>
</cp:coreProperties>
</file>