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2</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6</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二〇一八年七月十八日</w:t>
      </w:r>
    </w:p>
    <w:p w:rsidR="00220542" w:rsidRPr="0036023B" w:rsidRDefault="00220542" w:rsidP="006D2F4A">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BD4692" w:rsidRDefault="00A1150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D4692" w:rsidRDefault="00A1150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D4692" w:rsidRDefault="00A1150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D4692" w:rsidRDefault="00A1150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D4692" w:rsidRDefault="00A1150D">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6</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38,329,693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23D0" w:rsidRPr="0036023B" w:rsidTr="00EC23D0">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4</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EC23D0" w:rsidRPr="0036023B" w:rsidTr="00EC23D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-1,925,797.34</w:t>
            </w:r>
          </w:p>
        </w:tc>
      </w:tr>
      <w:tr w:rsidR="00EC23D0" w:rsidRPr="0036023B" w:rsidTr="00EC23D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-6,006,079.02</w:t>
            </w:r>
          </w:p>
        </w:tc>
      </w:tr>
      <w:tr w:rsidR="00EC23D0" w:rsidRPr="0036023B" w:rsidTr="00EC23D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-0.1534</w:t>
            </w:r>
          </w:p>
        </w:tc>
      </w:tr>
      <w:tr w:rsidR="00EC23D0" w:rsidRPr="0036023B" w:rsidTr="00EC23D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64,029,073.19</w:t>
            </w:r>
          </w:p>
        </w:tc>
      </w:tr>
      <w:tr w:rsidR="00EC23D0" w:rsidRPr="0036023B" w:rsidTr="00EC23D0">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1.670</w:t>
            </w:r>
          </w:p>
        </w:tc>
      </w:tr>
    </w:tbl>
    <w:p w:rsidR="00BD4692" w:rsidRDefault="00A1150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BD4692">
        <w:trPr>
          <w:jc w:val="center"/>
        </w:trPr>
        <w:tc>
          <w:tcPr>
            <w:tcW w:w="1469" w:type="dxa"/>
            <w:vAlign w:val="center"/>
          </w:tcPr>
          <w:p w:rsidR="00BD4692" w:rsidRDefault="00A1150D">
            <w:pPr>
              <w:jc w:val="left"/>
            </w:pPr>
            <w:r>
              <w:rPr>
                <w:color w:val="000000"/>
                <w:sz w:val="24"/>
              </w:rPr>
              <w:t>过去三个月</w:t>
            </w:r>
          </w:p>
        </w:tc>
        <w:tc>
          <w:tcPr>
            <w:tcW w:w="1150" w:type="dxa"/>
            <w:vAlign w:val="center"/>
          </w:tcPr>
          <w:p w:rsidR="00BD4692" w:rsidRDefault="00A1150D">
            <w:pPr>
              <w:jc w:val="center"/>
            </w:pPr>
            <w:r>
              <w:rPr>
                <w:color w:val="000000"/>
                <w:sz w:val="24"/>
              </w:rPr>
              <w:t>-8.54%</w:t>
            </w:r>
          </w:p>
        </w:tc>
        <w:tc>
          <w:tcPr>
            <w:tcW w:w="1223" w:type="dxa"/>
            <w:vAlign w:val="center"/>
          </w:tcPr>
          <w:p w:rsidR="00BD4692" w:rsidRDefault="00A1150D">
            <w:pPr>
              <w:jc w:val="center"/>
            </w:pPr>
            <w:r>
              <w:rPr>
                <w:color w:val="000000"/>
                <w:sz w:val="24"/>
              </w:rPr>
              <w:t>1.37%</w:t>
            </w:r>
          </w:p>
        </w:tc>
        <w:tc>
          <w:tcPr>
            <w:tcW w:w="1244" w:type="dxa"/>
            <w:vAlign w:val="center"/>
          </w:tcPr>
          <w:p w:rsidR="00BD4692" w:rsidRDefault="00A1150D">
            <w:pPr>
              <w:jc w:val="center"/>
            </w:pPr>
            <w:r>
              <w:rPr>
                <w:color w:val="000000"/>
                <w:sz w:val="24"/>
              </w:rPr>
              <w:t>-9.14%</w:t>
            </w:r>
          </w:p>
        </w:tc>
        <w:tc>
          <w:tcPr>
            <w:tcW w:w="1251" w:type="dxa"/>
            <w:vAlign w:val="center"/>
          </w:tcPr>
          <w:p w:rsidR="00BD4692" w:rsidRDefault="00A1150D">
            <w:pPr>
              <w:jc w:val="center"/>
            </w:pPr>
            <w:r>
              <w:rPr>
                <w:color w:val="000000"/>
                <w:sz w:val="24"/>
              </w:rPr>
              <w:t>1.38%</w:t>
            </w:r>
          </w:p>
        </w:tc>
        <w:tc>
          <w:tcPr>
            <w:tcW w:w="1263" w:type="dxa"/>
            <w:vAlign w:val="center"/>
          </w:tcPr>
          <w:p w:rsidR="00BD4692" w:rsidRDefault="00A1150D">
            <w:pPr>
              <w:jc w:val="center"/>
            </w:pPr>
            <w:r>
              <w:rPr>
                <w:color w:val="000000"/>
                <w:sz w:val="24"/>
              </w:rPr>
              <w:t>0.60%</w:t>
            </w:r>
          </w:p>
        </w:tc>
        <w:tc>
          <w:tcPr>
            <w:tcW w:w="1268" w:type="dxa"/>
            <w:vAlign w:val="center"/>
          </w:tcPr>
          <w:p w:rsidR="00BD4692" w:rsidRDefault="00A1150D">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6C1D5C" w:rsidRPr="002E4EDE" w:rsidRDefault="006C1D5C" w:rsidP="0099526C">
      <w:pPr>
        <w:tabs>
          <w:tab w:val="left" w:pos="1800"/>
        </w:tabs>
        <w:spacing w:before="29" w:line="288" w:lineRule="auto"/>
        <w:rPr>
          <w:rFonts w:hint="eastAsia"/>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BD4692">
        <w:trPr>
          <w:jc w:val="center"/>
        </w:trPr>
        <w:tc>
          <w:tcPr>
            <w:tcW w:w="846" w:type="dxa"/>
            <w:vAlign w:val="center"/>
          </w:tcPr>
          <w:p w:rsidR="00BD4692" w:rsidRDefault="00A1150D">
            <w:pPr>
              <w:jc w:val="center"/>
            </w:pPr>
            <w:r>
              <w:rPr>
                <w:color w:val="000000"/>
                <w:sz w:val="24"/>
              </w:rPr>
              <w:t>蔡铮</w:t>
            </w:r>
          </w:p>
        </w:tc>
        <w:tc>
          <w:tcPr>
            <w:tcW w:w="845" w:type="dxa"/>
            <w:vAlign w:val="center"/>
          </w:tcPr>
          <w:p w:rsidR="00BD4692" w:rsidRDefault="00A1150D">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w:t>
            </w:r>
            <w:r>
              <w:rPr>
                <w:color w:val="000000"/>
                <w:sz w:val="24"/>
              </w:rPr>
              <w:lastRenderedPageBreak/>
              <w:t>副总监兼多元资产管理副总监</w:t>
            </w:r>
          </w:p>
        </w:tc>
        <w:tc>
          <w:tcPr>
            <w:tcW w:w="1549" w:type="dxa"/>
            <w:vAlign w:val="center"/>
          </w:tcPr>
          <w:p w:rsidR="00BD4692" w:rsidRDefault="00A1150D">
            <w:pPr>
              <w:jc w:val="center"/>
            </w:pPr>
            <w:r>
              <w:rPr>
                <w:color w:val="000000"/>
                <w:sz w:val="24"/>
              </w:rPr>
              <w:lastRenderedPageBreak/>
              <w:t>2012-12-27</w:t>
            </w:r>
          </w:p>
        </w:tc>
        <w:tc>
          <w:tcPr>
            <w:tcW w:w="1548" w:type="dxa"/>
            <w:vAlign w:val="center"/>
          </w:tcPr>
          <w:p w:rsidR="00BD4692" w:rsidRDefault="00A1150D">
            <w:pPr>
              <w:jc w:val="center"/>
            </w:pPr>
            <w:r>
              <w:rPr>
                <w:color w:val="000000"/>
                <w:sz w:val="24"/>
              </w:rPr>
              <w:t>-</w:t>
            </w:r>
          </w:p>
        </w:tc>
        <w:tc>
          <w:tcPr>
            <w:tcW w:w="1407" w:type="dxa"/>
            <w:vAlign w:val="center"/>
          </w:tcPr>
          <w:p w:rsidR="00BD4692" w:rsidRDefault="00A1150D">
            <w:pPr>
              <w:jc w:val="center"/>
            </w:pPr>
            <w:r>
              <w:rPr>
                <w:color w:val="000000"/>
                <w:sz w:val="24"/>
              </w:rPr>
              <w:t>9</w:t>
            </w:r>
            <w:r>
              <w:rPr>
                <w:color w:val="000000"/>
                <w:sz w:val="24"/>
              </w:rPr>
              <w:t>年</w:t>
            </w:r>
          </w:p>
        </w:tc>
        <w:tc>
          <w:tcPr>
            <w:tcW w:w="2673" w:type="dxa"/>
            <w:vAlign w:val="center"/>
          </w:tcPr>
          <w:p w:rsidR="00BD4692" w:rsidRDefault="00A1150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BD4692" w:rsidRDefault="00A1150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D4692" w:rsidRDefault="00A1150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D4692" w:rsidRDefault="00A1150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BD4692" w:rsidRDefault="00A1150D">
      <w:pPr>
        <w:spacing w:before="29" w:line="288" w:lineRule="auto"/>
        <w:ind w:firstLineChars="200" w:firstLine="480"/>
        <w:rPr>
          <w:color w:val="000000"/>
          <w:sz w:val="24"/>
        </w:rPr>
      </w:pPr>
      <w:r>
        <w:rPr>
          <w:color w:val="000000"/>
          <w:sz w:val="24"/>
        </w:rPr>
        <w:t>2018</w:t>
      </w:r>
      <w:r>
        <w:rPr>
          <w:color w:val="000000"/>
          <w:sz w:val="24"/>
        </w:rPr>
        <w:t>年二季度国内经济整体延续稳定状态，投资增速缓中趋稳，政策层面持续推行经济结构优化和去杠杆，从长期看有利于经济增长进入高质量发展的新时代。短期因中美贸易摩擦的不确定性增加、美元加息、汇率波动等各因素频发，二季度</w:t>
      </w:r>
      <w:r>
        <w:rPr>
          <w:color w:val="000000"/>
          <w:sz w:val="24"/>
        </w:rPr>
        <w:t>A</w:t>
      </w:r>
      <w:r>
        <w:rPr>
          <w:color w:val="000000"/>
          <w:sz w:val="24"/>
        </w:rPr>
        <w:t>股市场波动加大，阶段性下行。作为跟踪基准指数的指数基金，二季度基金总体呈现出震荡向下的走势。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中美贸易摩擦的影响在短期内或仍将延续，但市场经历了二季度的剧烈调整，许多行业指数已接近合理估值区间，目前股价也包含了投资者较为悲观的预期，总体而言，从中长期来看我们对</w:t>
      </w:r>
      <w:r w:rsidRPr="0036023B">
        <w:rPr>
          <w:color w:val="000000"/>
          <w:sz w:val="24"/>
        </w:rPr>
        <w:t>A</w:t>
      </w:r>
      <w:r w:rsidRPr="0036023B">
        <w:rPr>
          <w:color w:val="000000"/>
          <w:sz w:val="24"/>
        </w:rPr>
        <w:t>股市场仍维持谨慎中性的看法。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2018</w:t>
      </w:r>
      <w:r w:rsidRPr="0036023B">
        <w:rPr>
          <w:color w:val="000000"/>
          <w:sz w:val="24"/>
        </w:rPr>
        <w:t>年</w:t>
      </w:r>
      <w:r w:rsidRPr="0036023B">
        <w:rPr>
          <w:color w:val="000000"/>
          <w:sz w:val="24"/>
        </w:rPr>
        <w:t>6</w:t>
      </w:r>
      <w:r w:rsidRPr="0036023B">
        <w:rPr>
          <w:color w:val="000000"/>
          <w:sz w:val="24"/>
        </w:rPr>
        <w:t>月</w:t>
      </w:r>
      <w:r w:rsidRPr="0036023B">
        <w:rPr>
          <w:color w:val="000000"/>
          <w:sz w:val="24"/>
        </w:rPr>
        <w:t>30</w:t>
      </w:r>
      <w:r w:rsidRPr="0036023B">
        <w:rPr>
          <w:color w:val="000000"/>
          <w:sz w:val="24"/>
        </w:rPr>
        <w:t>日，本基金份额净值为</w:t>
      </w:r>
      <w:r w:rsidRPr="0036023B">
        <w:rPr>
          <w:color w:val="000000"/>
          <w:sz w:val="24"/>
        </w:rPr>
        <w:t>1.670</w:t>
      </w:r>
      <w:r w:rsidRPr="0036023B">
        <w:rPr>
          <w:color w:val="000000"/>
          <w:sz w:val="24"/>
        </w:rPr>
        <w:t>元，本报告期份额净值增长率为</w:t>
      </w:r>
      <w:r w:rsidRPr="0036023B">
        <w:rPr>
          <w:color w:val="000000"/>
          <w:sz w:val="24"/>
        </w:rPr>
        <w:t>-8.54%</w:t>
      </w:r>
      <w:r w:rsidRPr="0036023B">
        <w:rPr>
          <w:color w:val="000000"/>
          <w:sz w:val="24"/>
        </w:rPr>
        <w:t>，同期业绩比较基准增长率为</w:t>
      </w:r>
      <w:r w:rsidRPr="0036023B">
        <w:rPr>
          <w:color w:val="000000"/>
          <w:sz w:val="24"/>
        </w:rPr>
        <w:t>-9.14%</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63,653,393.78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98.20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63,653,393.78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98.20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1,164,512.91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1.80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634.15</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64,818,540.84</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2,829,400.00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4.42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576,600.28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0.90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45,307,381.24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70.76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872,780.25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564,321.96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1,152,041.00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128,612.00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479,729.00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0.75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4,658,610.92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7.28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6,523,533.37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193,093.76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367,290.00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63,653,393.78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99.41</w:t>
            </w:r>
          </w:p>
        </w:tc>
      </w:tr>
    </w:tbl>
    <w:p w:rsidR="002E4EDE" w:rsidRDefault="002E4EDE"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BD4692">
        <w:trPr>
          <w:jc w:val="center"/>
        </w:trPr>
        <w:tc>
          <w:tcPr>
            <w:tcW w:w="850" w:type="dxa"/>
            <w:vAlign w:val="center"/>
          </w:tcPr>
          <w:p w:rsidR="00BD4692" w:rsidRDefault="00A1150D">
            <w:pPr>
              <w:jc w:val="center"/>
            </w:pPr>
            <w:r>
              <w:rPr>
                <w:color w:val="000000"/>
                <w:sz w:val="24"/>
              </w:rPr>
              <w:t>1</w:t>
            </w:r>
          </w:p>
        </w:tc>
        <w:tc>
          <w:tcPr>
            <w:tcW w:w="1327" w:type="dxa"/>
            <w:vAlign w:val="center"/>
          </w:tcPr>
          <w:p w:rsidR="00BD4692" w:rsidRDefault="00A1150D">
            <w:pPr>
              <w:jc w:val="center"/>
            </w:pPr>
            <w:r>
              <w:rPr>
                <w:color w:val="000000"/>
                <w:sz w:val="24"/>
              </w:rPr>
              <w:t>000333</w:t>
            </w:r>
          </w:p>
        </w:tc>
        <w:tc>
          <w:tcPr>
            <w:tcW w:w="1769" w:type="dxa"/>
            <w:vAlign w:val="center"/>
          </w:tcPr>
          <w:p w:rsidR="00BD4692" w:rsidRDefault="00A1150D">
            <w:pPr>
              <w:jc w:val="center"/>
            </w:pPr>
            <w:r>
              <w:rPr>
                <w:color w:val="000000"/>
                <w:sz w:val="24"/>
              </w:rPr>
              <w:t>美的集团</w:t>
            </w:r>
          </w:p>
        </w:tc>
        <w:tc>
          <w:tcPr>
            <w:tcW w:w="1327" w:type="dxa"/>
            <w:vAlign w:val="center"/>
          </w:tcPr>
          <w:p w:rsidR="00BD4692" w:rsidRDefault="00A1150D">
            <w:pPr>
              <w:jc w:val="right"/>
            </w:pPr>
            <w:r>
              <w:rPr>
                <w:color w:val="000000"/>
                <w:sz w:val="24"/>
              </w:rPr>
              <w:t>119,253</w:t>
            </w:r>
          </w:p>
        </w:tc>
        <w:tc>
          <w:tcPr>
            <w:tcW w:w="1915" w:type="dxa"/>
            <w:vAlign w:val="center"/>
          </w:tcPr>
          <w:p w:rsidR="00BD4692" w:rsidRDefault="00A1150D">
            <w:pPr>
              <w:jc w:val="right"/>
            </w:pPr>
            <w:r>
              <w:rPr>
                <w:color w:val="000000"/>
                <w:sz w:val="24"/>
              </w:rPr>
              <w:t>6,227,391.66</w:t>
            </w:r>
          </w:p>
        </w:tc>
        <w:tc>
          <w:tcPr>
            <w:tcW w:w="1680" w:type="dxa"/>
            <w:vAlign w:val="center"/>
          </w:tcPr>
          <w:p w:rsidR="00BD4692" w:rsidRDefault="00A1150D">
            <w:pPr>
              <w:jc w:val="right"/>
            </w:pPr>
            <w:r>
              <w:rPr>
                <w:color w:val="000000"/>
                <w:sz w:val="24"/>
              </w:rPr>
              <w:t>9.73</w:t>
            </w:r>
          </w:p>
        </w:tc>
      </w:tr>
      <w:tr w:rsidR="00BD4692">
        <w:trPr>
          <w:jc w:val="center"/>
        </w:trPr>
        <w:tc>
          <w:tcPr>
            <w:tcW w:w="850" w:type="dxa"/>
            <w:vAlign w:val="center"/>
          </w:tcPr>
          <w:p w:rsidR="00BD4692" w:rsidRDefault="00A1150D">
            <w:pPr>
              <w:jc w:val="center"/>
            </w:pPr>
            <w:r>
              <w:rPr>
                <w:color w:val="000000"/>
                <w:sz w:val="24"/>
              </w:rPr>
              <w:t>2</w:t>
            </w:r>
          </w:p>
        </w:tc>
        <w:tc>
          <w:tcPr>
            <w:tcW w:w="1327" w:type="dxa"/>
            <w:vAlign w:val="center"/>
          </w:tcPr>
          <w:p w:rsidR="00BD4692" w:rsidRDefault="00A1150D">
            <w:pPr>
              <w:jc w:val="center"/>
            </w:pPr>
            <w:r>
              <w:rPr>
                <w:color w:val="000000"/>
                <w:sz w:val="24"/>
              </w:rPr>
              <w:t>000651</w:t>
            </w:r>
          </w:p>
        </w:tc>
        <w:tc>
          <w:tcPr>
            <w:tcW w:w="1769" w:type="dxa"/>
            <w:vAlign w:val="center"/>
          </w:tcPr>
          <w:p w:rsidR="00BD4692" w:rsidRDefault="00A1150D">
            <w:pPr>
              <w:jc w:val="center"/>
            </w:pPr>
            <w:r>
              <w:rPr>
                <w:color w:val="000000"/>
                <w:sz w:val="24"/>
              </w:rPr>
              <w:t>格力电器</w:t>
            </w:r>
          </w:p>
        </w:tc>
        <w:tc>
          <w:tcPr>
            <w:tcW w:w="1327" w:type="dxa"/>
            <w:vAlign w:val="center"/>
          </w:tcPr>
          <w:p w:rsidR="00BD4692" w:rsidRDefault="00A1150D">
            <w:pPr>
              <w:jc w:val="right"/>
            </w:pPr>
            <w:r>
              <w:rPr>
                <w:color w:val="000000"/>
                <w:sz w:val="24"/>
              </w:rPr>
              <w:t>123,974</w:t>
            </w:r>
          </w:p>
        </w:tc>
        <w:tc>
          <w:tcPr>
            <w:tcW w:w="1915" w:type="dxa"/>
            <w:vAlign w:val="center"/>
          </w:tcPr>
          <w:p w:rsidR="00BD4692" w:rsidRDefault="00A1150D">
            <w:pPr>
              <w:jc w:val="right"/>
            </w:pPr>
            <w:r>
              <w:rPr>
                <w:color w:val="000000"/>
                <w:sz w:val="24"/>
              </w:rPr>
              <w:t>5,845,374.10</w:t>
            </w:r>
          </w:p>
        </w:tc>
        <w:tc>
          <w:tcPr>
            <w:tcW w:w="1680" w:type="dxa"/>
            <w:vAlign w:val="center"/>
          </w:tcPr>
          <w:p w:rsidR="00BD4692" w:rsidRDefault="00A1150D">
            <w:pPr>
              <w:jc w:val="right"/>
            </w:pPr>
            <w:r>
              <w:rPr>
                <w:color w:val="000000"/>
                <w:sz w:val="24"/>
              </w:rPr>
              <w:t>9.13</w:t>
            </w:r>
          </w:p>
        </w:tc>
      </w:tr>
      <w:tr w:rsidR="00BD4692">
        <w:trPr>
          <w:jc w:val="center"/>
        </w:trPr>
        <w:tc>
          <w:tcPr>
            <w:tcW w:w="850" w:type="dxa"/>
            <w:vAlign w:val="center"/>
          </w:tcPr>
          <w:p w:rsidR="00BD4692" w:rsidRDefault="00A1150D">
            <w:pPr>
              <w:jc w:val="center"/>
            </w:pPr>
            <w:r>
              <w:rPr>
                <w:color w:val="000000"/>
                <w:sz w:val="24"/>
              </w:rPr>
              <w:t>3</w:t>
            </w:r>
          </w:p>
        </w:tc>
        <w:tc>
          <w:tcPr>
            <w:tcW w:w="1327" w:type="dxa"/>
            <w:vAlign w:val="center"/>
          </w:tcPr>
          <w:p w:rsidR="00BD4692" w:rsidRDefault="00A1150D">
            <w:pPr>
              <w:jc w:val="center"/>
            </w:pPr>
            <w:r>
              <w:rPr>
                <w:color w:val="000000"/>
                <w:sz w:val="24"/>
              </w:rPr>
              <w:t>000858</w:t>
            </w:r>
          </w:p>
        </w:tc>
        <w:tc>
          <w:tcPr>
            <w:tcW w:w="1769" w:type="dxa"/>
            <w:vAlign w:val="center"/>
          </w:tcPr>
          <w:p w:rsidR="00BD4692" w:rsidRDefault="00A1150D">
            <w:pPr>
              <w:jc w:val="center"/>
            </w:pPr>
            <w:r>
              <w:rPr>
                <w:color w:val="000000"/>
                <w:sz w:val="24"/>
              </w:rPr>
              <w:t>五粮液</w:t>
            </w:r>
          </w:p>
        </w:tc>
        <w:tc>
          <w:tcPr>
            <w:tcW w:w="1327" w:type="dxa"/>
            <w:vAlign w:val="center"/>
          </w:tcPr>
          <w:p w:rsidR="00BD4692" w:rsidRDefault="00A1150D">
            <w:pPr>
              <w:jc w:val="right"/>
            </w:pPr>
            <w:r>
              <w:rPr>
                <w:color w:val="000000"/>
                <w:sz w:val="24"/>
              </w:rPr>
              <w:t>47,626</w:t>
            </w:r>
          </w:p>
        </w:tc>
        <w:tc>
          <w:tcPr>
            <w:tcW w:w="1915" w:type="dxa"/>
            <w:vAlign w:val="center"/>
          </w:tcPr>
          <w:p w:rsidR="00BD4692" w:rsidRDefault="00A1150D">
            <w:pPr>
              <w:jc w:val="right"/>
            </w:pPr>
            <w:r>
              <w:rPr>
                <w:color w:val="000000"/>
                <w:sz w:val="24"/>
              </w:rPr>
              <w:t>3,619,576.00</w:t>
            </w:r>
          </w:p>
        </w:tc>
        <w:tc>
          <w:tcPr>
            <w:tcW w:w="1680" w:type="dxa"/>
            <w:vAlign w:val="center"/>
          </w:tcPr>
          <w:p w:rsidR="00BD4692" w:rsidRDefault="00A1150D">
            <w:pPr>
              <w:jc w:val="right"/>
            </w:pPr>
            <w:r>
              <w:rPr>
                <w:color w:val="000000"/>
                <w:sz w:val="24"/>
              </w:rPr>
              <w:t>5.65</w:t>
            </w:r>
          </w:p>
        </w:tc>
      </w:tr>
      <w:tr w:rsidR="00BD4692">
        <w:trPr>
          <w:jc w:val="center"/>
        </w:trPr>
        <w:tc>
          <w:tcPr>
            <w:tcW w:w="850" w:type="dxa"/>
            <w:vAlign w:val="center"/>
          </w:tcPr>
          <w:p w:rsidR="00BD4692" w:rsidRDefault="00A1150D">
            <w:pPr>
              <w:jc w:val="center"/>
            </w:pPr>
            <w:r>
              <w:rPr>
                <w:color w:val="000000"/>
                <w:sz w:val="24"/>
              </w:rPr>
              <w:t>4</w:t>
            </w:r>
          </w:p>
        </w:tc>
        <w:tc>
          <w:tcPr>
            <w:tcW w:w="1327" w:type="dxa"/>
            <w:vAlign w:val="center"/>
          </w:tcPr>
          <w:p w:rsidR="00BD4692" w:rsidRDefault="00A1150D">
            <w:pPr>
              <w:jc w:val="center"/>
            </w:pPr>
            <w:r>
              <w:rPr>
                <w:color w:val="000000"/>
                <w:sz w:val="24"/>
              </w:rPr>
              <w:t>002415</w:t>
            </w:r>
          </w:p>
        </w:tc>
        <w:tc>
          <w:tcPr>
            <w:tcW w:w="1769" w:type="dxa"/>
            <w:vAlign w:val="center"/>
          </w:tcPr>
          <w:p w:rsidR="00BD4692" w:rsidRDefault="00A1150D">
            <w:pPr>
              <w:jc w:val="center"/>
            </w:pPr>
            <w:r>
              <w:rPr>
                <w:color w:val="000000"/>
                <w:sz w:val="24"/>
              </w:rPr>
              <w:t>海康威视</w:t>
            </w:r>
          </w:p>
        </w:tc>
        <w:tc>
          <w:tcPr>
            <w:tcW w:w="1327" w:type="dxa"/>
            <w:vAlign w:val="center"/>
          </w:tcPr>
          <w:p w:rsidR="00BD4692" w:rsidRDefault="00A1150D">
            <w:pPr>
              <w:jc w:val="right"/>
            </w:pPr>
            <w:r>
              <w:rPr>
                <w:color w:val="000000"/>
                <w:sz w:val="24"/>
              </w:rPr>
              <w:t>90,795</w:t>
            </w:r>
          </w:p>
        </w:tc>
        <w:tc>
          <w:tcPr>
            <w:tcW w:w="1915" w:type="dxa"/>
            <w:vAlign w:val="center"/>
          </w:tcPr>
          <w:p w:rsidR="00BD4692" w:rsidRDefault="00A1150D">
            <w:pPr>
              <w:jc w:val="right"/>
            </w:pPr>
            <w:r>
              <w:rPr>
                <w:color w:val="000000"/>
                <w:sz w:val="24"/>
              </w:rPr>
              <w:t>3,371,218.35</w:t>
            </w:r>
          </w:p>
        </w:tc>
        <w:tc>
          <w:tcPr>
            <w:tcW w:w="1680" w:type="dxa"/>
            <w:vAlign w:val="center"/>
          </w:tcPr>
          <w:p w:rsidR="00BD4692" w:rsidRDefault="00A1150D">
            <w:pPr>
              <w:jc w:val="right"/>
            </w:pPr>
            <w:r>
              <w:rPr>
                <w:color w:val="000000"/>
                <w:sz w:val="24"/>
              </w:rPr>
              <w:t>5.27</w:t>
            </w:r>
          </w:p>
        </w:tc>
      </w:tr>
      <w:tr w:rsidR="00BD4692">
        <w:trPr>
          <w:jc w:val="center"/>
        </w:trPr>
        <w:tc>
          <w:tcPr>
            <w:tcW w:w="850" w:type="dxa"/>
            <w:vAlign w:val="center"/>
          </w:tcPr>
          <w:p w:rsidR="00BD4692" w:rsidRDefault="00A1150D">
            <w:pPr>
              <w:jc w:val="center"/>
            </w:pPr>
            <w:r>
              <w:rPr>
                <w:color w:val="000000"/>
                <w:sz w:val="24"/>
              </w:rPr>
              <w:t>5</w:t>
            </w:r>
          </w:p>
        </w:tc>
        <w:tc>
          <w:tcPr>
            <w:tcW w:w="1327" w:type="dxa"/>
            <w:vAlign w:val="center"/>
          </w:tcPr>
          <w:p w:rsidR="00BD4692" w:rsidRDefault="00A1150D">
            <w:pPr>
              <w:jc w:val="center"/>
            </w:pPr>
            <w:r>
              <w:rPr>
                <w:color w:val="000000"/>
                <w:sz w:val="24"/>
              </w:rPr>
              <w:t>000002</w:t>
            </w:r>
          </w:p>
        </w:tc>
        <w:tc>
          <w:tcPr>
            <w:tcW w:w="1769" w:type="dxa"/>
            <w:vAlign w:val="center"/>
          </w:tcPr>
          <w:p w:rsidR="00BD4692" w:rsidRDefault="00A1150D">
            <w:pPr>
              <w:jc w:val="center"/>
            </w:pPr>
            <w:r>
              <w:rPr>
                <w:color w:val="000000"/>
                <w:sz w:val="24"/>
              </w:rPr>
              <w:t>万科</w:t>
            </w:r>
            <w:r>
              <w:rPr>
                <w:color w:val="000000"/>
                <w:sz w:val="24"/>
              </w:rPr>
              <w:t>A</w:t>
            </w:r>
          </w:p>
        </w:tc>
        <w:tc>
          <w:tcPr>
            <w:tcW w:w="1327" w:type="dxa"/>
            <w:vAlign w:val="center"/>
          </w:tcPr>
          <w:p w:rsidR="00BD4692" w:rsidRDefault="00A1150D">
            <w:pPr>
              <w:jc w:val="right"/>
            </w:pPr>
            <w:r>
              <w:rPr>
                <w:color w:val="000000"/>
                <w:sz w:val="24"/>
              </w:rPr>
              <w:t>104,900</w:t>
            </w:r>
          </w:p>
        </w:tc>
        <w:tc>
          <w:tcPr>
            <w:tcW w:w="1915" w:type="dxa"/>
            <w:vAlign w:val="center"/>
          </w:tcPr>
          <w:p w:rsidR="00BD4692" w:rsidRDefault="00A1150D">
            <w:pPr>
              <w:jc w:val="right"/>
            </w:pPr>
            <w:r>
              <w:rPr>
                <w:color w:val="000000"/>
                <w:sz w:val="24"/>
              </w:rPr>
              <w:t>2,580,540.00</w:t>
            </w:r>
          </w:p>
        </w:tc>
        <w:tc>
          <w:tcPr>
            <w:tcW w:w="1680" w:type="dxa"/>
            <w:vAlign w:val="center"/>
          </w:tcPr>
          <w:p w:rsidR="00BD4692" w:rsidRDefault="00A1150D">
            <w:pPr>
              <w:jc w:val="right"/>
            </w:pPr>
            <w:r>
              <w:rPr>
                <w:color w:val="000000"/>
                <w:sz w:val="24"/>
              </w:rPr>
              <w:t>4.03</w:t>
            </w:r>
          </w:p>
        </w:tc>
      </w:tr>
      <w:tr w:rsidR="00BD4692">
        <w:trPr>
          <w:jc w:val="center"/>
        </w:trPr>
        <w:tc>
          <w:tcPr>
            <w:tcW w:w="850" w:type="dxa"/>
            <w:vAlign w:val="center"/>
          </w:tcPr>
          <w:p w:rsidR="00BD4692" w:rsidRDefault="00A1150D">
            <w:pPr>
              <w:jc w:val="center"/>
            </w:pPr>
            <w:r>
              <w:rPr>
                <w:color w:val="000000"/>
                <w:sz w:val="24"/>
              </w:rPr>
              <w:t>6</w:t>
            </w:r>
          </w:p>
        </w:tc>
        <w:tc>
          <w:tcPr>
            <w:tcW w:w="1327" w:type="dxa"/>
            <w:vAlign w:val="center"/>
          </w:tcPr>
          <w:p w:rsidR="00BD4692" w:rsidRDefault="00A1150D">
            <w:pPr>
              <w:jc w:val="center"/>
            </w:pPr>
            <w:r>
              <w:rPr>
                <w:color w:val="000000"/>
                <w:sz w:val="24"/>
              </w:rPr>
              <w:t>000725</w:t>
            </w:r>
          </w:p>
        </w:tc>
        <w:tc>
          <w:tcPr>
            <w:tcW w:w="1769" w:type="dxa"/>
            <w:vAlign w:val="center"/>
          </w:tcPr>
          <w:p w:rsidR="00BD4692" w:rsidRDefault="00A1150D">
            <w:pPr>
              <w:jc w:val="center"/>
            </w:pPr>
            <w:r>
              <w:rPr>
                <w:color w:val="000000"/>
                <w:sz w:val="24"/>
              </w:rPr>
              <w:t>京东方</w:t>
            </w:r>
            <w:r>
              <w:rPr>
                <w:color w:val="000000"/>
                <w:sz w:val="24"/>
              </w:rPr>
              <w:t>A</w:t>
            </w:r>
          </w:p>
        </w:tc>
        <w:tc>
          <w:tcPr>
            <w:tcW w:w="1327" w:type="dxa"/>
            <w:vAlign w:val="center"/>
          </w:tcPr>
          <w:p w:rsidR="00BD4692" w:rsidRDefault="00A1150D">
            <w:pPr>
              <w:jc w:val="right"/>
            </w:pPr>
            <w:r>
              <w:rPr>
                <w:color w:val="000000"/>
                <w:sz w:val="24"/>
              </w:rPr>
              <w:t>673,085</w:t>
            </w:r>
          </w:p>
        </w:tc>
        <w:tc>
          <w:tcPr>
            <w:tcW w:w="1915" w:type="dxa"/>
            <w:vAlign w:val="center"/>
          </w:tcPr>
          <w:p w:rsidR="00BD4692" w:rsidRDefault="00A1150D">
            <w:pPr>
              <w:jc w:val="right"/>
            </w:pPr>
            <w:r>
              <w:rPr>
                <w:color w:val="000000"/>
                <w:sz w:val="24"/>
              </w:rPr>
              <w:t>2,382,720.90</w:t>
            </w:r>
          </w:p>
        </w:tc>
        <w:tc>
          <w:tcPr>
            <w:tcW w:w="1680" w:type="dxa"/>
            <w:vAlign w:val="center"/>
          </w:tcPr>
          <w:p w:rsidR="00BD4692" w:rsidRDefault="00A1150D">
            <w:pPr>
              <w:jc w:val="right"/>
            </w:pPr>
            <w:r>
              <w:rPr>
                <w:color w:val="000000"/>
                <w:sz w:val="24"/>
              </w:rPr>
              <w:t>3.72</w:t>
            </w:r>
          </w:p>
        </w:tc>
      </w:tr>
      <w:tr w:rsidR="00BD4692">
        <w:trPr>
          <w:jc w:val="center"/>
        </w:trPr>
        <w:tc>
          <w:tcPr>
            <w:tcW w:w="850" w:type="dxa"/>
            <w:vAlign w:val="center"/>
          </w:tcPr>
          <w:p w:rsidR="00BD4692" w:rsidRDefault="00A1150D">
            <w:pPr>
              <w:jc w:val="center"/>
            </w:pPr>
            <w:r>
              <w:rPr>
                <w:color w:val="000000"/>
                <w:sz w:val="24"/>
              </w:rPr>
              <w:t>7</w:t>
            </w:r>
          </w:p>
        </w:tc>
        <w:tc>
          <w:tcPr>
            <w:tcW w:w="1327" w:type="dxa"/>
            <w:vAlign w:val="center"/>
          </w:tcPr>
          <w:p w:rsidR="00BD4692" w:rsidRDefault="00A1150D">
            <w:pPr>
              <w:jc w:val="center"/>
            </w:pPr>
            <w:r>
              <w:rPr>
                <w:color w:val="000000"/>
                <w:sz w:val="24"/>
              </w:rPr>
              <w:t>300498</w:t>
            </w:r>
          </w:p>
        </w:tc>
        <w:tc>
          <w:tcPr>
            <w:tcW w:w="1769" w:type="dxa"/>
            <w:vAlign w:val="center"/>
          </w:tcPr>
          <w:p w:rsidR="00BD4692" w:rsidRDefault="00A1150D">
            <w:pPr>
              <w:jc w:val="center"/>
            </w:pPr>
            <w:r>
              <w:rPr>
                <w:color w:val="000000"/>
                <w:sz w:val="24"/>
              </w:rPr>
              <w:t>温氏股份</w:t>
            </w:r>
          </w:p>
        </w:tc>
        <w:tc>
          <w:tcPr>
            <w:tcW w:w="1327" w:type="dxa"/>
            <w:vAlign w:val="center"/>
          </w:tcPr>
          <w:p w:rsidR="00BD4692" w:rsidRDefault="00A1150D">
            <w:pPr>
              <w:jc w:val="right"/>
            </w:pPr>
            <w:r>
              <w:rPr>
                <w:color w:val="000000"/>
                <w:sz w:val="24"/>
              </w:rPr>
              <w:t>98,900</w:t>
            </w:r>
          </w:p>
        </w:tc>
        <w:tc>
          <w:tcPr>
            <w:tcW w:w="1915" w:type="dxa"/>
            <w:vAlign w:val="center"/>
          </w:tcPr>
          <w:p w:rsidR="00BD4692" w:rsidRDefault="00A1150D">
            <w:pPr>
              <w:jc w:val="right"/>
            </w:pPr>
            <w:r>
              <w:rPr>
                <w:color w:val="000000"/>
                <w:sz w:val="24"/>
              </w:rPr>
              <w:t>2,177,778.00</w:t>
            </w:r>
          </w:p>
        </w:tc>
        <w:tc>
          <w:tcPr>
            <w:tcW w:w="1680" w:type="dxa"/>
            <w:vAlign w:val="center"/>
          </w:tcPr>
          <w:p w:rsidR="00BD4692" w:rsidRDefault="00A1150D">
            <w:pPr>
              <w:jc w:val="right"/>
            </w:pPr>
            <w:r>
              <w:rPr>
                <w:color w:val="000000"/>
                <w:sz w:val="24"/>
              </w:rPr>
              <w:t>3.40</w:t>
            </w:r>
          </w:p>
        </w:tc>
      </w:tr>
      <w:tr w:rsidR="00BD4692">
        <w:trPr>
          <w:jc w:val="center"/>
        </w:trPr>
        <w:tc>
          <w:tcPr>
            <w:tcW w:w="850" w:type="dxa"/>
            <w:vAlign w:val="center"/>
          </w:tcPr>
          <w:p w:rsidR="00BD4692" w:rsidRDefault="00A1150D">
            <w:pPr>
              <w:jc w:val="center"/>
            </w:pPr>
            <w:r>
              <w:rPr>
                <w:color w:val="000000"/>
                <w:sz w:val="24"/>
              </w:rPr>
              <w:t>8</w:t>
            </w:r>
          </w:p>
        </w:tc>
        <w:tc>
          <w:tcPr>
            <w:tcW w:w="1327" w:type="dxa"/>
            <w:vAlign w:val="center"/>
          </w:tcPr>
          <w:p w:rsidR="00BD4692" w:rsidRDefault="00A1150D">
            <w:pPr>
              <w:jc w:val="center"/>
            </w:pPr>
            <w:r>
              <w:rPr>
                <w:color w:val="000000"/>
                <w:sz w:val="24"/>
              </w:rPr>
              <w:t>000001</w:t>
            </w:r>
          </w:p>
        </w:tc>
        <w:tc>
          <w:tcPr>
            <w:tcW w:w="1769" w:type="dxa"/>
            <w:vAlign w:val="center"/>
          </w:tcPr>
          <w:p w:rsidR="00BD4692" w:rsidRDefault="00A1150D">
            <w:pPr>
              <w:jc w:val="center"/>
            </w:pPr>
            <w:r>
              <w:rPr>
                <w:color w:val="000000"/>
                <w:sz w:val="24"/>
              </w:rPr>
              <w:t>平安银行</w:t>
            </w:r>
          </w:p>
        </w:tc>
        <w:tc>
          <w:tcPr>
            <w:tcW w:w="1327" w:type="dxa"/>
            <w:vAlign w:val="center"/>
          </w:tcPr>
          <w:p w:rsidR="00BD4692" w:rsidRDefault="00A1150D">
            <w:pPr>
              <w:jc w:val="right"/>
            </w:pPr>
            <w:r>
              <w:rPr>
                <w:color w:val="000000"/>
                <w:sz w:val="24"/>
              </w:rPr>
              <w:t>217,894</w:t>
            </w:r>
          </w:p>
        </w:tc>
        <w:tc>
          <w:tcPr>
            <w:tcW w:w="1915" w:type="dxa"/>
            <w:vAlign w:val="center"/>
          </w:tcPr>
          <w:p w:rsidR="00BD4692" w:rsidRDefault="00A1150D">
            <w:pPr>
              <w:jc w:val="right"/>
            </w:pPr>
            <w:r>
              <w:rPr>
                <w:color w:val="000000"/>
                <w:sz w:val="24"/>
              </w:rPr>
              <w:t>1,980,656.46</w:t>
            </w:r>
          </w:p>
        </w:tc>
        <w:tc>
          <w:tcPr>
            <w:tcW w:w="1680" w:type="dxa"/>
            <w:vAlign w:val="center"/>
          </w:tcPr>
          <w:p w:rsidR="00BD4692" w:rsidRDefault="00A1150D">
            <w:pPr>
              <w:jc w:val="right"/>
            </w:pPr>
            <w:r>
              <w:rPr>
                <w:color w:val="000000"/>
                <w:sz w:val="24"/>
              </w:rPr>
              <w:t>3.09</w:t>
            </w:r>
          </w:p>
        </w:tc>
      </w:tr>
      <w:tr w:rsidR="00BD4692">
        <w:trPr>
          <w:jc w:val="center"/>
        </w:trPr>
        <w:tc>
          <w:tcPr>
            <w:tcW w:w="850" w:type="dxa"/>
            <w:vAlign w:val="center"/>
          </w:tcPr>
          <w:p w:rsidR="00BD4692" w:rsidRDefault="00A1150D">
            <w:pPr>
              <w:jc w:val="center"/>
            </w:pPr>
            <w:r>
              <w:rPr>
                <w:color w:val="000000"/>
                <w:sz w:val="24"/>
              </w:rPr>
              <w:t>9</w:t>
            </w:r>
          </w:p>
        </w:tc>
        <w:tc>
          <w:tcPr>
            <w:tcW w:w="1327" w:type="dxa"/>
            <w:vAlign w:val="center"/>
          </w:tcPr>
          <w:p w:rsidR="00BD4692" w:rsidRDefault="00A1150D">
            <w:pPr>
              <w:jc w:val="center"/>
            </w:pPr>
            <w:r>
              <w:rPr>
                <w:color w:val="000000"/>
                <w:sz w:val="24"/>
              </w:rPr>
              <w:t>002304</w:t>
            </w:r>
          </w:p>
        </w:tc>
        <w:tc>
          <w:tcPr>
            <w:tcW w:w="1769" w:type="dxa"/>
            <w:vAlign w:val="center"/>
          </w:tcPr>
          <w:p w:rsidR="00BD4692" w:rsidRDefault="00A1150D">
            <w:pPr>
              <w:jc w:val="center"/>
            </w:pPr>
            <w:r>
              <w:rPr>
                <w:color w:val="000000"/>
                <w:sz w:val="24"/>
              </w:rPr>
              <w:t>洋河股份</w:t>
            </w:r>
          </w:p>
        </w:tc>
        <w:tc>
          <w:tcPr>
            <w:tcW w:w="1327" w:type="dxa"/>
            <w:vAlign w:val="center"/>
          </w:tcPr>
          <w:p w:rsidR="00BD4692" w:rsidRDefault="00A1150D">
            <w:pPr>
              <w:jc w:val="right"/>
            </w:pPr>
            <w:r>
              <w:rPr>
                <w:color w:val="000000"/>
                <w:sz w:val="24"/>
              </w:rPr>
              <w:t>14,638</w:t>
            </w:r>
          </w:p>
        </w:tc>
        <w:tc>
          <w:tcPr>
            <w:tcW w:w="1915" w:type="dxa"/>
            <w:vAlign w:val="center"/>
          </w:tcPr>
          <w:p w:rsidR="00BD4692" w:rsidRDefault="00A1150D">
            <w:pPr>
              <w:jc w:val="right"/>
            </w:pPr>
            <w:r>
              <w:rPr>
                <w:color w:val="000000"/>
                <w:sz w:val="24"/>
              </w:rPr>
              <w:t>1,926,360.80</w:t>
            </w:r>
          </w:p>
        </w:tc>
        <w:tc>
          <w:tcPr>
            <w:tcW w:w="1680" w:type="dxa"/>
            <w:vAlign w:val="center"/>
          </w:tcPr>
          <w:p w:rsidR="00BD4692" w:rsidRDefault="00A1150D">
            <w:pPr>
              <w:jc w:val="right"/>
            </w:pPr>
            <w:r>
              <w:rPr>
                <w:color w:val="000000"/>
                <w:sz w:val="24"/>
              </w:rPr>
              <w:t>3.01</w:t>
            </w:r>
          </w:p>
        </w:tc>
      </w:tr>
      <w:tr w:rsidR="00BD4692">
        <w:trPr>
          <w:jc w:val="center"/>
        </w:trPr>
        <w:tc>
          <w:tcPr>
            <w:tcW w:w="850" w:type="dxa"/>
            <w:vAlign w:val="center"/>
          </w:tcPr>
          <w:p w:rsidR="00BD4692" w:rsidRDefault="00A1150D">
            <w:pPr>
              <w:jc w:val="center"/>
            </w:pPr>
            <w:r>
              <w:rPr>
                <w:color w:val="000000"/>
                <w:sz w:val="24"/>
              </w:rPr>
              <w:t>10</w:t>
            </w:r>
          </w:p>
        </w:tc>
        <w:tc>
          <w:tcPr>
            <w:tcW w:w="1327" w:type="dxa"/>
            <w:vAlign w:val="center"/>
          </w:tcPr>
          <w:p w:rsidR="00BD4692" w:rsidRDefault="00A1150D">
            <w:pPr>
              <w:jc w:val="center"/>
            </w:pPr>
            <w:r>
              <w:rPr>
                <w:color w:val="000000"/>
                <w:sz w:val="24"/>
              </w:rPr>
              <w:t>000538</w:t>
            </w:r>
          </w:p>
        </w:tc>
        <w:tc>
          <w:tcPr>
            <w:tcW w:w="1769" w:type="dxa"/>
            <w:vAlign w:val="center"/>
          </w:tcPr>
          <w:p w:rsidR="00BD4692" w:rsidRDefault="00A1150D">
            <w:pPr>
              <w:jc w:val="center"/>
            </w:pPr>
            <w:r>
              <w:rPr>
                <w:color w:val="000000"/>
                <w:sz w:val="24"/>
              </w:rPr>
              <w:t>云南白药</w:t>
            </w:r>
          </w:p>
        </w:tc>
        <w:tc>
          <w:tcPr>
            <w:tcW w:w="1327" w:type="dxa"/>
            <w:vAlign w:val="center"/>
          </w:tcPr>
          <w:p w:rsidR="00BD4692" w:rsidRDefault="00A1150D">
            <w:pPr>
              <w:jc w:val="right"/>
            </w:pPr>
            <w:r>
              <w:rPr>
                <w:color w:val="000000"/>
                <w:sz w:val="24"/>
              </w:rPr>
              <w:t>11,600</w:t>
            </w:r>
          </w:p>
        </w:tc>
        <w:tc>
          <w:tcPr>
            <w:tcW w:w="1915" w:type="dxa"/>
            <w:vAlign w:val="center"/>
          </w:tcPr>
          <w:p w:rsidR="00BD4692" w:rsidRDefault="00A1150D">
            <w:pPr>
              <w:jc w:val="right"/>
            </w:pPr>
            <w:r>
              <w:rPr>
                <w:color w:val="000000"/>
                <w:sz w:val="24"/>
              </w:rPr>
              <w:t>1,240,736.00</w:t>
            </w:r>
          </w:p>
        </w:tc>
        <w:tc>
          <w:tcPr>
            <w:tcW w:w="1680" w:type="dxa"/>
            <w:vAlign w:val="center"/>
          </w:tcPr>
          <w:p w:rsidR="00BD4692" w:rsidRDefault="00A1150D">
            <w:pPr>
              <w:jc w:val="right"/>
            </w:pPr>
            <w:r>
              <w:rPr>
                <w:color w:val="000000"/>
                <w:sz w:val="24"/>
              </w:rPr>
              <w:t>1.94</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409.09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225.06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634.15</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bookmarkStart w:id="0" w:name="_GoBack"/>
      <w:bookmarkEnd w:id="0"/>
    </w:p>
    <w:p w:rsidR="00742ADC" w:rsidRPr="002E4EDE" w:rsidRDefault="00742ADC" w:rsidP="006D2F4A">
      <w:pPr>
        <w:pStyle w:val="1"/>
        <w:spacing w:beforeLines="100" w:before="312" w:afterLines="100" w:after="312" w:line="360" w:lineRule="auto"/>
        <w:jc w:val="center"/>
        <w:rPr>
          <w:rFonts w:eastAsiaTheme="minorEastAsia"/>
          <w:color w:val="000000" w:themeColor="text1"/>
          <w:kern w:val="0"/>
          <w:sz w:val="24"/>
          <w:szCs w:val="24"/>
        </w:rPr>
      </w:pPr>
      <w:r w:rsidRPr="002E4EDE">
        <w:rPr>
          <w:rFonts w:eastAsiaTheme="minorEastAsia"/>
          <w:color w:val="000000" w:themeColor="text1"/>
          <w:kern w:val="0"/>
          <w:sz w:val="24"/>
          <w:szCs w:val="24"/>
        </w:rPr>
        <w:t>§6</w:t>
      </w:r>
      <w:r w:rsidRPr="002E4EDE">
        <w:rPr>
          <w:rFonts w:eastAsiaTheme="minorEastAsia" w:hint="eastAsia"/>
          <w:color w:val="000000" w:themeColor="text1"/>
          <w:kern w:val="0"/>
          <w:sz w:val="24"/>
          <w:szCs w:val="24"/>
        </w:rPr>
        <w:t xml:space="preserve">  </w:t>
      </w:r>
      <w:r w:rsidRPr="002E4EDE">
        <w:rPr>
          <w:rFonts w:eastAsiaTheme="minorEastAsia" w:hint="eastAsia"/>
          <w:color w:val="000000" w:themeColor="text1"/>
          <w:kern w:val="0"/>
          <w:sz w:val="24"/>
          <w:szCs w:val="24"/>
        </w:rPr>
        <w:t>基金中基金</w:t>
      </w:r>
    </w:p>
    <w:p w:rsidR="00742ADC" w:rsidRPr="002E4EDE" w:rsidRDefault="00742ADC" w:rsidP="00742ADC">
      <w:pPr>
        <w:adjustRightInd w:val="0"/>
        <w:snapToGrid w:val="0"/>
        <w:spacing w:line="360" w:lineRule="auto"/>
        <w:rPr>
          <w:rFonts w:eastAsiaTheme="minorEastAsia"/>
          <w:b/>
          <w:color w:val="000000" w:themeColor="text1"/>
          <w:kern w:val="0"/>
          <w:sz w:val="24"/>
        </w:rPr>
      </w:pPr>
      <w:r w:rsidRPr="002E4EDE">
        <w:rPr>
          <w:rFonts w:eastAsiaTheme="minorEastAsia"/>
          <w:b/>
          <w:color w:val="000000" w:themeColor="text1"/>
          <w:kern w:val="0"/>
          <w:sz w:val="24"/>
        </w:rPr>
        <w:t>6.1</w:t>
      </w:r>
      <w:r w:rsidRPr="002E4EDE">
        <w:rPr>
          <w:rFonts w:eastAsiaTheme="minorEastAsia" w:hint="eastAsia"/>
          <w:b/>
          <w:color w:val="000000" w:themeColor="text1"/>
          <w:kern w:val="0"/>
          <w:sz w:val="24"/>
        </w:rPr>
        <w:t xml:space="preserve"> </w:t>
      </w:r>
      <w:r w:rsidRPr="002E4EDE">
        <w:rPr>
          <w:rFonts w:eastAsiaTheme="minorEastAsia" w:hint="eastAsia"/>
          <w:b/>
          <w:color w:val="000000" w:themeColor="text1"/>
          <w:kern w:val="0"/>
          <w:sz w:val="24"/>
        </w:rPr>
        <w:t>报告期末按公允价值占基金资产净值比例大小排序的前十名基金投资明细</w:t>
      </w:r>
    </w:p>
    <w:p w:rsidR="00742ADC" w:rsidRPr="002E4EDE"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2E4EDE">
        <w:rPr>
          <w:rFonts w:eastAsiaTheme="minorEastAsia"/>
          <w:color w:val="000000" w:themeColor="text1"/>
          <w:sz w:val="24"/>
        </w:rPr>
        <w:t>本基金本报告期末未持有基金。</w:t>
      </w:r>
    </w:p>
    <w:p w:rsidR="00742ADC" w:rsidRPr="002E4EDE" w:rsidRDefault="00742ADC" w:rsidP="006D2F4A">
      <w:pPr>
        <w:adjustRightInd w:val="0"/>
        <w:snapToGrid w:val="0"/>
        <w:spacing w:beforeLines="50" w:before="156" w:line="360" w:lineRule="auto"/>
        <w:rPr>
          <w:rFonts w:eastAsiaTheme="minorEastAsia"/>
          <w:b/>
          <w:color w:val="000000" w:themeColor="text1"/>
          <w:kern w:val="0"/>
          <w:sz w:val="24"/>
        </w:rPr>
      </w:pPr>
      <w:r w:rsidRPr="002E4EDE">
        <w:rPr>
          <w:rFonts w:eastAsiaTheme="minorEastAsia"/>
          <w:b/>
          <w:color w:val="000000" w:themeColor="text1"/>
          <w:kern w:val="0"/>
          <w:sz w:val="24"/>
        </w:rPr>
        <w:t>6.2</w:t>
      </w:r>
      <w:r w:rsidRPr="002E4EDE">
        <w:rPr>
          <w:rFonts w:eastAsiaTheme="minorEastAsia" w:hint="eastAsia"/>
          <w:b/>
          <w:color w:val="000000" w:themeColor="text1"/>
          <w:kern w:val="0"/>
          <w:sz w:val="24"/>
        </w:rPr>
        <w:t xml:space="preserve"> </w:t>
      </w:r>
      <w:r w:rsidRPr="002E4EDE">
        <w:rPr>
          <w:rFonts w:eastAsiaTheme="minorEastAsia" w:hint="eastAsia"/>
          <w:b/>
          <w:color w:val="000000" w:themeColor="text1"/>
          <w:kern w:val="0"/>
          <w:sz w:val="24"/>
        </w:rPr>
        <w:t>当期交易及持有基金产生的费用</w:t>
      </w:r>
    </w:p>
    <w:p w:rsidR="00742ADC" w:rsidRPr="002E4EDE"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2E4EDE">
        <w:rPr>
          <w:rFonts w:eastAsiaTheme="minorEastAsia"/>
          <w:color w:val="000000" w:themeColor="text1"/>
          <w:sz w:val="24"/>
        </w:rPr>
        <w:t>本基金本报告期内未交易或持有基金。</w:t>
      </w:r>
    </w:p>
    <w:p w:rsidR="00742ADC" w:rsidRPr="002E4EDE" w:rsidRDefault="00742ADC" w:rsidP="006D2F4A">
      <w:pPr>
        <w:adjustRightInd w:val="0"/>
        <w:snapToGrid w:val="0"/>
        <w:spacing w:beforeLines="50" w:before="156" w:line="360" w:lineRule="auto"/>
        <w:rPr>
          <w:rFonts w:eastAsiaTheme="minorEastAsia"/>
          <w:b/>
          <w:color w:val="000000" w:themeColor="text1"/>
          <w:kern w:val="0"/>
          <w:sz w:val="24"/>
        </w:rPr>
      </w:pPr>
      <w:r w:rsidRPr="002E4EDE">
        <w:rPr>
          <w:rFonts w:eastAsiaTheme="minorEastAsia"/>
          <w:b/>
          <w:color w:val="000000" w:themeColor="text1"/>
          <w:kern w:val="0"/>
          <w:sz w:val="24"/>
        </w:rPr>
        <w:t>6.3</w:t>
      </w:r>
      <w:r w:rsidRPr="002E4EDE">
        <w:rPr>
          <w:rFonts w:eastAsiaTheme="minorEastAsia" w:hint="eastAsia"/>
          <w:b/>
          <w:color w:val="000000" w:themeColor="text1"/>
          <w:kern w:val="0"/>
          <w:sz w:val="24"/>
        </w:rPr>
        <w:t xml:space="preserve"> </w:t>
      </w:r>
      <w:r w:rsidRPr="002E4EDE">
        <w:rPr>
          <w:rFonts w:eastAsiaTheme="minorEastAsia" w:hint="eastAsia"/>
          <w:b/>
          <w:color w:val="000000" w:themeColor="text1"/>
          <w:kern w:val="0"/>
          <w:sz w:val="24"/>
        </w:rPr>
        <w:t>本报告期持有的基金发生的重大影响事件</w:t>
      </w:r>
    </w:p>
    <w:p w:rsidR="00EC23D0" w:rsidRPr="002E4EDE" w:rsidRDefault="00EC23D0" w:rsidP="006D2F4A">
      <w:pPr>
        <w:adjustRightInd w:val="0"/>
        <w:snapToGrid w:val="0"/>
        <w:spacing w:beforeLines="50" w:before="156" w:line="360" w:lineRule="auto"/>
        <w:rPr>
          <w:rFonts w:eastAsiaTheme="minorEastAsia"/>
          <w:b/>
          <w:color w:val="000000" w:themeColor="text1"/>
          <w:kern w:val="0"/>
          <w:sz w:val="24"/>
        </w:rPr>
      </w:pPr>
      <w:r w:rsidRPr="002E4EDE">
        <w:rPr>
          <w:rFonts w:eastAsiaTheme="minorEastAsia"/>
          <w:b/>
          <w:color w:val="000000" w:themeColor="text1"/>
          <w:kern w:val="0"/>
          <w:sz w:val="24"/>
        </w:rPr>
        <w:tab/>
      </w:r>
      <w:r w:rsidRPr="002E4EDE">
        <w:rPr>
          <w:rFonts w:eastAsiaTheme="minorEastAsia" w:hint="eastAsia"/>
          <w:color w:val="000000" w:themeColor="text1"/>
          <w:sz w:val="24"/>
        </w:rPr>
        <w:t>无</w:t>
      </w:r>
      <w:r w:rsidRPr="002E4EDE">
        <w:rPr>
          <w:rFonts w:eastAsiaTheme="minorEastAsia"/>
          <w:color w:val="000000" w:themeColor="text1"/>
          <w:sz w:val="24"/>
        </w:rPr>
        <w:t>。</w:t>
      </w:r>
    </w:p>
    <w:p w:rsidR="00220542" w:rsidRPr="0036023B" w:rsidRDefault="0055680B" w:rsidP="006D2F4A">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39,329,693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38,329,693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6D2F4A">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lastRenderedPageBreak/>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6D2F4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D4692">
        <w:tc>
          <w:tcPr>
            <w:tcW w:w="992" w:type="dxa"/>
            <w:vMerge w:val="restart"/>
          </w:tcPr>
          <w:p w:rsidR="00BD4692" w:rsidRDefault="00BD4692"/>
          <w:p w:rsidR="00BD4692" w:rsidRDefault="00A1150D">
            <w:r>
              <w:rPr>
                <w:rFonts w:ascii="宋体" w:hAnsi="宋体" w:hint="eastAsia"/>
                <w:kern w:val="0"/>
                <w:szCs w:val="21"/>
              </w:rPr>
              <w:t>交银施罗德深证300价值交易型开放式指数证券投资基金联接基金</w:t>
            </w:r>
          </w:p>
        </w:tc>
        <w:tc>
          <w:tcPr>
            <w:tcW w:w="991" w:type="dxa"/>
            <w:vAlign w:val="center"/>
          </w:tcPr>
          <w:p w:rsidR="00BD4692" w:rsidRDefault="00A1150D">
            <w:pPr>
              <w:jc w:val="center"/>
            </w:pPr>
            <w:r>
              <w:rPr>
                <w:rFonts w:ascii="宋体" w:hAnsi="宋体" w:hint="eastAsia"/>
                <w:bCs/>
                <w:color w:val="000000"/>
                <w:kern w:val="0"/>
                <w:szCs w:val="21"/>
              </w:rPr>
              <w:t>1</w:t>
            </w:r>
          </w:p>
        </w:tc>
        <w:tc>
          <w:tcPr>
            <w:tcW w:w="1843" w:type="dxa"/>
            <w:vAlign w:val="center"/>
          </w:tcPr>
          <w:p w:rsidR="00BD4692" w:rsidRDefault="00A1150D">
            <w:pPr>
              <w:jc w:val="center"/>
            </w:pPr>
            <w:r>
              <w:rPr>
                <w:rFonts w:ascii="宋体" w:hAnsi="宋体" w:hint="eastAsia"/>
                <w:bCs/>
                <w:color w:val="000000"/>
                <w:kern w:val="0"/>
                <w:szCs w:val="21"/>
              </w:rPr>
              <w:t>2018/4/1-2018/6/30</w:t>
            </w:r>
          </w:p>
        </w:tc>
        <w:tc>
          <w:tcPr>
            <w:tcW w:w="851" w:type="dxa"/>
            <w:vAlign w:val="center"/>
          </w:tcPr>
          <w:p w:rsidR="00BD4692" w:rsidRDefault="00A1150D">
            <w:pPr>
              <w:jc w:val="center"/>
            </w:pPr>
            <w:r>
              <w:rPr>
                <w:rFonts w:ascii="宋体" w:hAnsi="宋体" w:hint="eastAsia"/>
                <w:bCs/>
                <w:color w:val="000000"/>
                <w:kern w:val="0"/>
                <w:szCs w:val="21"/>
              </w:rPr>
              <w:t>35,802,500.00</w:t>
            </w:r>
          </w:p>
        </w:tc>
        <w:tc>
          <w:tcPr>
            <w:tcW w:w="850" w:type="dxa"/>
            <w:vAlign w:val="center"/>
          </w:tcPr>
          <w:p w:rsidR="00BD4692" w:rsidRDefault="00A1150D">
            <w:pPr>
              <w:jc w:val="center"/>
            </w:pPr>
            <w:r>
              <w:rPr>
                <w:rFonts w:ascii="宋体" w:hAnsi="宋体" w:hint="eastAsia"/>
                <w:bCs/>
                <w:color w:val="000000"/>
                <w:kern w:val="0"/>
                <w:szCs w:val="21"/>
              </w:rPr>
              <w:t>-</w:t>
            </w:r>
          </w:p>
        </w:tc>
        <w:tc>
          <w:tcPr>
            <w:tcW w:w="1134" w:type="dxa"/>
            <w:vAlign w:val="center"/>
          </w:tcPr>
          <w:p w:rsidR="00BD4692" w:rsidRDefault="00A1150D">
            <w:pPr>
              <w:jc w:val="center"/>
            </w:pPr>
            <w:r>
              <w:rPr>
                <w:rFonts w:ascii="宋体" w:hAnsi="宋体" w:hint="eastAsia"/>
                <w:bCs/>
                <w:color w:val="000000"/>
                <w:kern w:val="0"/>
                <w:szCs w:val="21"/>
              </w:rPr>
              <w:t>-</w:t>
            </w:r>
          </w:p>
        </w:tc>
        <w:tc>
          <w:tcPr>
            <w:tcW w:w="1419" w:type="dxa"/>
            <w:vAlign w:val="center"/>
          </w:tcPr>
          <w:p w:rsidR="00BD4692" w:rsidRDefault="00A1150D">
            <w:pPr>
              <w:jc w:val="center"/>
            </w:pPr>
            <w:r>
              <w:rPr>
                <w:rFonts w:ascii="宋体" w:hAnsi="宋体" w:hint="eastAsia"/>
                <w:bCs/>
                <w:color w:val="000000"/>
                <w:kern w:val="0"/>
                <w:szCs w:val="21"/>
              </w:rPr>
              <w:t>35,802,500.00</w:t>
            </w:r>
          </w:p>
        </w:tc>
        <w:tc>
          <w:tcPr>
            <w:tcW w:w="1130" w:type="dxa"/>
            <w:vAlign w:val="center"/>
          </w:tcPr>
          <w:p w:rsidR="00BD4692" w:rsidRDefault="00A1150D">
            <w:pPr>
              <w:jc w:val="center"/>
            </w:pPr>
            <w:r>
              <w:rPr>
                <w:rFonts w:ascii="宋体" w:hAnsi="宋体" w:hint="eastAsia"/>
                <w:bCs/>
                <w:color w:val="000000"/>
                <w:kern w:val="0"/>
                <w:szCs w:val="21"/>
              </w:rPr>
              <w:t>93.41%</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BD4692" w:rsidRDefault="00A1150D">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BD4692" w:rsidRDefault="00A1150D">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BD4692" w:rsidRDefault="00A1150D">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BD4692" w:rsidRDefault="00A1150D">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BD4692" w:rsidRDefault="00A1150D">
      <w:pPr>
        <w:spacing w:before="29" w:line="288" w:lineRule="auto"/>
        <w:ind w:firstLineChars="200" w:firstLine="480"/>
        <w:rPr>
          <w:color w:val="000000"/>
          <w:sz w:val="24"/>
        </w:rPr>
      </w:pPr>
      <w:r>
        <w:rPr>
          <w:color w:val="000000"/>
          <w:sz w:val="24"/>
        </w:rPr>
        <w:lastRenderedPageBreak/>
        <w:t>5</w:t>
      </w:r>
      <w:r>
        <w:rPr>
          <w:color w:val="000000"/>
          <w:sz w:val="24"/>
        </w:rPr>
        <w:t>、关于申请募集深证</w:t>
      </w:r>
      <w:r>
        <w:rPr>
          <w:color w:val="000000"/>
          <w:sz w:val="24"/>
        </w:rPr>
        <w:t>300</w:t>
      </w:r>
      <w:r>
        <w:rPr>
          <w:color w:val="000000"/>
          <w:sz w:val="24"/>
        </w:rPr>
        <w:t>价值交易型开放式指数证券投资基金之法律意见书；</w:t>
      </w:r>
    </w:p>
    <w:p w:rsidR="00BD4692" w:rsidRDefault="00A1150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BD4692" w:rsidRDefault="00A1150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BD4692" w:rsidRDefault="00A1150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A0C" w:rsidRDefault="00F91A0C">
      <w:r>
        <w:separator/>
      </w:r>
    </w:p>
  </w:endnote>
  <w:endnote w:type="continuationSeparator" w:id="0">
    <w:p w:rsidR="00F91A0C" w:rsidRDefault="00F91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A76DFA">
      <w:rPr>
        <w:kern w:val="0"/>
        <w:szCs w:val="21"/>
      </w:rPr>
      <w:fldChar w:fldCharType="begin"/>
    </w:r>
    <w:r>
      <w:rPr>
        <w:kern w:val="0"/>
        <w:szCs w:val="21"/>
      </w:rPr>
      <w:instrText xml:space="preserve"> PAGE </w:instrText>
    </w:r>
    <w:r w:rsidR="00A76DFA">
      <w:rPr>
        <w:kern w:val="0"/>
        <w:szCs w:val="21"/>
      </w:rPr>
      <w:fldChar w:fldCharType="separate"/>
    </w:r>
    <w:r w:rsidR="002E4EDE">
      <w:rPr>
        <w:noProof/>
        <w:kern w:val="0"/>
        <w:szCs w:val="21"/>
      </w:rPr>
      <w:t>13</w:t>
    </w:r>
    <w:r w:rsidR="00A76DFA">
      <w:rPr>
        <w:kern w:val="0"/>
        <w:szCs w:val="21"/>
      </w:rPr>
      <w:fldChar w:fldCharType="end"/>
    </w:r>
    <w:r>
      <w:rPr>
        <w:rFonts w:hint="eastAsia"/>
        <w:kern w:val="0"/>
        <w:szCs w:val="21"/>
      </w:rPr>
      <w:t>页共</w:t>
    </w:r>
    <w:r w:rsidR="00A76DFA">
      <w:rPr>
        <w:kern w:val="0"/>
        <w:szCs w:val="21"/>
      </w:rPr>
      <w:fldChar w:fldCharType="begin"/>
    </w:r>
    <w:r>
      <w:rPr>
        <w:kern w:val="0"/>
        <w:szCs w:val="21"/>
      </w:rPr>
      <w:instrText xml:space="preserve"> NUMPAGES </w:instrText>
    </w:r>
    <w:r w:rsidR="00A76DFA">
      <w:rPr>
        <w:kern w:val="0"/>
        <w:szCs w:val="21"/>
      </w:rPr>
      <w:fldChar w:fldCharType="separate"/>
    </w:r>
    <w:r w:rsidR="002E4EDE">
      <w:rPr>
        <w:noProof/>
        <w:kern w:val="0"/>
        <w:szCs w:val="21"/>
      </w:rPr>
      <w:t>13</w:t>
    </w:r>
    <w:r w:rsidR="00A76DF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A76DFA">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A0C" w:rsidRDefault="00F91A0C">
      <w:r>
        <w:separator/>
      </w:r>
    </w:p>
  </w:footnote>
  <w:footnote w:type="continuationSeparator" w:id="0">
    <w:p w:rsidR="00F91A0C" w:rsidRDefault="00F91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E4EDE"/>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150D"/>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4692"/>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23D0"/>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1A0C"/>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E84AD2-25F0-49F4-B825-028D40F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13</Pages>
  <Words>1069</Words>
  <Characters>6099</Characters>
  <Application>Microsoft Office Word</Application>
  <DocSecurity>0</DocSecurity>
  <Lines>50</Lines>
  <Paragraphs>14</Paragraphs>
  <ScaleCrop>false</ScaleCrop>
  <Company>TRT. Ltd. Co.</Company>
  <LinksUpToDate>false</LinksUpToDate>
  <CharactersWithSpaces>7154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393</cp:revision>
  <cp:lastPrinted>2007-07-19T00:46:00Z</cp:lastPrinted>
  <dcterms:created xsi:type="dcterms:W3CDTF">2012-11-21T04:46:00Z</dcterms:created>
  <dcterms:modified xsi:type="dcterms:W3CDTF">2018-07-16T08:28:00Z</dcterms:modified>
</cp:coreProperties>
</file>