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交银施罗德国企改革灵活配置混合型证券投资基金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二〇一八年七月十八日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A5500F" w:rsidRDefault="00465A01">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A5500F" w:rsidRDefault="00465A01">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A5500F" w:rsidRDefault="00465A01">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A5500F" w:rsidRDefault="00465A01">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A5500F" w:rsidRDefault="00465A01">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交银国企改革灵活配置混合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519756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519756</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10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618,610,622.09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本基金主要投资受益于国企改革红利的上市公司股票，通过积极主动的投资管理，在合理控制投资风险的基础上，力争实现基金资产的长期稳定增值。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其中，本基金股票投资重点关注直接受益于国企改革红利、或在国企改革推动下盈利水平长期显著提升的其他上市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w:t>
            </w:r>
            <w:r w:rsidRPr="00414345">
              <w:rPr>
                <w:color w:val="000000"/>
                <w:kern w:val="0"/>
                <w:sz w:val="24"/>
                <w:szCs w:val="24"/>
              </w:rPr>
              <w:t>+40%×</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465A01" w:rsidRPr="00414345" w:rsidTr="00465A0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465A01" w:rsidRPr="00414345" w:rsidTr="00465A0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-1,625,205.30</w:t>
            </w:r>
          </w:p>
        </w:tc>
      </w:tr>
      <w:tr w:rsidR="00465A01" w:rsidRPr="00414345" w:rsidTr="00465A0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-57,915,367.52</w:t>
            </w:r>
          </w:p>
        </w:tc>
      </w:tr>
      <w:tr w:rsidR="00465A01" w:rsidRPr="00414345" w:rsidTr="00465A0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-0.0919</w:t>
            </w:r>
          </w:p>
        </w:tc>
      </w:tr>
      <w:tr w:rsidR="00465A01" w:rsidRPr="00414345" w:rsidTr="00465A0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561,737,406.82</w:t>
            </w:r>
          </w:p>
        </w:tc>
      </w:tr>
      <w:tr w:rsidR="00465A01" w:rsidRPr="00414345" w:rsidTr="00465A0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0.908</w:t>
            </w:r>
          </w:p>
        </w:tc>
      </w:tr>
    </w:tbl>
    <w:p w:rsidR="00A5500F" w:rsidRDefault="00465A0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A5500F">
        <w:trPr>
          <w:jc w:val="center"/>
        </w:trPr>
        <w:tc>
          <w:tcPr>
            <w:tcW w:w="1701" w:type="dxa"/>
            <w:vAlign w:val="center"/>
          </w:tcPr>
          <w:p w:rsidR="00A5500F" w:rsidRDefault="00465A01">
            <w:pPr>
              <w:jc w:val="left"/>
            </w:pPr>
            <w:r>
              <w:rPr>
                <w:color w:val="000000"/>
                <w:sz w:val="24"/>
                <w:szCs w:val="24"/>
              </w:rPr>
              <w:t>过去三个月</w:t>
            </w:r>
          </w:p>
        </w:tc>
        <w:tc>
          <w:tcPr>
            <w:tcW w:w="1045" w:type="dxa"/>
            <w:vAlign w:val="center"/>
          </w:tcPr>
          <w:p w:rsidR="00A5500F" w:rsidRDefault="00465A01">
            <w:pPr>
              <w:jc w:val="center"/>
            </w:pPr>
            <w:r>
              <w:rPr>
                <w:color w:val="000000"/>
                <w:sz w:val="24"/>
                <w:szCs w:val="24"/>
              </w:rPr>
              <w:t>-9.29%</w:t>
            </w:r>
          </w:p>
        </w:tc>
        <w:tc>
          <w:tcPr>
            <w:tcW w:w="1344" w:type="dxa"/>
            <w:vAlign w:val="center"/>
          </w:tcPr>
          <w:p w:rsidR="00A5500F" w:rsidRDefault="00465A01">
            <w:pPr>
              <w:jc w:val="center"/>
            </w:pPr>
            <w:r>
              <w:rPr>
                <w:color w:val="000000"/>
                <w:sz w:val="24"/>
                <w:szCs w:val="24"/>
              </w:rPr>
              <w:t>1.09%</w:t>
            </w:r>
          </w:p>
        </w:tc>
        <w:tc>
          <w:tcPr>
            <w:tcW w:w="1194" w:type="dxa"/>
            <w:vAlign w:val="center"/>
          </w:tcPr>
          <w:p w:rsidR="00A5500F" w:rsidRDefault="00465A01">
            <w:pPr>
              <w:jc w:val="center"/>
            </w:pPr>
            <w:r>
              <w:rPr>
                <w:color w:val="000000"/>
                <w:sz w:val="24"/>
                <w:szCs w:val="24"/>
              </w:rPr>
              <w:t>-5.26%</w:t>
            </w:r>
          </w:p>
        </w:tc>
        <w:tc>
          <w:tcPr>
            <w:tcW w:w="1492" w:type="dxa"/>
            <w:vAlign w:val="center"/>
          </w:tcPr>
          <w:p w:rsidR="00A5500F" w:rsidRDefault="00465A01">
            <w:pPr>
              <w:jc w:val="center"/>
            </w:pPr>
            <w:r>
              <w:rPr>
                <w:color w:val="000000"/>
                <w:sz w:val="24"/>
                <w:szCs w:val="24"/>
              </w:rPr>
              <w:t>0.68%</w:t>
            </w:r>
          </w:p>
        </w:tc>
        <w:tc>
          <w:tcPr>
            <w:tcW w:w="1194" w:type="dxa"/>
            <w:vAlign w:val="center"/>
          </w:tcPr>
          <w:p w:rsidR="00A5500F" w:rsidRDefault="00465A01">
            <w:pPr>
              <w:jc w:val="center"/>
            </w:pPr>
            <w:r>
              <w:rPr>
                <w:color w:val="000000"/>
                <w:sz w:val="24"/>
                <w:szCs w:val="24"/>
              </w:rPr>
              <w:t>-4.03%</w:t>
            </w:r>
          </w:p>
        </w:tc>
        <w:tc>
          <w:tcPr>
            <w:tcW w:w="898" w:type="dxa"/>
            <w:vAlign w:val="center"/>
          </w:tcPr>
          <w:p w:rsidR="00A5500F" w:rsidRDefault="00465A01">
            <w:pPr>
              <w:jc w:val="center"/>
            </w:pPr>
            <w:r>
              <w:rPr>
                <w:color w:val="000000"/>
                <w:sz w:val="24"/>
                <w:szCs w:val="24"/>
              </w:rPr>
              <w:t>0.41%</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+40%×</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+40%×</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交银施罗德国企改革灵活配置混合型证券投资基金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A5500F">
        <w:trPr>
          <w:jc w:val="center"/>
        </w:trPr>
        <w:tc>
          <w:tcPr>
            <w:tcW w:w="846" w:type="dxa"/>
            <w:vAlign w:val="center"/>
          </w:tcPr>
          <w:p w:rsidR="00A5500F" w:rsidRDefault="00465A01">
            <w:pPr>
              <w:jc w:val="center"/>
            </w:pPr>
            <w:r>
              <w:rPr>
                <w:color w:val="000000"/>
                <w:sz w:val="24"/>
                <w:szCs w:val="24"/>
              </w:rPr>
              <w:t>沈楠</w:t>
            </w:r>
          </w:p>
        </w:tc>
        <w:tc>
          <w:tcPr>
            <w:tcW w:w="845" w:type="dxa"/>
            <w:vAlign w:val="center"/>
          </w:tcPr>
          <w:p w:rsidR="00A5500F" w:rsidRDefault="00465A01">
            <w:pPr>
              <w:jc w:val="center"/>
            </w:pPr>
            <w:r>
              <w:rPr>
                <w:color w:val="000000"/>
                <w:sz w:val="24"/>
                <w:szCs w:val="24"/>
              </w:rPr>
              <w:t>交银主题优选混合、交银国企改革灵活配置</w:t>
            </w:r>
            <w:r>
              <w:rPr>
                <w:color w:val="000000"/>
                <w:sz w:val="24"/>
                <w:szCs w:val="24"/>
              </w:rPr>
              <w:lastRenderedPageBreak/>
              <w:t>混合的基金经理</w:t>
            </w:r>
          </w:p>
        </w:tc>
        <w:tc>
          <w:tcPr>
            <w:tcW w:w="1549" w:type="dxa"/>
            <w:vAlign w:val="center"/>
          </w:tcPr>
          <w:p w:rsidR="00A5500F" w:rsidRDefault="00465A01">
            <w:pPr>
              <w:jc w:val="center"/>
            </w:pPr>
            <w:r>
              <w:rPr>
                <w:color w:val="000000"/>
                <w:sz w:val="24"/>
                <w:szCs w:val="24"/>
              </w:rPr>
              <w:lastRenderedPageBreak/>
              <w:t>2015-06-10</w:t>
            </w:r>
          </w:p>
        </w:tc>
        <w:tc>
          <w:tcPr>
            <w:tcW w:w="1548" w:type="dxa"/>
            <w:vAlign w:val="center"/>
          </w:tcPr>
          <w:p w:rsidR="00A5500F" w:rsidRDefault="00465A01">
            <w:pPr>
              <w:jc w:val="center"/>
            </w:pPr>
            <w:r>
              <w:rPr>
                <w:color w:val="000000"/>
                <w:sz w:val="24"/>
                <w:szCs w:val="24"/>
              </w:rPr>
              <w:t>-</w:t>
            </w:r>
          </w:p>
        </w:tc>
        <w:tc>
          <w:tcPr>
            <w:tcW w:w="1407" w:type="dxa"/>
            <w:vAlign w:val="center"/>
          </w:tcPr>
          <w:p w:rsidR="00A5500F" w:rsidRDefault="00465A01">
            <w:pPr>
              <w:jc w:val="center"/>
            </w:pPr>
            <w:r>
              <w:rPr>
                <w:color w:val="000000"/>
                <w:sz w:val="24"/>
                <w:szCs w:val="24"/>
              </w:rPr>
              <w:t>9</w:t>
            </w:r>
            <w:r>
              <w:rPr>
                <w:color w:val="000000"/>
                <w:sz w:val="24"/>
                <w:szCs w:val="24"/>
              </w:rPr>
              <w:t>年</w:t>
            </w:r>
          </w:p>
        </w:tc>
        <w:tc>
          <w:tcPr>
            <w:tcW w:w="2673" w:type="dxa"/>
            <w:vAlign w:val="center"/>
          </w:tcPr>
          <w:p w:rsidR="00A5500F" w:rsidRDefault="00465A01">
            <w:r>
              <w:rPr>
                <w:color w:val="000000"/>
                <w:sz w:val="24"/>
                <w:szCs w:val="24"/>
              </w:rPr>
              <w:t>沈楠先生，复旦大学硕士。历任长江证券高级分析师，</w:t>
            </w:r>
            <w:r>
              <w:rPr>
                <w:color w:val="000000"/>
                <w:sz w:val="24"/>
                <w:szCs w:val="24"/>
              </w:rPr>
              <w:t>2011</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A5500F" w:rsidRDefault="00465A01">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A5500F" w:rsidRDefault="00465A01">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A5500F" w:rsidRDefault="00465A01">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A5500F" w:rsidRDefault="00465A01">
      <w:pPr>
        <w:spacing w:before="29" w:line="288" w:lineRule="auto"/>
        <w:ind w:firstLineChars="200" w:firstLine="480"/>
        <w:rPr>
          <w:color w:val="000000"/>
          <w:sz w:val="24"/>
          <w:szCs w:val="24"/>
        </w:rPr>
      </w:pPr>
      <w:r>
        <w:rPr>
          <w:color w:val="000000"/>
          <w:sz w:val="24"/>
          <w:szCs w:val="24"/>
        </w:rPr>
        <w:lastRenderedPageBreak/>
        <w:t>2018</w:t>
      </w:r>
      <w:r>
        <w:rPr>
          <w:color w:val="000000"/>
          <w:sz w:val="24"/>
          <w:szCs w:val="24"/>
        </w:rPr>
        <w:t>年二季度，国内经济内外环境的不确定性显著增加。一方面，由于去杠杆政策的逐步推进，使得社融增速出现一定放缓，促使市场担心下半年经济的下行压力。另一方面，中美贸易战不断发酵，外需也存在极大不确定性。货币环境逐渐宽松，汇率呈现贬值压力。</w:t>
      </w:r>
      <w:r>
        <w:rPr>
          <w:color w:val="000000"/>
          <w:sz w:val="24"/>
          <w:szCs w:val="24"/>
        </w:rPr>
        <w:t>A</w:t>
      </w:r>
      <w:r>
        <w:rPr>
          <w:color w:val="000000"/>
          <w:sz w:val="24"/>
          <w:szCs w:val="24"/>
        </w:rPr>
        <w:t>股市场在不确定性大幅上升的背景下出现大幅下跌，我们认为市场中期来看处于底部区域，但短期伴随内忧外患仍可能继续承压。目前政策进一步支持培育新兴产业发展，投资机会将聚焦在受内外环境影响较小的成长类板块。</w:t>
      </w:r>
    </w:p>
    <w:p w:rsidR="00A5500F" w:rsidRDefault="00465A01">
      <w:pPr>
        <w:spacing w:before="29" w:line="288" w:lineRule="auto"/>
        <w:ind w:firstLineChars="200" w:firstLine="480"/>
        <w:rPr>
          <w:color w:val="000000"/>
          <w:sz w:val="24"/>
          <w:szCs w:val="24"/>
        </w:rPr>
      </w:pPr>
      <w:r>
        <w:rPr>
          <w:color w:val="000000"/>
          <w:sz w:val="24"/>
          <w:szCs w:val="24"/>
        </w:rPr>
        <w:t>随着内外环境的进一步复杂化，我们预计短期国企改革的进程可能略有放缓，而部分领域也将进入真正的执行效果落实观察期。一旦外部环境有所缓和或改善，则中央将加快推进包括国企改革在内的一系列改革进程，因此我们继续看好该领域的投资机会。</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本报告期内本基金重点配置了食品饮料、航空、医药、金融地产等消费性行业，少量增配了军工、计算机等成长性行业。展望</w:t>
      </w:r>
      <w:r w:rsidRPr="00414345">
        <w:rPr>
          <w:color w:val="000000"/>
          <w:sz w:val="24"/>
          <w:szCs w:val="24"/>
        </w:rPr>
        <w:t>2018</w:t>
      </w:r>
      <w:r w:rsidRPr="00414345">
        <w:rPr>
          <w:color w:val="000000"/>
          <w:sz w:val="24"/>
          <w:szCs w:val="24"/>
        </w:rPr>
        <w:t>年，我们认为央企整合仍会稳步推进，重点区域的改革试点需继续关注。本产品将结合外部环境的变化，综合判断下一步改革试点的突破口，把握最新政策动向受益的国有企业，尤其是在管理上积极进取、机制完善，有较大转型决心的上市标的。</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0.908</w:t>
      </w:r>
      <w:r w:rsidRPr="00414345">
        <w:rPr>
          <w:color w:val="000000"/>
          <w:sz w:val="24"/>
          <w:szCs w:val="24"/>
        </w:rPr>
        <w:t>元，本报告期份额净值增长率为</w:t>
      </w:r>
      <w:r w:rsidRPr="00414345">
        <w:rPr>
          <w:color w:val="000000"/>
          <w:sz w:val="24"/>
          <w:szCs w:val="24"/>
        </w:rPr>
        <w:t>-9.29%</w:t>
      </w:r>
      <w:r w:rsidRPr="00414345">
        <w:rPr>
          <w:color w:val="000000"/>
          <w:sz w:val="24"/>
          <w:szCs w:val="24"/>
        </w:rPr>
        <w:t>，同期业绩比较基准增长率为</w:t>
      </w:r>
      <w:r w:rsidRPr="00414345">
        <w:rPr>
          <w:color w:val="000000"/>
          <w:sz w:val="24"/>
          <w:szCs w:val="24"/>
        </w:rPr>
        <w:t>-5.26%</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463,965,135.14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81.62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463,965,135.14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81.62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40,012,000.00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7.04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40,012,000.00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7.04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57,023,186.39</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10.03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7,456,367.61</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1.31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568,456,689.14</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5,790,000.00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24,373,422.00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4.34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237,126,524.06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42.21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13,939,189.35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14,218,620.26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42,764,923.18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27,447,364.00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10,637,326.70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1.89</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57,638,589.76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10.26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22,071,163.34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7,958,012.49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463,965,135.14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82.59</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A5500F">
        <w:trPr>
          <w:jc w:val="center"/>
        </w:trPr>
        <w:tc>
          <w:tcPr>
            <w:tcW w:w="855" w:type="dxa"/>
            <w:vAlign w:val="center"/>
          </w:tcPr>
          <w:p w:rsidR="00A5500F" w:rsidRDefault="00465A01">
            <w:pPr>
              <w:jc w:val="center"/>
            </w:pPr>
            <w:r>
              <w:rPr>
                <w:color w:val="000000"/>
                <w:sz w:val="24"/>
                <w:szCs w:val="24"/>
              </w:rPr>
              <w:t>1</w:t>
            </w:r>
          </w:p>
        </w:tc>
        <w:tc>
          <w:tcPr>
            <w:tcW w:w="1334" w:type="dxa"/>
            <w:vAlign w:val="center"/>
          </w:tcPr>
          <w:p w:rsidR="00A5500F" w:rsidRDefault="00465A01">
            <w:pPr>
              <w:jc w:val="center"/>
            </w:pPr>
            <w:r>
              <w:rPr>
                <w:color w:val="000000"/>
                <w:sz w:val="24"/>
                <w:szCs w:val="24"/>
              </w:rPr>
              <w:t>600029</w:t>
            </w:r>
          </w:p>
        </w:tc>
        <w:tc>
          <w:tcPr>
            <w:tcW w:w="1777" w:type="dxa"/>
            <w:vAlign w:val="center"/>
          </w:tcPr>
          <w:p w:rsidR="00A5500F" w:rsidRDefault="00465A01">
            <w:pPr>
              <w:jc w:val="center"/>
            </w:pPr>
            <w:r>
              <w:rPr>
                <w:color w:val="000000"/>
                <w:sz w:val="24"/>
                <w:szCs w:val="24"/>
              </w:rPr>
              <w:t>南方航空</w:t>
            </w:r>
          </w:p>
        </w:tc>
        <w:tc>
          <w:tcPr>
            <w:tcW w:w="1334" w:type="dxa"/>
            <w:vAlign w:val="center"/>
          </w:tcPr>
          <w:p w:rsidR="00A5500F" w:rsidRDefault="00465A01">
            <w:pPr>
              <w:jc w:val="right"/>
            </w:pPr>
            <w:r>
              <w:rPr>
                <w:color w:val="000000"/>
                <w:sz w:val="24"/>
                <w:szCs w:val="24"/>
              </w:rPr>
              <w:t>2,400,000</w:t>
            </w:r>
          </w:p>
        </w:tc>
        <w:tc>
          <w:tcPr>
            <w:tcW w:w="1924" w:type="dxa"/>
            <w:vAlign w:val="center"/>
          </w:tcPr>
          <w:p w:rsidR="00A5500F" w:rsidRDefault="00465A01">
            <w:pPr>
              <w:jc w:val="right"/>
            </w:pPr>
            <w:r>
              <w:rPr>
                <w:color w:val="000000"/>
                <w:sz w:val="24"/>
                <w:szCs w:val="24"/>
              </w:rPr>
              <w:t>20,280,000.00</w:t>
            </w:r>
          </w:p>
        </w:tc>
        <w:tc>
          <w:tcPr>
            <w:tcW w:w="1644" w:type="dxa"/>
            <w:vAlign w:val="center"/>
          </w:tcPr>
          <w:p w:rsidR="00A5500F" w:rsidRDefault="00465A01">
            <w:pPr>
              <w:jc w:val="right"/>
            </w:pPr>
            <w:r>
              <w:rPr>
                <w:color w:val="000000"/>
                <w:sz w:val="24"/>
                <w:szCs w:val="24"/>
              </w:rPr>
              <w:t>3.61</w:t>
            </w:r>
          </w:p>
        </w:tc>
      </w:tr>
      <w:tr w:rsidR="00A5500F">
        <w:trPr>
          <w:jc w:val="center"/>
        </w:trPr>
        <w:tc>
          <w:tcPr>
            <w:tcW w:w="855" w:type="dxa"/>
            <w:vAlign w:val="center"/>
          </w:tcPr>
          <w:p w:rsidR="00A5500F" w:rsidRDefault="00465A01">
            <w:pPr>
              <w:jc w:val="center"/>
            </w:pPr>
            <w:r>
              <w:rPr>
                <w:color w:val="000000"/>
                <w:sz w:val="24"/>
                <w:szCs w:val="24"/>
              </w:rPr>
              <w:t>2</w:t>
            </w:r>
          </w:p>
        </w:tc>
        <w:tc>
          <w:tcPr>
            <w:tcW w:w="1334" w:type="dxa"/>
            <w:vAlign w:val="center"/>
          </w:tcPr>
          <w:p w:rsidR="00A5500F" w:rsidRDefault="00465A01">
            <w:pPr>
              <w:jc w:val="center"/>
            </w:pPr>
            <w:r>
              <w:rPr>
                <w:color w:val="000000"/>
                <w:sz w:val="24"/>
                <w:szCs w:val="24"/>
              </w:rPr>
              <w:t>600887</w:t>
            </w:r>
          </w:p>
        </w:tc>
        <w:tc>
          <w:tcPr>
            <w:tcW w:w="1777" w:type="dxa"/>
            <w:vAlign w:val="center"/>
          </w:tcPr>
          <w:p w:rsidR="00A5500F" w:rsidRDefault="00465A01">
            <w:pPr>
              <w:jc w:val="center"/>
            </w:pPr>
            <w:r>
              <w:rPr>
                <w:color w:val="000000"/>
                <w:sz w:val="24"/>
                <w:szCs w:val="24"/>
              </w:rPr>
              <w:t>伊利股份</w:t>
            </w:r>
          </w:p>
        </w:tc>
        <w:tc>
          <w:tcPr>
            <w:tcW w:w="1334" w:type="dxa"/>
            <w:vAlign w:val="center"/>
          </w:tcPr>
          <w:p w:rsidR="00A5500F" w:rsidRDefault="00465A01">
            <w:pPr>
              <w:jc w:val="right"/>
            </w:pPr>
            <w:r>
              <w:rPr>
                <w:color w:val="000000"/>
                <w:sz w:val="24"/>
                <w:szCs w:val="24"/>
              </w:rPr>
              <w:t>625,622</w:t>
            </w:r>
          </w:p>
        </w:tc>
        <w:tc>
          <w:tcPr>
            <w:tcW w:w="1924" w:type="dxa"/>
            <w:vAlign w:val="center"/>
          </w:tcPr>
          <w:p w:rsidR="00A5500F" w:rsidRDefault="00465A01">
            <w:pPr>
              <w:jc w:val="right"/>
            </w:pPr>
            <w:r>
              <w:rPr>
                <w:color w:val="000000"/>
                <w:sz w:val="24"/>
                <w:szCs w:val="24"/>
              </w:rPr>
              <w:t>17,454,853.80</w:t>
            </w:r>
          </w:p>
        </w:tc>
        <w:tc>
          <w:tcPr>
            <w:tcW w:w="1644" w:type="dxa"/>
            <w:vAlign w:val="center"/>
          </w:tcPr>
          <w:p w:rsidR="00A5500F" w:rsidRDefault="00465A01">
            <w:pPr>
              <w:jc w:val="right"/>
            </w:pPr>
            <w:r>
              <w:rPr>
                <w:color w:val="000000"/>
                <w:sz w:val="24"/>
                <w:szCs w:val="24"/>
              </w:rPr>
              <w:t>3.11</w:t>
            </w:r>
          </w:p>
        </w:tc>
      </w:tr>
      <w:tr w:rsidR="00A5500F">
        <w:trPr>
          <w:jc w:val="center"/>
        </w:trPr>
        <w:tc>
          <w:tcPr>
            <w:tcW w:w="855" w:type="dxa"/>
            <w:vAlign w:val="center"/>
          </w:tcPr>
          <w:p w:rsidR="00A5500F" w:rsidRDefault="00465A01">
            <w:pPr>
              <w:jc w:val="center"/>
            </w:pPr>
            <w:r>
              <w:rPr>
                <w:color w:val="000000"/>
                <w:sz w:val="24"/>
                <w:szCs w:val="24"/>
              </w:rPr>
              <w:t>3</w:t>
            </w:r>
          </w:p>
        </w:tc>
        <w:tc>
          <w:tcPr>
            <w:tcW w:w="1334" w:type="dxa"/>
            <w:vAlign w:val="center"/>
          </w:tcPr>
          <w:p w:rsidR="00A5500F" w:rsidRDefault="00465A01">
            <w:pPr>
              <w:jc w:val="center"/>
            </w:pPr>
            <w:r>
              <w:rPr>
                <w:color w:val="000000"/>
                <w:sz w:val="24"/>
                <w:szCs w:val="24"/>
              </w:rPr>
              <w:t>600048</w:t>
            </w:r>
          </w:p>
        </w:tc>
        <w:tc>
          <w:tcPr>
            <w:tcW w:w="1777" w:type="dxa"/>
            <w:vAlign w:val="center"/>
          </w:tcPr>
          <w:p w:rsidR="00A5500F" w:rsidRDefault="00465A01">
            <w:pPr>
              <w:jc w:val="center"/>
            </w:pPr>
            <w:r>
              <w:rPr>
                <w:color w:val="000000"/>
                <w:sz w:val="24"/>
                <w:szCs w:val="24"/>
              </w:rPr>
              <w:t>保利地产</w:t>
            </w:r>
          </w:p>
        </w:tc>
        <w:tc>
          <w:tcPr>
            <w:tcW w:w="1334" w:type="dxa"/>
            <w:vAlign w:val="center"/>
          </w:tcPr>
          <w:p w:rsidR="00A5500F" w:rsidRDefault="00465A01">
            <w:pPr>
              <w:jc w:val="right"/>
            </w:pPr>
            <w:r>
              <w:rPr>
                <w:color w:val="000000"/>
                <w:sz w:val="24"/>
                <w:szCs w:val="24"/>
              </w:rPr>
              <w:t>1,392,100</w:t>
            </w:r>
          </w:p>
        </w:tc>
        <w:tc>
          <w:tcPr>
            <w:tcW w:w="1924" w:type="dxa"/>
            <w:vAlign w:val="center"/>
          </w:tcPr>
          <w:p w:rsidR="00A5500F" w:rsidRDefault="00465A01">
            <w:pPr>
              <w:jc w:val="right"/>
            </w:pPr>
            <w:r>
              <w:rPr>
                <w:color w:val="000000"/>
                <w:sz w:val="24"/>
                <w:szCs w:val="24"/>
              </w:rPr>
              <w:t>16,983,620.00</w:t>
            </w:r>
          </w:p>
        </w:tc>
        <w:tc>
          <w:tcPr>
            <w:tcW w:w="1644" w:type="dxa"/>
            <w:vAlign w:val="center"/>
          </w:tcPr>
          <w:p w:rsidR="00A5500F" w:rsidRDefault="00465A01">
            <w:pPr>
              <w:jc w:val="right"/>
            </w:pPr>
            <w:r>
              <w:rPr>
                <w:color w:val="000000"/>
                <w:sz w:val="24"/>
                <w:szCs w:val="24"/>
              </w:rPr>
              <w:t>3.02</w:t>
            </w:r>
          </w:p>
        </w:tc>
      </w:tr>
      <w:tr w:rsidR="00A5500F">
        <w:trPr>
          <w:jc w:val="center"/>
        </w:trPr>
        <w:tc>
          <w:tcPr>
            <w:tcW w:w="855" w:type="dxa"/>
            <w:vAlign w:val="center"/>
          </w:tcPr>
          <w:p w:rsidR="00A5500F" w:rsidRDefault="00465A01">
            <w:pPr>
              <w:jc w:val="center"/>
            </w:pPr>
            <w:r>
              <w:rPr>
                <w:color w:val="000000"/>
                <w:sz w:val="24"/>
                <w:szCs w:val="24"/>
              </w:rPr>
              <w:t>4</w:t>
            </w:r>
          </w:p>
        </w:tc>
        <w:tc>
          <w:tcPr>
            <w:tcW w:w="1334" w:type="dxa"/>
            <w:vAlign w:val="center"/>
          </w:tcPr>
          <w:p w:rsidR="00A5500F" w:rsidRDefault="00465A01">
            <w:pPr>
              <w:jc w:val="center"/>
            </w:pPr>
            <w:r>
              <w:rPr>
                <w:color w:val="000000"/>
                <w:sz w:val="24"/>
                <w:szCs w:val="24"/>
              </w:rPr>
              <w:t>601100</w:t>
            </w:r>
          </w:p>
        </w:tc>
        <w:tc>
          <w:tcPr>
            <w:tcW w:w="1777" w:type="dxa"/>
            <w:vAlign w:val="center"/>
          </w:tcPr>
          <w:p w:rsidR="00A5500F" w:rsidRDefault="00465A01">
            <w:pPr>
              <w:jc w:val="center"/>
            </w:pPr>
            <w:r>
              <w:rPr>
                <w:color w:val="000000"/>
                <w:sz w:val="24"/>
                <w:szCs w:val="24"/>
              </w:rPr>
              <w:t>恒立液压</w:t>
            </w:r>
          </w:p>
        </w:tc>
        <w:tc>
          <w:tcPr>
            <w:tcW w:w="1334" w:type="dxa"/>
            <w:vAlign w:val="center"/>
          </w:tcPr>
          <w:p w:rsidR="00A5500F" w:rsidRDefault="00465A01">
            <w:pPr>
              <w:jc w:val="right"/>
            </w:pPr>
            <w:r>
              <w:rPr>
                <w:color w:val="000000"/>
                <w:sz w:val="24"/>
                <w:szCs w:val="24"/>
              </w:rPr>
              <w:t>736,347</w:t>
            </w:r>
          </w:p>
        </w:tc>
        <w:tc>
          <w:tcPr>
            <w:tcW w:w="1924" w:type="dxa"/>
            <w:vAlign w:val="center"/>
          </w:tcPr>
          <w:p w:rsidR="00A5500F" w:rsidRDefault="00465A01">
            <w:pPr>
              <w:jc w:val="right"/>
            </w:pPr>
            <w:r>
              <w:rPr>
                <w:color w:val="000000"/>
                <w:sz w:val="24"/>
                <w:szCs w:val="24"/>
              </w:rPr>
              <w:t>15,374,925.36</w:t>
            </w:r>
          </w:p>
        </w:tc>
        <w:tc>
          <w:tcPr>
            <w:tcW w:w="1644" w:type="dxa"/>
            <w:vAlign w:val="center"/>
          </w:tcPr>
          <w:p w:rsidR="00A5500F" w:rsidRDefault="00465A01">
            <w:pPr>
              <w:jc w:val="right"/>
            </w:pPr>
            <w:r>
              <w:rPr>
                <w:color w:val="000000"/>
                <w:sz w:val="24"/>
                <w:szCs w:val="24"/>
              </w:rPr>
              <w:t>2.74</w:t>
            </w:r>
          </w:p>
        </w:tc>
      </w:tr>
      <w:tr w:rsidR="00A5500F">
        <w:trPr>
          <w:jc w:val="center"/>
        </w:trPr>
        <w:tc>
          <w:tcPr>
            <w:tcW w:w="855" w:type="dxa"/>
            <w:vAlign w:val="center"/>
          </w:tcPr>
          <w:p w:rsidR="00A5500F" w:rsidRDefault="00465A01">
            <w:pPr>
              <w:jc w:val="center"/>
            </w:pPr>
            <w:r>
              <w:rPr>
                <w:color w:val="000000"/>
                <w:sz w:val="24"/>
                <w:szCs w:val="24"/>
              </w:rPr>
              <w:t>5</w:t>
            </w:r>
          </w:p>
        </w:tc>
        <w:tc>
          <w:tcPr>
            <w:tcW w:w="1334" w:type="dxa"/>
            <w:vAlign w:val="center"/>
          </w:tcPr>
          <w:p w:rsidR="00A5500F" w:rsidRDefault="00465A01">
            <w:pPr>
              <w:jc w:val="center"/>
            </w:pPr>
            <w:r>
              <w:rPr>
                <w:color w:val="000000"/>
                <w:sz w:val="24"/>
                <w:szCs w:val="24"/>
              </w:rPr>
              <w:t>600030</w:t>
            </w:r>
          </w:p>
        </w:tc>
        <w:tc>
          <w:tcPr>
            <w:tcW w:w="1777" w:type="dxa"/>
            <w:vAlign w:val="center"/>
          </w:tcPr>
          <w:p w:rsidR="00A5500F" w:rsidRDefault="00465A01">
            <w:pPr>
              <w:jc w:val="center"/>
            </w:pPr>
            <w:r>
              <w:rPr>
                <w:color w:val="000000"/>
                <w:sz w:val="24"/>
                <w:szCs w:val="24"/>
              </w:rPr>
              <w:t>中信证券</w:t>
            </w:r>
          </w:p>
        </w:tc>
        <w:tc>
          <w:tcPr>
            <w:tcW w:w="1334" w:type="dxa"/>
            <w:vAlign w:val="center"/>
          </w:tcPr>
          <w:p w:rsidR="00A5500F" w:rsidRDefault="00465A01">
            <w:pPr>
              <w:jc w:val="right"/>
            </w:pPr>
            <w:r>
              <w:rPr>
                <w:color w:val="000000"/>
                <w:sz w:val="24"/>
                <w:szCs w:val="24"/>
              </w:rPr>
              <w:t>907,700</w:t>
            </w:r>
          </w:p>
        </w:tc>
        <w:tc>
          <w:tcPr>
            <w:tcW w:w="1924" w:type="dxa"/>
            <w:vAlign w:val="center"/>
          </w:tcPr>
          <w:p w:rsidR="00A5500F" w:rsidRDefault="00465A01">
            <w:pPr>
              <w:jc w:val="right"/>
            </w:pPr>
            <w:r>
              <w:rPr>
                <w:color w:val="000000"/>
                <w:sz w:val="24"/>
                <w:szCs w:val="24"/>
              </w:rPr>
              <w:t>15,040,589.00</w:t>
            </w:r>
          </w:p>
        </w:tc>
        <w:tc>
          <w:tcPr>
            <w:tcW w:w="1644" w:type="dxa"/>
            <w:vAlign w:val="center"/>
          </w:tcPr>
          <w:p w:rsidR="00A5500F" w:rsidRDefault="00465A01">
            <w:pPr>
              <w:jc w:val="right"/>
            </w:pPr>
            <w:r>
              <w:rPr>
                <w:color w:val="000000"/>
                <w:sz w:val="24"/>
                <w:szCs w:val="24"/>
              </w:rPr>
              <w:t>2.68</w:t>
            </w:r>
          </w:p>
        </w:tc>
      </w:tr>
      <w:tr w:rsidR="00A5500F">
        <w:trPr>
          <w:jc w:val="center"/>
        </w:trPr>
        <w:tc>
          <w:tcPr>
            <w:tcW w:w="855" w:type="dxa"/>
            <w:vAlign w:val="center"/>
          </w:tcPr>
          <w:p w:rsidR="00A5500F" w:rsidRDefault="00465A01">
            <w:pPr>
              <w:jc w:val="center"/>
            </w:pPr>
            <w:r>
              <w:rPr>
                <w:color w:val="000000"/>
                <w:sz w:val="24"/>
                <w:szCs w:val="24"/>
              </w:rPr>
              <w:t>6</w:t>
            </w:r>
          </w:p>
        </w:tc>
        <w:tc>
          <w:tcPr>
            <w:tcW w:w="1334" w:type="dxa"/>
            <w:vAlign w:val="center"/>
          </w:tcPr>
          <w:p w:rsidR="00A5500F" w:rsidRDefault="00465A01">
            <w:pPr>
              <w:jc w:val="center"/>
            </w:pPr>
            <w:r>
              <w:rPr>
                <w:color w:val="000000"/>
                <w:sz w:val="24"/>
                <w:szCs w:val="24"/>
              </w:rPr>
              <w:t>601009</w:t>
            </w:r>
          </w:p>
        </w:tc>
        <w:tc>
          <w:tcPr>
            <w:tcW w:w="1777" w:type="dxa"/>
            <w:vAlign w:val="center"/>
          </w:tcPr>
          <w:p w:rsidR="00A5500F" w:rsidRDefault="00465A01">
            <w:pPr>
              <w:jc w:val="center"/>
            </w:pPr>
            <w:r>
              <w:rPr>
                <w:color w:val="000000"/>
                <w:sz w:val="24"/>
                <w:szCs w:val="24"/>
              </w:rPr>
              <w:t>南京银行</w:t>
            </w:r>
          </w:p>
        </w:tc>
        <w:tc>
          <w:tcPr>
            <w:tcW w:w="1334" w:type="dxa"/>
            <w:vAlign w:val="center"/>
          </w:tcPr>
          <w:p w:rsidR="00A5500F" w:rsidRDefault="00465A01">
            <w:pPr>
              <w:jc w:val="right"/>
            </w:pPr>
            <w:r>
              <w:rPr>
                <w:color w:val="000000"/>
                <w:sz w:val="24"/>
                <w:szCs w:val="24"/>
              </w:rPr>
              <w:t>1,864,112</w:t>
            </w:r>
          </w:p>
        </w:tc>
        <w:tc>
          <w:tcPr>
            <w:tcW w:w="1924" w:type="dxa"/>
            <w:vAlign w:val="center"/>
          </w:tcPr>
          <w:p w:rsidR="00A5500F" w:rsidRDefault="00465A01">
            <w:pPr>
              <w:jc w:val="right"/>
            </w:pPr>
            <w:r>
              <w:rPr>
                <w:color w:val="000000"/>
                <w:sz w:val="24"/>
                <w:szCs w:val="24"/>
              </w:rPr>
              <w:t>14,409,585.76</w:t>
            </w:r>
          </w:p>
        </w:tc>
        <w:tc>
          <w:tcPr>
            <w:tcW w:w="1644" w:type="dxa"/>
            <w:vAlign w:val="center"/>
          </w:tcPr>
          <w:p w:rsidR="00A5500F" w:rsidRDefault="00465A01">
            <w:pPr>
              <w:jc w:val="right"/>
            </w:pPr>
            <w:r>
              <w:rPr>
                <w:color w:val="000000"/>
                <w:sz w:val="24"/>
                <w:szCs w:val="24"/>
              </w:rPr>
              <w:t>2.57</w:t>
            </w:r>
          </w:p>
        </w:tc>
      </w:tr>
      <w:tr w:rsidR="00A5500F">
        <w:trPr>
          <w:jc w:val="center"/>
        </w:trPr>
        <w:tc>
          <w:tcPr>
            <w:tcW w:w="855" w:type="dxa"/>
            <w:vAlign w:val="center"/>
          </w:tcPr>
          <w:p w:rsidR="00A5500F" w:rsidRDefault="00465A01">
            <w:pPr>
              <w:jc w:val="center"/>
            </w:pPr>
            <w:r>
              <w:rPr>
                <w:color w:val="000000"/>
                <w:sz w:val="24"/>
                <w:szCs w:val="24"/>
              </w:rPr>
              <w:t>7</w:t>
            </w:r>
          </w:p>
        </w:tc>
        <w:tc>
          <w:tcPr>
            <w:tcW w:w="1334" w:type="dxa"/>
            <w:vAlign w:val="center"/>
          </w:tcPr>
          <w:p w:rsidR="00A5500F" w:rsidRDefault="00465A01">
            <w:pPr>
              <w:jc w:val="center"/>
            </w:pPr>
            <w:r>
              <w:rPr>
                <w:color w:val="000000"/>
                <w:sz w:val="24"/>
                <w:szCs w:val="24"/>
              </w:rPr>
              <w:t>300413</w:t>
            </w:r>
          </w:p>
        </w:tc>
        <w:tc>
          <w:tcPr>
            <w:tcW w:w="1777" w:type="dxa"/>
            <w:vAlign w:val="center"/>
          </w:tcPr>
          <w:p w:rsidR="00A5500F" w:rsidRDefault="00465A01">
            <w:pPr>
              <w:jc w:val="center"/>
            </w:pPr>
            <w:r>
              <w:rPr>
                <w:color w:val="000000"/>
                <w:sz w:val="24"/>
                <w:szCs w:val="24"/>
              </w:rPr>
              <w:t>快乐购</w:t>
            </w:r>
          </w:p>
        </w:tc>
        <w:tc>
          <w:tcPr>
            <w:tcW w:w="1334" w:type="dxa"/>
            <w:vAlign w:val="center"/>
          </w:tcPr>
          <w:p w:rsidR="00A5500F" w:rsidRDefault="00465A01">
            <w:pPr>
              <w:jc w:val="right"/>
            </w:pPr>
            <w:r>
              <w:rPr>
                <w:color w:val="000000"/>
                <w:sz w:val="24"/>
                <w:szCs w:val="24"/>
              </w:rPr>
              <w:t>366,820</w:t>
            </w:r>
          </w:p>
        </w:tc>
        <w:tc>
          <w:tcPr>
            <w:tcW w:w="1924" w:type="dxa"/>
            <w:vAlign w:val="center"/>
          </w:tcPr>
          <w:p w:rsidR="00A5500F" w:rsidRDefault="00465A01">
            <w:pPr>
              <w:jc w:val="right"/>
            </w:pPr>
            <w:r>
              <w:rPr>
                <w:color w:val="000000"/>
                <w:sz w:val="24"/>
                <w:szCs w:val="24"/>
              </w:rPr>
              <w:t>13,917,150.80</w:t>
            </w:r>
          </w:p>
        </w:tc>
        <w:tc>
          <w:tcPr>
            <w:tcW w:w="1644" w:type="dxa"/>
            <w:vAlign w:val="center"/>
          </w:tcPr>
          <w:p w:rsidR="00A5500F" w:rsidRDefault="00465A01">
            <w:pPr>
              <w:jc w:val="right"/>
            </w:pPr>
            <w:r>
              <w:rPr>
                <w:color w:val="000000"/>
                <w:sz w:val="24"/>
                <w:szCs w:val="24"/>
              </w:rPr>
              <w:t>2.48</w:t>
            </w:r>
          </w:p>
        </w:tc>
      </w:tr>
      <w:tr w:rsidR="00A5500F">
        <w:trPr>
          <w:jc w:val="center"/>
        </w:trPr>
        <w:tc>
          <w:tcPr>
            <w:tcW w:w="855" w:type="dxa"/>
            <w:vAlign w:val="center"/>
          </w:tcPr>
          <w:p w:rsidR="00A5500F" w:rsidRDefault="00465A01">
            <w:pPr>
              <w:jc w:val="center"/>
            </w:pPr>
            <w:r>
              <w:rPr>
                <w:color w:val="000000"/>
                <w:sz w:val="24"/>
                <w:szCs w:val="24"/>
              </w:rPr>
              <w:t>8</w:t>
            </w:r>
          </w:p>
        </w:tc>
        <w:tc>
          <w:tcPr>
            <w:tcW w:w="1334" w:type="dxa"/>
            <w:vAlign w:val="center"/>
          </w:tcPr>
          <w:p w:rsidR="00A5500F" w:rsidRDefault="00465A01">
            <w:pPr>
              <w:jc w:val="center"/>
            </w:pPr>
            <w:r>
              <w:rPr>
                <w:color w:val="000000"/>
                <w:sz w:val="24"/>
                <w:szCs w:val="24"/>
              </w:rPr>
              <w:t>600750</w:t>
            </w:r>
          </w:p>
        </w:tc>
        <w:tc>
          <w:tcPr>
            <w:tcW w:w="1777" w:type="dxa"/>
            <w:vAlign w:val="center"/>
          </w:tcPr>
          <w:p w:rsidR="00A5500F" w:rsidRDefault="00465A01">
            <w:pPr>
              <w:jc w:val="center"/>
            </w:pPr>
            <w:r>
              <w:rPr>
                <w:color w:val="000000"/>
                <w:sz w:val="24"/>
                <w:szCs w:val="24"/>
              </w:rPr>
              <w:t>江中药业</w:t>
            </w:r>
          </w:p>
        </w:tc>
        <w:tc>
          <w:tcPr>
            <w:tcW w:w="1334" w:type="dxa"/>
            <w:vAlign w:val="center"/>
          </w:tcPr>
          <w:p w:rsidR="00A5500F" w:rsidRDefault="00465A01">
            <w:pPr>
              <w:jc w:val="right"/>
            </w:pPr>
            <w:r>
              <w:rPr>
                <w:color w:val="000000"/>
                <w:sz w:val="24"/>
                <w:szCs w:val="24"/>
              </w:rPr>
              <w:t>700,000</w:t>
            </w:r>
          </w:p>
        </w:tc>
        <w:tc>
          <w:tcPr>
            <w:tcW w:w="1924" w:type="dxa"/>
            <w:vAlign w:val="center"/>
          </w:tcPr>
          <w:p w:rsidR="00A5500F" w:rsidRDefault="00465A01">
            <w:pPr>
              <w:jc w:val="right"/>
            </w:pPr>
            <w:r>
              <w:rPr>
                <w:color w:val="000000"/>
                <w:sz w:val="24"/>
                <w:szCs w:val="24"/>
              </w:rPr>
              <w:t>12,425,000.00</w:t>
            </w:r>
          </w:p>
        </w:tc>
        <w:tc>
          <w:tcPr>
            <w:tcW w:w="1644" w:type="dxa"/>
            <w:vAlign w:val="center"/>
          </w:tcPr>
          <w:p w:rsidR="00A5500F" w:rsidRDefault="00465A01">
            <w:pPr>
              <w:jc w:val="right"/>
            </w:pPr>
            <w:r>
              <w:rPr>
                <w:color w:val="000000"/>
                <w:sz w:val="24"/>
                <w:szCs w:val="24"/>
              </w:rPr>
              <w:t>2.21</w:t>
            </w:r>
          </w:p>
        </w:tc>
      </w:tr>
      <w:tr w:rsidR="00A5500F">
        <w:trPr>
          <w:jc w:val="center"/>
        </w:trPr>
        <w:tc>
          <w:tcPr>
            <w:tcW w:w="855" w:type="dxa"/>
            <w:vAlign w:val="center"/>
          </w:tcPr>
          <w:p w:rsidR="00A5500F" w:rsidRDefault="00465A01">
            <w:pPr>
              <w:jc w:val="center"/>
            </w:pPr>
            <w:r>
              <w:rPr>
                <w:color w:val="000000"/>
                <w:sz w:val="24"/>
                <w:szCs w:val="24"/>
              </w:rPr>
              <w:t>9</w:t>
            </w:r>
          </w:p>
        </w:tc>
        <w:tc>
          <w:tcPr>
            <w:tcW w:w="1334" w:type="dxa"/>
            <w:vAlign w:val="center"/>
          </w:tcPr>
          <w:p w:rsidR="00A5500F" w:rsidRDefault="00465A01">
            <w:pPr>
              <w:jc w:val="center"/>
            </w:pPr>
            <w:r>
              <w:rPr>
                <w:color w:val="000000"/>
                <w:sz w:val="24"/>
                <w:szCs w:val="24"/>
              </w:rPr>
              <w:t>601398</w:t>
            </w:r>
          </w:p>
        </w:tc>
        <w:tc>
          <w:tcPr>
            <w:tcW w:w="1777" w:type="dxa"/>
            <w:vAlign w:val="center"/>
          </w:tcPr>
          <w:p w:rsidR="00A5500F" w:rsidRDefault="00465A01">
            <w:pPr>
              <w:jc w:val="center"/>
            </w:pPr>
            <w:r>
              <w:rPr>
                <w:color w:val="000000"/>
                <w:sz w:val="24"/>
                <w:szCs w:val="24"/>
              </w:rPr>
              <w:t>工商银行</w:t>
            </w:r>
          </w:p>
        </w:tc>
        <w:tc>
          <w:tcPr>
            <w:tcW w:w="1334" w:type="dxa"/>
            <w:vAlign w:val="center"/>
          </w:tcPr>
          <w:p w:rsidR="00A5500F" w:rsidRDefault="00465A01">
            <w:pPr>
              <w:jc w:val="right"/>
            </w:pPr>
            <w:r>
              <w:rPr>
                <w:color w:val="000000"/>
                <w:sz w:val="24"/>
                <w:szCs w:val="24"/>
              </w:rPr>
              <w:t>2,272,700</w:t>
            </w:r>
          </w:p>
        </w:tc>
        <w:tc>
          <w:tcPr>
            <w:tcW w:w="1924" w:type="dxa"/>
            <w:vAlign w:val="center"/>
          </w:tcPr>
          <w:p w:rsidR="00A5500F" w:rsidRDefault="00465A01">
            <w:pPr>
              <w:jc w:val="right"/>
            </w:pPr>
            <w:r>
              <w:rPr>
                <w:color w:val="000000"/>
                <w:sz w:val="24"/>
                <w:szCs w:val="24"/>
              </w:rPr>
              <w:t>12,090,764.00</w:t>
            </w:r>
          </w:p>
        </w:tc>
        <w:tc>
          <w:tcPr>
            <w:tcW w:w="1644" w:type="dxa"/>
            <w:vAlign w:val="center"/>
          </w:tcPr>
          <w:p w:rsidR="00A5500F" w:rsidRDefault="00465A01">
            <w:pPr>
              <w:jc w:val="right"/>
            </w:pPr>
            <w:r>
              <w:rPr>
                <w:color w:val="000000"/>
                <w:sz w:val="24"/>
                <w:szCs w:val="24"/>
              </w:rPr>
              <w:t>2.15</w:t>
            </w:r>
          </w:p>
        </w:tc>
      </w:tr>
      <w:tr w:rsidR="00A5500F">
        <w:trPr>
          <w:jc w:val="center"/>
        </w:trPr>
        <w:tc>
          <w:tcPr>
            <w:tcW w:w="855" w:type="dxa"/>
            <w:vAlign w:val="center"/>
          </w:tcPr>
          <w:p w:rsidR="00A5500F" w:rsidRDefault="00465A01">
            <w:pPr>
              <w:jc w:val="center"/>
            </w:pPr>
            <w:r>
              <w:rPr>
                <w:color w:val="000000"/>
                <w:sz w:val="24"/>
                <w:szCs w:val="24"/>
              </w:rPr>
              <w:t>10</w:t>
            </w:r>
          </w:p>
        </w:tc>
        <w:tc>
          <w:tcPr>
            <w:tcW w:w="1334" w:type="dxa"/>
            <w:vAlign w:val="center"/>
          </w:tcPr>
          <w:p w:rsidR="00A5500F" w:rsidRDefault="00465A01">
            <w:pPr>
              <w:jc w:val="center"/>
            </w:pPr>
            <w:r>
              <w:rPr>
                <w:color w:val="000000"/>
                <w:sz w:val="24"/>
                <w:szCs w:val="24"/>
              </w:rPr>
              <w:t>600498</w:t>
            </w:r>
          </w:p>
        </w:tc>
        <w:tc>
          <w:tcPr>
            <w:tcW w:w="1777" w:type="dxa"/>
            <w:vAlign w:val="center"/>
          </w:tcPr>
          <w:p w:rsidR="00A5500F" w:rsidRDefault="00465A01">
            <w:pPr>
              <w:jc w:val="center"/>
            </w:pPr>
            <w:r>
              <w:rPr>
                <w:color w:val="000000"/>
                <w:sz w:val="24"/>
                <w:szCs w:val="24"/>
              </w:rPr>
              <w:t>烽火通信</w:t>
            </w:r>
          </w:p>
        </w:tc>
        <w:tc>
          <w:tcPr>
            <w:tcW w:w="1334" w:type="dxa"/>
            <w:vAlign w:val="center"/>
          </w:tcPr>
          <w:p w:rsidR="00A5500F" w:rsidRDefault="00465A01">
            <w:pPr>
              <w:jc w:val="right"/>
            </w:pPr>
            <w:r>
              <w:rPr>
                <w:color w:val="000000"/>
                <w:sz w:val="24"/>
                <w:szCs w:val="24"/>
              </w:rPr>
              <w:t>464,963</w:t>
            </w:r>
          </w:p>
        </w:tc>
        <w:tc>
          <w:tcPr>
            <w:tcW w:w="1924" w:type="dxa"/>
            <w:vAlign w:val="center"/>
          </w:tcPr>
          <w:p w:rsidR="00A5500F" w:rsidRDefault="00465A01">
            <w:pPr>
              <w:jc w:val="right"/>
            </w:pPr>
            <w:r>
              <w:rPr>
                <w:color w:val="000000"/>
                <w:sz w:val="24"/>
                <w:szCs w:val="24"/>
              </w:rPr>
              <w:t>11,554,330.55</w:t>
            </w:r>
          </w:p>
        </w:tc>
        <w:tc>
          <w:tcPr>
            <w:tcW w:w="1644" w:type="dxa"/>
            <w:vAlign w:val="center"/>
          </w:tcPr>
          <w:p w:rsidR="00A5500F" w:rsidRDefault="00465A01">
            <w:pPr>
              <w:jc w:val="right"/>
            </w:pPr>
            <w:r>
              <w:rPr>
                <w:color w:val="000000"/>
                <w:sz w:val="24"/>
                <w:szCs w:val="24"/>
              </w:rPr>
              <w:t>2.06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40,012,000.00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7.12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40,012,000.00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7.12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lastRenderedPageBreak/>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40,012,000.00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7.12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A5500F">
        <w:trPr>
          <w:jc w:val="center"/>
        </w:trPr>
        <w:tc>
          <w:tcPr>
            <w:tcW w:w="850" w:type="dxa"/>
            <w:vAlign w:val="center"/>
          </w:tcPr>
          <w:p w:rsidR="00A5500F" w:rsidRDefault="00465A01">
            <w:pPr>
              <w:jc w:val="center"/>
            </w:pPr>
            <w:r>
              <w:rPr>
                <w:color w:val="000000"/>
                <w:sz w:val="24"/>
                <w:szCs w:val="24"/>
              </w:rPr>
              <w:t>1</w:t>
            </w:r>
          </w:p>
        </w:tc>
        <w:tc>
          <w:tcPr>
            <w:tcW w:w="1475" w:type="dxa"/>
            <w:vAlign w:val="center"/>
          </w:tcPr>
          <w:p w:rsidR="00A5500F" w:rsidRDefault="00465A01">
            <w:pPr>
              <w:jc w:val="center"/>
            </w:pPr>
            <w:r>
              <w:rPr>
                <w:color w:val="000000"/>
                <w:sz w:val="24"/>
                <w:szCs w:val="24"/>
              </w:rPr>
              <w:t>170410</w:t>
            </w:r>
          </w:p>
        </w:tc>
        <w:tc>
          <w:tcPr>
            <w:tcW w:w="1769" w:type="dxa"/>
            <w:vAlign w:val="center"/>
          </w:tcPr>
          <w:p w:rsidR="00A5500F" w:rsidRDefault="00465A01">
            <w:pPr>
              <w:jc w:val="center"/>
            </w:pPr>
            <w:r>
              <w:rPr>
                <w:color w:val="000000"/>
                <w:sz w:val="24"/>
                <w:szCs w:val="24"/>
              </w:rPr>
              <w:t>17</w:t>
            </w:r>
            <w:r>
              <w:rPr>
                <w:color w:val="000000"/>
                <w:sz w:val="24"/>
                <w:szCs w:val="24"/>
              </w:rPr>
              <w:t>农发</w:t>
            </w:r>
            <w:r>
              <w:rPr>
                <w:color w:val="000000"/>
                <w:sz w:val="24"/>
                <w:szCs w:val="24"/>
              </w:rPr>
              <w:t>10</w:t>
            </w:r>
          </w:p>
        </w:tc>
        <w:tc>
          <w:tcPr>
            <w:tcW w:w="1387" w:type="dxa"/>
            <w:vAlign w:val="center"/>
          </w:tcPr>
          <w:p w:rsidR="00A5500F" w:rsidRDefault="00465A01">
            <w:pPr>
              <w:jc w:val="right"/>
            </w:pPr>
            <w:r>
              <w:rPr>
                <w:color w:val="000000"/>
                <w:sz w:val="24"/>
                <w:szCs w:val="24"/>
              </w:rPr>
              <w:t>400,000</w:t>
            </w:r>
          </w:p>
        </w:tc>
        <w:tc>
          <w:tcPr>
            <w:tcW w:w="2150" w:type="dxa"/>
            <w:vAlign w:val="center"/>
          </w:tcPr>
          <w:p w:rsidR="00A5500F" w:rsidRDefault="00465A01">
            <w:pPr>
              <w:jc w:val="right"/>
            </w:pPr>
            <w:r>
              <w:rPr>
                <w:color w:val="000000"/>
                <w:sz w:val="24"/>
                <w:szCs w:val="24"/>
              </w:rPr>
              <w:t>40,012,000.00</w:t>
            </w:r>
          </w:p>
        </w:tc>
        <w:tc>
          <w:tcPr>
            <w:tcW w:w="1237" w:type="dxa"/>
            <w:vAlign w:val="center"/>
          </w:tcPr>
          <w:p w:rsidR="00A5500F" w:rsidRDefault="00465A01">
            <w:pPr>
              <w:jc w:val="right"/>
            </w:pPr>
            <w:r>
              <w:rPr>
                <w:color w:val="000000"/>
                <w:sz w:val="24"/>
                <w:szCs w:val="24"/>
              </w:rPr>
              <w:t>7.12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478"/>
        <w:gridCol w:w="1479"/>
        <w:gridCol w:w="1479"/>
        <w:gridCol w:w="1479"/>
        <w:gridCol w:w="1480"/>
        <w:gridCol w:w="1473"/>
      </w:tblGrid>
      <w:tr w:rsidR="00275745" w:rsidRPr="00414345" w:rsidTr="00AB4DB6">
        <w:trPr>
          <w:trHeight w:val="105"/>
          <w:jc w:val="center"/>
        </w:trPr>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代码</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名称</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持仓量</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合约市值</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23"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公允价值变动</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center"/>
              <w:rPr>
                <w:rFonts w:ascii="Times New Roman" w:hAnsi="Times New Roman" w:cs="Times New Roman"/>
                <w:color w:val="auto"/>
              </w:rPr>
            </w:pPr>
            <w:r w:rsidRPr="00414345">
              <w:rPr>
                <w:rFonts w:ascii="Times New Roman" w:hAnsi="Times New Roman" w:cs="Times New Roman"/>
                <w:color w:val="auto"/>
              </w:rPr>
              <w:t>风险说明</w:t>
            </w:r>
          </w:p>
        </w:tc>
      </w:tr>
      <w:tr w:rsidR="00A5500F">
        <w:trPr>
          <w:jc w:val="center"/>
        </w:trPr>
        <w:tc>
          <w:tcPr>
            <w:tcW w:w="1478" w:type="dxa"/>
            <w:vAlign w:val="center"/>
          </w:tcPr>
          <w:p w:rsidR="00A5500F" w:rsidRDefault="00465A01">
            <w:pPr>
              <w:jc w:val="center"/>
            </w:pPr>
            <w:r>
              <w:t>IF1809</w:t>
            </w:r>
          </w:p>
        </w:tc>
        <w:tc>
          <w:tcPr>
            <w:tcW w:w="1479" w:type="dxa"/>
            <w:vAlign w:val="center"/>
          </w:tcPr>
          <w:p w:rsidR="00A5500F" w:rsidRDefault="00465A01">
            <w:pPr>
              <w:jc w:val="left"/>
            </w:pPr>
            <w:r>
              <w:t>IF1809</w:t>
            </w:r>
          </w:p>
        </w:tc>
        <w:tc>
          <w:tcPr>
            <w:tcW w:w="1479" w:type="dxa"/>
            <w:vAlign w:val="center"/>
          </w:tcPr>
          <w:p w:rsidR="00A5500F" w:rsidRDefault="00465A01">
            <w:pPr>
              <w:jc w:val="right"/>
            </w:pPr>
            <w:r>
              <w:t>15.00</w:t>
            </w:r>
          </w:p>
        </w:tc>
        <w:tc>
          <w:tcPr>
            <w:tcW w:w="1479" w:type="dxa"/>
            <w:vAlign w:val="center"/>
          </w:tcPr>
          <w:p w:rsidR="00A5500F" w:rsidRDefault="00465A01">
            <w:pPr>
              <w:jc w:val="right"/>
            </w:pPr>
            <w:r>
              <w:t>15,492,600.00</w:t>
            </w:r>
          </w:p>
        </w:tc>
        <w:tc>
          <w:tcPr>
            <w:tcW w:w="1480" w:type="dxa"/>
            <w:vAlign w:val="center"/>
          </w:tcPr>
          <w:p w:rsidR="00A5500F" w:rsidRDefault="00465A01">
            <w:pPr>
              <w:jc w:val="right"/>
            </w:pPr>
            <w:r>
              <w:t>-441,900.00</w:t>
            </w:r>
          </w:p>
        </w:tc>
        <w:tc>
          <w:tcPr>
            <w:tcW w:w="1473" w:type="dxa"/>
            <w:vAlign w:val="center"/>
          </w:tcPr>
          <w:p w:rsidR="00A5500F" w:rsidRDefault="00465A01">
            <w:pPr>
              <w:jc w:val="left"/>
            </w:pPr>
            <w:r>
              <w:t>-</w:t>
            </w:r>
          </w:p>
        </w:tc>
      </w:tr>
      <w:tr w:rsidR="00A5500F">
        <w:trPr>
          <w:jc w:val="center"/>
        </w:trPr>
        <w:tc>
          <w:tcPr>
            <w:tcW w:w="1478" w:type="dxa"/>
            <w:vAlign w:val="center"/>
          </w:tcPr>
          <w:p w:rsidR="00A5500F" w:rsidRDefault="00465A01">
            <w:pPr>
              <w:jc w:val="center"/>
            </w:pPr>
            <w:r>
              <w:t>IC1809</w:t>
            </w:r>
          </w:p>
        </w:tc>
        <w:tc>
          <w:tcPr>
            <w:tcW w:w="1479" w:type="dxa"/>
            <w:vAlign w:val="center"/>
          </w:tcPr>
          <w:p w:rsidR="00A5500F" w:rsidRDefault="00465A01">
            <w:pPr>
              <w:jc w:val="left"/>
            </w:pPr>
            <w:r>
              <w:t>IC1809</w:t>
            </w:r>
          </w:p>
        </w:tc>
        <w:tc>
          <w:tcPr>
            <w:tcW w:w="1479" w:type="dxa"/>
            <w:vAlign w:val="center"/>
          </w:tcPr>
          <w:p w:rsidR="00A5500F" w:rsidRDefault="00465A01">
            <w:pPr>
              <w:jc w:val="right"/>
            </w:pPr>
            <w:r>
              <w:t>15.00</w:t>
            </w:r>
          </w:p>
        </w:tc>
        <w:tc>
          <w:tcPr>
            <w:tcW w:w="1479" w:type="dxa"/>
            <w:vAlign w:val="center"/>
          </w:tcPr>
          <w:p w:rsidR="00A5500F" w:rsidRDefault="00465A01">
            <w:pPr>
              <w:jc w:val="right"/>
            </w:pPr>
            <w:r>
              <w:t>15,337,800.00</w:t>
            </w:r>
          </w:p>
        </w:tc>
        <w:tc>
          <w:tcPr>
            <w:tcW w:w="1480" w:type="dxa"/>
            <w:vAlign w:val="center"/>
          </w:tcPr>
          <w:p w:rsidR="00A5500F" w:rsidRDefault="00465A01">
            <w:pPr>
              <w:jc w:val="right"/>
            </w:pPr>
            <w:r>
              <w:t>493,600.00</w:t>
            </w:r>
          </w:p>
        </w:tc>
        <w:tc>
          <w:tcPr>
            <w:tcW w:w="1473" w:type="dxa"/>
            <w:vAlign w:val="center"/>
          </w:tcPr>
          <w:p w:rsidR="00A5500F" w:rsidRDefault="00465A01">
            <w:pPr>
              <w:jc w:val="left"/>
            </w:pPr>
            <w:r>
              <w:t>-</w:t>
            </w:r>
          </w:p>
        </w:tc>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rPr>
            </w:pPr>
            <w:r w:rsidRPr="00414345">
              <w:rPr>
                <w:rFonts w:ascii="Times New Roman" w:hAnsi="Times New Roman" w:cs="Times New Roman"/>
              </w:rPr>
              <w:t>公允价值变动总额合计</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51,700.00</w:t>
            </w:r>
          </w:p>
        </w:tc>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color w:val="auto"/>
              </w:rPr>
            </w:pPr>
            <w:r w:rsidRPr="00414345">
              <w:rPr>
                <w:rFonts w:ascii="Times New Roman" w:hAnsi="Times New Roman" w:cs="Times New Roman"/>
                <w:color w:val="auto"/>
              </w:rPr>
              <w:t>股指期货投资本期收益</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0.00</w:t>
            </w:r>
          </w:p>
        </w:tc>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color w:val="auto"/>
              </w:rPr>
            </w:pPr>
            <w:r w:rsidRPr="00414345">
              <w:rPr>
                <w:rFonts w:ascii="Times New Roman" w:hAnsi="Times New Roman" w:cs="Times New Roman"/>
                <w:color w:val="auto"/>
              </w:rPr>
              <w:t>股指期货投资本期公允价值变动</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51,700.00</w:t>
            </w:r>
          </w:p>
        </w:tc>
      </w:tr>
    </w:tbl>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报告期内本基金投资的前十名证券的发行主体除南京银行（证券代码：</w:t>
      </w:r>
      <w:r w:rsidRPr="00BE5388">
        <w:rPr>
          <w:bCs/>
          <w:color w:val="000000"/>
          <w:kern w:val="0"/>
          <w:sz w:val="24"/>
          <w:szCs w:val="24"/>
        </w:rPr>
        <w:t>601009</w:t>
      </w:r>
      <w:r w:rsidRPr="00BE5388">
        <w:rPr>
          <w:bCs/>
          <w:color w:val="000000"/>
          <w:kern w:val="0"/>
          <w:sz w:val="24"/>
          <w:szCs w:val="24"/>
        </w:rPr>
        <w:t>）</w:t>
      </w:r>
      <w:r w:rsidRPr="00BE5388">
        <w:rPr>
          <w:bCs/>
          <w:color w:val="000000"/>
          <w:kern w:val="0"/>
          <w:sz w:val="24"/>
          <w:szCs w:val="24"/>
        </w:rPr>
        <w:lastRenderedPageBreak/>
        <w:t>外，未出现被监管部门立案调查，或在报告编制日前一年内受到公开谴责、处罚的情形。</w:t>
      </w:r>
    </w:p>
    <w:p w:rsidR="00A5500F" w:rsidRDefault="00465A01">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报告期内本基金投资的前十名证券之一南京银行（证券代码：</w:t>
      </w:r>
      <w:r>
        <w:rPr>
          <w:bCs/>
          <w:color w:val="000000"/>
          <w:kern w:val="0"/>
          <w:sz w:val="24"/>
          <w:szCs w:val="24"/>
        </w:rPr>
        <w:t>601009</w:t>
      </w:r>
      <w:r>
        <w:rPr>
          <w:bCs/>
          <w:color w:val="000000"/>
          <w:kern w:val="0"/>
          <w:sz w:val="24"/>
          <w:szCs w:val="24"/>
        </w:rPr>
        <w:t>）收到中国银行业监督管理委员会江苏监管局行政处罚决定书（苏银监罚决字【</w:t>
      </w:r>
      <w:r>
        <w:rPr>
          <w:bCs/>
          <w:color w:val="000000"/>
          <w:kern w:val="0"/>
          <w:sz w:val="24"/>
          <w:szCs w:val="24"/>
        </w:rPr>
        <w:t>2018</w:t>
      </w:r>
      <w:r>
        <w:rPr>
          <w:bCs/>
          <w:color w:val="000000"/>
          <w:kern w:val="0"/>
          <w:sz w:val="24"/>
          <w:szCs w:val="24"/>
        </w:rPr>
        <w:t>】</w:t>
      </w:r>
      <w:r>
        <w:rPr>
          <w:bCs/>
          <w:color w:val="000000"/>
          <w:kern w:val="0"/>
          <w:sz w:val="24"/>
          <w:szCs w:val="24"/>
        </w:rPr>
        <w:t xml:space="preserve"> 1 </w:t>
      </w:r>
      <w:r>
        <w:rPr>
          <w:bCs/>
          <w:color w:val="000000"/>
          <w:kern w:val="0"/>
          <w:sz w:val="24"/>
          <w:szCs w:val="24"/>
        </w:rPr>
        <w:t>号</w:t>
      </w:r>
      <w:r>
        <w:rPr>
          <w:bCs/>
          <w:color w:val="000000"/>
          <w:kern w:val="0"/>
          <w:sz w:val="24"/>
          <w:szCs w:val="24"/>
        </w:rPr>
        <w:t>,</w:t>
      </w:r>
      <w:r>
        <w:rPr>
          <w:bCs/>
          <w:color w:val="000000"/>
          <w:kern w:val="0"/>
          <w:sz w:val="24"/>
          <w:szCs w:val="24"/>
        </w:rPr>
        <w:t>对镇江分行违规办理票据业务违反审慎经营原则的行为罚款</w:t>
      </w:r>
      <w:r>
        <w:rPr>
          <w:bCs/>
          <w:color w:val="000000"/>
          <w:kern w:val="0"/>
          <w:sz w:val="24"/>
          <w:szCs w:val="24"/>
        </w:rPr>
        <w:t>3230</w:t>
      </w:r>
      <w:r>
        <w:rPr>
          <w:bCs/>
          <w:color w:val="000000"/>
          <w:kern w:val="0"/>
          <w:sz w:val="24"/>
          <w:szCs w:val="24"/>
        </w:rPr>
        <w:t>万元人民币。</w:t>
      </w:r>
    </w:p>
    <w:p w:rsidR="00A5500F" w:rsidRDefault="00465A01">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5,955,308.89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1,344,733.06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156,325.66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7,456,367.61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A5500F">
        <w:trPr>
          <w:jc w:val="center"/>
        </w:trPr>
        <w:tc>
          <w:tcPr>
            <w:tcW w:w="1129" w:type="dxa"/>
            <w:vAlign w:val="center"/>
          </w:tcPr>
          <w:p w:rsidR="00A5500F" w:rsidRDefault="00465A01">
            <w:pPr>
              <w:jc w:val="center"/>
            </w:pPr>
            <w:r>
              <w:rPr>
                <w:color w:val="000000"/>
                <w:sz w:val="24"/>
                <w:szCs w:val="24"/>
              </w:rPr>
              <w:t>1</w:t>
            </w:r>
          </w:p>
        </w:tc>
        <w:tc>
          <w:tcPr>
            <w:tcW w:w="1356" w:type="dxa"/>
            <w:vAlign w:val="center"/>
          </w:tcPr>
          <w:p w:rsidR="00A5500F" w:rsidRDefault="00465A01">
            <w:pPr>
              <w:jc w:val="center"/>
            </w:pPr>
            <w:r>
              <w:rPr>
                <w:color w:val="000000"/>
                <w:sz w:val="24"/>
                <w:szCs w:val="24"/>
              </w:rPr>
              <w:t>600750</w:t>
            </w:r>
          </w:p>
        </w:tc>
        <w:tc>
          <w:tcPr>
            <w:tcW w:w="1355" w:type="dxa"/>
            <w:vAlign w:val="center"/>
          </w:tcPr>
          <w:p w:rsidR="00A5500F" w:rsidRDefault="00465A01">
            <w:pPr>
              <w:jc w:val="center"/>
            </w:pPr>
            <w:r>
              <w:rPr>
                <w:color w:val="000000"/>
                <w:sz w:val="24"/>
                <w:szCs w:val="24"/>
              </w:rPr>
              <w:t>江中药业</w:t>
            </w:r>
          </w:p>
        </w:tc>
        <w:tc>
          <w:tcPr>
            <w:tcW w:w="1880" w:type="dxa"/>
            <w:vAlign w:val="center"/>
          </w:tcPr>
          <w:p w:rsidR="00A5500F" w:rsidRDefault="00465A01">
            <w:pPr>
              <w:jc w:val="right"/>
            </w:pPr>
            <w:r>
              <w:rPr>
                <w:color w:val="000000"/>
                <w:sz w:val="24"/>
                <w:szCs w:val="24"/>
              </w:rPr>
              <w:t>12,425,000.00</w:t>
            </w:r>
          </w:p>
        </w:tc>
        <w:tc>
          <w:tcPr>
            <w:tcW w:w="1724" w:type="dxa"/>
            <w:vAlign w:val="center"/>
          </w:tcPr>
          <w:p w:rsidR="00A5500F" w:rsidRDefault="00465A01">
            <w:pPr>
              <w:jc w:val="right"/>
            </w:pPr>
            <w:r>
              <w:rPr>
                <w:color w:val="000000"/>
                <w:sz w:val="24"/>
                <w:szCs w:val="24"/>
              </w:rPr>
              <w:t>2.21</w:t>
            </w:r>
          </w:p>
        </w:tc>
        <w:tc>
          <w:tcPr>
            <w:tcW w:w="1424" w:type="dxa"/>
            <w:vAlign w:val="center"/>
          </w:tcPr>
          <w:p w:rsidR="00A5500F" w:rsidRDefault="00465A01">
            <w:pPr>
              <w:jc w:val="right"/>
            </w:pPr>
            <w:r>
              <w:rPr>
                <w:rFonts w:hint="eastAsia"/>
                <w:color w:val="000000"/>
                <w:sz w:val="24"/>
                <w:szCs w:val="24"/>
              </w:rPr>
              <w:t>重大</w:t>
            </w:r>
            <w:r>
              <w:rPr>
                <w:color w:val="000000"/>
                <w:sz w:val="24"/>
                <w:szCs w:val="24"/>
              </w:rPr>
              <w:t>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p w:rsidR="001F3E2A" w:rsidRPr="00414345" w:rsidRDefault="0051062A" w:rsidP="00C15CAC">
      <w:pPr>
        <w:spacing w:before="29" w:line="288" w:lineRule="auto"/>
        <w:ind w:firstLineChars="200" w:firstLine="480"/>
        <w:rPr>
          <w:color w:val="000000"/>
          <w:sz w:val="24"/>
          <w:szCs w:val="24"/>
        </w:rPr>
      </w:pPr>
      <w:r w:rsidRPr="00575270">
        <w:rPr>
          <w:rFonts w:eastAsiaTheme="minorEastAsia" w:hint="eastAsia"/>
          <w:color w:val="000000" w:themeColor="text1"/>
          <w:sz w:val="24"/>
          <w:szCs w:val="24"/>
        </w:rPr>
        <w:t>无。</w:t>
      </w:r>
      <w:bookmarkStart w:id="0" w:name="_GoBack"/>
      <w:bookmarkEnd w:id="0"/>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642,800,880.84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5,106,273.17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29,296,531.92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618,610,622.09</w:t>
            </w:r>
          </w:p>
        </w:tc>
      </w:tr>
    </w:tbl>
    <w:p w:rsidR="00A5500F" w:rsidRDefault="00465A0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A5500F" w:rsidRDefault="00465A01">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、中国证监会准予交银施罗德国企改革灵活配置混合型证券投资基金募集注册的文件；</w:t>
      </w:r>
      <w:r>
        <w:rPr>
          <w:color w:val="000000"/>
          <w:sz w:val="24"/>
          <w:szCs w:val="24"/>
        </w:rPr>
        <w:t xml:space="preserve"> </w:t>
      </w:r>
    </w:p>
    <w:p w:rsidR="00A5500F" w:rsidRDefault="00465A01">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、《交银施罗德国企改革灵活配置混合型证券投资基金基金合同》；</w:t>
      </w:r>
    </w:p>
    <w:p w:rsidR="00A5500F" w:rsidRDefault="00465A01">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、《交银施罗德国企改革灵活配置混合型证券投资基金招募说明书》；</w:t>
      </w:r>
      <w:r>
        <w:rPr>
          <w:color w:val="000000"/>
          <w:sz w:val="24"/>
          <w:szCs w:val="24"/>
        </w:rPr>
        <w:t xml:space="preserve"> </w:t>
      </w:r>
    </w:p>
    <w:p w:rsidR="00A5500F" w:rsidRDefault="00465A01">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、《交银施罗德国企改革灵活配置混合型证券投资基金托管协议》；</w:t>
      </w:r>
      <w:r>
        <w:rPr>
          <w:color w:val="000000"/>
          <w:sz w:val="24"/>
          <w:szCs w:val="24"/>
        </w:rPr>
        <w:t xml:space="preserve"> </w:t>
      </w:r>
    </w:p>
    <w:p w:rsidR="00A5500F" w:rsidRDefault="00465A01">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A5500F" w:rsidRDefault="00465A01">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A5500F" w:rsidRDefault="00465A01">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、关于申请募集注册交银施罗德国企改革灵活配置混合型证券投资基金的法律意见书；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、报告期内交银施罗德国企改革灵活配置混合型证券投资基金在指定报刊上各项公告的原稿。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A5500F" w:rsidRDefault="00465A01">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F77" w:rsidRDefault="003F6F77" w:rsidP="00876D65">
      <w:r>
        <w:separator/>
      </w:r>
    </w:p>
  </w:endnote>
  <w:endnote w:type="continuationSeparator" w:id="0">
    <w:p w:rsidR="003F6F77" w:rsidRDefault="003F6F77"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51062A">
      <w:rPr>
        <w:noProof/>
        <w:kern w:val="0"/>
        <w:szCs w:val="21"/>
      </w:rPr>
      <w:t>10</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51062A">
      <w:rPr>
        <w:noProof/>
        <w:kern w:val="0"/>
        <w:szCs w:val="21"/>
      </w:rPr>
      <w:t>12</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F77" w:rsidRDefault="003F6F77" w:rsidP="00876D65">
      <w:r>
        <w:separator/>
      </w:r>
    </w:p>
  </w:footnote>
  <w:footnote w:type="continuationSeparator" w:id="0">
    <w:p w:rsidR="003F6F77" w:rsidRDefault="003F6F77"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交银施罗德国企改革灵活配置混合型证券投资基金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3F6F77"/>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65A01"/>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062A"/>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500F"/>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8637F-DBC2-409B-9F53-B2230E29D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TotalTime>
  <Pages>12</Pages>
  <Words>1133</Words>
  <Characters>6460</Characters>
  <Application>Microsoft Office Word</Application>
  <DocSecurity>0</DocSecurity>
  <Lines>53</Lines>
  <Paragraphs>15</Paragraphs>
  <ScaleCrop>false</ScaleCrop>
  <Company/>
  <LinksUpToDate>false</LinksUpToDate>
  <CharactersWithSpaces>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578</cp:revision>
  <dcterms:created xsi:type="dcterms:W3CDTF">2012-10-16T06:07:00Z</dcterms:created>
  <dcterms:modified xsi:type="dcterms:W3CDTF">2018-07-16T08:15:00Z</dcterms:modified>
</cp:coreProperties>
</file>