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交银施罗德先进制造混合型证券投资基金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A3C1A" w:rsidRDefault="00EE4B4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A3C1A" w:rsidRDefault="00EE4B4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A3C1A" w:rsidRDefault="00EE4B4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A3C1A" w:rsidRDefault="00EE4B4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A3C1A" w:rsidRDefault="00EE4B4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1,253,865,585.43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w:t>
            </w:r>
            <w:r w:rsidRPr="00414345">
              <w:rPr>
                <w:color w:val="000000"/>
                <w:kern w:val="0"/>
                <w:sz w:val="24"/>
                <w:szCs w:val="24"/>
              </w:rPr>
              <w:lastRenderedPageBreak/>
              <w:t>领域的互联网化，全面提升企业研发、生产、管理和服务水平等。</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日发布的《交银施罗德基金管理有限公司关于交银施罗德先进制造混合型证券投资基金基金份额持有人大会表决结果暨决议生效的公告》。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E4B4E" w:rsidRPr="00414345" w:rsidTr="00EE4B4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E4B4E" w:rsidRPr="00414345" w:rsidTr="00EE4B4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-80,620,272.41</w:t>
            </w:r>
          </w:p>
        </w:tc>
      </w:tr>
      <w:tr w:rsidR="00EE4B4E" w:rsidRPr="00414345" w:rsidTr="00EE4B4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-259,906,929.63</w:t>
            </w:r>
          </w:p>
        </w:tc>
      </w:tr>
      <w:tr w:rsidR="00EE4B4E" w:rsidRPr="00414345" w:rsidTr="00EE4B4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-0.1719</w:t>
            </w:r>
          </w:p>
        </w:tc>
      </w:tr>
      <w:tr w:rsidR="00EE4B4E" w:rsidRPr="00414345" w:rsidTr="00EE4B4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2,308,893,968.72</w:t>
            </w:r>
          </w:p>
        </w:tc>
      </w:tr>
      <w:tr w:rsidR="00EE4B4E" w:rsidRPr="00414345" w:rsidTr="00EE4B4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1.841</w:t>
            </w:r>
          </w:p>
        </w:tc>
      </w:tr>
    </w:tbl>
    <w:p w:rsidR="00CA3C1A" w:rsidRDefault="00EE4B4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A3C1A">
        <w:trPr>
          <w:jc w:val="center"/>
        </w:trPr>
        <w:tc>
          <w:tcPr>
            <w:tcW w:w="1701" w:type="dxa"/>
            <w:vAlign w:val="center"/>
          </w:tcPr>
          <w:p w:rsidR="00CA3C1A" w:rsidRDefault="00EE4B4E">
            <w:pPr>
              <w:jc w:val="left"/>
            </w:pPr>
            <w:r>
              <w:rPr>
                <w:color w:val="000000"/>
                <w:sz w:val="24"/>
                <w:szCs w:val="24"/>
              </w:rPr>
              <w:t>过去三个月</w:t>
            </w:r>
          </w:p>
        </w:tc>
        <w:tc>
          <w:tcPr>
            <w:tcW w:w="1045" w:type="dxa"/>
            <w:vAlign w:val="center"/>
          </w:tcPr>
          <w:p w:rsidR="00CA3C1A" w:rsidRDefault="00EE4B4E">
            <w:pPr>
              <w:jc w:val="center"/>
            </w:pPr>
            <w:r>
              <w:rPr>
                <w:color w:val="000000"/>
                <w:sz w:val="24"/>
                <w:szCs w:val="24"/>
              </w:rPr>
              <w:t>-9.74%</w:t>
            </w:r>
          </w:p>
        </w:tc>
        <w:tc>
          <w:tcPr>
            <w:tcW w:w="1344" w:type="dxa"/>
            <w:vAlign w:val="center"/>
          </w:tcPr>
          <w:p w:rsidR="00CA3C1A" w:rsidRDefault="00EE4B4E">
            <w:pPr>
              <w:jc w:val="center"/>
            </w:pPr>
            <w:r>
              <w:rPr>
                <w:color w:val="000000"/>
                <w:sz w:val="24"/>
                <w:szCs w:val="24"/>
              </w:rPr>
              <w:t>1.26%</w:t>
            </w:r>
          </w:p>
        </w:tc>
        <w:tc>
          <w:tcPr>
            <w:tcW w:w="1194" w:type="dxa"/>
            <w:vAlign w:val="center"/>
          </w:tcPr>
          <w:p w:rsidR="00CA3C1A" w:rsidRDefault="00EE4B4E">
            <w:pPr>
              <w:jc w:val="center"/>
            </w:pPr>
            <w:r>
              <w:rPr>
                <w:color w:val="000000"/>
                <w:sz w:val="24"/>
                <w:szCs w:val="24"/>
              </w:rPr>
              <w:t>-5.26%</w:t>
            </w:r>
          </w:p>
        </w:tc>
        <w:tc>
          <w:tcPr>
            <w:tcW w:w="1492" w:type="dxa"/>
            <w:vAlign w:val="center"/>
          </w:tcPr>
          <w:p w:rsidR="00CA3C1A" w:rsidRDefault="00EE4B4E">
            <w:pPr>
              <w:jc w:val="center"/>
            </w:pPr>
            <w:r>
              <w:rPr>
                <w:color w:val="000000"/>
                <w:sz w:val="24"/>
                <w:szCs w:val="24"/>
              </w:rPr>
              <w:t>0.68%</w:t>
            </w:r>
          </w:p>
        </w:tc>
        <w:tc>
          <w:tcPr>
            <w:tcW w:w="1194" w:type="dxa"/>
            <w:vAlign w:val="center"/>
          </w:tcPr>
          <w:p w:rsidR="00CA3C1A" w:rsidRDefault="00EE4B4E">
            <w:pPr>
              <w:jc w:val="center"/>
            </w:pPr>
            <w:r>
              <w:rPr>
                <w:color w:val="000000"/>
                <w:sz w:val="24"/>
                <w:szCs w:val="24"/>
              </w:rPr>
              <w:t>-4.48%</w:t>
            </w:r>
          </w:p>
        </w:tc>
        <w:tc>
          <w:tcPr>
            <w:tcW w:w="898" w:type="dxa"/>
            <w:vAlign w:val="center"/>
          </w:tcPr>
          <w:p w:rsidR="00CA3C1A" w:rsidRDefault="00EE4B4E">
            <w:pPr>
              <w:jc w:val="center"/>
            </w:pPr>
            <w:r>
              <w:rPr>
                <w:color w:val="000000"/>
                <w:sz w:val="24"/>
                <w:szCs w:val="24"/>
              </w:rPr>
              <w:t>0.58%</w:t>
            </w:r>
          </w:p>
        </w:tc>
      </w:tr>
    </w:tbl>
    <w:p w:rsidR="00CA3C1A" w:rsidRDefault="00EE4B4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1</w:t>
      </w:r>
      <w:r>
        <w:rPr>
          <w:color w:val="000000"/>
          <w:sz w:val="24"/>
          <w:szCs w:val="24"/>
        </w:rPr>
        <w:t>日起，由</w:t>
      </w:r>
      <w:r>
        <w:rPr>
          <w:color w:val="000000"/>
          <w:sz w:val="24"/>
          <w:szCs w:val="24"/>
        </w:rPr>
        <w:t>“75%×</w:t>
      </w:r>
      <w:r>
        <w:rPr>
          <w:color w:val="000000"/>
          <w:sz w:val="24"/>
          <w:szCs w:val="24"/>
        </w:rPr>
        <w:t>申银万国装备制造指数收益率</w:t>
      </w:r>
      <w:r>
        <w:rPr>
          <w:color w:val="000000"/>
          <w:sz w:val="24"/>
          <w:szCs w:val="24"/>
        </w:rPr>
        <w:t>+25%×</w:t>
      </w:r>
      <w:r>
        <w:rPr>
          <w:color w:val="000000"/>
          <w:sz w:val="24"/>
          <w:szCs w:val="24"/>
        </w:rPr>
        <w:t>中信标普全债指数收益率</w:t>
      </w:r>
      <w:r>
        <w:rPr>
          <w:color w:val="000000"/>
          <w:sz w:val="24"/>
          <w:szCs w:val="24"/>
        </w:rPr>
        <w:t>”</w:t>
      </w:r>
      <w:r>
        <w:rPr>
          <w:color w:val="000000"/>
          <w:sz w:val="24"/>
          <w:szCs w:val="24"/>
        </w:rPr>
        <w:t>变更为</w:t>
      </w:r>
      <w:r>
        <w:rPr>
          <w:color w:val="000000"/>
          <w:sz w:val="24"/>
          <w:szCs w:val="24"/>
        </w:rPr>
        <w:t>“75%×</w:t>
      </w:r>
      <w:r>
        <w:rPr>
          <w:color w:val="000000"/>
          <w:sz w:val="24"/>
          <w:szCs w:val="24"/>
        </w:rPr>
        <w:t>申银万国装备制造指数收益率</w:t>
      </w:r>
      <w:r>
        <w:rPr>
          <w:color w:val="000000"/>
          <w:sz w:val="24"/>
          <w:szCs w:val="24"/>
        </w:rPr>
        <w:t>+25%×</w:t>
      </w:r>
      <w:r>
        <w:rPr>
          <w:color w:val="000000"/>
          <w:sz w:val="24"/>
          <w:szCs w:val="24"/>
        </w:rPr>
        <w:t>中证综合债券指数收益率</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2015</w:t>
      </w:r>
      <w:r>
        <w:rPr>
          <w:color w:val="000000"/>
          <w:sz w:val="24"/>
          <w:szCs w:val="24"/>
        </w:rPr>
        <w:t>年</w:t>
      </w:r>
      <w:r>
        <w:rPr>
          <w:color w:val="000000"/>
          <w:sz w:val="24"/>
          <w:szCs w:val="24"/>
        </w:rPr>
        <w:t>9</w:t>
      </w:r>
      <w:r>
        <w:rPr>
          <w:color w:val="000000"/>
          <w:sz w:val="24"/>
          <w:szCs w:val="24"/>
        </w:rPr>
        <w:t>月</w:t>
      </w:r>
      <w:r>
        <w:rPr>
          <w:color w:val="000000"/>
          <w:sz w:val="24"/>
          <w:szCs w:val="24"/>
        </w:rPr>
        <w:t>28</w:t>
      </w:r>
      <w:r>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日起，由</w:t>
      </w:r>
      <w:r w:rsidRPr="00414345">
        <w:rPr>
          <w:color w:val="000000"/>
          <w:sz w:val="24"/>
          <w:szCs w:val="24"/>
        </w:rPr>
        <w:t>“75%×</w:t>
      </w:r>
      <w:r w:rsidRPr="00414345">
        <w:rPr>
          <w:color w:val="000000"/>
          <w:sz w:val="24"/>
          <w:szCs w:val="24"/>
        </w:rPr>
        <w:t>申银万国装备制造指数收益率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21</w:t>
      </w:r>
      <w:r w:rsidRPr="00414345">
        <w:rPr>
          <w:color w:val="000000"/>
          <w:sz w:val="24"/>
          <w:szCs w:val="24"/>
        </w:rPr>
        <w:t>日发布的《交银施罗德基金管理有限公司关于交银施罗德先进制造混合型证券投资基金基金份额持有人大会表决结果暨决议生效的公告》。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交银施罗德先进制造混合型证券投资基金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A3C1A">
        <w:trPr>
          <w:jc w:val="center"/>
        </w:trPr>
        <w:tc>
          <w:tcPr>
            <w:tcW w:w="846" w:type="dxa"/>
            <w:vAlign w:val="center"/>
          </w:tcPr>
          <w:p w:rsidR="00CA3C1A" w:rsidRDefault="00EE4B4E">
            <w:pPr>
              <w:jc w:val="center"/>
            </w:pPr>
            <w:r>
              <w:rPr>
                <w:color w:val="000000"/>
                <w:sz w:val="24"/>
                <w:szCs w:val="24"/>
              </w:rPr>
              <w:t>任相栋</w:t>
            </w:r>
          </w:p>
        </w:tc>
        <w:tc>
          <w:tcPr>
            <w:tcW w:w="845" w:type="dxa"/>
            <w:vAlign w:val="center"/>
          </w:tcPr>
          <w:p w:rsidR="00CA3C1A" w:rsidRDefault="00EE4B4E">
            <w:pPr>
              <w:jc w:val="center"/>
            </w:pPr>
            <w:r>
              <w:rPr>
                <w:color w:val="000000"/>
                <w:sz w:val="24"/>
                <w:szCs w:val="24"/>
              </w:rPr>
              <w:t>交银先进制造混合、交银经济新动力混合的基金经理</w:t>
            </w:r>
          </w:p>
        </w:tc>
        <w:tc>
          <w:tcPr>
            <w:tcW w:w="1549" w:type="dxa"/>
            <w:vAlign w:val="center"/>
          </w:tcPr>
          <w:p w:rsidR="00CA3C1A" w:rsidRDefault="00EE4B4E">
            <w:pPr>
              <w:jc w:val="center"/>
            </w:pPr>
            <w:r>
              <w:rPr>
                <w:color w:val="000000"/>
                <w:sz w:val="24"/>
                <w:szCs w:val="24"/>
              </w:rPr>
              <w:t>2015-01-21</w:t>
            </w:r>
          </w:p>
        </w:tc>
        <w:tc>
          <w:tcPr>
            <w:tcW w:w="1548" w:type="dxa"/>
            <w:vAlign w:val="center"/>
          </w:tcPr>
          <w:p w:rsidR="00CA3C1A" w:rsidRDefault="00EE4B4E">
            <w:pPr>
              <w:jc w:val="center"/>
            </w:pPr>
            <w:r>
              <w:rPr>
                <w:color w:val="000000"/>
                <w:sz w:val="24"/>
                <w:szCs w:val="24"/>
              </w:rPr>
              <w:t>2018-06-23</w:t>
            </w:r>
          </w:p>
        </w:tc>
        <w:tc>
          <w:tcPr>
            <w:tcW w:w="1407" w:type="dxa"/>
            <w:vAlign w:val="center"/>
          </w:tcPr>
          <w:p w:rsidR="00CA3C1A" w:rsidRDefault="00EE4B4E">
            <w:pPr>
              <w:jc w:val="center"/>
            </w:pPr>
            <w:r>
              <w:rPr>
                <w:color w:val="000000"/>
                <w:sz w:val="24"/>
                <w:szCs w:val="24"/>
              </w:rPr>
              <w:t>8</w:t>
            </w:r>
            <w:r>
              <w:rPr>
                <w:color w:val="000000"/>
                <w:sz w:val="24"/>
                <w:szCs w:val="24"/>
              </w:rPr>
              <w:t>年</w:t>
            </w:r>
          </w:p>
        </w:tc>
        <w:tc>
          <w:tcPr>
            <w:tcW w:w="2673" w:type="dxa"/>
            <w:vAlign w:val="center"/>
          </w:tcPr>
          <w:p w:rsidR="00CA3C1A" w:rsidRDefault="00EE4B4E">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22</w:t>
            </w:r>
            <w:r>
              <w:rPr>
                <w:color w:val="000000"/>
                <w:sz w:val="24"/>
                <w:szCs w:val="24"/>
              </w:rPr>
              <w:t>日担任交银施罗德先进制造混合型证券投资基金的基金经理，</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20</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22</w:t>
            </w:r>
            <w:r>
              <w:rPr>
                <w:color w:val="000000"/>
                <w:sz w:val="24"/>
                <w:szCs w:val="24"/>
              </w:rPr>
              <w:t>日担任交银施罗德经济新动力混合型证券投资基金的基金经理。</w:t>
            </w:r>
          </w:p>
        </w:tc>
      </w:tr>
      <w:tr w:rsidR="00CA3C1A">
        <w:trPr>
          <w:jc w:val="center"/>
        </w:trPr>
        <w:tc>
          <w:tcPr>
            <w:tcW w:w="846" w:type="dxa"/>
            <w:vAlign w:val="center"/>
          </w:tcPr>
          <w:p w:rsidR="00CA3C1A" w:rsidRDefault="00EE4B4E">
            <w:pPr>
              <w:jc w:val="center"/>
            </w:pPr>
            <w:r>
              <w:rPr>
                <w:color w:val="000000"/>
                <w:sz w:val="24"/>
                <w:szCs w:val="24"/>
              </w:rPr>
              <w:t>刘鹏</w:t>
            </w:r>
          </w:p>
        </w:tc>
        <w:tc>
          <w:tcPr>
            <w:tcW w:w="845" w:type="dxa"/>
            <w:vAlign w:val="center"/>
          </w:tcPr>
          <w:p w:rsidR="00CA3C1A" w:rsidRDefault="00EE4B4E">
            <w:pPr>
              <w:jc w:val="center"/>
            </w:pPr>
            <w:r>
              <w:rPr>
                <w:color w:val="000000"/>
                <w:sz w:val="24"/>
                <w:szCs w:val="24"/>
              </w:rPr>
              <w:t>交银先进制造混合的基金经理</w:t>
            </w:r>
          </w:p>
        </w:tc>
        <w:tc>
          <w:tcPr>
            <w:tcW w:w="1549" w:type="dxa"/>
            <w:vAlign w:val="center"/>
          </w:tcPr>
          <w:p w:rsidR="00CA3C1A" w:rsidRDefault="00EE4B4E">
            <w:pPr>
              <w:jc w:val="center"/>
            </w:pPr>
            <w:r>
              <w:rPr>
                <w:color w:val="000000"/>
                <w:sz w:val="24"/>
                <w:szCs w:val="24"/>
              </w:rPr>
              <w:t>2018-05-29</w:t>
            </w:r>
          </w:p>
        </w:tc>
        <w:tc>
          <w:tcPr>
            <w:tcW w:w="1548" w:type="dxa"/>
            <w:vAlign w:val="center"/>
          </w:tcPr>
          <w:p w:rsidR="00CA3C1A" w:rsidRDefault="00EE4B4E">
            <w:pPr>
              <w:jc w:val="center"/>
            </w:pPr>
            <w:r>
              <w:rPr>
                <w:color w:val="000000"/>
                <w:sz w:val="24"/>
                <w:szCs w:val="24"/>
              </w:rPr>
              <w:t>-</w:t>
            </w:r>
          </w:p>
        </w:tc>
        <w:tc>
          <w:tcPr>
            <w:tcW w:w="1407" w:type="dxa"/>
            <w:vAlign w:val="center"/>
          </w:tcPr>
          <w:p w:rsidR="00CA3C1A" w:rsidRDefault="00EE4B4E">
            <w:pPr>
              <w:jc w:val="center"/>
            </w:pPr>
            <w:r>
              <w:rPr>
                <w:color w:val="000000"/>
                <w:sz w:val="24"/>
                <w:szCs w:val="24"/>
              </w:rPr>
              <w:t>4</w:t>
            </w:r>
            <w:r>
              <w:rPr>
                <w:color w:val="000000"/>
                <w:sz w:val="24"/>
                <w:szCs w:val="24"/>
              </w:rPr>
              <w:t>年</w:t>
            </w:r>
          </w:p>
        </w:tc>
        <w:tc>
          <w:tcPr>
            <w:tcW w:w="2673" w:type="dxa"/>
            <w:vAlign w:val="center"/>
          </w:tcPr>
          <w:p w:rsidR="00CA3C1A" w:rsidRDefault="00EE4B4E">
            <w:r>
              <w:rPr>
                <w:color w:val="000000"/>
                <w:sz w:val="24"/>
                <w:szCs w:val="24"/>
              </w:rPr>
              <w:t>刘鹏先生，中国人民大学金融学硕士，北京理工大学经济学学士。</w:t>
            </w:r>
            <w:r>
              <w:rPr>
                <w:color w:val="000000"/>
                <w:sz w:val="24"/>
                <w:szCs w:val="24"/>
              </w:rPr>
              <w:t>2014</w:t>
            </w:r>
            <w:r>
              <w:rPr>
                <w:color w:val="000000"/>
                <w:sz w:val="24"/>
                <w:szCs w:val="24"/>
              </w:rPr>
              <w:t>年</w:t>
            </w:r>
            <w:r>
              <w:rPr>
                <w:color w:val="000000"/>
                <w:sz w:val="24"/>
                <w:szCs w:val="24"/>
              </w:rPr>
              <w:t>6</w:t>
            </w:r>
            <w:r>
              <w:rPr>
                <w:color w:val="000000"/>
                <w:sz w:val="24"/>
                <w:szCs w:val="24"/>
              </w:rPr>
              <w:t>月加入交银施罗德基金管理有限公司，历任行业分析师。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A3C1A" w:rsidRDefault="00EE4B4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A3C1A" w:rsidRDefault="00EE4B4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A3C1A" w:rsidRDefault="00EE4B4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A3C1A" w:rsidRDefault="00EE4B4E">
      <w:pPr>
        <w:spacing w:before="29" w:line="288" w:lineRule="auto"/>
        <w:ind w:firstLineChars="200" w:firstLine="480"/>
        <w:rPr>
          <w:color w:val="000000"/>
          <w:sz w:val="24"/>
          <w:szCs w:val="24"/>
        </w:rPr>
      </w:pPr>
      <w:r>
        <w:rPr>
          <w:color w:val="000000"/>
          <w:sz w:val="24"/>
          <w:szCs w:val="24"/>
        </w:rPr>
        <w:t>二季度市场宽幅波动，在贸易战和棚改停摆预期的影响下，市场出现大幅调整。市场风格在六月曾经向周期板块倾斜，但从整个季度来看，各大指数均呈下跌态势。</w:t>
      </w:r>
    </w:p>
    <w:p w:rsidR="00CA3C1A" w:rsidRDefault="00EE4B4E">
      <w:pPr>
        <w:spacing w:before="29" w:line="288" w:lineRule="auto"/>
        <w:ind w:firstLineChars="200" w:firstLine="480"/>
        <w:rPr>
          <w:color w:val="000000"/>
          <w:sz w:val="24"/>
          <w:szCs w:val="24"/>
        </w:rPr>
      </w:pPr>
      <w:r>
        <w:rPr>
          <w:color w:val="000000"/>
          <w:sz w:val="24"/>
          <w:szCs w:val="24"/>
        </w:rPr>
        <w:t>本基金二季度未能跑赢业绩比较基准，主要原因在于基金业绩比较基准中的债券权重较大，而中证综合债指数二季度收益为正，同时</w:t>
      </w:r>
      <w:r>
        <w:rPr>
          <w:color w:val="000000"/>
          <w:sz w:val="24"/>
          <w:szCs w:val="24"/>
        </w:rPr>
        <w:t>A</w:t>
      </w:r>
      <w:r>
        <w:rPr>
          <w:color w:val="000000"/>
          <w:sz w:val="24"/>
          <w:szCs w:val="24"/>
        </w:rPr>
        <w:t>股整体呈全面下跌的局面，在此情景下仅通过调整权益投资配置跑赢业绩比较基准的难度较大。</w:t>
      </w:r>
    </w:p>
    <w:p w:rsidR="00CA3C1A" w:rsidRDefault="00EE4B4E">
      <w:pPr>
        <w:spacing w:before="29" w:line="288" w:lineRule="auto"/>
        <w:ind w:firstLineChars="200" w:firstLine="480"/>
        <w:rPr>
          <w:color w:val="000000"/>
          <w:sz w:val="24"/>
          <w:szCs w:val="24"/>
        </w:rPr>
      </w:pPr>
      <w:r>
        <w:rPr>
          <w:color w:val="000000"/>
          <w:sz w:val="24"/>
          <w:szCs w:val="24"/>
        </w:rPr>
        <w:t>在去杠杆政策和贸易战、人民币贬值的内外背景下，市场对全球经济预期回落，市场赚钱效应回落，成交量萎缩。无论从估值角度还是历史相对位置，中期看</w:t>
      </w:r>
      <w:r>
        <w:rPr>
          <w:color w:val="000000"/>
          <w:sz w:val="24"/>
          <w:szCs w:val="24"/>
        </w:rPr>
        <w:t>A</w:t>
      </w:r>
      <w:r>
        <w:rPr>
          <w:color w:val="000000"/>
          <w:sz w:val="24"/>
          <w:szCs w:val="24"/>
        </w:rPr>
        <w:t>股指数向上风险预计较大。本基金在二季度主要着重对组合的流动性进行优化。从长期看，尽管受到各种宏观因素扰动，我们依然认为中国经济复兴是大势所趋，龙头或主流公司仍较具成长性，很多现在规模还不大但具备强竞争力的公司在各种悲观预期和不利的交易结构下被错杀，相信这类标的会成为本基金关注和研究的重点。</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本基金未来计划仍将维持中性仓位，并提高流动性，力求控制好业绩回撤，努力为持有人取得稳健回报。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EE4B4E" w:rsidP="00C15CAC">
      <w:pPr>
        <w:spacing w:before="29" w:line="288" w:lineRule="auto"/>
        <w:ind w:firstLineChars="200" w:firstLine="480"/>
        <w:rPr>
          <w:color w:val="000000"/>
          <w:sz w:val="24"/>
          <w:szCs w:val="24"/>
        </w:rPr>
      </w:pPr>
      <w:r w:rsidRPr="00EE4B4E">
        <w:rPr>
          <w:rFonts w:hint="eastAsia"/>
          <w:color w:val="000000"/>
          <w:sz w:val="24"/>
          <w:szCs w:val="24"/>
        </w:rPr>
        <w:t>截至</w:t>
      </w:r>
      <w:r w:rsidRPr="00EE4B4E">
        <w:rPr>
          <w:rFonts w:hint="eastAsia"/>
          <w:color w:val="000000"/>
          <w:sz w:val="24"/>
          <w:szCs w:val="24"/>
        </w:rPr>
        <w:t>2018</w:t>
      </w:r>
      <w:r w:rsidRPr="00EE4B4E">
        <w:rPr>
          <w:rFonts w:hint="eastAsia"/>
          <w:color w:val="000000"/>
          <w:sz w:val="24"/>
          <w:szCs w:val="24"/>
        </w:rPr>
        <w:t>年</w:t>
      </w:r>
      <w:r w:rsidRPr="00EE4B4E">
        <w:rPr>
          <w:rFonts w:hint="eastAsia"/>
          <w:color w:val="000000"/>
          <w:sz w:val="24"/>
          <w:szCs w:val="24"/>
        </w:rPr>
        <w:t>6</w:t>
      </w:r>
      <w:r w:rsidRPr="00EE4B4E">
        <w:rPr>
          <w:rFonts w:hint="eastAsia"/>
          <w:color w:val="000000"/>
          <w:sz w:val="24"/>
          <w:szCs w:val="24"/>
        </w:rPr>
        <w:t>月</w:t>
      </w:r>
      <w:r w:rsidRPr="00EE4B4E">
        <w:rPr>
          <w:rFonts w:hint="eastAsia"/>
          <w:color w:val="000000"/>
          <w:sz w:val="24"/>
          <w:szCs w:val="24"/>
        </w:rPr>
        <w:t>30</w:t>
      </w:r>
      <w:r w:rsidRPr="00EE4B4E">
        <w:rPr>
          <w:rFonts w:hint="eastAsia"/>
          <w:color w:val="000000"/>
          <w:sz w:val="24"/>
          <w:szCs w:val="24"/>
        </w:rPr>
        <w:t>日，本基金份额净值为</w:t>
      </w:r>
      <w:r w:rsidRPr="00EE4B4E">
        <w:rPr>
          <w:rFonts w:hint="eastAsia"/>
          <w:color w:val="000000"/>
          <w:sz w:val="24"/>
          <w:szCs w:val="24"/>
        </w:rPr>
        <w:t>1.841</w:t>
      </w:r>
      <w:r w:rsidRPr="00EE4B4E">
        <w:rPr>
          <w:rFonts w:hint="eastAsia"/>
          <w:color w:val="000000"/>
          <w:sz w:val="24"/>
          <w:szCs w:val="24"/>
        </w:rPr>
        <w:t>元，本报告期份额净值增长率为</w:t>
      </w:r>
      <w:r w:rsidRPr="00EE4B4E">
        <w:rPr>
          <w:rFonts w:hint="eastAsia"/>
          <w:color w:val="000000"/>
          <w:sz w:val="24"/>
          <w:szCs w:val="24"/>
        </w:rPr>
        <w:t>-9.74%</w:t>
      </w:r>
      <w:r w:rsidRPr="00EE4B4E">
        <w:rPr>
          <w:rFonts w:hint="eastAsia"/>
          <w:color w:val="000000"/>
          <w:sz w:val="24"/>
          <w:szCs w:val="24"/>
        </w:rPr>
        <w:t>，同期业绩比较基准增长率</w:t>
      </w:r>
      <w:r w:rsidRPr="00EE4B4E">
        <w:rPr>
          <w:rFonts w:hint="eastAsia"/>
          <w:color w:val="000000"/>
          <w:sz w:val="24"/>
          <w:szCs w:val="24"/>
        </w:rPr>
        <w:t>-5.26%</w:t>
      </w:r>
      <w:r w:rsidRPr="00EE4B4E">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2,077,867,558.89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2,077,867,558.89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88.93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148,921,318.39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9,644,961.31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2,336,433,838.59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36,715,656.55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343DEB" w:rsidP="00C15CAC">
            <w:pPr>
              <w:spacing w:before="29" w:line="288" w:lineRule="auto"/>
              <w:jc w:val="right"/>
              <w:rPr>
                <w:sz w:val="24"/>
                <w:szCs w:val="24"/>
              </w:rPr>
            </w:pPr>
            <w:r w:rsidRPr="00343DEB">
              <w:rPr>
                <w:sz w:val="24"/>
                <w:szCs w:val="24"/>
              </w:rPr>
              <w:t>1,673,730,707.24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343DEB" w:rsidP="00C15CAC">
            <w:pPr>
              <w:spacing w:before="29" w:line="288" w:lineRule="auto"/>
              <w:jc w:val="right"/>
              <w:rPr>
                <w:sz w:val="24"/>
                <w:szCs w:val="24"/>
              </w:rPr>
            </w:pPr>
            <w:r w:rsidRPr="00343DEB">
              <w:rPr>
                <w:sz w:val="24"/>
                <w:szCs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9C296A" w:rsidP="00C15CAC">
            <w:pPr>
              <w:spacing w:before="29" w:line="288" w:lineRule="auto"/>
              <w:jc w:val="right"/>
              <w:rPr>
                <w:sz w:val="24"/>
                <w:szCs w:val="24"/>
              </w:rPr>
            </w:pPr>
            <w:r>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9,964,482.00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94,231,137.70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58,156,063.47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110,844,557.70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33,970,590.72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60,182,803.66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343DEB" w:rsidP="00C15CAC">
            <w:pPr>
              <w:spacing w:before="29" w:line="288" w:lineRule="auto"/>
              <w:jc w:val="right"/>
              <w:rPr>
                <w:sz w:val="24"/>
                <w:szCs w:val="24"/>
              </w:rPr>
            </w:pPr>
            <w:r w:rsidRPr="00343DEB">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D4FBB" w:rsidP="00C15CAC">
            <w:pPr>
              <w:spacing w:before="29" w:line="288" w:lineRule="auto"/>
              <w:jc w:val="right"/>
              <w:rPr>
                <w:sz w:val="24"/>
                <w:szCs w:val="24"/>
              </w:rPr>
            </w:pPr>
            <w:r>
              <w:rPr>
                <w:sz w:val="24"/>
                <w:szCs w:val="24"/>
              </w:rPr>
              <w:t>-</w:t>
            </w:r>
            <w:bookmarkStart w:id="0" w:name="_GoBack"/>
            <w:bookmarkEnd w:id="0"/>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2,077,867,558.89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89.99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A3C1A">
        <w:trPr>
          <w:jc w:val="center"/>
        </w:trPr>
        <w:tc>
          <w:tcPr>
            <w:tcW w:w="855" w:type="dxa"/>
            <w:vAlign w:val="center"/>
          </w:tcPr>
          <w:p w:rsidR="00CA3C1A" w:rsidRDefault="00EE4B4E">
            <w:pPr>
              <w:jc w:val="center"/>
            </w:pPr>
            <w:r>
              <w:rPr>
                <w:color w:val="000000"/>
                <w:sz w:val="24"/>
                <w:szCs w:val="24"/>
              </w:rPr>
              <w:t>1</w:t>
            </w:r>
          </w:p>
        </w:tc>
        <w:tc>
          <w:tcPr>
            <w:tcW w:w="1334" w:type="dxa"/>
            <w:vAlign w:val="center"/>
          </w:tcPr>
          <w:p w:rsidR="00CA3C1A" w:rsidRDefault="00EE4B4E">
            <w:pPr>
              <w:jc w:val="center"/>
            </w:pPr>
            <w:r>
              <w:rPr>
                <w:color w:val="000000"/>
                <w:sz w:val="24"/>
                <w:szCs w:val="24"/>
              </w:rPr>
              <w:t>601100</w:t>
            </w:r>
          </w:p>
        </w:tc>
        <w:tc>
          <w:tcPr>
            <w:tcW w:w="1777" w:type="dxa"/>
            <w:vAlign w:val="center"/>
          </w:tcPr>
          <w:p w:rsidR="00CA3C1A" w:rsidRDefault="00EE4B4E">
            <w:pPr>
              <w:jc w:val="center"/>
            </w:pPr>
            <w:r>
              <w:rPr>
                <w:color w:val="000000"/>
                <w:sz w:val="24"/>
                <w:szCs w:val="24"/>
              </w:rPr>
              <w:t>恒立液压</w:t>
            </w:r>
          </w:p>
        </w:tc>
        <w:tc>
          <w:tcPr>
            <w:tcW w:w="1334" w:type="dxa"/>
            <w:vAlign w:val="center"/>
          </w:tcPr>
          <w:p w:rsidR="00CA3C1A" w:rsidRDefault="00EE4B4E">
            <w:pPr>
              <w:jc w:val="right"/>
            </w:pPr>
            <w:r>
              <w:rPr>
                <w:color w:val="000000"/>
                <w:sz w:val="24"/>
                <w:szCs w:val="24"/>
              </w:rPr>
              <w:t>10,114,600</w:t>
            </w:r>
          </w:p>
        </w:tc>
        <w:tc>
          <w:tcPr>
            <w:tcW w:w="1924" w:type="dxa"/>
            <w:vAlign w:val="center"/>
          </w:tcPr>
          <w:p w:rsidR="00CA3C1A" w:rsidRDefault="00EE4B4E">
            <w:pPr>
              <w:jc w:val="right"/>
            </w:pPr>
            <w:r>
              <w:rPr>
                <w:color w:val="000000"/>
                <w:sz w:val="24"/>
                <w:szCs w:val="24"/>
              </w:rPr>
              <w:t>211,192,848.00</w:t>
            </w:r>
          </w:p>
        </w:tc>
        <w:tc>
          <w:tcPr>
            <w:tcW w:w="1644" w:type="dxa"/>
            <w:vAlign w:val="center"/>
          </w:tcPr>
          <w:p w:rsidR="00CA3C1A" w:rsidRDefault="00EE4B4E">
            <w:pPr>
              <w:jc w:val="right"/>
            </w:pPr>
            <w:r>
              <w:rPr>
                <w:color w:val="000000"/>
                <w:sz w:val="24"/>
                <w:szCs w:val="24"/>
              </w:rPr>
              <w:t>9.15</w:t>
            </w:r>
          </w:p>
        </w:tc>
      </w:tr>
      <w:tr w:rsidR="00CA3C1A">
        <w:trPr>
          <w:jc w:val="center"/>
        </w:trPr>
        <w:tc>
          <w:tcPr>
            <w:tcW w:w="855" w:type="dxa"/>
            <w:vAlign w:val="center"/>
          </w:tcPr>
          <w:p w:rsidR="00CA3C1A" w:rsidRDefault="00EE4B4E">
            <w:pPr>
              <w:jc w:val="center"/>
            </w:pPr>
            <w:r>
              <w:rPr>
                <w:color w:val="000000"/>
                <w:sz w:val="24"/>
                <w:szCs w:val="24"/>
              </w:rPr>
              <w:t>2</w:t>
            </w:r>
          </w:p>
        </w:tc>
        <w:tc>
          <w:tcPr>
            <w:tcW w:w="1334" w:type="dxa"/>
            <w:vAlign w:val="center"/>
          </w:tcPr>
          <w:p w:rsidR="00CA3C1A" w:rsidRDefault="00EE4B4E">
            <w:pPr>
              <w:jc w:val="center"/>
            </w:pPr>
            <w:r>
              <w:rPr>
                <w:color w:val="000000"/>
                <w:sz w:val="24"/>
                <w:szCs w:val="24"/>
              </w:rPr>
              <w:t>300014</w:t>
            </w:r>
          </w:p>
        </w:tc>
        <w:tc>
          <w:tcPr>
            <w:tcW w:w="1777" w:type="dxa"/>
            <w:vAlign w:val="center"/>
          </w:tcPr>
          <w:p w:rsidR="00CA3C1A" w:rsidRDefault="00EE4B4E">
            <w:pPr>
              <w:jc w:val="center"/>
            </w:pPr>
            <w:r>
              <w:rPr>
                <w:color w:val="000000"/>
                <w:sz w:val="24"/>
                <w:szCs w:val="24"/>
              </w:rPr>
              <w:t>亿纬锂能</w:t>
            </w:r>
          </w:p>
        </w:tc>
        <w:tc>
          <w:tcPr>
            <w:tcW w:w="1334" w:type="dxa"/>
            <w:vAlign w:val="center"/>
          </w:tcPr>
          <w:p w:rsidR="00CA3C1A" w:rsidRDefault="00EE4B4E">
            <w:pPr>
              <w:jc w:val="right"/>
            </w:pPr>
            <w:r>
              <w:rPr>
                <w:color w:val="000000"/>
                <w:sz w:val="24"/>
                <w:szCs w:val="24"/>
              </w:rPr>
              <w:t>6,963,756</w:t>
            </w:r>
          </w:p>
        </w:tc>
        <w:tc>
          <w:tcPr>
            <w:tcW w:w="1924" w:type="dxa"/>
            <w:vAlign w:val="center"/>
          </w:tcPr>
          <w:p w:rsidR="00CA3C1A" w:rsidRDefault="00EE4B4E">
            <w:pPr>
              <w:jc w:val="right"/>
            </w:pPr>
            <w:r>
              <w:rPr>
                <w:color w:val="000000"/>
                <w:sz w:val="24"/>
                <w:szCs w:val="24"/>
              </w:rPr>
              <w:t>122,562,105.60</w:t>
            </w:r>
          </w:p>
        </w:tc>
        <w:tc>
          <w:tcPr>
            <w:tcW w:w="1644" w:type="dxa"/>
            <w:vAlign w:val="center"/>
          </w:tcPr>
          <w:p w:rsidR="00CA3C1A" w:rsidRDefault="00EE4B4E">
            <w:pPr>
              <w:jc w:val="right"/>
            </w:pPr>
            <w:r>
              <w:rPr>
                <w:color w:val="000000"/>
                <w:sz w:val="24"/>
                <w:szCs w:val="24"/>
              </w:rPr>
              <w:t>5.31</w:t>
            </w:r>
          </w:p>
        </w:tc>
      </w:tr>
      <w:tr w:rsidR="00CA3C1A">
        <w:trPr>
          <w:jc w:val="center"/>
        </w:trPr>
        <w:tc>
          <w:tcPr>
            <w:tcW w:w="855" w:type="dxa"/>
            <w:vAlign w:val="center"/>
          </w:tcPr>
          <w:p w:rsidR="00CA3C1A" w:rsidRDefault="00EE4B4E">
            <w:pPr>
              <w:jc w:val="center"/>
            </w:pPr>
            <w:r>
              <w:rPr>
                <w:color w:val="000000"/>
                <w:sz w:val="24"/>
                <w:szCs w:val="24"/>
              </w:rPr>
              <w:t>3</w:t>
            </w:r>
          </w:p>
        </w:tc>
        <w:tc>
          <w:tcPr>
            <w:tcW w:w="1334" w:type="dxa"/>
            <w:vAlign w:val="center"/>
          </w:tcPr>
          <w:p w:rsidR="00CA3C1A" w:rsidRDefault="00EE4B4E">
            <w:pPr>
              <w:jc w:val="center"/>
            </w:pPr>
            <w:r>
              <w:rPr>
                <w:color w:val="000000"/>
                <w:sz w:val="24"/>
                <w:szCs w:val="24"/>
              </w:rPr>
              <w:t>600967</w:t>
            </w:r>
          </w:p>
        </w:tc>
        <w:tc>
          <w:tcPr>
            <w:tcW w:w="1777" w:type="dxa"/>
            <w:vAlign w:val="center"/>
          </w:tcPr>
          <w:p w:rsidR="00CA3C1A" w:rsidRDefault="00EE4B4E">
            <w:pPr>
              <w:jc w:val="center"/>
            </w:pPr>
            <w:r>
              <w:rPr>
                <w:color w:val="000000"/>
                <w:sz w:val="24"/>
                <w:szCs w:val="24"/>
              </w:rPr>
              <w:t>内蒙一机</w:t>
            </w:r>
          </w:p>
        </w:tc>
        <w:tc>
          <w:tcPr>
            <w:tcW w:w="1334" w:type="dxa"/>
            <w:vAlign w:val="center"/>
          </w:tcPr>
          <w:p w:rsidR="00CA3C1A" w:rsidRDefault="00EE4B4E">
            <w:pPr>
              <w:jc w:val="right"/>
            </w:pPr>
            <w:r>
              <w:rPr>
                <w:color w:val="000000"/>
                <w:sz w:val="24"/>
                <w:szCs w:val="24"/>
              </w:rPr>
              <w:t>9,435,093</w:t>
            </w:r>
          </w:p>
        </w:tc>
        <w:tc>
          <w:tcPr>
            <w:tcW w:w="1924" w:type="dxa"/>
            <w:vAlign w:val="center"/>
          </w:tcPr>
          <w:p w:rsidR="00CA3C1A" w:rsidRDefault="00EE4B4E">
            <w:pPr>
              <w:jc w:val="right"/>
            </w:pPr>
            <w:r>
              <w:rPr>
                <w:color w:val="000000"/>
                <w:sz w:val="24"/>
                <w:szCs w:val="24"/>
              </w:rPr>
              <w:t>120,203,084.82</w:t>
            </w:r>
          </w:p>
        </w:tc>
        <w:tc>
          <w:tcPr>
            <w:tcW w:w="1644" w:type="dxa"/>
            <w:vAlign w:val="center"/>
          </w:tcPr>
          <w:p w:rsidR="00CA3C1A" w:rsidRDefault="00EE4B4E">
            <w:pPr>
              <w:jc w:val="right"/>
            </w:pPr>
            <w:r>
              <w:rPr>
                <w:color w:val="000000"/>
                <w:sz w:val="24"/>
                <w:szCs w:val="24"/>
              </w:rPr>
              <w:t>5.21</w:t>
            </w:r>
          </w:p>
        </w:tc>
      </w:tr>
      <w:tr w:rsidR="00CA3C1A">
        <w:trPr>
          <w:jc w:val="center"/>
        </w:trPr>
        <w:tc>
          <w:tcPr>
            <w:tcW w:w="855" w:type="dxa"/>
            <w:vAlign w:val="center"/>
          </w:tcPr>
          <w:p w:rsidR="00CA3C1A" w:rsidRDefault="00EE4B4E">
            <w:pPr>
              <w:jc w:val="center"/>
            </w:pPr>
            <w:r>
              <w:rPr>
                <w:color w:val="000000"/>
                <w:sz w:val="24"/>
                <w:szCs w:val="24"/>
              </w:rPr>
              <w:t>4</w:t>
            </w:r>
          </w:p>
        </w:tc>
        <w:tc>
          <w:tcPr>
            <w:tcW w:w="1334" w:type="dxa"/>
            <w:vAlign w:val="center"/>
          </w:tcPr>
          <w:p w:rsidR="00CA3C1A" w:rsidRDefault="00EE4B4E">
            <w:pPr>
              <w:jc w:val="center"/>
            </w:pPr>
            <w:r>
              <w:rPr>
                <w:color w:val="000000"/>
                <w:sz w:val="24"/>
                <w:szCs w:val="24"/>
              </w:rPr>
              <w:t>600066</w:t>
            </w:r>
          </w:p>
        </w:tc>
        <w:tc>
          <w:tcPr>
            <w:tcW w:w="1777" w:type="dxa"/>
            <w:vAlign w:val="center"/>
          </w:tcPr>
          <w:p w:rsidR="00CA3C1A" w:rsidRDefault="00EE4B4E">
            <w:pPr>
              <w:jc w:val="center"/>
            </w:pPr>
            <w:r>
              <w:rPr>
                <w:color w:val="000000"/>
                <w:sz w:val="24"/>
                <w:szCs w:val="24"/>
              </w:rPr>
              <w:t>宇通客车</w:t>
            </w:r>
          </w:p>
        </w:tc>
        <w:tc>
          <w:tcPr>
            <w:tcW w:w="1334" w:type="dxa"/>
            <w:vAlign w:val="center"/>
          </w:tcPr>
          <w:p w:rsidR="00CA3C1A" w:rsidRDefault="00EE4B4E">
            <w:pPr>
              <w:jc w:val="right"/>
            </w:pPr>
            <w:r>
              <w:rPr>
                <w:color w:val="000000"/>
                <w:sz w:val="24"/>
                <w:szCs w:val="24"/>
              </w:rPr>
              <w:t>6,097,990</w:t>
            </w:r>
          </w:p>
        </w:tc>
        <w:tc>
          <w:tcPr>
            <w:tcW w:w="1924" w:type="dxa"/>
            <w:vAlign w:val="center"/>
          </w:tcPr>
          <w:p w:rsidR="00CA3C1A" w:rsidRDefault="00EE4B4E">
            <w:pPr>
              <w:jc w:val="right"/>
            </w:pPr>
            <w:r>
              <w:rPr>
                <w:color w:val="000000"/>
                <w:sz w:val="24"/>
                <w:szCs w:val="24"/>
              </w:rPr>
              <w:t>117,020,428.10</w:t>
            </w:r>
          </w:p>
        </w:tc>
        <w:tc>
          <w:tcPr>
            <w:tcW w:w="1644" w:type="dxa"/>
            <w:vAlign w:val="center"/>
          </w:tcPr>
          <w:p w:rsidR="00CA3C1A" w:rsidRDefault="00EE4B4E">
            <w:pPr>
              <w:jc w:val="right"/>
            </w:pPr>
            <w:r>
              <w:rPr>
                <w:color w:val="000000"/>
                <w:sz w:val="24"/>
                <w:szCs w:val="24"/>
              </w:rPr>
              <w:t>5.07</w:t>
            </w:r>
          </w:p>
        </w:tc>
      </w:tr>
      <w:tr w:rsidR="00CA3C1A">
        <w:trPr>
          <w:jc w:val="center"/>
        </w:trPr>
        <w:tc>
          <w:tcPr>
            <w:tcW w:w="855" w:type="dxa"/>
            <w:vAlign w:val="center"/>
          </w:tcPr>
          <w:p w:rsidR="00CA3C1A" w:rsidRDefault="00EE4B4E">
            <w:pPr>
              <w:jc w:val="center"/>
            </w:pPr>
            <w:r>
              <w:rPr>
                <w:color w:val="000000"/>
                <w:sz w:val="24"/>
                <w:szCs w:val="24"/>
              </w:rPr>
              <w:t>5</w:t>
            </w:r>
          </w:p>
        </w:tc>
        <w:tc>
          <w:tcPr>
            <w:tcW w:w="1334" w:type="dxa"/>
            <w:vAlign w:val="center"/>
          </w:tcPr>
          <w:p w:rsidR="00CA3C1A" w:rsidRDefault="00EE4B4E">
            <w:pPr>
              <w:jc w:val="center"/>
            </w:pPr>
            <w:r>
              <w:rPr>
                <w:color w:val="000000"/>
                <w:sz w:val="24"/>
                <w:szCs w:val="24"/>
              </w:rPr>
              <w:t>600048</w:t>
            </w:r>
          </w:p>
        </w:tc>
        <w:tc>
          <w:tcPr>
            <w:tcW w:w="1777" w:type="dxa"/>
            <w:vAlign w:val="center"/>
          </w:tcPr>
          <w:p w:rsidR="00CA3C1A" w:rsidRDefault="00EE4B4E">
            <w:pPr>
              <w:jc w:val="center"/>
            </w:pPr>
            <w:r>
              <w:rPr>
                <w:color w:val="000000"/>
                <w:sz w:val="24"/>
                <w:szCs w:val="24"/>
              </w:rPr>
              <w:t>保利地产</w:t>
            </w:r>
          </w:p>
        </w:tc>
        <w:tc>
          <w:tcPr>
            <w:tcW w:w="1334" w:type="dxa"/>
            <w:vAlign w:val="center"/>
          </w:tcPr>
          <w:p w:rsidR="00CA3C1A" w:rsidRDefault="00EE4B4E">
            <w:pPr>
              <w:jc w:val="right"/>
            </w:pPr>
            <w:r>
              <w:rPr>
                <w:color w:val="000000"/>
                <w:sz w:val="24"/>
                <w:szCs w:val="24"/>
              </w:rPr>
              <w:t>9,085,578</w:t>
            </w:r>
          </w:p>
        </w:tc>
        <w:tc>
          <w:tcPr>
            <w:tcW w:w="1924" w:type="dxa"/>
            <w:vAlign w:val="center"/>
          </w:tcPr>
          <w:p w:rsidR="00CA3C1A" w:rsidRDefault="00EE4B4E">
            <w:pPr>
              <w:jc w:val="right"/>
            </w:pPr>
            <w:r>
              <w:rPr>
                <w:color w:val="000000"/>
                <w:sz w:val="24"/>
                <w:szCs w:val="24"/>
              </w:rPr>
              <w:t>110,844,051.60</w:t>
            </w:r>
          </w:p>
        </w:tc>
        <w:tc>
          <w:tcPr>
            <w:tcW w:w="1644" w:type="dxa"/>
            <w:vAlign w:val="center"/>
          </w:tcPr>
          <w:p w:rsidR="00CA3C1A" w:rsidRDefault="00EE4B4E">
            <w:pPr>
              <w:jc w:val="right"/>
            </w:pPr>
            <w:r>
              <w:rPr>
                <w:color w:val="000000"/>
                <w:sz w:val="24"/>
                <w:szCs w:val="24"/>
              </w:rPr>
              <w:t>4.80</w:t>
            </w:r>
          </w:p>
        </w:tc>
      </w:tr>
      <w:tr w:rsidR="00CA3C1A">
        <w:trPr>
          <w:jc w:val="center"/>
        </w:trPr>
        <w:tc>
          <w:tcPr>
            <w:tcW w:w="855" w:type="dxa"/>
            <w:vAlign w:val="center"/>
          </w:tcPr>
          <w:p w:rsidR="00CA3C1A" w:rsidRDefault="00EE4B4E">
            <w:pPr>
              <w:jc w:val="center"/>
            </w:pPr>
            <w:r>
              <w:rPr>
                <w:color w:val="000000"/>
                <w:sz w:val="24"/>
                <w:szCs w:val="24"/>
              </w:rPr>
              <w:t>6</w:t>
            </w:r>
          </w:p>
        </w:tc>
        <w:tc>
          <w:tcPr>
            <w:tcW w:w="1334" w:type="dxa"/>
            <w:vAlign w:val="center"/>
          </w:tcPr>
          <w:p w:rsidR="00CA3C1A" w:rsidRDefault="00EE4B4E">
            <w:pPr>
              <w:jc w:val="center"/>
            </w:pPr>
            <w:r>
              <w:rPr>
                <w:color w:val="000000"/>
                <w:sz w:val="24"/>
                <w:szCs w:val="24"/>
              </w:rPr>
              <w:t>002271</w:t>
            </w:r>
          </w:p>
        </w:tc>
        <w:tc>
          <w:tcPr>
            <w:tcW w:w="1777" w:type="dxa"/>
            <w:vAlign w:val="center"/>
          </w:tcPr>
          <w:p w:rsidR="00CA3C1A" w:rsidRDefault="00EE4B4E">
            <w:pPr>
              <w:jc w:val="center"/>
            </w:pPr>
            <w:r>
              <w:rPr>
                <w:color w:val="000000"/>
                <w:sz w:val="24"/>
                <w:szCs w:val="24"/>
              </w:rPr>
              <w:t>东方雨虹</w:t>
            </w:r>
          </w:p>
        </w:tc>
        <w:tc>
          <w:tcPr>
            <w:tcW w:w="1334" w:type="dxa"/>
            <w:vAlign w:val="center"/>
          </w:tcPr>
          <w:p w:rsidR="00CA3C1A" w:rsidRDefault="00EE4B4E">
            <w:pPr>
              <w:jc w:val="right"/>
            </w:pPr>
            <w:r>
              <w:rPr>
                <w:color w:val="000000"/>
                <w:sz w:val="24"/>
                <w:szCs w:val="24"/>
              </w:rPr>
              <w:t>5,492,848</w:t>
            </w:r>
          </w:p>
        </w:tc>
        <w:tc>
          <w:tcPr>
            <w:tcW w:w="1924" w:type="dxa"/>
            <w:vAlign w:val="center"/>
          </w:tcPr>
          <w:p w:rsidR="00CA3C1A" w:rsidRDefault="00EE4B4E">
            <w:pPr>
              <w:jc w:val="right"/>
            </w:pPr>
            <w:r>
              <w:rPr>
                <w:color w:val="000000"/>
                <w:sz w:val="24"/>
                <w:szCs w:val="24"/>
              </w:rPr>
              <w:t>93,433,344.48</w:t>
            </w:r>
          </w:p>
        </w:tc>
        <w:tc>
          <w:tcPr>
            <w:tcW w:w="1644" w:type="dxa"/>
            <w:vAlign w:val="center"/>
          </w:tcPr>
          <w:p w:rsidR="00CA3C1A" w:rsidRDefault="00EE4B4E">
            <w:pPr>
              <w:jc w:val="right"/>
            </w:pPr>
            <w:r>
              <w:rPr>
                <w:color w:val="000000"/>
                <w:sz w:val="24"/>
                <w:szCs w:val="24"/>
              </w:rPr>
              <w:t>4.05</w:t>
            </w:r>
          </w:p>
        </w:tc>
      </w:tr>
      <w:tr w:rsidR="00CA3C1A">
        <w:trPr>
          <w:jc w:val="center"/>
        </w:trPr>
        <w:tc>
          <w:tcPr>
            <w:tcW w:w="855" w:type="dxa"/>
            <w:vAlign w:val="center"/>
          </w:tcPr>
          <w:p w:rsidR="00CA3C1A" w:rsidRDefault="00EE4B4E">
            <w:pPr>
              <w:jc w:val="center"/>
            </w:pPr>
            <w:r>
              <w:rPr>
                <w:color w:val="000000"/>
                <w:sz w:val="24"/>
                <w:szCs w:val="24"/>
              </w:rPr>
              <w:t>7</w:t>
            </w:r>
          </w:p>
        </w:tc>
        <w:tc>
          <w:tcPr>
            <w:tcW w:w="1334" w:type="dxa"/>
            <w:vAlign w:val="center"/>
          </w:tcPr>
          <w:p w:rsidR="00CA3C1A" w:rsidRDefault="00EE4B4E">
            <w:pPr>
              <w:jc w:val="center"/>
            </w:pPr>
            <w:r>
              <w:rPr>
                <w:color w:val="000000"/>
                <w:sz w:val="24"/>
                <w:szCs w:val="24"/>
              </w:rPr>
              <w:t>300433</w:t>
            </w:r>
          </w:p>
        </w:tc>
        <w:tc>
          <w:tcPr>
            <w:tcW w:w="1777" w:type="dxa"/>
            <w:vAlign w:val="center"/>
          </w:tcPr>
          <w:p w:rsidR="00CA3C1A" w:rsidRDefault="00EE4B4E">
            <w:pPr>
              <w:jc w:val="center"/>
            </w:pPr>
            <w:r>
              <w:rPr>
                <w:color w:val="000000"/>
                <w:sz w:val="24"/>
                <w:szCs w:val="24"/>
              </w:rPr>
              <w:t>蓝思科技</w:t>
            </w:r>
          </w:p>
        </w:tc>
        <w:tc>
          <w:tcPr>
            <w:tcW w:w="1334" w:type="dxa"/>
            <w:vAlign w:val="center"/>
          </w:tcPr>
          <w:p w:rsidR="00CA3C1A" w:rsidRDefault="00EE4B4E">
            <w:pPr>
              <w:jc w:val="right"/>
            </w:pPr>
            <w:r>
              <w:rPr>
                <w:color w:val="000000"/>
                <w:sz w:val="24"/>
                <w:szCs w:val="24"/>
              </w:rPr>
              <w:t>4,141,480</w:t>
            </w:r>
          </w:p>
        </w:tc>
        <w:tc>
          <w:tcPr>
            <w:tcW w:w="1924" w:type="dxa"/>
            <w:vAlign w:val="center"/>
          </w:tcPr>
          <w:p w:rsidR="00CA3C1A" w:rsidRDefault="00EE4B4E">
            <w:pPr>
              <w:jc w:val="right"/>
            </w:pPr>
            <w:r>
              <w:rPr>
                <w:color w:val="000000"/>
                <w:sz w:val="24"/>
                <w:szCs w:val="24"/>
              </w:rPr>
              <w:t>86,888,250.40</w:t>
            </w:r>
          </w:p>
        </w:tc>
        <w:tc>
          <w:tcPr>
            <w:tcW w:w="1644" w:type="dxa"/>
            <w:vAlign w:val="center"/>
          </w:tcPr>
          <w:p w:rsidR="00CA3C1A" w:rsidRDefault="00EE4B4E">
            <w:pPr>
              <w:jc w:val="right"/>
            </w:pPr>
            <w:r>
              <w:rPr>
                <w:color w:val="000000"/>
                <w:sz w:val="24"/>
                <w:szCs w:val="24"/>
              </w:rPr>
              <w:t>3.76</w:t>
            </w:r>
          </w:p>
        </w:tc>
      </w:tr>
      <w:tr w:rsidR="00CA3C1A">
        <w:trPr>
          <w:jc w:val="center"/>
        </w:trPr>
        <w:tc>
          <w:tcPr>
            <w:tcW w:w="855" w:type="dxa"/>
            <w:vAlign w:val="center"/>
          </w:tcPr>
          <w:p w:rsidR="00CA3C1A" w:rsidRDefault="00EE4B4E">
            <w:pPr>
              <w:jc w:val="center"/>
            </w:pPr>
            <w:r>
              <w:rPr>
                <w:color w:val="000000"/>
                <w:sz w:val="24"/>
                <w:szCs w:val="24"/>
              </w:rPr>
              <w:t>8</w:t>
            </w:r>
          </w:p>
        </w:tc>
        <w:tc>
          <w:tcPr>
            <w:tcW w:w="1334" w:type="dxa"/>
            <w:vAlign w:val="center"/>
          </w:tcPr>
          <w:p w:rsidR="00CA3C1A" w:rsidRDefault="00EE4B4E">
            <w:pPr>
              <w:jc w:val="center"/>
            </w:pPr>
            <w:r>
              <w:rPr>
                <w:color w:val="000000"/>
                <w:sz w:val="24"/>
                <w:szCs w:val="24"/>
              </w:rPr>
              <w:t>600029</w:t>
            </w:r>
          </w:p>
        </w:tc>
        <w:tc>
          <w:tcPr>
            <w:tcW w:w="1777" w:type="dxa"/>
            <w:vAlign w:val="center"/>
          </w:tcPr>
          <w:p w:rsidR="00CA3C1A" w:rsidRDefault="00EE4B4E">
            <w:pPr>
              <w:jc w:val="center"/>
            </w:pPr>
            <w:r>
              <w:rPr>
                <w:color w:val="000000"/>
                <w:sz w:val="24"/>
                <w:szCs w:val="24"/>
              </w:rPr>
              <w:t>南方航空</w:t>
            </w:r>
          </w:p>
        </w:tc>
        <w:tc>
          <w:tcPr>
            <w:tcW w:w="1334" w:type="dxa"/>
            <w:vAlign w:val="center"/>
          </w:tcPr>
          <w:p w:rsidR="00CA3C1A" w:rsidRDefault="00EE4B4E">
            <w:pPr>
              <w:jc w:val="right"/>
            </w:pPr>
            <w:r>
              <w:rPr>
                <w:color w:val="000000"/>
                <w:sz w:val="24"/>
                <w:szCs w:val="24"/>
              </w:rPr>
              <w:t>9,976,466</w:t>
            </w:r>
          </w:p>
        </w:tc>
        <w:tc>
          <w:tcPr>
            <w:tcW w:w="1924" w:type="dxa"/>
            <w:vAlign w:val="center"/>
          </w:tcPr>
          <w:p w:rsidR="00CA3C1A" w:rsidRDefault="00EE4B4E">
            <w:pPr>
              <w:jc w:val="right"/>
            </w:pPr>
            <w:r>
              <w:rPr>
                <w:color w:val="000000"/>
                <w:sz w:val="24"/>
                <w:szCs w:val="24"/>
              </w:rPr>
              <w:t>84,301,137.70</w:t>
            </w:r>
          </w:p>
        </w:tc>
        <w:tc>
          <w:tcPr>
            <w:tcW w:w="1644" w:type="dxa"/>
            <w:vAlign w:val="center"/>
          </w:tcPr>
          <w:p w:rsidR="00CA3C1A" w:rsidRDefault="00EE4B4E">
            <w:pPr>
              <w:jc w:val="right"/>
            </w:pPr>
            <w:r>
              <w:rPr>
                <w:color w:val="000000"/>
                <w:sz w:val="24"/>
                <w:szCs w:val="24"/>
              </w:rPr>
              <w:t>3.65</w:t>
            </w:r>
          </w:p>
        </w:tc>
      </w:tr>
      <w:tr w:rsidR="00CA3C1A">
        <w:trPr>
          <w:jc w:val="center"/>
        </w:trPr>
        <w:tc>
          <w:tcPr>
            <w:tcW w:w="855" w:type="dxa"/>
            <w:vAlign w:val="center"/>
          </w:tcPr>
          <w:p w:rsidR="00CA3C1A" w:rsidRDefault="00EE4B4E">
            <w:pPr>
              <w:jc w:val="center"/>
            </w:pPr>
            <w:r>
              <w:rPr>
                <w:color w:val="000000"/>
                <w:sz w:val="24"/>
                <w:szCs w:val="24"/>
              </w:rPr>
              <w:t>9</w:t>
            </w:r>
          </w:p>
        </w:tc>
        <w:tc>
          <w:tcPr>
            <w:tcW w:w="1334" w:type="dxa"/>
            <w:vAlign w:val="center"/>
          </w:tcPr>
          <w:p w:rsidR="00CA3C1A" w:rsidRDefault="00EE4B4E">
            <w:pPr>
              <w:jc w:val="center"/>
            </w:pPr>
            <w:r>
              <w:rPr>
                <w:color w:val="000000"/>
                <w:sz w:val="24"/>
                <w:szCs w:val="24"/>
              </w:rPr>
              <w:t>601877</w:t>
            </w:r>
          </w:p>
        </w:tc>
        <w:tc>
          <w:tcPr>
            <w:tcW w:w="1777" w:type="dxa"/>
            <w:vAlign w:val="center"/>
          </w:tcPr>
          <w:p w:rsidR="00CA3C1A" w:rsidRDefault="00EE4B4E">
            <w:pPr>
              <w:jc w:val="center"/>
            </w:pPr>
            <w:r>
              <w:rPr>
                <w:color w:val="000000"/>
                <w:sz w:val="24"/>
                <w:szCs w:val="24"/>
              </w:rPr>
              <w:t>正泰电器</w:t>
            </w:r>
          </w:p>
        </w:tc>
        <w:tc>
          <w:tcPr>
            <w:tcW w:w="1334" w:type="dxa"/>
            <w:vAlign w:val="center"/>
          </w:tcPr>
          <w:p w:rsidR="00CA3C1A" w:rsidRDefault="00EE4B4E">
            <w:pPr>
              <w:jc w:val="right"/>
            </w:pPr>
            <w:r>
              <w:rPr>
                <w:color w:val="000000"/>
                <w:sz w:val="24"/>
                <w:szCs w:val="24"/>
              </w:rPr>
              <w:t>3,767,397</w:t>
            </w:r>
          </w:p>
        </w:tc>
        <w:tc>
          <w:tcPr>
            <w:tcW w:w="1924" w:type="dxa"/>
            <w:vAlign w:val="center"/>
          </w:tcPr>
          <w:p w:rsidR="00CA3C1A" w:rsidRDefault="00EE4B4E">
            <w:pPr>
              <w:jc w:val="right"/>
            </w:pPr>
            <w:r>
              <w:rPr>
                <w:color w:val="000000"/>
                <w:sz w:val="24"/>
                <w:szCs w:val="24"/>
              </w:rPr>
              <w:t>84,088,301.04</w:t>
            </w:r>
          </w:p>
        </w:tc>
        <w:tc>
          <w:tcPr>
            <w:tcW w:w="1644" w:type="dxa"/>
            <w:vAlign w:val="center"/>
          </w:tcPr>
          <w:p w:rsidR="00CA3C1A" w:rsidRDefault="00EE4B4E">
            <w:pPr>
              <w:jc w:val="right"/>
            </w:pPr>
            <w:r>
              <w:rPr>
                <w:color w:val="000000"/>
                <w:sz w:val="24"/>
                <w:szCs w:val="24"/>
              </w:rPr>
              <w:t>3.64</w:t>
            </w:r>
          </w:p>
        </w:tc>
      </w:tr>
      <w:tr w:rsidR="00CA3C1A">
        <w:trPr>
          <w:jc w:val="center"/>
        </w:trPr>
        <w:tc>
          <w:tcPr>
            <w:tcW w:w="855" w:type="dxa"/>
            <w:vAlign w:val="center"/>
          </w:tcPr>
          <w:p w:rsidR="00CA3C1A" w:rsidRDefault="00EE4B4E">
            <w:pPr>
              <w:jc w:val="center"/>
            </w:pPr>
            <w:r>
              <w:rPr>
                <w:color w:val="000000"/>
                <w:sz w:val="24"/>
                <w:szCs w:val="24"/>
              </w:rPr>
              <w:t>10</w:t>
            </w:r>
          </w:p>
        </w:tc>
        <w:tc>
          <w:tcPr>
            <w:tcW w:w="1334" w:type="dxa"/>
            <w:vAlign w:val="center"/>
          </w:tcPr>
          <w:p w:rsidR="00CA3C1A" w:rsidRDefault="00EE4B4E">
            <w:pPr>
              <w:jc w:val="center"/>
            </w:pPr>
            <w:r>
              <w:rPr>
                <w:color w:val="000000"/>
                <w:sz w:val="24"/>
                <w:szCs w:val="24"/>
              </w:rPr>
              <w:t>600690</w:t>
            </w:r>
          </w:p>
        </w:tc>
        <w:tc>
          <w:tcPr>
            <w:tcW w:w="1777" w:type="dxa"/>
            <w:vAlign w:val="center"/>
          </w:tcPr>
          <w:p w:rsidR="00CA3C1A" w:rsidRDefault="00EE4B4E">
            <w:pPr>
              <w:jc w:val="center"/>
            </w:pPr>
            <w:r>
              <w:rPr>
                <w:color w:val="000000"/>
                <w:sz w:val="24"/>
                <w:szCs w:val="24"/>
              </w:rPr>
              <w:t>青岛海尔</w:t>
            </w:r>
          </w:p>
        </w:tc>
        <w:tc>
          <w:tcPr>
            <w:tcW w:w="1334" w:type="dxa"/>
            <w:vAlign w:val="center"/>
          </w:tcPr>
          <w:p w:rsidR="00CA3C1A" w:rsidRDefault="00EE4B4E">
            <w:pPr>
              <w:jc w:val="right"/>
            </w:pPr>
            <w:r>
              <w:rPr>
                <w:color w:val="000000"/>
                <w:sz w:val="24"/>
                <w:szCs w:val="24"/>
              </w:rPr>
              <w:t>3,864,511</w:t>
            </w:r>
          </w:p>
        </w:tc>
        <w:tc>
          <w:tcPr>
            <w:tcW w:w="1924" w:type="dxa"/>
            <w:vAlign w:val="center"/>
          </w:tcPr>
          <w:p w:rsidR="00CA3C1A" w:rsidRDefault="00EE4B4E">
            <w:pPr>
              <w:jc w:val="right"/>
            </w:pPr>
            <w:r>
              <w:rPr>
                <w:color w:val="000000"/>
                <w:sz w:val="24"/>
                <w:szCs w:val="24"/>
              </w:rPr>
              <w:t>74,430,481.86</w:t>
            </w:r>
          </w:p>
        </w:tc>
        <w:tc>
          <w:tcPr>
            <w:tcW w:w="1644" w:type="dxa"/>
            <w:vAlign w:val="center"/>
          </w:tcPr>
          <w:p w:rsidR="00CA3C1A" w:rsidRDefault="00EE4B4E">
            <w:pPr>
              <w:jc w:val="right"/>
            </w:pPr>
            <w:r>
              <w:rPr>
                <w:color w:val="000000"/>
                <w:sz w:val="24"/>
                <w:szCs w:val="24"/>
              </w:rPr>
              <w:t>3.22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100,000,000.00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A3C1A">
        <w:trPr>
          <w:jc w:val="center"/>
        </w:trPr>
        <w:tc>
          <w:tcPr>
            <w:tcW w:w="850" w:type="dxa"/>
            <w:vAlign w:val="center"/>
          </w:tcPr>
          <w:p w:rsidR="00CA3C1A" w:rsidRDefault="00EE4B4E">
            <w:pPr>
              <w:jc w:val="center"/>
            </w:pPr>
            <w:r>
              <w:rPr>
                <w:color w:val="000000"/>
                <w:sz w:val="24"/>
                <w:szCs w:val="24"/>
              </w:rPr>
              <w:t>1</w:t>
            </w:r>
          </w:p>
        </w:tc>
        <w:tc>
          <w:tcPr>
            <w:tcW w:w="1475" w:type="dxa"/>
            <w:vAlign w:val="center"/>
          </w:tcPr>
          <w:p w:rsidR="00CA3C1A" w:rsidRDefault="00EE4B4E">
            <w:pPr>
              <w:jc w:val="center"/>
            </w:pPr>
            <w:r>
              <w:rPr>
                <w:color w:val="000000"/>
                <w:sz w:val="24"/>
                <w:szCs w:val="24"/>
              </w:rPr>
              <w:t>170207</w:t>
            </w:r>
          </w:p>
        </w:tc>
        <w:tc>
          <w:tcPr>
            <w:tcW w:w="1769" w:type="dxa"/>
            <w:vAlign w:val="center"/>
          </w:tcPr>
          <w:p w:rsidR="00CA3C1A" w:rsidRDefault="00EE4B4E">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CA3C1A" w:rsidRDefault="00EE4B4E">
            <w:pPr>
              <w:jc w:val="right"/>
            </w:pPr>
            <w:r>
              <w:rPr>
                <w:color w:val="000000"/>
                <w:sz w:val="24"/>
                <w:szCs w:val="24"/>
              </w:rPr>
              <w:t>1,000,000</w:t>
            </w:r>
          </w:p>
        </w:tc>
        <w:tc>
          <w:tcPr>
            <w:tcW w:w="2150" w:type="dxa"/>
            <w:vAlign w:val="center"/>
          </w:tcPr>
          <w:p w:rsidR="00CA3C1A" w:rsidRDefault="00EE4B4E">
            <w:pPr>
              <w:jc w:val="right"/>
            </w:pPr>
            <w:r>
              <w:rPr>
                <w:color w:val="000000"/>
                <w:sz w:val="24"/>
                <w:szCs w:val="24"/>
              </w:rPr>
              <w:t>100,000,000.00</w:t>
            </w:r>
          </w:p>
        </w:tc>
        <w:tc>
          <w:tcPr>
            <w:tcW w:w="1237" w:type="dxa"/>
            <w:vAlign w:val="center"/>
          </w:tcPr>
          <w:p w:rsidR="00CA3C1A" w:rsidRDefault="00EE4B4E">
            <w:pPr>
              <w:jc w:val="right"/>
            </w:pPr>
            <w:r>
              <w:rPr>
                <w:color w:val="000000"/>
                <w:sz w:val="24"/>
                <w:szCs w:val="24"/>
              </w:rPr>
              <w:t>4.33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2,883,109.12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3,467,314.24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3,294,537.95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9,644,961.31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977535" w:rsidP="00C15CAC">
      <w:pPr>
        <w:spacing w:before="29" w:line="288" w:lineRule="auto"/>
        <w:ind w:firstLineChars="200" w:firstLine="480"/>
        <w:rPr>
          <w:color w:val="000000"/>
          <w:sz w:val="24"/>
          <w:szCs w:val="24"/>
        </w:rPr>
      </w:pPr>
      <w:r>
        <w:rPr>
          <w:rFonts w:hint="eastAsia"/>
          <w:color w:val="000000"/>
          <w:sz w:val="24"/>
          <w:szCs w:val="24"/>
        </w:rPr>
        <w:t>无</w:t>
      </w:r>
      <w:r>
        <w:rPr>
          <w:color w:val="000000"/>
          <w:sz w:val="24"/>
          <w:szCs w:val="24"/>
        </w:rPr>
        <w:t>。</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1,432,017,314.15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796,348,908.12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974,500,636.84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1,253,865,585.43</w:t>
            </w:r>
          </w:p>
        </w:tc>
      </w:tr>
    </w:tbl>
    <w:p w:rsidR="00CA3C1A" w:rsidRDefault="00EE4B4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A3C1A" w:rsidRDefault="00EE4B4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、中国证监会核准交银施罗德先进制造股票证券投资基金募集的文件；</w:t>
      </w:r>
    </w:p>
    <w:p w:rsidR="00CA3C1A" w:rsidRDefault="00EE4B4E">
      <w:pPr>
        <w:spacing w:before="29" w:line="288" w:lineRule="auto"/>
        <w:ind w:firstLineChars="200" w:firstLine="480"/>
        <w:rPr>
          <w:color w:val="000000"/>
          <w:sz w:val="24"/>
          <w:szCs w:val="24"/>
        </w:rPr>
      </w:pPr>
      <w:r>
        <w:rPr>
          <w:color w:val="000000"/>
          <w:sz w:val="24"/>
          <w:szCs w:val="24"/>
        </w:rPr>
        <w:t>2</w:t>
      </w:r>
      <w:r>
        <w:rPr>
          <w:color w:val="000000"/>
          <w:sz w:val="24"/>
          <w:szCs w:val="24"/>
        </w:rPr>
        <w:t>、中国证监会准予交银施罗德先进制造混合型证券投资基金变更注册的文件；</w:t>
      </w:r>
    </w:p>
    <w:p w:rsidR="00CA3C1A" w:rsidRDefault="00EE4B4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、《交银施罗德先进制造混合型证券投资基金基金合同》；</w:t>
      </w:r>
      <w:r>
        <w:rPr>
          <w:color w:val="000000"/>
          <w:sz w:val="24"/>
          <w:szCs w:val="24"/>
        </w:rPr>
        <w:t xml:space="preserve"> </w:t>
      </w:r>
    </w:p>
    <w:p w:rsidR="00CA3C1A" w:rsidRDefault="00EE4B4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、《交银施罗德先进制造混合型证券投资基金招募说明书》；</w:t>
      </w:r>
    </w:p>
    <w:p w:rsidR="00CA3C1A" w:rsidRDefault="00EE4B4E">
      <w:pPr>
        <w:spacing w:before="29" w:line="288" w:lineRule="auto"/>
        <w:ind w:firstLineChars="200" w:firstLine="480"/>
        <w:rPr>
          <w:color w:val="000000"/>
          <w:sz w:val="24"/>
          <w:szCs w:val="24"/>
        </w:rPr>
      </w:pPr>
      <w:r>
        <w:rPr>
          <w:color w:val="000000"/>
          <w:sz w:val="24"/>
          <w:szCs w:val="24"/>
        </w:rPr>
        <w:t>5</w:t>
      </w:r>
      <w:r>
        <w:rPr>
          <w:color w:val="000000"/>
          <w:sz w:val="24"/>
          <w:szCs w:val="24"/>
        </w:rPr>
        <w:t>、《交银施罗德先进制造混合型证券投资基金托管协议》；</w:t>
      </w:r>
      <w:r>
        <w:rPr>
          <w:color w:val="000000"/>
          <w:sz w:val="24"/>
          <w:szCs w:val="24"/>
        </w:rPr>
        <w:t xml:space="preserve"> </w:t>
      </w:r>
    </w:p>
    <w:p w:rsidR="00CA3C1A" w:rsidRDefault="00EE4B4E">
      <w:pPr>
        <w:spacing w:before="29" w:line="288" w:lineRule="auto"/>
        <w:ind w:firstLineChars="200" w:firstLine="480"/>
        <w:rPr>
          <w:color w:val="000000"/>
          <w:sz w:val="24"/>
          <w:szCs w:val="24"/>
        </w:rPr>
      </w:pPr>
      <w:r>
        <w:rPr>
          <w:color w:val="000000"/>
          <w:sz w:val="24"/>
          <w:szCs w:val="24"/>
        </w:rPr>
        <w:t>6</w:t>
      </w:r>
      <w:r>
        <w:rPr>
          <w:color w:val="000000"/>
          <w:sz w:val="24"/>
          <w:szCs w:val="24"/>
        </w:rPr>
        <w:t>、关于申请募集交银施罗德先进制造股票证券投资基金之法律意见书；</w:t>
      </w:r>
    </w:p>
    <w:p w:rsidR="00CA3C1A" w:rsidRDefault="00EE4B4E">
      <w:pPr>
        <w:spacing w:before="29" w:line="288" w:lineRule="auto"/>
        <w:ind w:firstLineChars="200" w:firstLine="480"/>
        <w:rPr>
          <w:color w:val="000000"/>
          <w:sz w:val="24"/>
          <w:szCs w:val="24"/>
        </w:rPr>
      </w:pPr>
      <w:r>
        <w:rPr>
          <w:color w:val="000000"/>
          <w:sz w:val="24"/>
          <w:szCs w:val="24"/>
        </w:rPr>
        <w:t>7</w:t>
      </w:r>
      <w:r>
        <w:rPr>
          <w:color w:val="000000"/>
          <w:sz w:val="24"/>
          <w:szCs w:val="24"/>
        </w:rPr>
        <w:t>、关于申请变更注册交银施罗德先进制造混合型证券投资基金的法律意见书；</w:t>
      </w:r>
    </w:p>
    <w:p w:rsidR="00CA3C1A" w:rsidRDefault="00EE4B4E">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CA3C1A" w:rsidRDefault="00EE4B4E">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r>
        <w:rPr>
          <w:color w:val="000000"/>
          <w:sz w:val="24"/>
          <w:szCs w:val="24"/>
        </w:rPr>
        <w:t xml:space="preserve"> </w:t>
      </w:r>
      <w:r>
        <w:rPr>
          <w:color w:val="000000"/>
          <w:sz w:val="24"/>
          <w:szCs w:val="24"/>
        </w:rPr>
        <w:t>；</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10</w:t>
      </w:r>
      <w:r w:rsidRPr="00414345">
        <w:rPr>
          <w:color w:val="000000"/>
          <w:sz w:val="24"/>
          <w:szCs w:val="24"/>
        </w:rPr>
        <w:t>、报告期内交银施罗德先进制造混合型证券投资基金在指定报刊上各项公告的原稿。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A3C1A" w:rsidRDefault="00EE4B4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00977535">
        <w:rPr>
          <w:rFonts w:hint="eastAsia"/>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F68" w:rsidRDefault="00B26F68" w:rsidP="00876D65">
      <w:r>
        <w:separator/>
      </w:r>
    </w:p>
  </w:endnote>
  <w:endnote w:type="continuationSeparator" w:id="0">
    <w:p w:rsidR="00B26F68" w:rsidRDefault="00B26F6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5D4FBB">
      <w:rPr>
        <w:noProof/>
        <w:kern w:val="0"/>
        <w:szCs w:val="21"/>
      </w:rPr>
      <w:t>8</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5D4FBB">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F68" w:rsidRDefault="00B26F68" w:rsidP="00876D65">
      <w:r>
        <w:separator/>
      </w:r>
    </w:p>
  </w:footnote>
  <w:footnote w:type="continuationSeparator" w:id="0">
    <w:p w:rsidR="00B26F68" w:rsidRDefault="00B26F6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交银施罗德先进制造混合型证券投资基金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2813"/>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3DEB"/>
    <w:rsid w:val="003470E2"/>
    <w:rsid w:val="0035076C"/>
    <w:rsid w:val="00352719"/>
    <w:rsid w:val="0035383E"/>
    <w:rsid w:val="00355364"/>
    <w:rsid w:val="00364CCB"/>
    <w:rsid w:val="00365798"/>
    <w:rsid w:val="0039085F"/>
    <w:rsid w:val="00394069"/>
    <w:rsid w:val="00396809"/>
    <w:rsid w:val="003A368A"/>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4E95"/>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D4FBB"/>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77535"/>
    <w:rsid w:val="0098122D"/>
    <w:rsid w:val="00986596"/>
    <w:rsid w:val="00990685"/>
    <w:rsid w:val="009A0ABE"/>
    <w:rsid w:val="009A4E5D"/>
    <w:rsid w:val="009B2D4B"/>
    <w:rsid w:val="009C296A"/>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6F68"/>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3C1A"/>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E4B4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977535"/>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B62E2-EA5E-4073-939A-E218B9FD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1814</TotalTime>
  <Pages>12</Pages>
  <Words>1134</Words>
  <Characters>6469</Characters>
  <Application>Microsoft Office Word</Application>
  <DocSecurity>0</DocSecurity>
  <Lines>53</Lines>
  <Paragraphs>15</Paragraphs>
  <ScaleCrop>false</ScaleCrop>
  <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583</cp:revision>
  <dcterms:created xsi:type="dcterms:W3CDTF">2012-10-16T06:07:00Z</dcterms:created>
  <dcterms:modified xsi:type="dcterms:W3CDTF">2018-07-17T03:19:00Z</dcterms:modified>
</cp:coreProperties>
</file>