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交银施罗德趋势优先混合型证券投资基金</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基金托管人：中国工商银行股份有限公司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default" r:id="rId8"/>
          <w:footerReference w:type="default" r:id="rId9"/>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二〇一八年七月十八日</w:t>
      </w:r>
    </w:p>
    <w:p w:rsidR="004061AC" w:rsidRPr="00414345" w:rsidRDefault="004061AC" w:rsidP="007B5F21">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BB41A0" w:rsidRDefault="00313F34">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BB41A0" w:rsidRDefault="00313F34">
      <w:pPr>
        <w:spacing w:before="29" w:line="288" w:lineRule="auto"/>
        <w:ind w:firstLineChars="200" w:firstLine="480"/>
        <w:rPr>
          <w:color w:val="000000"/>
          <w:sz w:val="24"/>
          <w:szCs w:val="24"/>
        </w:rPr>
      </w:pPr>
      <w:r>
        <w:rPr>
          <w:color w:val="000000"/>
          <w:sz w:val="24"/>
          <w:szCs w:val="24"/>
        </w:rPr>
        <w:t>基金托管人中国工商银行股份有限公司根据本基金合同规定，于</w:t>
      </w:r>
      <w:r>
        <w:rPr>
          <w:color w:val="000000"/>
          <w:sz w:val="24"/>
          <w:szCs w:val="24"/>
        </w:rPr>
        <w:t>2018</w:t>
      </w:r>
      <w:r>
        <w:rPr>
          <w:color w:val="000000"/>
          <w:sz w:val="24"/>
          <w:szCs w:val="24"/>
        </w:rPr>
        <w:t>年</w:t>
      </w:r>
      <w:r>
        <w:rPr>
          <w:color w:val="000000"/>
          <w:sz w:val="24"/>
          <w:szCs w:val="24"/>
        </w:rPr>
        <w:t>7</w:t>
      </w:r>
      <w:r>
        <w:rPr>
          <w:color w:val="000000"/>
          <w:sz w:val="24"/>
          <w:szCs w:val="24"/>
        </w:rPr>
        <w:t>月</w:t>
      </w:r>
      <w:r>
        <w:rPr>
          <w:color w:val="000000"/>
          <w:sz w:val="24"/>
          <w:szCs w:val="24"/>
        </w:rPr>
        <w:t>17</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BB41A0" w:rsidRDefault="00313F34">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BB41A0" w:rsidRDefault="00313F34">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BB41A0" w:rsidRDefault="00313F34">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2018</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交银趋势混合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519702</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519702</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519703</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2010</w:t>
            </w:r>
            <w:r w:rsidRPr="00414345">
              <w:rPr>
                <w:color w:val="000000"/>
                <w:kern w:val="0"/>
                <w:sz w:val="24"/>
                <w:szCs w:val="24"/>
              </w:rPr>
              <w:t>年</w:t>
            </w:r>
            <w:r w:rsidRPr="00414345">
              <w:rPr>
                <w:color w:val="000000"/>
                <w:kern w:val="0"/>
                <w:sz w:val="24"/>
                <w:szCs w:val="24"/>
              </w:rPr>
              <w:t>12</w:t>
            </w:r>
            <w:r w:rsidRPr="00414345">
              <w:rPr>
                <w:color w:val="000000"/>
                <w:kern w:val="0"/>
                <w:sz w:val="24"/>
                <w:szCs w:val="24"/>
              </w:rPr>
              <w:t>月</w:t>
            </w:r>
            <w:r w:rsidRPr="00414345">
              <w:rPr>
                <w:color w:val="000000"/>
                <w:kern w:val="0"/>
                <w:sz w:val="24"/>
                <w:szCs w:val="24"/>
              </w:rPr>
              <w:t>22</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258,807,568.12</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本基金力图通过把握中国人口变化的重大趋势，精选受益其中的优势行业和个股，在控制风险并保持基金资产良好的流动性的前提下，力争实现基金资产的长期稳定增值。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未来人口趋势的重大转变对国民消费倾向、国家收入分配政策、产业升级和区域发展方向等战略决策的重要影响以及其中所蕴涵的行业投资机会的基础上，挖掘受益其中的优势行业，精选个股，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+25%×</w:t>
            </w:r>
            <w:r w:rsidRPr="00414345">
              <w:rPr>
                <w:color w:val="000000"/>
                <w:kern w:val="0"/>
                <w:sz w:val="24"/>
                <w:szCs w:val="24"/>
              </w:rPr>
              <w:t>中证综合债券指数收</w:t>
            </w:r>
            <w:r w:rsidRPr="00414345">
              <w:rPr>
                <w:color w:val="000000"/>
                <w:kern w:val="0"/>
                <w:sz w:val="24"/>
                <w:szCs w:val="24"/>
              </w:rPr>
              <w:lastRenderedPageBreak/>
              <w:t>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中国工商银行股份有限公司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0E688B" w:rsidRPr="00414345" w:rsidTr="000E688B">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-2018</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0E688B" w:rsidRPr="00414345" w:rsidTr="000E688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6,454,923.74</w:t>
            </w:r>
          </w:p>
        </w:tc>
      </w:tr>
      <w:tr w:rsidR="000E688B" w:rsidRPr="00414345" w:rsidTr="000E688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6,410,647.20</w:t>
            </w:r>
          </w:p>
        </w:tc>
      </w:tr>
      <w:tr w:rsidR="000E688B" w:rsidRPr="00414345" w:rsidTr="000E688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0.0249</w:t>
            </w:r>
          </w:p>
        </w:tc>
      </w:tr>
      <w:tr w:rsidR="000E688B" w:rsidRPr="00414345" w:rsidTr="000E688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357,386,587.34</w:t>
            </w:r>
          </w:p>
        </w:tc>
      </w:tr>
      <w:tr w:rsidR="000E688B" w:rsidRPr="00414345" w:rsidTr="000E688B">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1.381</w:t>
            </w:r>
          </w:p>
        </w:tc>
      </w:tr>
    </w:tbl>
    <w:p w:rsidR="00BB41A0" w:rsidRDefault="00313F34">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BB41A0">
        <w:trPr>
          <w:jc w:val="center"/>
        </w:trPr>
        <w:tc>
          <w:tcPr>
            <w:tcW w:w="1701" w:type="dxa"/>
            <w:vAlign w:val="center"/>
          </w:tcPr>
          <w:p w:rsidR="00BB41A0" w:rsidRDefault="00313F34">
            <w:pPr>
              <w:jc w:val="left"/>
            </w:pPr>
            <w:r>
              <w:rPr>
                <w:color w:val="000000"/>
                <w:sz w:val="24"/>
                <w:szCs w:val="24"/>
              </w:rPr>
              <w:t>过去三个月</w:t>
            </w:r>
          </w:p>
        </w:tc>
        <w:tc>
          <w:tcPr>
            <w:tcW w:w="1045" w:type="dxa"/>
            <w:vAlign w:val="center"/>
          </w:tcPr>
          <w:p w:rsidR="00BB41A0" w:rsidRDefault="00313F34">
            <w:pPr>
              <w:jc w:val="center"/>
            </w:pPr>
            <w:r>
              <w:rPr>
                <w:color w:val="000000"/>
                <w:sz w:val="24"/>
                <w:szCs w:val="24"/>
              </w:rPr>
              <w:t>1.92%</w:t>
            </w:r>
          </w:p>
        </w:tc>
        <w:tc>
          <w:tcPr>
            <w:tcW w:w="1344" w:type="dxa"/>
            <w:vAlign w:val="center"/>
          </w:tcPr>
          <w:p w:rsidR="00BB41A0" w:rsidRDefault="00313F34">
            <w:pPr>
              <w:jc w:val="center"/>
            </w:pPr>
            <w:r>
              <w:rPr>
                <w:color w:val="000000"/>
                <w:sz w:val="24"/>
                <w:szCs w:val="24"/>
              </w:rPr>
              <w:t>1.52%</w:t>
            </w:r>
          </w:p>
        </w:tc>
        <w:tc>
          <w:tcPr>
            <w:tcW w:w="1194" w:type="dxa"/>
            <w:vAlign w:val="center"/>
          </w:tcPr>
          <w:p w:rsidR="00BB41A0" w:rsidRDefault="00313F34">
            <w:pPr>
              <w:jc w:val="center"/>
            </w:pPr>
            <w:r>
              <w:rPr>
                <w:color w:val="000000"/>
                <w:sz w:val="24"/>
                <w:szCs w:val="24"/>
              </w:rPr>
              <w:t>-7.03%</w:t>
            </w:r>
          </w:p>
        </w:tc>
        <w:tc>
          <w:tcPr>
            <w:tcW w:w="1492" w:type="dxa"/>
            <w:vAlign w:val="center"/>
          </w:tcPr>
          <w:p w:rsidR="00BB41A0" w:rsidRDefault="00313F34">
            <w:pPr>
              <w:jc w:val="center"/>
            </w:pPr>
            <w:r>
              <w:rPr>
                <w:color w:val="000000"/>
                <w:sz w:val="24"/>
                <w:szCs w:val="24"/>
              </w:rPr>
              <w:t>0.85%</w:t>
            </w:r>
          </w:p>
        </w:tc>
        <w:tc>
          <w:tcPr>
            <w:tcW w:w="1194" w:type="dxa"/>
            <w:vAlign w:val="center"/>
          </w:tcPr>
          <w:p w:rsidR="00BB41A0" w:rsidRDefault="00313F34">
            <w:pPr>
              <w:jc w:val="center"/>
            </w:pPr>
            <w:r>
              <w:rPr>
                <w:color w:val="000000"/>
                <w:sz w:val="24"/>
                <w:szCs w:val="24"/>
              </w:rPr>
              <w:t>8.95%</w:t>
            </w:r>
          </w:p>
        </w:tc>
        <w:tc>
          <w:tcPr>
            <w:tcW w:w="898" w:type="dxa"/>
            <w:vAlign w:val="center"/>
          </w:tcPr>
          <w:p w:rsidR="00BB41A0" w:rsidRDefault="00313F34">
            <w:pPr>
              <w:jc w:val="center"/>
            </w:pPr>
            <w:r>
              <w:rPr>
                <w:color w:val="000000"/>
                <w:sz w:val="24"/>
                <w:szCs w:val="24"/>
              </w:rPr>
              <w:t>0.67%</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+25%×</w:t>
      </w:r>
      <w:r w:rsidRPr="00414345">
        <w:rPr>
          <w:color w:val="000000"/>
          <w:sz w:val="24"/>
          <w:szCs w:val="24"/>
        </w:rPr>
        <w:t>中信标普全债指数收益率</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+25%×</w:t>
      </w:r>
      <w:r w:rsidRPr="00414345">
        <w:rPr>
          <w:color w:val="000000"/>
          <w:sz w:val="24"/>
          <w:szCs w:val="24"/>
        </w:rPr>
        <w:t>中证综合债券指数收益率</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交银施罗德趋势优先混合型证券投资基金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2010</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12</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22</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BB41A0">
        <w:trPr>
          <w:jc w:val="center"/>
        </w:trPr>
        <w:tc>
          <w:tcPr>
            <w:tcW w:w="846" w:type="dxa"/>
            <w:vAlign w:val="center"/>
          </w:tcPr>
          <w:p w:rsidR="00BB41A0" w:rsidRDefault="00313F34">
            <w:pPr>
              <w:jc w:val="center"/>
            </w:pPr>
            <w:r>
              <w:rPr>
                <w:color w:val="000000"/>
                <w:sz w:val="24"/>
                <w:szCs w:val="24"/>
              </w:rPr>
              <w:t>韩威俊</w:t>
            </w:r>
          </w:p>
        </w:tc>
        <w:tc>
          <w:tcPr>
            <w:tcW w:w="845" w:type="dxa"/>
            <w:vAlign w:val="center"/>
          </w:tcPr>
          <w:p w:rsidR="00BB41A0" w:rsidRDefault="00313F34">
            <w:pPr>
              <w:jc w:val="center"/>
            </w:pPr>
            <w:r>
              <w:rPr>
                <w:color w:val="000000"/>
                <w:sz w:val="24"/>
                <w:szCs w:val="24"/>
              </w:rPr>
              <w:t>交银趋势混合、交银策略回报灵活配置混合、交银股息优化混合、交银品质升级混合的基金经理</w:t>
            </w:r>
          </w:p>
        </w:tc>
        <w:tc>
          <w:tcPr>
            <w:tcW w:w="1549" w:type="dxa"/>
            <w:vAlign w:val="center"/>
          </w:tcPr>
          <w:p w:rsidR="00BB41A0" w:rsidRDefault="00313F34">
            <w:pPr>
              <w:jc w:val="center"/>
            </w:pPr>
            <w:r>
              <w:rPr>
                <w:color w:val="000000"/>
                <w:sz w:val="24"/>
                <w:szCs w:val="24"/>
              </w:rPr>
              <w:t>2017-06-03</w:t>
            </w:r>
          </w:p>
        </w:tc>
        <w:tc>
          <w:tcPr>
            <w:tcW w:w="1548" w:type="dxa"/>
            <w:vAlign w:val="center"/>
          </w:tcPr>
          <w:p w:rsidR="00BB41A0" w:rsidRDefault="00313F34">
            <w:pPr>
              <w:jc w:val="center"/>
            </w:pPr>
            <w:r>
              <w:rPr>
                <w:color w:val="000000"/>
                <w:sz w:val="24"/>
                <w:szCs w:val="24"/>
              </w:rPr>
              <w:t>-</w:t>
            </w:r>
          </w:p>
        </w:tc>
        <w:tc>
          <w:tcPr>
            <w:tcW w:w="1407" w:type="dxa"/>
            <w:vAlign w:val="center"/>
          </w:tcPr>
          <w:p w:rsidR="00BB41A0" w:rsidRDefault="00313F34">
            <w:pPr>
              <w:jc w:val="center"/>
            </w:pPr>
            <w:r>
              <w:rPr>
                <w:color w:val="000000"/>
                <w:sz w:val="24"/>
                <w:szCs w:val="24"/>
              </w:rPr>
              <w:t>12</w:t>
            </w:r>
            <w:r>
              <w:rPr>
                <w:color w:val="000000"/>
                <w:sz w:val="24"/>
                <w:szCs w:val="24"/>
              </w:rPr>
              <w:t>年</w:t>
            </w:r>
          </w:p>
        </w:tc>
        <w:tc>
          <w:tcPr>
            <w:tcW w:w="2673" w:type="dxa"/>
            <w:vAlign w:val="center"/>
          </w:tcPr>
          <w:p w:rsidR="00BB41A0" w:rsidRDefault="00313F34">
            <w:r>
              <w:rPr>
                <w:color w:val="000000"/>
                <w:sz w:val="24"/>
                <w:szCs w:val="24"/>
              </w:rPr>
              <w:t>韩威俊先生，上海财经大学金融学硕士。历任申银万国证券研究所助理分析师、北京鼎天资产管理有限公司董事助理、申银万国证券研究所行业分析师、信诚基金管理有限公司投资分析师。</w:t>
            </w:r>
            <w:r>
              <w:rPr>
                <w:color w:val="000000"/>
                <w:sz w:val="24"/>
                <w:szCs w:val="24"/>
              </w:rPr>
              <w:t>2013</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BB41A0" w:rsidRDefault="00313F34">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BB41A0" w:rsidRDefault="00313F34">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BB41A0" w:rsidRDefault="00313F34">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BB41A0" w:rsidRDefault="00313F34">
      <w:pPr>
        <w:spacing w:before="29" w:line="288" w:lineRule="auto"/>
        <w:ind w:firstLineChars="200" w:firstLine="480"/>
        <w:rPr>
          <w:color w:val="000000"/>
          <w:sz w:val="24"/>
          <w:szCs w:val="24"/>
        </w:rPr>
      </w:pPr>
      <w:r>
        <w:rPr>
          <w:color w:val="000000"/>
          <w:sz w:val="24"/>
          <w:szCs w:val="24"/>
        </w:rPr>
        <w:t>回顾</w:t>
      </w:r>
      <w:r>
        <w:rPr>
          <w:color w:val="000000"/>
          <w:sz w:val="24"/>
          <w:szCs w:val="24"/>
        </w:rPr>
        <w:t>2018</w:t>
      </w:r>
      <w:r>
        <w:rPr>
          <w:color w:val="000000"/>
          <w:sz w:val="24"/>
          <w:szCs w:val="24"/>
        </w:rPr>
        <w:t>年二季度，国际经济形势特别复杂，贸易战、人民币汇率波动以及</w:t>
      </w:r>
      <w:r>
        <w:rPr>
          <w:color w:val="000000"/>
          <w:sz w:val="24"/>
          <w:szCs w:val="24"/>
        </w:rPr>
        <w:t>CDR</w:t>
      </w:r>
      <w:r>
        <w:rPr>
          <w:color w:val="000000"/>
          <w:sz w:val="24"/>
          <w:szCs w:val="24"/>
        </w:rPr>
        <w:t>等各种影响导致市场流动性进一步收紧。虽然中国纳入</w:t>
      </w:r>
      <w:r>
        <w:rPr>
          <w:color w:val="000000"/>
          <w:sz w:val="24"/>
          <w:szCs w:val="24"/>
        </w:rPr>
        <w:t>MSCI</w:t>
      </w:r>
      <w:r>
        <w:rPr>
          <w:color w:val="000000"/>
          <w:sz w:val="24"/>
          <w:szCs w:val="24"/>
        </w:rPr>
        <w:t>的带动白马蓝筹在五月份表现较好，但六月份因为资金流出，导致整个市场赚钱效应较为疲弱。</w:t>
      </w:r>
    </w:p>
    <w:p w:rsidR="00BB41A0" w:rsidRDefault="00313F34">
      <w:pPr>
        <w:spacing w:before="29" w:line="288" w:lineRule="auto"/>
        <w:ind w:firstLineChars="200" w:firstLine="480"/>
        <w:rPr>
          <w:color w:val="000000"/>
          <w:sz w:val="24"/>
          <w:szCs w:val="24"/>
        </w:rPr>
      </w:pPr>
      <w:r>
        <w:rPr>
          <w:color w:val="000000"/>
          <w:sz w:val="24"/>
          <w:szCs w:val="24"/>
        </w:rPr>
        <w:t>本基金在二季度基本上维持了相对较高的仓位，继续维持配置现金流趋势性向上的价值成长白马股，减持了银行板块，增持了地产标的，适当减持了部分流动性较差的个股。五月份整体涨幅较大，六月份出现回撤，二季度绝对收益和相对收益整体表现一般。</w:t>
      </w:r>
    </w:p>
    <w:p w:rsidR="00BB41A0" w:rsidRDefault="00313F34">
      <w:pPr>
        <w:spacing w:before="29" w:line="288" w:lineRule="auto"/>
        <w:ind w:firstLineChars="200" w:firstLine="480"/>
        <w:rPr>
          <w:color w:val="000000"/>
          <w:sz w:val="24"/>
          <w:szCs w:val="24"/>
        </w:rPr>
      </w:pPr>
      <w:r>
        <w:rPr>
          <w:color w:val="000000"/>
          <w:sz w:val="24"/>
          <w:szCs w:val="24"/>
        </w:rPr>
        <w:t>展望</w:t>
      </w:r>
      <w:r>
        <w:rPr>
          <w:color w:val="000000"/>
          <w:sz w:val="24"/>
          <w:szCs w:val="24"/>
        </w:rPr>
        <w:t>2018</w:t>
      </w:r>
      <w:r>
        <w:rPr>
          <w:color w:val="000000"/>
          <w:sz w:val="24"/>
          <w:szCs w:val="24"/>
        </w:rPr>
        <w:t>年三季度，在高油价、高信用风险的背景下，整个市场的流动性和风险偏好很难出现系统性上升，市场将继续出现小区间震荡的趋势，除非流动性出现明显放松，否则市场很难出现系统性上涨。</w:t>
      </w:r>
      <w:r>
        <w:rPr>
          <w:color w:val="000000"/>
          <w:sz w:val="24"/>
          <w:szCs w:val="24"/>
        </w:rPr>
        <w:t>2017</w:t>
      </w:r>
      <w:r>
        <w:rPr>
          <w:color w:val="000000"/>
          <w:sz w:val="24"/>
          <w:szCs w:val="24"/>
        </w:rPr>
        <w:t>年由于整个白马蓝筹表现较好，市场上绝对收益策略组合的仓位相对较高，我们预计这类产品后续仍然将继续降低仓位比例，而在此震荡环境中相对收益策略产品的风险偏好也很难出现明显上升，市场对于业绩确定性、现金流确定性和投资风险的要求会越来越高。市场上除了主题投资以外，每个板块内部的个股表现分化将更加明显，二季度增长较快的公司有望进一步跑赢市场。</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希望通过自下而上的分析，选择继续持有业绩和现金流持续好转的个股，特别是对二季度增速快于一季度，三季度增速可能快于二季度的个股做重点配置。此外，部分小市值成长股在经过两年估值消化以后，具备了一定的吸引力，我们后续会考虑适当进行一些成长股的配置比例。</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2018</w:t>
      </w:r>
      <w:r w:rsidRPr="00414345">
        <w:rPr>
          <w:color w:val="000000"/>
          <w:sz w:val="24"/>
          <w:szCs w:val="24"/>
        </w:rPr>
        <w:t>年</w:t>
      </w:r>
      <w:r w:rsidRPr="00414345">
        <w:rPr>
          <w:color w:val="000000"/>
          <w:sz w:val="24"/>
          <w:szCs w:val="24"/>
        </w:rPr>
        <w:t>06</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1.381</w:t>
      </w:r>
      <w:r w:rsidRPr="00414345">
        <w:rPr>
          <w:color w:val="000000"/>
          <w:sz w:val="24"/>
          <w:szCs w:val="24"/>
        </w:rPr>
        <w:t>元，本报告期份额净值增长率为</w:t>
      </w:r>
      <w:r w:rsidRPr="00414345">
        <w:rPr>
          <w:color w:val="000000"/>
          <w:sz w:val="24"/>
          <w:szCs w:val="24"/>
        </w:rPr>
        <w:t>1.92%</w:t>
      </w:r>
      <w:r w:rsidRPr="00414345">
        <w:rPr>
          <w:color w:val="000000"/>
          <w:sz w:val="24"/>
          <w:szCs w:val="24"/>
        </w:rPr>
        <w:t>，同期业绩比较基准增长率为</w:t>
      </w:r>
      <w:r w:rsidRPr="00414345">
        <w:rPr>
          <w:color w:val="000000"/>
          <w:sz w:val="24"/>
          <w:szCs w:val="24"/>
        </w:rPr>
        <w:t>-7.03%</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r w:rsidRPr="002070B4">
        <w:rPr>
          <w:color w:val="000000"/>
          <w:sz w:val="24"/>
        </w:rPr>
        <w:t xml:space="preserve"> </w:t>
      </w: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325,137,613.75</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90.26</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325,137,613.75</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90.26</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10,003,000.00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2.78</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10,003,000.00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2.78</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22,028,321.63</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6.11</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3,070,364.20</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0.85</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360,239,299.58</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7,709,471.00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2.16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0E688B" w:rsidP="00C15CAC">
            <w:pPr>
              <w:spacing w:before="29" w:line="288" w:lineRule="auto"/>
              <w:jc w:val="right"/>
              <w:rPr>
                <w:sz w:val="24"/>
                <w:szCs w:val="24"/>
              </w:rPr>
            </w:pPr>
            <w:r w:rsidRPr="000E688B">
              <w:rPr>
                <w:sz w:val="24"/>
                <w:szCs w:val="24"/>
              </w:rPr>
              <w:t>232</w:t>
            </w:r>
            <w:r w:rsidR="00313F34">
              <w:rPr>
                <w:sz w:val="24"/>
                <w:szCs w:val="24"/>
              </w:rPr>
              <w:t>,</w:t>
            </w:r>
            <w:r w:rsidRPr="000E688B">
              <w:rPr>
                <w:sz w:val="24"/>
                <w:szCs w:val="24"/>
              </w:rPr>
              <w:t>309</w:t>
            </w:r>
            <w:r w:rsidR="00313F34">
              <w:rPr>
                <w:sz w:val="24"/>
                <w:szCs w:val="24"/>
              </w:rPr>
              <w:t>,</w:t>
            </w:r>
            <w:r w:rsidRPr="000E688B">
              <w:rPr>
                <w:sz w:val="24"/>
                <w:szCs w:val="24"/>
              </w:rPr>
              <w:t>450.25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0E688B" w:rsidP="00C15CAC">
            <w:pPr>
              <w:spacing w:before="29" w:line="288" w:lineRule="auto"/>
              <w:jc w:val="right"/>
              <w:rPr>
                <w:sz w:val="24"/>
                <w:szCs w:val="24"/>
              </w:rPr>
            </w:pPr>
            <w:r>
              <w:rPr>
                <w:sz w:val="24"/>
                <w:szCs w:val="24"/>
              </w:rPr>
              <w:t>65.00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0E688B" w:rsidP="00C15CAC">
            <w:pPr>
              <w:spacing w:before="29" w:line="288" w:lineRule="auto"/>
              <w:jc w:val="right"/>
              <w:rPr>
                <w:sz w:val="24"/>
                <w:szCs w:val="24"/>
              </w:rPr>
            </w:pPr>
            <w:r w:rsidRPr="000E688B">
              <w:rPr>
                <w:sz w:val="24"/>
                <w:szCs w:val="24"/>
              </w:rPr>
              <w:t>71,559.85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0E688B" w:rsidP="00C15CAC">
            <w:pPr>
              <w:spacing w:before="29" w:line="288" w:lineRule="auto"/>
              <w:jc w:val="right"/>
              <w:rPr>
                <w:sz w:val="24"/>
                <w:szCs w:val="24"/>
              </w:rPr>
            </w:pPr>
            <w:r>
              <w:rPr>
                <w:sz w:val="24"/>
                <w:szCs w:val="24"/>
              </w:rPr>
              <w:t>0.02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15,893,584.74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4.45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9,608,943.00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35,356,484.60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9.89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20,701,537.20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5.79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81,226.14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3,405,356.97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0.95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0E688B" w:rsidP="00C15CAC">
            <w:pPr>
              <w:spacing w:before="29" w:line="288" w:lineRule="auto"/>
              <w:jc w:val="right"/>
              <w:rPr>
                <w:sz w:val="24"/>
                <w:szCs w:val="24"/>
              </w:rPr>
            </w:pPr>
            <w:r>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0E688B" w:rsidP="00C15CAC">
            <w:pPr>
              <w:spacing w:before="29" w:line="288" w:lineRule="auto"/>
              <w:jc w:val="right"/>
              <w:rPr>
                <w:sz w:val="24"/>
                <w:szCs w:val="24"/>
              </w:rPr>
            </w:pPr>
            <w:r>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325,137,613.75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90.98</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BB41A0">
        <w:trPr>
          <w:jc w:val="center"/>
        </w:trPr>
        <w:tc>
          <w:tcPr>
            <w:tcW w:w="855" w:type="dxa"/>
            <w:vAlign w:val="center"/>
          </w:tcPr>
          <w:p w:rsidR="00BB41A0" w:rsidRDefault="00313F34">
            <w:pPr>
              <w:jc w:val="center"/>
            </w:pPr>
            <w:r>
              <w:rPr>
                <w:color w:val="000000"/>
                <w:sz w:val="24"/>
                <w:szCs w:val="24"/>
              </w:rPr>
              <w:t>1</w:t>
            </w:r>
          </w:p>
        </w:tc>
        <w:tc>
          <w:tcPr>
            <w:tcW w:w="1334" w:type="dxa"/>
            <w:vAlign w:val="center"/>
          </w:tcPr>
          <w:p w:rsidR="00BB41A0" w:rsidRDefault="00313F34">
            <w:pPr>
              <w:jc w:val="center"/>
            </w:pPr>
            <w:r>
              <w:rPr>
                <w:color w:val="000000"/>
                <w:sz w:val="24"/>
                <w:szCs w:val="24"/>
              </w:rPr>
              <w:t>600887</w:t>
            </w:r>
          </w:p>
        </w:tc>
        <w:tc>
          <w:tcPr>
            <w:tcW w:w="1777" w:type="dxa"/>
            <w:vAlign w:val="center"/>
          </w:tcPr>
          <w:p w:rsidR="00BB41A0" w:rsidRDefault="00313F34">
            <w:pPr>
              <w:jc w:val="center"/>
            </w:pPr>
            <w:r>
              <w:rPr>
                <w:color w:val="000000"/>
                <w:sz w:val="24"/>
                <w:szCs w:val="24"/>
              </w:rPr>
              <w:t>伊利股份</w:t>
            </w:r>
          </w:p>
        </w:tc>
        <w:tc>
          <w:tcPr>
            <w:tcW w:w="1334" w:type="dxa"/>
            <w:vAlign w:val="center"/>
          </w:tcPr>
          <w:p w:rsidR="00BB41A0" w:rsidRDefault="00313F34">
            <w:pPr>
              <w:jc w:val="right"/>
            </w:pPr>
            <w:r>
              <w:rPr>
                <w:color w:val="000000"/>
                <w:sz w:val="24"/>
                <w:szCs w:val="24"/>
              </w:rPr>
              <w:t>1,152,866</w:t>
            </w:r>
          </w:p>
        </w:tc>
        <w:tc>
          <w:tcPr>
            <w:tcW w:w="1924" w:type="dxa"/>
            <w:vAlign w:val="center"/>
          </w:tcPr>
          <w:p w:rsidR="00BB41A0" w:rsidRDefault="00313F34">
            <w:pPr>
              <w:jc w:val="right"/>
            </w:pPr>
            <w:r>
              <w:rPr>
                <w:color w:val="000000"/>
                <w:sz w:val="24"/>
                <w:szCs w:val="24"/>
              </w:rPr>
              <w:t>32,164,961.40</w:t>
            </w:r>
          </w:p>
        </w:tc>
        <w:tc>
          <w:tcPr>
            <w:tcW w:w="1644" w:type="dxa"/>
            <w:vAlign w:val="center"/>
          </w:tcPr>
          <w:p w:rsidR="00BB41A0" w:rsidRDefault="00313F34">
            <w:pPr>
              <w:jc w:val="right"/>
            </w:pPr>
            <w:r>
              <w:rPr>
                <w:color w:val="000000"/>
                <w:sz w:val="24"/>
                <w:szCs w:val="24"/>
              </w:rPr>
              <w:t>9.00</w:t>
            </w:r>
          </w:p>
        </w:tc>
      </w:tr>
      <w:tr w:rsidR="00BB41A0">
        <w:trPr>
          <w:jc w:val="center"/>
        </w:trPr>
        <w:tc>
          <w:tcPr>
            <w:tcW w:w="855" w:type="dxa"/>
            <w:vAlign w:val="center"/>
          </w:tcPr>
          <w:p w:rsidR="00BB41A0" w:rsidRDefault="00313F34">
            <w:pPr>
              <w:jc w:val="center"/>
            </w:pPr>
            <w:r>
              <w:rPr>
                <w:color w:val="000000"/>
                <w:sz w:val="24"/>
                <w:szCs w:val="24"/>
              </w:rPr>
              <w:t>2</w:t>
            </w:r>
          </w:p>
        </w:tc>
        <w:tc>
          <w:tcPr>
            <w:tcW w:w="1334" w:type="dxa"/>
            <w:vAlign w:val="center"/>
          </w:tcPr>
          <w:p w:rsidR="00BB41A0" w:rsidRDefault="00313F34">
            <w:pPr>
              <w:jc w:val="center"/>
            </w:pPr>
            <w:r>
              <w:rPr>
                <w:color w:val="000000"/>
                <w:sz w:val="24"/>
                <w:szCs w:val="24"/>
              </w:rPr>
              <w:t>600519</w:t>
            </w:r>
          </w:p>
        </w:tc>
        <w:tc>
          <w:tcPr>
            <w:tcW w:w="1777" w:type="dxa"/>
            <w:vAlign w:val="center"/>
          </w:tcPr>
          <w:p w:rsidR="00BB41A0" w:rsidRDefault="00313F34">
            <w:pPr>
              <w:jc w:val="center"/>
            </w:pPr>
            <w:r>
              <w:rPr>
                <w:color w:val="000000"/>
                <w:sz w:val="24"/>
                <w:szCs w:val="24"/>
              </w:rPr>
              <w:t>贵州茅台</w:t>
            </w:r>
          </w:p>
        </w:tc>
        <w:tc>
          <w:tcPr>
            <w:tcW w:w="1334" w:type="dxa"/>
            <w:vAlign w:val="center"/>
          </w:tcPr>
          <w:p w:rsidR="00BB41A0" w:rsidRDefault="00313F34">
            <w:pPr>
              <w:jc w:val="right"/>
            </w:pPr>
            <w:r>
              <w:rPr>
                <w:color w:val="000000"/>
                <w:sz w:val="24"/>
                <w:szCs w:val="24"/>
              </w:rPr>
              <w:t>43,012</w:t>
            </w:r>
          </w:p>
        </w:tc>
        <w:tc>
          <w:tcPr>
            <w:tcW w:w="1924" w:type="dxa"/>
            <w:vAlign w:val="center"/>
          </w:tcPr>
          <w:p w:rsidR="00BB41A0" w:rsidRDefault="00313F34">
            <w:pPr>
              <w:jc w:val="right"/>
            </w:pPr>
            <w:r>
              <w:rPr>
                <w:color w:val="000000"/>
                <w:sz w:val="24"/>
                <w:szCs w:val="24"/>
              </w:rPr>
              <w:t>31,461,557.52</w:t>
            </w:r>
          </w:p>
        </w:tc>
        <w:tc>
          <w:tcPr>
            <w:tcW w:w="1644" w:type="dxa"/>
            <w:vAlign w:val="center"/>
          </w:tcPr>
          <w:p w:rsidR="00BB41A0" w:rsidRDefault="00313F34">
            <w:pPr>
              <w:jc w:val="right"/>
            </w:pPr>
            <w:r>
              <w:rPr>
                <w:color w:val="000000"/>
                <w:sz w:val="24"/>
                <w:szCs w:val="24"/>
              </w:rPr>
              <w:t>8.80</w:t>
            </w:r>
          </w:p>
        </w:tc>
      </w:tr>
      <w:tr w:rsidR="00BB41A0">
        <w:trPr>
          <w:jc w:val="center"/>
        </w:trPr>
        <w:tc>
          <w:tcPr>
            <w:tcW w:w="855" w:type="dxa"/>
            <w:vAlign w:val="center"/>
          </w:tcPr>
          <w:p w:rsidR="00BB41A0" w:rsidRDefault="00313F34">
            <w:pPr>
              <w:jc w:val="center"/>
            </w:pPr>
            <w:r>
              <w:rPr>
                <w:color w:val="000000"/>
                <w:sz w:val="24"/>
                <w:szCs w:val="24"/>
              </w:rPr>
              <w:t>3</w:t>
            </w:r>
          </w:p>
        </w:tc>
        <w:tc>
          <w:tcPr>
            <w:tcW w:w="1334" w:type="dxa"/>
            <w:vAlign w:val="center"/>
          </w:tcPr>
          <w:p w:rsidR="00BB41A0" w:rsidRDefault="00313F34">
            <w:pPr>
              <w:jc w:val="center"/>
            </w:pPr>
            <w:r>
              <w:rPr>
                <w:color w:val="000000"/>
                <w:sz w:val="24"/>
                <w:szCs w:val="24"/>
              </w:rPr>
              <w:t>000858</w:t>
            </w:r>
          </w:p>
        </w:tc>
        <w:tc>
          <w:tcPr>
            <w:tcW w:w="1777" w:type="dxa"/>
            <w:vAlign w:val="center"/>
          </w:tcPr>
          <w:p w:rsidR="00BB41A0" w:rsidRDefault="00313F34">
            <w:pPr>
              <w:jc w:val="center"/>
            </w:pPr>
            <w:r>
              <w:rPr>
                <w:color w:val="000000"/>
                <w:sz w:val="24"/>
                <w:szCs w:val="24"/>
              </w:rPr>
              <w:t>五粮液</w:t>
            </w:r>
          </w:p>
        </w:tc>
        <w:tc>
          <w:tcPr>
            <w:tcW w:w="1334" w:type="dxa"/>
            <w:vAlign w:val="center"/>
          </w:tcPr>
          <w:p w:rsidR="00BB41A0" w:rsidRDefault="00313F34">
            <w:pPr>
              <w:jc w:val="right"/>
            </w:pPr>
            <w:r>
              <w:rPr>
                <w:color w:val="000000"/>
                <w:sz w:val="24"/>
                <w:szCs w:val="24"/>
              </w:rPr>
              <w:t>412,315</w:t>
            </w:r>
          </w:p>
        </w:tc>
        <w:tc>
          <w:tcPr>
            <w:tcW w:w="1924" w:type="dxa"/>
            <w:vAlign w:val="center"/>
          </w:tcPr>
          <w:p w:rsidR="00BB41A0" w:rsidRDefault="00313F34">
            <w:pPr>
              <w:jc w:val="right"/>
            </w:pPr>
            <w:r>
              <w:rPr>
                <w:color w:val="000000"/>
                <w:sz w:val="24"/>
                <w:szCs w:val="24"/>
              </w:rPr>
              <w:t>31,335,940.00</w:t>
            </w:r>
          </w:p>
        </w:tc>
        <w:tc>
          <w:tcPr>
            <w:tcW w:w="1644" w:type="dxa"/>
            <w:vAlign w:val="center"/>
          </w:tcPr>
          <w:p w:rsidR="00BB41A0" w:rsidRDefault="00313F34">
            <w:pPr>
              <w:jc w:val="right"/>
            </w:pPr>
            <w:r>
              <w:rPr>
                <w:color w:val="000000"/>
                <w:sz w:val="24"/>
                <w:szCs w:val="24"/>
              </w:rPr>
              <w:t>8.77</w:t>
            </w:r>
          </w:p>
        </w:tc>
      </w:tr>
      <w:tr w:rsidR="00BB41A0">
        <w:trPr>
          <w:jc w:val="center"/>
        </w:trPr>
        <w:tc>
          <w:tcPr>
            <w:tcW w:w="855" w:type="dxa"/>
            <w:vAlign w:val="center"/>
          </w:tcPr>
          <w:p w:rsidR="00BB41A0" w:rsidRDefault="00313F34">
            <w:pPr>
              <w:jc w:val="center"/>
            </w:pPr>
            <w:r>
              <w:rPr>
                <w:color w:val="000000"/>
                <w:sz w:val="24"/>
                <w:szCs w:val="24"/>
              </w:rPr>
              <w:t>4</w:t>
            </w:r>
          </w:p>
        </w:tc>
        <w:tc>
          <w:tcPr>
            <w:tcW w:w="1334" w:type="dxa"/>
            <w:vAlign w:val="center"/>
          </w:tcPr>
          <w:p w:rsidR="00BB41A0" w:rsidRDefault="00313F34">
            <w:pPr>
              <w:jc w:val="center"/>
            </w:pPr>
            <w:r>
              <w:rPr>
                <w:color w:val="000000"/>
                <w:sz w:val="24"/>
                <w:szCs w:val="24"/>
              </w:rPr>
              <w:t>603808</w:t>
            </w:r>
          </w:p>
        </w:tc>
        <w:tc>
          <w:tcPr>
            <w:tcW w:w="1777" w:type="dxa"/>
            <w:vAlign w:val="center"/>
          </w:tcPr>
          <w:p w:rsidR="00BB41A0" w:rsidRDefault="00313F34">
            <w:pPr>
              <w:jc w:val="center"/>
            </w:pPr>
            <w:r>
              <w:rPr>
                <w:color w:val="000000"/>
                <w:sz w:val="24"/>
                <w:szCs w:val="24"/>
              </w:rPr>
              <w:t>歌力思</w:t>
            </w:r>
          </w:p>
        </w:tc>
        <w:tc>
          <w:tcPr>
            <w:tcW w:w="1334" w:type="dxa"/>
            <w:vAlign w:val="center"/>
          </w:tcPr>
          <w:p w:rsidR="00BB41A0" w:rsidRDefault="00313F34">
            <w:pPr>
              <w:jc w:val="right"/>
            </w:pPr>
            <w:r>
              <w:rPr>
                <w:color w:val="000000"/>
                <w:sz w:val="24"/>
                <w:szCs w:val="24"/>
              </w:rPr>
              <w:t>1,391,065</w:t>
            </w:r>
          </w:p>
        </w:tc>
        <w:tc>
          <w:tcPr>
            <w:tcW w:w="1924" w:type="dxa"/>
            <w:vAlign w:val="center"/>
          </w:tcPr>
          <w:p w:rsidR="00BB41A0" w:rsidRDefault="00313F34">
            <w:pPr>
              <w:jc w:val="right"/>
            </w:pPr>
            <w:r>
              <w:rPr>
                <w:color w:val="000000"/>
                <w:sz w:val="24"/>
                <w:szCs w:val="24"/>
              </w:rPr>
              <w:t>31,312,873.15</w:t>
            </w:r>
          </w:p>
        </w:tc>
        <w:tc>
          <w:tcPr>
            <w:tcW w:w="1644" w:type="dxa"/>
            <w:vAlign w:val="center"/>
          </w:tcPr>
          <w:p w:rsidR="00BB41A0" w:rsidRDefault="00313F34">
            <w:pPr>
              <w:jc w:val="right"/>
            </w:pPr>
            <w:r>
              <w:rPr>
                <w:color w:val="000000"/>
                <w:sz w:val="24"/>
                <w:szCs w:val="24"/>
              </w:rPr>
              <w:t>8.76</w:t>
            </w:r>
          </w:p>
        </w:tc>
      </w:tr>
      <w:tr w:rsidR="00BB41A0">
        <w:trPr>
          <w:jc w:val="center"/>
        </w:trPr>
        <w:tc>
          <w:tcPr>
            <w:tcW w:w="855" w:type="dxa"/>
            <w:vAlign w:val="center"/>
          </w:tcPr>
          <w:p w:rsidR="00BB41A0" w:rsidRDefault="00313F34">
            <w:pPr>
              <w:jc w:val="center"/>
            </w:pPr>
            <w:r>
              <w:rPr>
                <w:color w:val="000000"/>
                <w:sz w:val="24"/>
                <w:szCs w:val="24"/>
              </w:rPr>
              <w:t>5</w:t>
            </w:r>
          </w:p>
        </w:tc>
        <w:tc>
          <w:tcPr>
            <w:tcW w:w="1334" w:type="dxa"/>
            <w:vAlign w:val="center"/>
          </w:tcPr>
          <w:p w:rsidR="00BB41A0" w:rsidRDefault="00313F34">
            <w:pPr>
              <w:jc w:val="center"/>
            </w:pPr>
            <w:r>
              <w:rPr>
                <w:color w:val="000000"/>
                <w:sz w:val="24"/>
                <w:szCs w:val="24"/>
              </w:rPr>
              <w:t>002304</w:t>
            </w:r>
          </w:p>
        </w:tc>
        <w:tc>
          <w:tcPr>
            <w:tcW w:w="1777" w:type="dxa"/>
            <w:vAlign w:val="center"/>
          </w:tcPr>
          <w:p w:rsidR="00BB41A0" w:rsidRDefault="00313F34">
            <w:pPr>
              <w:jc w:val="center"/>
            </w:pPr>
            <w:r>
              <w:rPr>
                <w:color w:val="000000"/>
                <w:sz w:val="24"/>
                <w:szCs w:val="24"/>
              </w:rPr>
              <w:t>洋河股份</w:t>
            </w:r>
          </w:p>
        </w:tc>
        <w:tc>
          <w:tcPr>
            <w:tcW w:w="1334" w:type="dxa"/>
            <w:vAlign w:val="center"/>
          </w:tcPr>
          <w:p w:rsidR="00BB41A0" w:rsidRDefault="00313F34">
            <w:pPr>
              <w:jc w:val="right"/>
            </w:pPr>
            <w:r>
              <w:rPr>
                <w:color w:val="000000"/>
                <w:sz w:val="24"/>
                <w:szCs w:val="24"/>
              </w:rPr>
              <w:t>228,815</w:t>
            </w:r>
          </w:p>
        </w:tc>
        <w:tc>
          <w:tcPr>
            <w:tcW w:w="1924" w:type="dxa"/>
            <w:vAlign w:val="center"/>
          </w:tcPr>
          <w:p w:rsidR="00BB41A0" w:rsidRDefault="00313F34">
            <w:pPr>
              <w:jc w:val="right"/>
            </w:pPr>
            <w:r>
              <w:rPr>
                <w:color w:val="000000"/>
                <w:sz w:val="24"/>
                <w:szCs w:val="24"/>
              </w:rPr>
              <w:t>30,112,054.00</w:t>
            </w:r>
          </w:p>
        </w:tc>
        <w:tc>
          <w:tcPr>
            <w:tcW w:w="1644" w:type="dxa"/>
            <w:vAlign w:val="center"/>
          </w:tcPr>
          <w:p w:rsidR="00BB41A0" w:rsidRDefault="00313F34">
            <w:pPr>
              <w:jc w:val="right"/>
            </w:pPr>
            <w:r>
              <w:rPr>
                <w:color w:val="000000"/>
                <w:sz w:val="24"/>
                <w:szCs w:val="24"/>
              </w:rPr>
              <w:t>8.43</w:t>
            </w:r>
          </w:p>
        </w:tc>
      </w:tr>
      <w:tr w:rsidR="00BB41A0">
        <w:trPr>
          <w:jc w:val="center"/>
        </w:trPr>
        <w:tc>
          <w:tcPr>
            <w:tcW w:w="855" w:type="dxa"/>
            <w:vAlign w:val="center"/>
          </w:tcPr>
          <w:p w:rsidR="00BB41A0" w:rsidRDefault="00313F34">
            <w:pPr>
              <w:jc w:val="center"/>
            </w:pPr>
            <w:r>
              <w:rPr>
                <w:color w:val="000000"/>
                <w:sz w:val="24"/>
                <w:szCs w:val="24"/>
              </w:rPr>
              <w:t>6</w:t>
            </w:r>
          </w:p>
        </w:tc>
        <w:tc>
          <w:tcPr>
            <w:tcW w:w="1334" w:type="dxa"/>
            <w:vAlign w:val="center"/>
          </w:tcPr>
          <w:p w:rsidR="00BB41A0" w:rsidRDefault="00313F34">
            <w:pPr>
              <w:jc w:val="center"/>
            </w:pPr>
            <w:r>
              <w:rPr>
                <w:color w:val="000000"/>
                <w:sz w:val="24"/>
                <w:szCs w:val="24"/>
              </w:rPr>
              <w:t>002027</w:t>
            </w:r>
          </w:p>
        </w:tc>
        <w:tc>
          <w:tcPr>
            <w:tcW w:w="1777" w:type="dxa"/>
            <w:vAlign w:val="center"/>
          </w:tcPr>
          <w:p w:rsidR="00BB41A0" w:rsidRDefault="00313F34">
            <w:pPr>
              <w:jc w:val="center"/>
            </w:pPr>
            <w:r>
              <w:rPr>
                <w:color w:val="000000"/>
                <w:sz w:val="24"/>
                <w:szCs w:val="24"/>
              </w:rPr>
              <w:t>分众传媒</w:t>
            </w:r>
          </w:p>
        </w:tc>
        <w:tc>
          <w:tcPr>
            <w:tcW w:w="1334" w:type="dxa"/>
            <w:vAlign w:val="center"/>
          </w:tcPr>
          <w:p w:rsidR="00BB41A0" w:rsidRDefault="00313F34">
            <w:pPr>
              <w:jc w:val="right"/>
            </w:pPr>
            <w:r>
              <w:rPr>
                <w:color w:val="000000"/>
                <w:sz w:val="24"/>
                <w:szCs w:val="24"/>
              </w:rPr>
              <w:t>2,189,160</w:t>
            </w:r>
          </w:p>
        </w:tc>
        <w:tc>
          <w:tcPr>
            <w:tcW w:w="1924" w:type="dxa"/>
            <w:vAlign w:val="center"/>
          </w:tcPr>
          <w:p w:rsidR="00BB41A0" w:rsidRDefault="00313F34">
            <w:pPr>
              <w:jc w:val="right"/>
            </w:pPr>
            <w:r>
              <w:rPr>
                <w:color w:val="000000"/>
                <w:sz w:val="24"/>
                <w:szCs w:val="24"/>
              </w:rPr>
              <w:t>20,701,537.20</w:t>
            </w:r>
          </w:p>
        </w:tc>
        <w:tc>
          <w:tcPr>
            <w:tcW w:w="1644" w:type="dxa"/>
            <w:vAlign w:val="center"/>
          </w:tcPr>
          <w:p w:rsidR="00BB41A0" w:rsidRDefault="00313F34">
            <w:pPr>
              <w:jc w:val="right"/>
            </w:pPr>
            <w:r>
              <w:rPr>
                <w:color w:val="000000"/>
                <w:sz w:val="24"/>
                <w:szCs w:val="24"/>
              </w:rPr>
              <w:t>5.79</w:t>
            </w:r>
          </w:p>
        </w:tc>
      </w:tr>
      <w:tr w:rsidR="00BB41A0">
        <w:trPr>
          <w:jc w:val="center"/>
        </w:trPr>
        <w:tc>
          <w:tcPr>
            <w:tcW w:w="855" w:type="dxa"/>
            <w:vAlign w:val="center"/>
          </w:tcPr>
          <w:p w:rsidR="00BB41A0" w:rsidRDefault="00313F34">
            <w:pPr>
              <w:jc w:val="center"/>
            </w:pPr>
            <w:r>
              <w:rPr>
                <w:color w:val="000000"/>
                <w:sz w:val="24"/>
                <w:szCs w:val="24"/>
              </w:rPr>
              <w:t>7</w:t>
            </w:r>
          </w:p>
        </w:tc>
        <w:tc>
          <w:tcPr>
            <w:tcW w:w="1334" w:type="dxa"/>
            <w:vAlign w:val="center"/>
          </w:tcPr>
          <w:p w:rsidR="00BB41A0" w:rsidRDefault="00313F34">
            <w:pPr>
              <w:jc w:val="center"/>
            </w:pPr>
            <w:r>
              <w:rPr>
                <w:color w:val="000000"/>
                <w:sz w:val="24"/>
                <w:szCs w:val="24"/>
              </w:rPr>
              <w:t>000002</w:t>
            </w:r>
          </w:p>
        </w:tc>
        <w:tc>
          <w:tcPr>
            <w:tcW w:w="1777" w:type="dxa"/>
            <w:vAlign w:val="center"/>
          </w:tcPr>
          <w:p w:rsidR="00BB41A0" w:rsidRDefault="00313F34">
            <w:pPr>
              <w:jc w:val="center"/>
            </w:pPr>
            <w:r>
              <w:rPr>
                <w:color w:val="000000"/>
                <w:sz w:val="24"/>
                <w:szCs w:val="24"/>
              </w:rPr>
              <w:t>万科</w:t>
            </w:r>
            <w:r>
              <w:rPr>
                <w:color w:val="000000"/>
                <w:sz w:val="24"/>
                <w:szCs w:val="24"/>
              </w:rPr>
              <w:t>A</w:t>
            </w:r>
          </w:p>
        </w:tc>
        <w:tc>
          <w:tcPr>
            <w:tcW w:w="1334" w:type="dxa"/>
            <w:vAlign w:val="center"/>
          </w:tcPr>
          <w:p w:rsidR="00BB41A0" w:rsidRDefault="00313F34">
            <w:pPr>
              <w:jc w:val="right"/>
            </w:pPr>
            <w:r>
              <w:rPr>
                <w:color w:val="000000"/>
                <w:sz w:val="24"/>
                <w:szCs w:val="24"/>
              </w:rPr>
              <w:t>719,160</w:t>
            </w:r>
          </w:p>
        </w:tc>
        <w:tc>
          <w:tcPr>
            <w:tcW w:w="1924" w:type="dxa"/>
            <w:vAlign w:val="center"/>
          </w:tcPr>
          <w:p w:rsidR="00BB41A0" w:rsidRDefault="00313F34">
            <w:pPr>
              <w:jc w:val="right"/>
            </w:pPr>
            <w:r>
              <w:rPr>
                <w:color w:val="000000"/>
                <w:sz w:val="24"/>
                <w:szCs w:val="24"/>
              </w:rPr>
              <w:t>17,691,336.00</w:t>
            </w:r>
          </w:p>
        </w:tc>
        <w:tc>
          <w:tcPr>
            <w:tcW w:w="1644" w:type="dxa"/>
            <w:vAlign w:val="center"/>
          </w:tcPr>
          <w:p w:rsidR="00BB41A0" w:rsidRDefault="00313F34">
            <w:pPr>
              <w:jc w:val="right"/>
            </w:pPr>
            <w:r>
              <w:rPr>
                <w:color w:val="000000"/>
                <w:sz w:val="24"/>
                <w:szCs w:val="24"/>
              </w:rPr>
              <w:t>4.95</w:t>
            </w:r>
          </w:p>
        </w:tc>
      </w:tr>
      <w:tr w:rsidR="00BB41A0">
        <w:trPr>
          <w:jc w:val="center"/>
        </w:trPr>
        <w:tc>
          <w:tcPr>
            <w:tcW w:w="855" w:type="dxa"/>
            <w:vAlign w:val="center"/>
          </w:tcPr>
          <w:p w:rsidR="00BB41A0" w:rsidRDefault="00313F34">
            <w:pPr>
              <w:jc w:val="center"/>
            </w:pPr>
            <w:r>
              <w:rPr>
                <w:color w:val="000000"/>
                <w:sz w:val="24"/>
                <w:szCs w:val="24"/>
              </w:rPr>
              <w:t>8</w:t>
            </w:r>
          </w:p>
        </w:tc>
        <w:tc>
          <w:tcPr>
            <w:tcW w:w="1334" w:type="dxa"/>
            <w:vAlign w:val="center"/>
          </w:tcPr>
          <w:p w:rsidR="00BB41A0" w:rsidRDefault="00313F34">
            <w:pPr>
              <w:jc w:val="center"/>
            </w:pPr>
            <w:r>
              <w:rPr>
                <w:color w:val="000000"/>
                <w:sz w:val="24"/>
                <w:szCs w:val="24"/>
              </w:rPr>
              <w:t>600048</w:t>
            </w:r>
          </w:p>
        </w:tc>
        <w:tc>
          <w:tcPr>
            <w:tcW w:w="1777" w:type="dxa"/>
            <w:vAlign w:val="center"/>
          </w:tcPr>
          <w:p w:rsidR="00BB41A0" w:rsidRDefault="00313F34">
            <w:pPr>
              <w:jc w:val="center"/>
            </w:pPr>
            <w:r>
              <w:rPr>
                <w:color w:val="000000"/>
                <w:sz w:val="24"/>
                <w:szCs w:val="24"/>
              </w:rPr>
              <w:t>保利地产</w:t>
            </w:r>
          </w:p>
        </w:tc>
        <w:tc>
          <w:tcPr>
            <w:tcW w:w="1334" w:type="dxa"/>
            <w:vAlign w:val="center"/>
          </w:tcPr>
          <w:p w:rsidR="00BB41A0" w:rsidRDefault="00313F34">
            <w:pPr>
              <w:jc w:val="right"/>
            </w:pPr>
            <w:r>
              <w:rPr>
                <w:color w:val="000000"/>
                <w:sz w:val="24"/>
                <w:szCs w:val="24"/>
              </w:rPr>
              <w:t>1,447,963</w:t>
            </w:r>
          </w:p>
        </w:tc>
        <w:tc>
          <w:tcPr>
            <w:tcW w:w="1924" w:type="dxa"/>
            <w:vAlign w:val="center"/>
          </w:tcPr>
          <w:p w:rsidR="00BB41A0" w:rsidRDefault="00313F34">
            <w:pPr>
              <w:jc w:val="right"/>
            </w:pPr>
            <w:r>
              <w:rPr>
                <w:color w:val="000000"/>
                <w:sz w:val="24"/>
                <w:szCs w:val="24"/>
              </w:rPr>
              <w:t>17,665,148.60</w:t>
            </w:r>
          </w:p>
        </w:tc>
        <w:tc>
          <w:tcPr>
            <w:tcW w:w="1644" w:type="dxa"/>
            <w:vAlign w:val="center"/>
          </w:tcPr>
          <w:p w:rsidR="00BB41A0" w:rsidRDefault="00313F34">
            <w:pPr>
              <w:jc w:val="right"/>
            </w:pPr>
            <w:r>
              <w:rPr>
                <w:color w:val="000000"/>
                <w:sz w:val="24"/>
                <w:szCs w:val="24"/>
              </w:rPr>
              <w:t>4.94</w:t>
            </w:r>
          </w:p>
        </w:tc>
      </w:tr>
      <w:tr w:rsidR="00BB41A0">
        <w:trPr>
          <w:jc w:val="center"/>
        </w:trPr>
        <w:tc>
          <w:tcPr>
            <w:tcW w:w="855" w:type="dxa"/>
            <w:vAlign w:val="center"/>
          </w:tcPr>
          <w:p w:rsidR="00BB41A0" w:rsidRDefault="00313F34">
            <w:pPr>
              <w:jc w:val="center"/>
            </w:pPr>
            <w:r>
              <w:rPr>
                <w:color w:val="000000"/>
                <w:sz w:val="24"/>
                <w:szCs w:val="24"/>
              </w:rPr>
              <w:t>9</w:t>
            </w:r>
          </w:p>
        </w:tc>
        <w:tc>
          <w:tcPr>
            <w:tcW w:w="1334" w:type="dxa"/>
            <w:vAlign w:val="center"/>
          </w:tcPr>
          <w:p w:rsidR="00BB41A0" w:rsidRDefault="00313F34">
            <w:pPr>
              <w:jc w:val="center"/>
            </w:pPr>
            <w:r>
              <w:rPr>
                <w:color w:val="000000"/>
                <w:sz w:val="24"/>
                <w:szCs w:val="24"/>
              </w:rPr>
              <w:t>600559</w:t>
            </w:r>
          </w:p>
        </w:tc>
        <w:tc>
          <w:tcPr>
            <w:tcW w:w="1777" w:type="dxa"/>
            <w:vAlign w:val="center"/>
          </w:tcPr>
          <w:p w:rsidR="00BB41A0" w:rsidRDefault="00313F34">
            <w:pPr>
              <w:jc w:val="center"/>
            </w:pPr>
            <w:r>
              <w:rPr>
                <w:color w:val="000000"/>
                <w:sz w:val="24"/>
                <w:szCs w:val="24"/>
              </w:rPr>
              <w:t>老白干酒</w:t>
            </w:r>
          </w:p>
        </w:tc>
        <w:tc>
          <w:tcPr>
            <w:tcW w:w="1334" w:type="dxa"/>
            <w:vAlign w:val="center"/>
          </w:tcPr>
          <w:p w:rsidR="00BB41A0" w:rsidRDefault="00313F34">
            <w:pPr>
              <w:jc w:val="right"/>
            </w:pPr>
            <w:r>
              <w:rPr>
                <w:color w:val="000000"/>
                <w:sz w:val="24"/>
                <w:szCs w:val="24"/>
              </w:rPr>
              <w:t>698,464</w:t>
            </w:r>
          </w:p>
        </w:tc>
        <w:tc>
          <w:tcPr>
            <w:tcW w:w="1924" w:type="dxa"/>
            <w:vAlign w:val="center"/>
          </w:tcPr>
          <w:p w:rsidR="00BB41A0" w:rsidRDefault="00313F34">
            <w:pPr>
              <w:jc w:val="right"/>
            </w:pPr>
            <w:r>
              <w:rPr>
                <w:color w:val="000000"/>
                <w:sz w:val="24"/>
                <w:szCs w:val="24"/>
              </w:rPr>
              <w:t>13,962,295.36</w:t>
            </w:r>
          </w:p>
        </w:tc>
        <w:tc>
          <w:tcPr>
            <w:tcW w:w="1644" w:type="dxa"/>
            <w:vAlign w:val="center"/>
          </w:tcPr>
          <w:p w:rsidR="00BB41A0" w:rsidRDefault="00313F34">
            <w:pPr>
              <w:jc w:val="right"/>
            </w:pPr>
            <w:r>
              <w:rPr>
                <w:color w:val="000000"/>
                <w:sz w:val="24"/>
                <w:szCs w:val="24"/>
              </w:rPr>
              <w:t>3.91</w:t>
            </w:r>
          </w:p>
        </w:tc>
      </w:tr>
      <w:tr w:rsidR="00BB41A0">
        <w:trPr>
          <w:jc w:val="center"/>
        </w:trPr>
        <w:tc>
          <w:tcPr>
            <w:tcW w:w="855" w:type="dxa"/>
            <w:vAlign w:val="center"/>
          </w:tcPr>
          <w:p w:rsidR="00BB41A0" w:rsidRDefault="00313F34">
            <w:pPr>
              <w:jc w:val="center"/>
            </w:pPr>
            <w:r>
              <w:rPr>
                <w:color w:val="000000"/>
                <w:sz w:val="24"/>
                <w:szCs w:val="24"/>
              </w:rPr>
              <w:t>10</w:t>
            </w:r>
          </w:p>
        </w:tc>
        <w:tc>
          <w:tcPr>
            <w:tcW w:w="1334" w:type="dxa"/>
            <w:vAlign w:val="center"/>
          </w:tcPr>
          <w:p w:rsidR="00BB41A0" w:rsidRDefault="00313F34">
            <w:pPr>
              <w:jc w:val="center"/>
            </w:pPr>
            <w:r>
              <w:rPr>
                <w:color w:val="000000"/>
                <w:sz w:val="24"/>
                <w:szCs w:val="24"/>
              </w:rPr>
              <w:t>600315</w:t>
            </w:r>
          </w:p>
        </w:tc>
        <w:tc>
          <w:tcPr>
            <w:tcW w:w="1777" w:type="dxa"/>
            <w:vAlign w:val="center"/>
          </w:tcPr>
          <w:p w:rsidR="00BB41A0" w:rsidRDefault="00313F34">
            <w:pPr>
              <w:jc w:val="center"/>
            </w:pPr>
            <w:r>
              <w:rPr>
                <w:color w:val="000000"/>
                <w:sz w:val="24"/>
                <w:szCs w:val="24"/>
              </w:rPr>
              <w:t>上海家化</w:t>
            </w:r>
          </w:p>
        </w:tc>
        <w:tc>
          <w:tcPr>
            <w:tcW w:w="1334" w:type="dxa"/>
            <w:vAlign w:val="center"/>
          </w:tcPr>
          <w:p w:rsidR="00BB41A0" w:rsidRDefault="00313F34">
            <w:pPr>
              <w:jc w:val="right"/>
            </w:pPr>
            <w:r>
              <w:rPr>
                <w:color w:val="000000"/>
                <w:sz w:val="24"/>
                <w:szCs w:val="24"/>
              </w:rPr>
              <w:t>277,857</w:t>
            </w:r>
          </w:p>
        </w:tc>
        <w:tc>
          <w:tcPr>
            <w:tcW w:w="1924" w:type="dxa"/>
            <w:vAlign w:val="center"/>
          </w:tcPr>
          <w:p w:rsidR="00BB41A0" w:rsidRDefault="00313F34">
            <w:pPr>
              <w:jc w:val="right"/>
            </w:pPr>
            <w:r>
              <w:rPr>
                <w:color w:val="000000"/>
                <w:sz w:val="24"/>
                <w:szCs w:val="24"/>
              </w:rPr>
              <w:t>11,011,472.91</w:t>
            </w:r>
          </w:p>
        </w:tc>
        <w:tc>
          <w:tcPr>
            <w:tcW w:w="1644" w:type="dxa"/>
            <w:vAlign w:val="center"/>
          </w:tcPr>
          <w:p w:rsidR="00BB41A0" w:rsidRDefault="00313F34">
            <w:pPr>
              <w:jc w:val="right"/>
            </w:pPr>
            <w:r>
              <w:rPr>
                <w:color w:val="000000"/>
                <w:sz w:val="24"/>
                <w:szCs w:val="24"/>
              </w:rPr>
              <w:t>3.08</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10,003,000.00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2.80</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10,003,000.00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2.80</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10,003,000.00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2.80</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BB41A0">
        <w:trPr>
          <w:jc w:val="center"/>
        </w:trPr>
        <w:tc>
          <w:tcPr>
            <w:tcW w:w="850" w:type="dxa"/>
            <w:vAlign w:val="center"/>
          </w:tcPr>
          <w:p w:rsidR="00BB41A0" w:rsidRDefault="00313F34">
            <w:pPr>
              <w:jc w:val="center"/>
            </w:pPr>
            <w:r>
              <w:rPr>
                <w:color w:val="000000"/>
                <w:sz w:val="24"/>
                <w:szCs w:val="24"/>
              </w:rPr>
              <w:t>1</w:t>
            </w:r>
          </w:p>
        </w:tc>
        <w:tc>
          <w:tcPr>
            <w:tcW w:w="1475" w:type="dxa"/>
            <w:vAlign w:val="center"/>
          </w:tcPr>
          <w:p w:rsidR="00BB41A0" w:rsidRDefault="00313F34">
            <w:pPr>
              <w:jc w:val="center"/>
            </w:pPr>
            <w:r>
              <w:rPr>
                <w:color w:val="000000"/>
                <w:sz w:val="24"/>
                <w:szCs w:val="24"/>
              </w:rPr>
              <w:t>150418</w:t>
            </w:r>
          </w:p>
        </w:tc>
        <w:tc>
          <w:tcPr>
            <w:tcW w:w="1769" w:type="dxa"/>
            <w:vAlign w:val="center"/>
          </w:tcPr>
          <w:p w:rsidR="00BB41A0" w:rsidRDefault="00313F34">
            <w:pPr>
              <w:jc w:val="center"/>
            </w:pPr>
            <w:r>
              <w:rPr>
                <w:color w:val="000000"/>
                <w:sz w:val="24"/>
                <w:szCs w:val="24"/>
              </w:rPr>
              <w:t>15</w:t>
            </w:r>
            <w:r>
              <w:rPr>
                <w:color w:val="000000"/>
                <w:sz w:val="24"/>
                <w:szCs w:val="24"/>
              </w:rPr>
              <w:t>农发</w:t>
            </w:r>
            <w:r>
              <w:rPr>
                <w:color w:val="000000"/>
                <w:sz w:val="24"/>
                <w:szCs w:val="24"/>
              </w:rPr>
              <w:t>18</w:t>
            </w:r>
          </w:p>
        </w:tc>
        <w:tc>
          <w:tcPr>
            <w:tcW w:w="1387" w:type="dxa"/>
            <w:vAlign w:val="center"/>
          </w:tcPr>
          <w:p w:rsidR="00BB41A0" w:rsidRDefault="00313F34">
            <w:pPr>
              <w:jc w:val="right"/>
            </w:pPr>
            <w:r>
              <w:rPr>
                <w:color w:val="000000"/>
                <w:sz w:val="24"/>
                <w:szCs w:val="24"/>
              </w:rPr>
              <w:t>100,000</w:t>
            </w:r>
          </w:p>
        </w:tc>
        <w:tc>
          <w:tcPr>
            <w:tcW w:w="2150" w:type="dxa"/>
            <w:vAlign w:val="center"/>
          </w:tcPr>
          <w:p w:rsidR="00BB41A0" w:rsidRDefault="00313F34">
            <w:pPr>
              <w:jc w:val="right"/>
            </w:pPr>
            <w:r>
              <w:rPr>
                <w:color w:val="000000"/>
                <w:sz w:val="24"/>
                <w:szCs w:val="24"/>
              </w:rPr>
              <w:t>10,003,000.00</w:t>
            </w:r>
          </w:p>
        </w:tc>
        <w:tc>
          <w:tcPr>
            <w:tcW w:w="1237" w:type="dxa"/>
            <w:vAlign w:val="center"/>
          </w:tcPr>
          <w:p w:rsidR="00BB41A0" w:rsidRDefault="00313F34">
            <w:pPr>
              <w:jc w:val="right"/>
            </w:pPr>
            <w:r>
              <w:rPr>
                <w:color w:val="000000"/>
                <w:sz w:val="24"/>
                <w:szCs w:val="24"/>
              </w:rPr>
              <w:t>2.80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130,444.79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1,452,123.92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348,158.92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1,139,636.57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3,070,364.20</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BB41A0">
        <w:trPr>
          <w:jc w:val="center"/>
        </w:trPr>
        <w:tc>
          <w:tcPr>
            <w:tcW w:w="1129" w:type="dxa"/>
            <w:vAlign w:val="center"/>
          </w:tcPr>
          <w:p w:rsidR="00BB41A0" w:rsidRDefault="00313F34">
            <w:pPr>
              <w:jc w:val="center"/>
            </w:pPr>
            <w:r>
              <w:rPr>
                <w:color w:val="000000"/>
                <w:sz w:val="24"/>
                <w:szCs w:val="24"/>
              </w:rPr>
              <w:t>1</w:t>
            </w:r>
          </w:p>
        </w:tc>
        <w:tc>
          <w:tcPr>
            <w:tcW w:w="1356" w:type="dxa"/>
            <w:vAlign w:val="center"/>
          </w:tcPr>
          <w:p w:rsidR="00BB41A0" w:rsidRDefault="00313F34">
            <w:pPr>
              <w:jc w:val="center"/>
            </w:pPr>
            <w:r>
              <w:rPr>
                <w:color w:val="000000"/>
                <w:sz w:val="24"/>
                <w:szCs w:val="24"/>
              </w:rPr>
              <w:t>002027</w:t>
            </w:r>
          </w:p>
        </w:tc>
        <w:tc>
          <w:tcPr>
            <w:tcW w:w="1355" w:type="dxa"/>
            <w:vAlign w:val="center"/>
          </w:tcPr>
          <w:p w:rsidR="00BB41A0" w:rsidRDefault="00313F34">
            <w:pPr>
              <w:jc w:val="center"/>
            </w:pPr>
            <w:r>
              <w:rPr>
                <w:color w:val="000000"/>
                <w:sz w:val="24"/>
                <w:szCs w:val="24"/>
              </w:rPr>
              <w:t>分众传媒</w:t>
            </w:r>
          </w:p>
        </w:tc>
        <w:tc>
          <w:tcPr>
            <w:tcW w:w="1880" w:type="dxa"/>
            <w:vAlign w:val="center"/>
          </w:tcPr>
          <w:p w:rsidR="00BB41A0" w:rsidRDefault="00313F34">
            <w:pPr>
              <w:jc w:val="right"/>
            </w:pPr>
            <w:r>
              <w:rPr>
                <w:color w:val="000000"/>
                <w:sz w:val="24"/>
                <w:szCs w:val="24"/>
              </w:rPr>
              <w:t>4,815,720.00</w:t>
            </w:r>
          </w:p>
        </w:tc>
        <w:tc>
          <w:tcPr>
            <w:tcW w:w="1724" w:type="dxa"/>
            <w:vAlign w:val="center"/>
          </w:tcPr>
          <w:p w:rsidR="00BB41A0" w:rsidRDefault="00313F34">
            <w:pPr>
              <w:jc w:val="right"/>
            </w:pPr>
            <w:r>
              <w:rPr>
                <w:color w:val="000000"/>
                <w:sz w:val="24"/>
                <w:szCs w:val="24"/>
              </w:rPr>
              <w:t>1.35</w:t>
            </w:r>
          </w:p>
        </w:tc>
        <w:tc>
          <w:tcPr>
            <w:tcW w:w="1424" w:type="dxa"/>
            <w:vAlign w:val="center"/>
          </w:tcPr>
          <w:p w:rsidR="00BB41A0" w:rsidRDefault="000B1883">
            <w:pPr>
              <w:jc w:val="right"/>
            </w:pPr>
            <w:r>
              <w:rPr>
                <w:rFonts w:hint="eastAsia"/>
                <w:color w:val="000000"/>
                <w:sz w:val="24"/>
                <w:szCs w:val="24"/>
              </w:rPr>
              <w:t>限售股</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F3E2A">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F3E2A">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1F3E2A" w:rsidRDefault="001F3E2A" w:rsidP="001F3E2A">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p w:rsidR="00340936" w:rsidRDefault="00340936" w:rsidP="008F5AA3">
      <w:pPr>
        <w:adjustRightInd w:val="0"/>
        <w:snapToGrid w:val="0"/>
        <w:spacing w:beforeLines="50" w:before="156" w:line="360" w:lineRule="auto"/>
        <w:ind w:firstLine="480"/>
        <w:rPr>
          <w:rFonts w:eastAsiaTheme="minorEastAsia"/>
          <w:color w:val="000000" w:themeColor="text1"/>
          <w:kern w:val="0"/>
          <w:sz w:val="24"/>
          <w:szCs w:val="24"/>
        </w:rPr>
      </w:pPr>
      <w:r w:rsidRPr="00340936">
        <w:rPr>
          <w:rFonts w:eastAsiaTheme="minorEastAsia" w:hint="eastAsia"/>
          <w:color w:val="000000" w:themeColor="text1"/>
          <w:kern w:val="0"/>
          <w:sz w:val="24"/>
          <w:szCs w:val="24"/>
        </w:rPr>
        <w:t>无</w:t>
      </w:r>
      <w:r w:rsidR="00984808">
        <w:rPr>
          <w:rFonts w:eastAsiaTheme="minorEastAsia" w:hint="eastAsia"/>
          <w:color w:val="000000" w:themeColor="text1"/>
          <w:kern w:val="0"/>
          <w:sz w:val="24"/>
          <w:szCs w:val="24"/>
        </w:rPr>
        <w:t>。</w:t>
      </w:r>
      <w:bookmarkStart w:id="0" w:name="_GoBack"/>
      <w:bookmarkEnd w:id="0"/>
    </w:p>
    <w:p w:rsidR="008F5AA3" w:rsidRPr="00340936" w:rsidRDefault="008F5AA3" w:rsidP="008F5AA3">
      <w:pPr>
        <w:adjustRightInd w:val="0"/>
        <w:snapToGrid w:val="0"/>
        <w:spacing w:beforeLines="50" w:before="156" w:line="360" w:lineRule="auto"/>
        <w:ind w:firstLine="480"/>
        <w:rPr>
          <w:rFonts w:eastAsiaTheme="minorEastAsia"/>
          <w:color w:val="000000" w:themeColor="text1"/>
          <w:kern w:val="0"/>
          <w:sz w:val="24"/>
          <w:szCs w:val="24"/>
        </w:rPr>
      </w:pPr>
    </w:p>
    <w:p w:rsidR="004061AC" w:rsidRPr="005A3D62" w:rsidRDefault="004061AC" w:rsidP="005A3D62">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257,362,687.34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24,507,737.15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23,062,856.37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258,807,568.12</w:t>
            </w:r>
          </w:p>
        </w:tc>
      </w:tr>
    </w:tbl>
    <w:p w:rsidR="00BB41A0" w:rsidRDefault="00313F34">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7B5F21">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BB41A0" w:rsidRDefault="00313F34">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、中国证监会核准交银施罗德趋势优先股票证券投资基金募集的文件；</w:t>
      </w:r>
      <w:r>
        <w:rPr>
          <w:color w:val="000000"/>
          <w:sz w:val="24"/>
          <w:szCs w:val="24"/>
        </w:rPr>
        <w:t xml:space="preserve"> </w:t>
      </w:r>
    </w:p>
    <w:p w:rsidR="00BB41A0" w:rsidRDefault="00313F34">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、《交银施罗德趋势优先混合型证券投资基金基金合同》；</w:t>
      </w:r>
      <w:r>
        <w:rPr>
          <w:color w:val="000000"/>
          <w:sz w:val="24"/>
          <w:szCs w:val="24"/>
        </w:rPr>
        <w:t xml:space="preserve"> </w:t>
      </w:r>
    </w:p>
    <w:p w:rsidR="00BB41A0" w:rsidRDefault="00313F34">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、《交银施罗德趋势优先混合型证券投资基金招募说明书》；</w:t>
      </w:r>
    </w:p>
    <w:p w:rsidR="00BB41A0" w:rsidRDefault="00313F34">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、《交银施罗德趋势优先混合型证券投资基金托管协议》；</w:t>
      </w:r>
      <w:r>
        <w:rPr>
          <w:color w:val="000000"/>
          <w:sz w:val="24"/>
          <w:szCs w:val="24"/>
        </w:rPr>
        <w:t xml:space="preserve"> </w:t>
      </w:r>
    </w:p>
    <w:p w:rsidR="00BB41A0" w:rsidRDefault="00313F34">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、关于申请募集交银施罗德趋势优先股票证券投资基金之法律意见书；</w:t>
      </w:r>
    </w:p>
    <w:p w:rsidR="00BB41A0" w:rsidRDefault="00313F34">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p>
    <w:p w:rsidR="00BB41A0" w:rsidRDefault="00313F34">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、报告期内交银施罗德趋势优先混合型证券投资基金在指定报刊上各项公告的原稿。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BB41A0" w:rsidRDefault="00313F34">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F5A" w:rsidRDefault="00102F5A" w:rsidP="00876D65">
      <w:r>
        <w:separator/>
      </w:r>
    </w:p>
  </w:endnote>
  <w:endnote w:type="continuationSeparator" w:id="0">
    <w:p w:rsidR="00102F5A" w:rsidRDefault="00102F5A"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006A28">
      <w:rPr>
        <w:kern w:val="0"/>
        <w:szCs w:val="21"/>
      </w:rPr>
      <w:fldChar w:fldCharType="begin"/>
    </w:r>
    <w:r>
      <w:rPr>
        <w:kern w:val="0"/>
        <w:szCs w:val="21"/>
      </w:rPr>
      <w:instrText xml:space="preserve"> PAGE </w:instrText>
    </w:r>
    <w:r w:rsidR="00006A28">
      <w:rPr>
        <w:kern w:val="0"/>
        <w:szCs w:val="21"/>
      </w:rPr>
      <w:fldChar w:fldCharType="separate"/>
    </w:r>
    <w:r w:rsidR="00984808">
      <w:rPr>
        <w:noProof/>
        <w:kern w:val="0"/>
        <w:szCs w:val="21"/>
      </w:rPr>
      <w:t>10</w:t>
    </w:r>
    <w:r w:rsidR="00006A28">
      <w:rPr>
        <w:kern w:val="0"/>
        <w:szCs w:val="21"/>
      </w:rPr>
      <w:fldChar w:fldCharType="end"/>
    </w:r>
    <w:r>
      <w:rPr>
        <w:rFonts w:hint="eastAsia"/>
        <w:kern w:val="0"/>
        <w:szCs w:val="21"/>
      </w:rPr>
      <w:t>页共</w:t>
    </w:r>
    <w:r w:rsidR="00006A28">
      <w:rPr>
        <w:kern w:val="0"/>
        <w:szCs w:val="21"/>
      </w:rPr>
      <w:fldChar w:fldCharType="begin"/>
    </w:r>
    <w:r>
      <w:rPr>
        <w:kern w:val="0"/>
        <w:szCs w:val="21"/>
      </w:rPr>
      <w:instrText xml:space="preserve"> NUMPAGES </w:instrText>
    </w:r>
    <w:r w:rsidR="00006A28">
      <w:rPr>
        <w:kern w:val="0"/>
        <w:szCs w:val="21"/>
      </w:rPr>
      <w:fldChar w:fldCharType="separate"/>
    </w:r>
    <w:r w:rsidR="00984808">
      <w:rPr>
        <w:noProof/>
        <w:kern w:val="0"/>
        <w:szCs w:val="21"/>
      </w:rPr>
      <w:t>12</w:t>
    </w:r>
    <w:r w:rsidR="00006A28">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F5A" w:rsidRDefault="00102F5A" w:rsidP="00876D65">
      <w:r>
        <w:separator/>
      </w:r>
    </w:p>
  </w:footnote>
  <w:footnote w:type="continuationSeparator" w:id="0">
    <w:p w:rsidR="00102F5A" w:rsidRDefault="00102F5A"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交银施罗德趋势优先混合型证券投资基金</w:t>
    </w:r>
    <w:r w:rsidRPr="003E676C">
      <w:rPr>
        <w:sz w:val="24"/>
        <w:szCs w:val="24"/>
      </w:rPr>
      <w:t>2018</w:t>
    </w:r>
    <w:r w:rsidRPr="003E676C">
      <w:rPr>
        <w:sz w:val="24"/>
        <w:szCs w:val="24"/>
      </w:rPr>
      <w:t>年第</w:t>
    </w:r>
    <w:r w:rsidRPr="003E676C">
      <w:rPr>
        <w:sz w:val="24"/>
        <w:szCs w:val="24"/>
      </w:rPr>
      <w:t>2</w:t>
    </w:r>
    <w:r w:rsidRPr="003E676C">
      <w:rPr>
        <w:sz w:val="24"/>
        <w:szCs w:val="24"/>
      </w:rPr>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883"/>
    <w:rsid w:val="000B1D21"/>
    <w:rsid w:val="000B1EB7"/>
    <w:rsid w:val="000B5C78"/>
    <w:rsid w:val="000B624F"/>
    <w:rsid w:val="000B73C6"/>
    <w:rsid w:val="000C190B"/>
    <w:rsid w:val="000C1E17"/>
    <w:rsid w:val="000C5216"/>
    <w:rsid w:val="000D0E6C"/>
    <w:rsid w:val="000D11DE"/>
    <w:rsid w:val="000D3ED4"/>
    <w:rsid w:val="000E5DA5"/>
    <w:rsid w:val="000E688B"/>
    <w:rsid w:val="000E7E5E"/>
    <w:rsid w:val="000F6CC8"/>
    <w:rsid w:val="00102F5A"/>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3F34"/>
    <w:rsid w:val="00315D5D"/>
    <w:rsid w:val="00316484"/>
    <w:rsid w:val="00316E01"/>
    <w:rsid w:val="00320300"/>
    <w:rsid w:val="00320E90"/>
    <w:rsid w:val="00324508"/>
    <w:rsid w:val="003259C8"/>
    <w:rsid w:val="003307FE"/>
    <w:rsid w:val="00333AD0"/>
    <w:rsid w:val="00336EAF"/>
    <w:rsid w:val="00340936"/>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AA3"/>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4808"/>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41A0"/>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3578"/>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B814DB8-F36B-4E44-AAAD-8618D7D1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 w:id="195667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8170A-00D8-46EF-A786-62D3F00CF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1821</TotalTime>
  <Pages>12</Pages>
  <Words>1069</Words>
  <Characters>6095</Characters>
  <Application>Microsoft Office Word</Application>
  <DocSecurity>0</DocSecurity>
  <Lines>50</Lines>
  <Paragraphs>14</Paragraphs>
  <ScaleCrop>false</ScaleCrop>
  <Company/>
  <LinksUpToDate>false</LinksUpToDate>
  <CharactersWithSpaces>7150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583</cp:revision>
  <dcterms:created xsi:type="dcterms:W3CDTF">2012-10-16T06:07:00Z</dcterms:created>
  <dcterms:modified xsi:type="dcterms:W3CDTF">2018-07-16T09:44:00Z</dcterms:modified>
</cp:coreProperties>
</file>