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2018</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2018</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二〇一八年七月十八日</w:t>
      </w:r>
    </w:p>
    <w:p w:rsidR="00220542" w:rsidRPr="0036023B" w:rsidRDefault="00220542" w:rsidP="006D2F4A">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5F59CA" w:rsidRDefault="0025358B">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F59CA" w:rsidRDefault="0025358B">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F59CA" w:rsidRDefault="0025358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F59CA" w:rsidRDefault="0025358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5F59CA" w:rsidRDefault="0025358B">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2018</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367,524,362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5358B" w:rsidRPr="0036023B" w:rsidTr="0025358B">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(2018</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-2018</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25358B" w:rsidRPr="0036023B" w:rsidTr="0025358B">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1,686,779.85</w:t>
            </w:r>
          </w:p>
        </w:tc>
      </w:tr>
      <w:tr w:rsidR="0025358B" w:rsidRPr="0036023B" w:rsidTr="0025358B">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-35,234,412.15</w:t>
            </w:r>
          </w:p>
        </w:tc>
      </w:tr>
      <w:tr w:rsidR="0025358B" w:rsidRPr="0036023B" w:rsidTr="0025358B">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5C6704">
            <w:pPr>
              <w:adjustRightInd w:val="0"/>
              <w:spacing w:before="29" w:line="288" w:lineRule="auto"/>
              <w:ind w:left="17"/>
              <w:jc w:val="right"/>
              <w:rPr>
                <w:color w:val="000000"/>
                <w:sz w:val="24"/>
              </w:rPr>
            </w:pPr>
            <w:r w:rsidRPr="0036023B">
              <w:rPr>
                <w:color w:val="000000"/>
                <w:sz w:val="24"/>
              </w:rPr>
              <w:t>-0.</w:t>
            </w:r>
            <w:r w:rsidR="005C6704" w:rsidRPr="0036023B">
              <w:rPr>
                <w:color w:val="000000"/>
                <w:sz w:val="24"/>
              </w:rPr>
              <w:t>094</w:t>
            </w:r>
            <w:r w:rsidR="005C6704">
              <w:rPr>
                <w:color w:val="000000"/>
                <w:sz w:val="24"/>
              </w:rPr>
              <w:t>3</w:t>
            </w:r>
          </w:p>
        </w:tc>
      </w:tr>
      <w:tr w:rsidR="0025358B" w:rsidRPr="0036023B" w:rsidTr="0025358B">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379,219,379.65</w:t>
            </w:r>
          </w:p>
        </w:tc>
      </w:tr>
      <w:tr w:rsidR="0025358B" w:rsidRPr="0036023B" w:rsidTr="0025358B">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1.032</w:t>
            </w:r>
          </w:p>
        </w:tc>
      </w:tr>
    </w:tbl>
    <w:p w:rsidR="005F59CA" w:rsidRDefault="0025358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5F59CA">
        <w:trPr>
          <w:jc w:val="center"/>
        </w:trPr>
        <w:tc>
          <w:tcPr>
            <w:tcW w:w="1469" w:type="dxa"/>
            <w:vAlign w:val="center"/>
          </w:tcPr>
          <w:p w:rsidR="005F59CA" w:rsidRDefault="0025358B">
            <w:pPr>
              <w:jc w:val="left"/>
            </w:pPr>
            <w:r>
              <w:rPr>
                <w:color w:val="000000"/>
                <w:sz w:val="24"/>
              </w:rPr>
              <w:t>过去三个月</w:t>
            </w:r>
          </w:p>
        </w:tc>
        <w:tc>
          <w:tcPr>
            <w:tcW w:w="1150" w:type="dxa"/>
            <w:vAlign w:val="center"/>
          </w:tcPr>
          <w:p w:rsidR="005F59CA" w:rsidRDefault="0025358B">
            <w:pPr>
              <w:jc w:val="center"/>
            </w:pPr>
            <w:r>
              <w:rPr>
                <w:color w:val="000000"/>
                <w:sz w:val="24"/>
              </w:rPr>
              <w:t>-8.43%</w:t>
            </w:r>
          </w:p>
        </w:tc>
        <w:tc>
          <w:tcPr>
            <w:tcW w:w="1223" w:type="dxa"/>
            <w:vAlign w:val="center"/>
          </w:tcPr>
          <w:p w:rsidR="005F59CA" w:rsidRDefault="0025358B">
            <w:pPr>
              <w:jc w:val="center"/>
            </w:pPr>
            <w:r>
              <w:rPr>
                <w:color w:val="000000"/>
                <w:sz w:val="24"/>
              </w:rPr>
              <w:t>1.04%</w:t>
            </w:r>
          </w:p>
        </w:tc>
        <w:tc>
          <w:tcPr>
            <w:tcW w:w="1244" w:type="dxa"/>
            <w:vAlign w:val="center"/>
          </w:tcPr>
          <w:p w:rsidR="005F59CA" w:rsidRDefault="0025358B">
            <w:pPr>
              <w:jc w:val="center"/>
            </w:pPr>
            <w:r>
              <w:rPr>
                <w:color w:val="000000"/>
                <w:sz w:val="24"/>
              </w:rPr>
              <w:t>-9.43%</w:t>
            </w:r>
          </w:p>
        </w:tc>
        <w:tc>
          <w:tcPr>
            <w:tcW w:w="1251" w:type="dxa"/>
            <w:vAlign w:val="center"/>
          </w:tcPr>
          <w:p w:rsidR="005F59CA" w:rsidRDefault="0025358B">
            <w:pPr>
              <w:jc w:val="center"/>
            </w:pPr>
            <w:r>
              <w:rPr>
                <w:color w:val="000000"/>
                <w:sz w:val="24"/>
              </w:rPr>
              <w:t>1.03%</w:t>
            </w:r>
          </w:p>
        </w:tc>
        <w:tc>
          <w:tcPr>
            <w:tcW w:w="1263" w:type="dxa"/>
            <w:vAlign w:val="center"/>
          </w:tcPr>
          <w:p w:rsidR="005F59CA" w:rsidRDefault="0025358B">
            <w:pPr>
              <w:jc w:val="center"/>
            </w:pPr>
            <w:r>
              <w:rPr>
                <w:color w:val="000000"/>
                <w:sz w:val="24"/>
              </w:rPr>
              <w:t>1.00%</w:t>
            </w:r>
          </w:p>
        </w:tc>
        <w:tc>
          <w:tcPr>
            <w:tcW w:w="1268" w:type="dxa"/>
            <w:vAlign w:val="center"/>
          </w:tcPr>
          <w:p w:rsidR="005F59CA" w:rsidRDefault="0025358B">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lastRenderedPageBreak/>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2018</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5F59CA">
        <w:trPr>
          <w:jc w:val="center"/>
        </w:trPr>
        <w:tc>
          <w:tcPr>
            <w:tcW w:w="846" w:type="dxa"/>
            <w:vAlign w:val="center"/>
          </w:tcPr>
          <w:p w:rsidR="005F59CA" w:rsidRDefault="0025358B">
            <w:pPr>
              <w:jc w:val="center"/>
            </w:pPr>
            <w:r>
              <w:rPr>
                <w:color w:val="000000"/>
                <w:sz w:val="24"/>
              </w:rPr>
              <w:t>蔡铮</w:t>
            </w:r>
          </w:p>
        </w:tc>
        <w:tc>
          <w:tcPr>
            <w:tcW w:w="845" w:type="dxa"/>
            <w:vAlign w:val="center"/>
          </w:tcPr>
          <w:p w:rsidR="005F59CA" w:rsidRDefault="0025358B">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r>
              <w:rPr>
                <w:color w:val="000000"/>
                <w:sz w:val="24"/>
              </w:rPr>
              <w:lastRenderedPageBreak/>
              <w:t>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w:t>
            </w:r>
            <w:r>
              <w:rPr>
                <w:color w:val="000000"/>
                <w:sz w:val="24"/>
              </w:rPr>
              <w:lastRenderedPageBreak/>
              <w:t>副总监兼多元资产管理副总监</w:t>
            </w:r>
          </w:p>
        </w:tc>
        <w:tc>
          <w:tcPr>
            <w:tcW w:w="1549" w:type="dxa"/>
            <w:vAlign w:val="center"/>
          </w:tcPr>
          <w:p w:rsidR="005F59CA" w:rsidRDefault="0025358B">
            <w:pPr>
              <w:jc w:val="center"/>
            </w:pPr>
            <w:r>
              <w:rPr>
                <w:color w:val="000000"/>
                <w:sz w:val="24"/>
              </w:rPr>
              <w:lastRenderedPageBreak/>
              <w:t>2012-12-27</w:t>
            </w:r>
          </w:p>
        </w:tc>
        <w:tc>
          <w:tcPr>
            <w:tcW w:w="1548" w:type="dxa"/>
            <w:vAlign w:val="center"/>
          </w:tcPr>
          <w:p w:rsidR="005F59CA" w:rsidRDefault="0025358B">
            <w:pPr>
              <w:jc w:val="center"/>
            </w:pPr>
            <w:r>
              <w:rPr>
                <w:color w:val="000000"/>
                <w:sz w:val="24"/>
              </w:rPr>
              <w:t>-</w:t>
            </w:r>
          </w:p>
        </w:tc>
        <w:tc>
          <w:tcPr>
            <w:tcW w:w="1407" w:type="dxa"/>
            <w:vAlign w:val="center"/>
          </w:tcPr>
          <w:p w:rsidR="005F59CA" w:rsidRDefault="0025358B">
            <w:pPr>
              <w:jc w:val="center"/>
            </w:pPr>
            <w:r>
              <w:rPr>
                <w:color w:val="000000"/>
                <w:sz w:val="24"/>
              </w:rPr>
              <w:t>9</w:t>
            </w:r>
            <w:r>
              <w:rPr>
                <w:color w:val="000000"/>
                <w:sz w:val="24"/>
              </w:rPr>
              <w:t>年</w:t>
            </w:r>
          </w:p>
        </w:tc>
        <w:tc>
          <w:tcPr>
            <w:tcW w:w="2673" w:type="dxa"/>
            <w:vAlign w:val="center"/>
          </w:tcPr>
          <w:p w:rsidR="005F59CA" w:rsidRDefault="0025358B">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w:t>
            </w:r>
            <w:r>
              <w:rPr>
                <w:color w:val="000000"/>
                <w:sz w:val="24"/>
              </w:rPr>
              <w:lastRenderedPageBreak/>
              <w:t>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5F59CA" w:rsidRDefault="0025358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F59CA" w:rsidRDefault="0025358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F59CA" w:rsidRDefault="0025358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5F59CA" w:rsidRDefault="0025358B">
      <w:pPr>
        <w:spacing w:before="29" w:line="288" w:lineRule="auto"/>
        <w:ind w:firstLineChars="200" w:firstLine="480"/>
        <w:rPr>
          <w:color w:val="000000"/>
          <w:sz w:val="24"/>
        </w:rPr>
      </w:pPr>
      <w:r>
        <w:rPr>
          <w:color w:val="000000"/>
          <w:sz w:val="24"/>
        </w:rPr>
        <w:t>2018</w:t>
      </w:r>
      <w:r>
        <w:rPr>
          <w:color w:val="000000"/>
          <w:sz w:val="24"/>
        </w:rPr>
        <w:t>年二季度国内经济整体延续稳定状态，投资增速缓中趋稳，政策层面持续推行经济结构优化和去杠杆，从长期看有利于经济增长进入高质量发展的新时代。短期因中美贸易摩擦的不确定性增加、美元加息、汇率波动等各因素频发，二季度</w:t>
      </w:r>
      <w:r>
        <w:rPr>
          <w:color w:val="000000"/>
          <w:sz w:val="24"/>
        </w:rPr>
        <w:t>A</w:t>
      </w:r>
      <w:r>
        <w:rPr>
          <w:color w:val="000000"/>
          <w:sz w:val="24"/>
        </w:rPr>
        <w:t>股市场波动加大，阶段性下行。作为跟踪基准指数的指数基金，二季度基金总体呈现出震荡向下的走势。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我们认为通胀仍将维持温和，货币中性稳健，财政政策持续发力。中美贸易摩擦的影响在短期内或仍将延续，但市场经历了二季度的剧烈调整，许多行业指数已接近合理估值区间，目前股价也包含了投资者较为悲观的预期，总体而言，从中长期来看我们对</w:t>
      </w:r>
      <w:r w:rsidRPr="0036023B">
        <w:rPr>
          <w:color w:val="000000"/>
          <w:sz w:val="24"/>
        </w:rPr>
        <w:t>A</w:t>
      </w:r>
      <w:r w:rsidRPr="0036023B">
        <w:rPr>
          <w:color w:val="000000"/>
          <w:sz w:val="24"/>
        </w:rPr>
        <w:t>股市场仍维持谨慎中性的看法。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2018</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日，本基金份额净值</w:t>
      </w:r>
      <w:r w:rsidRPr="0036023B">
        <w:rPr>
          <w:color w:val="000000"/>
          <w:sz w:val="24"/>
        </w:rPr>
        <w:t>1.032</w:t>
      </w:r>
      <w:r w:rsidRPr="0036023B">
        <w:rPr>
          <w:color w:val="000000"/>
          <w:sz w:val="24"/>
        </w:rPr>
        <w:t>元，本报告期份额净值增长率为</w:t>
      </w:r>
      <w:r w:rsidRPr="0036023B">
        <w:rPr>
          <w:color w:val="000000"/>
          <w:sz w:val="24"/>
        </w:rPr>
        <w:t>-8.43%</w:t>
      </w:r>
      <w:r w:rsidRPr="0036023B">
        <w:rPr>
          <w:color w:val="000000"/>
          <w:sz w:val="24"/>
        </w:rPr>
        <w:t>，同期业绩比较基准增长率为</w:t>
      </w:r>
      <w:r w:rsidRPr="0036023B">
        <w:rPr>
          <w:color w:val="000000"/>
          <w:sz w:val="24"/>
        </w:rPr>
        <w:t>-9.43%</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Pr="006D2F4A"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r w:rsidRPr="006D2F4A">
              <w:rPr>
                <w:rFonts w:eastAsiaTheme="minorEastAsia"/>
                <w:color w:val="000000" w:themeColor="text1"/>
                <w:sz w:val="24"/>
              </w:rPr>
              <w:t>(</w:t>
            </w:r>
            <w:r w:rsidRPr="006D2F4A">
              <w:rPr>
                <w:rFonts w:eastAsiaTheme="minorEastAsia"/>
                <w:color w:val="000000" w:themeColor="text1"/>
                <w:sz w:val="24"/>
              </w:rPr>
              <w:t>元</w:t>
            </w: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373,969,489.64</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98.48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373,969,489.64</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98.48</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5,760,879.48</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1.52</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3,072.39</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379,733,441.51</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926,250.54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0.24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22,989,472.88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6.06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89,799,119.22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23.68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18,374,447.94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4.85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25,268,536.99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6.66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7,926,130.28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2.09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14,034,743.61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3.70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8,220,595.64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2.17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25358B" w:rsidP="0099526C">
            <w:pPr>
              <w:spacing w:before="29" w:line="288" w:lineRule="auto"/>
              <w:jc w:val="right"/>
              <w:rPr>
                <w:sz w:val="24"/>
              </w:rPr>
            </w:pPr>
            <w:r w:rsidRPr="00D3223C">
              <w:rPr>
                <w:sz w:val="24"/>
              </w:rPr>
              <w:t>172,198,993.55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45.41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13,450,348.99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3.55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780,850.00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0.21</w:t>
            </w:r>
          </w:p>
        </w:tc>
      </w:tr>
      <w:tr w:rsidR="0025358B"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25358B" w:rsidRPr="0036023B" w:rsidRDefault="0025358B" w:rsidP="0025358B">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25358B" w:rsidRPr="0036023B" w:rsidRDefault="0025358B" w:rsidP="0025358B">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25358B" w:rsidRPr="0036023B" w:rsidRDefault="0025358B" w:rsidP="0025358B">
            <w:pPr>
              <w:spacing w:before="29" w:line="288" w:lineRule="auto"/>
              <w:jc w:val="right"/>
              <w:rPr>
                <w:sz w:val="24"/>
              </w:rPr>
            </w:pPr>
            <w:r w:rsidRPr="00D3223C">
              <w:rPr>
                <w:sz w:val="24"/>
              </w:rPr>
              <w:t>373,969,489.64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25358B" w:rsidRPr="0036023B" w:rsidRDefault="0025358B" w:rsidP="0025358B">
            <w:pPr>
              <w:spacing w:before="29" w:line="288" w:lineRule="auto"/>
              <w:jc w:val="right"/>
              <w:rPr>
                <w:sz w:val="24"/>
              </w:rPr>
            </w:pPr>
            <w:r w:rsidRPr="0036023B">
              <w:rPr>
                <w:sz w:val="24"/>
              </w:rPr>
              <w:t>98.6</w:t>
            </w:r>
            <w:r>
              <w:rPr>
                <w:sz w:val="24"/>
              </w:rPr>
              <w:t>2</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5F59CA">
        <w:trPr>
          <w:jc w:val="center"/>
        </w:trPr>
        <w:tc>
          <w:tcPr>
            <w:tcW w:w="850" w:type="dxa"/>
            <w:vAlign w:val="center"/>
          </w:tcPr>
          <w:p w:rsidR="005F59CA" w:rsidRDefault="0025358B">
            <w:pPr>
              <w:jc w:val="center"/>
            </w:pPr>
            <w:r>
              <w:rPr>
                <w:color w:val="000000"/>
                <w:sz w:val="24"/>
              </w:rPr>
              <w:t>1</w:t>
            </w:r>
          </w:p>
        </w:tc>
        <w:tc>
          <w:tcPr>
            <w:tcW w:w="1327" w:type="dxa"/>
            <w:vAlign w:val="center"/>
          </w:tcPr>
          <w:p w:rsidR="005F59CA" w:rsidRDefault="0025358B">
            <w:pPr>
              <w:jc w:val="center"/>
            </w:pPr>
            <w:r>
              <w:rPr>
                <w:color w:val="000000"/>
                <w:sz w:val="24"/>
              </w:rPr>
              <w:t>601318</w:t>
            </w:r>
          </w:p>
        </w:tc>
        <w:tc>
          <w:tcPr>
            <w:tcW w:w="1769" w:type="dxa"/>
            <w:vAlign w:val="center"/>
          </w:tcPr>
          <w:p w:rsidR="005F59CA" w:rsidRDefault="0025358B">
            <w:pPr>
              <w:jc w:val="center"/>
            </w:pPr>
            <w:r>
              <w:rPr>
                <w:color w:val="000000"/>
                <w:sz w:val="24"/>
              </w:rPr>
              <w:t>中国平安</w:t>
            </w:r>
          </w:p>
        </w:tc>
        <w:tc>
          <w:tcPr>
            <w:tcW w:w="1327" w:type="dxa"/>
            <w:vAlign w:val="center"/>
          </w:tcPr>
          <w:p w:rsidR="005F59CA" w:rsidRDefault="0025358B">
            <w:pPr>
              <w:jc w:val="right"/>
            </w:pPr>
            <w:r>
              <w:rPr>
                <w:color w:val="000000"/>
                <w:sz w:val="24"/>
              </w:rPr>
              <w:t>944,335</w:t>
            </w:r>
          </w:p>
        </w:tc>
        <w:tc>
          <w:tcPr>
            <w:tcW w:w="1915" w:type="dxa"/>
            <w:vAlign w:val="center"/>
          </w:tcPr>
          <w:p w:rsidR="005F59CA" w:rsidRDefault="0025358B">
            <w:pPr>
              <w:jc w:val="right"/>
            </w:pPr>
            <w:r>
              <w:rPr>
                <w:color w:val="000000"/>
                <w:sz w:val="24"/>
              </w:rPr>
              <w:t>55,319,144.30</w:t>
            </w:r>
          </w:p>
        </w:tc>
        <w:tc>
          <w:tcPr>
            <w:tcW w:w="1680" w:type="dxa"/>
            <w:vAlign w:val="center"/>
          </w:tcPr>
          <w:p w:rsidR="005F59CA" w:rsidRDefault="0025358B">
            <w:pPr>
              <w:jc w:val="right"/>
            </w:pPr>
            <w:r>
              <w:rPr>
                <w:color w:val="000000"/>
                <w:sz w:val="24"/>
              </w:rPr>
              <w:t>14.59</w:t>
            </w:r>
          </w:p>
        </w:tc>
      </w:tr>
      <w:tr w:rsidR="005F59CA">
        <w:trPr>
          <w:jc w:val="center"/>
        </w:trPr>
        <w:tc>
          <w:tcPr>
            <w:tcW w:w="850" w:type="dxa"/>
            <w:vAlign w:val="center"/>
          </w:tcPr>
          <w:p w:rsidR="005F59CA" w:rsidRDefault="0025358B">
            <w:pPr>
              <w:jc w:val="center"/>
            </w:pPr>
            <w:r>
              <w:rPr>
                <w:color w:val="000000"/>
                <w:sz w:val="24"/>
              </w:rPr>
              <w:t>2</w:t>
            </w:r>
          </w:p>
        </w:tc>
        <w:tc>
          <w:tcPr>
            <w:tcW w:w="1327" w:type="dxa"/>
            <w:vAlign w:val="center"/>
          </w:tcPr>
          <w:p w:rsidR="005F59CA" w:rsidRDefault="0025358B">
            <w:pPr>
              <w:jc w:val="center"/>
            </w:pPr>
            <w:r>
              <w:rPr>
                <w:color w:val="000000"/>
                <w:sz w:val="24"/>
              </w:rPr>
              <w:t>600036</w:t>
            </w:r>
          </w:p>
        </w:tc>
        <w:tc>
          <w:tcPr>
            <w:tcW w:w="1769" w:type="dxa"/>
            <w:vAlign w:val="center"/>
          </w:tcPr>
          <w:p w:rsidR="005F59CA" w:rsidRDefault="0025358B">
            <w:pPr>
              <w:jc w:val="center"/>
            </w:pPr>
            <w:r>
              <w:rPr>
                <w:color w:val="000000"/>
                <w:sz w:val="24"/>
              </w:rPr>
              <w:t>招商银行</w:t>
            </w:r>
          </w:p>
        </w:tc>
        <w:tc>
          <w:tcPr>
            <w:tcW w:w="1327" w:type="dxa"/>
            <w:vAlign w:val="center"/>
          </w:tcPr>
          <w:p w:rsidR="005F59CA" w:rsidRDefault="0025358B">
            <w:pPr>
              <w:jc w:val="right"/>
            </w:pPr>
            <w:r>
              <w:rPr>
                <w:color w:val="000000"/>
                <w:sz w:val="24"/>
              </w:rPr>
              <w:t>904,082</w:t>
            </w:r>
          </w:p>
        </w:tc>
        <w:tc>
          <w:tcPr>
            <w:tcW w:w="1915" w:type="dxa"/>
            <w:vAlign w:val="center"/>
          </w:tcPr>
          <w:p w:rsidR="005F59CA" w:rsidRDefault="0025358B">
            <w:pPr>
              <w:jc w:val="right"/>
            </w:pPr>
            <w:r>
              <w:rPr>
                <w:color w:val="000000"/>
                <w:sz w:val="24"/>
              </w:rPr>
              <w:t>23,903,928.08</w:t>
            </w:r>
          </w:p>
        </w:tc>
        <w:tc>
          <w:tcPr>
            <w:tcW w:w="1680" w:type="dxa"/>
            <w:vAlign w:val="center"/>
          </w:tcPr>
          <w:p w:rsidR="005F59CA" w:rsidRDefault="0025358B">
            <w:pPr>
              <w:jc w:val="right"/>
            </w:pPr>
            <w:r>
              <w:rPr>
                <w:color w:val="000000"/>
                <w:sz w:val="24"/>
              </w:rPr>
              <w:t>6.30</w:t>
            </w:r>
          </w:p>
        </w:tc>
      </w:tr>
      <w:tr w:rsidR="005F59CA">
        <w:trPr>
          <w:jc w:val="center"/>
        </w:trPr>
        <w:tc>
          <w:tcPr>
            <w:tcW w:w="850" w:type="dxa"/>
            <w:vAlign w:val="center"/>
          </w:tcPr>
          <w:p w:rsidR="005F59CA" w:rsidRDefault="0025358B">
            <w:pPr>
              <w:jc w:val="center"/>
            </w:pPr>
            <w:r>
              <w:rPr>
                <w:color w:val="000000"/>
                <w:sz w:val="24"/>
              </w:rPr>
              <w:t>3</w:t>
            </w:r>
          </w:p>
        </w:tc>
        <w:tc>
          <w:tcPr>
            <w:tcW w:w="1327" w:type="dxa"/>
            <w:vAlign w:val="center"/>
          </w:tcPr>
          <w:p w:rsidR="005F59CA" w:rsidRDefault="0025358B">
            <w:pPr>
              <w:jc w:val="center"/>
            </w:pPr>
            <w:r>
              <w:rPr>
                <w:color w:val="000000"/>
                <w:sz w:val="24"/>
              </w:rPr>
              <w:t>601166</w:t>
            </w:r>
          </w:p>
        </w:tc>
        <w:tc>
          <w:tcPr>
            <w:tcW w:w="1769" w:type="dxa"/>
            <w:vAlign w:val="center"/>
          </w:tcPr>
          <w:p w:rsidR="005F59CA" w:rsidRDefault="0025358B">
            <w:pPr>
              <w:jc w:val="center"/>
            </w:pPr>
            <w:r>
              <w:rPr>
                <w:color w:val="000000"/>
                <w:sz w:val="24"/>
              </w:rPr>
              <w:t>兴业银行</w:t>
            </w:r>
          </w:p>
        </w:tc>
        <w:tc>
          <w:tcPr>
            <w:tcW w:w="1327" w:type="dxa"/>
            <w:vAlign w:val="center"/>
          </w:tcPr>
          <w:p w:rsidR="005F59CA" w:rsidRDefault="0025358B">
            <w:pPr>
              <w:jc w:val="right"/>
            </w:pPr>
            <w:r>
              <w:rPr>
                <w:color w:val="000000"/>
                <w:sz w:val="24"/>
              </w:rPr>
              <w:t>1,092,562</w:t>
            </w:r>
          </w:p>
        </w:tc>
        <w:tc>
          <w:tcPr>
            <w:tcW w:w="1915" w:type="dxa"/>
            <w:vAlign w:val="center"/>
          </w:tcPr>
          <w:p w:rsidR="005F59CA" w:rsidRDefault="0025358B">
            <w:pPr>
              <w:jc w:val="right"/>
            </w:pPr>
            <w:r>
              <w:rPr>
                <w:color w:val="000000"/>
                <w:sz w:val="24"/>
              </w:rPr>
              <w:t>15,732,892.80</w:t>
            </w:r>
          </w:p>
        </w:tc>
        <w:tc>
          <w:tcPr>
            <w:tcW w:w="1680" w:type="dxa"/>
            <w:vAlign w:val="center"/>
          </w:tcPr>
          <w:p w:rsidR="005F59CA" w:rsidRDefault="0025358B">
            <w:pPr>
              <w:jc w:val="right"/>
            </w:pPr>
            <w:r>
              <w:rPr>
                <w:color w:val="000000"/>
                <w:sz w:val="24"/>
              </w:rPr>
              <w:t>4.15</w:t>
            </w:r>
          </w:p>
        </w:tc>
      </w:tr>
      <w:tr w:rsidR="005F59CA">
        <w:trPr>
          <w:jc w:val="center"/>
        </w:trPr>
        <w:tc>
          <w:tcPr>
            <w:tcW w:w="850" w:type="dxa"/>
            <w:vAlign w:val="center"/>
          </w:tcPr>
          <w:p w:rsidR="005F59CA" w:rsidRDefault="0025358B">
            <w:pPr>
              <w:jc w:val="center"/>
            </w:pPr>
            <w:r>
              <w:rPr>
                <w:color w:val="000000"/>
                <w:sz w:val="24"/>
              </w:rPr>
              <w:t>4</w:t>
            </w:r>
          </w:p>
        </w:tc>
        <w:tc>
          <w:tcPr>
            <w:tcW w:w="1327" w:type="dxa"/>
            <w:vAlign w:val="center"/>
          </w:tcPr>
          <w:p w:rsidR="005F59CA" w:rsidRDefault="0025358B">
            <w:pPr>
              <w:jc w:val="center"/>
            </w:pPr>
            <w:r>
              <w:rPr>
                <w:color w:val="000000"/>
                <w:sz w:val="24"/>
              </w:rPr>
              <w:t>600104</w:t>
            </w:r>
          </w:p>
        </w:tc>
        <w:tc>
          <w:tcPr>
            <w:tcW w:w="1769" w:type="dxa"/>
            <w:vAlign w:val="center"/>
          </w:tcPr>
          <w:p w:rsidR="005F59CA" w:rsidRDefault="0025358B">
            <w:pPr>
              <w:jc w:val="center"/>
            </w:pPr>
            <w:r>
              <w:rPr>
                <w:color w:val="000000"/>
                <w:sz w:val="24"/>
              </w:rPr>
              <w:t>上汽集团</w:t>
            </w:r>
          </w:p>
        </w:tc>
        <w:tc>
          <w:tcPr>
            <w:tcW w:w="1327" w:type="dxa"/>
            <w:vAlign w:val="center"/>
          </w:tcPr>
          <w:p w:rsidR="005F59CA" w:rsidRDefault="0025358B">
            <w:pPr>
              <w:jc w:val="right"/>
            </w:pPr>
            <w:r>
              <w:rPr>
                <w:color w:val="000000"/>
                <w:sz w:val="24"/>
              </w:rPr>
              <w:t>307,216</w:t>
            </w:r>
          </w:p>
        </w:tc>
        <w:tc>
          <w:tcPr>
            <w:tcW w:w="1915" w:type="dxa"/>
            <w:vAlign w:val="center"/>
          </w:tcPr>
          <w:p w:rsidR="005F59CA" w:rsidRDefault="0025358B">
            <w:pPr>
              <w:jc w:val="right"/>
            </w:pPr>
            <w:r>
              <w:rPr>
                <w:color w:val="000000"/>
                <w:sz w:val="24"/>
              </w:rPr>
              <w:t>10,749,487.84</w:t>
            </w:r>
          </w:p>
        </w:tc>
        <w:tc>
          <w:tcPr>
            <w:tcW w:w="1680" w:type="dxa"/>
            <w:vAlign w:val="center"/>
          </w:tcPr>
          <w:p w:rsidR="005F59CA" w:rsidRDefault="0025358B">
            <w:pPr>
              <w:jc w:val="right"/>
            </w:pPr>
            <w:r>
              <w:rPr>
                <w:color w:val="000000"/>
                <w:sz w:val="24"/>
              </w:rPr>
              <w:t>2.83</w:t>
            </w:r>
          </w:p>
        </w:tc>
      </w:tr>
      <w:tr w:rsidR="005F59CA">
        <w:trPr>
          <w:jc w:val="center"/>
        </w:trPr>
        <w:tc>
          <w:tcPr>
            <w:tcW w:w="850" w:type="dxa"/>
            <w:vAlign w:val="center"/>
          </w:tcPr>
          <w:p w:rsidR="005F59CA" w:rsidRDefault="0025358B">
            <w:pPr>
              <w:jc w:val="center"/>
            </w:pPr>
            <w:r>
              <w:rPr>
                <w:color w:val="000000"/>
                <w:sz w:val="24"/>
              </w:rPr>
              <w:t>5</w:t>
            </w:r>
          </w:p>
        </w:tc>
        <w:tc>
          <w:tcPr>
            <w:tcW w:w="1327" w:type="dxa"/>
            <w:vAlign w:val="center"/>
          </w:tcPr>
          <w:p w:rsidR="005F59CA" w:rsidRDefault="0025358B">
            <w:pPr>
              <w:jc w:val="center"/>
            </w:pPr>
            <w:r>
              <w:rPr>
                <w:color w:val="000000"/>
                <w:sz w:val="24"/>
              </w:rPr>
              <w:t>601398</w:t>
            </w:r>
          </w:p>
        </w:tc>
        <w:tc>
          <w:tcPr>
            <w:tcW w:w="1769" w:type="dxa"/>
            <w:vAlign w:val="center"/>
          </w:tcPr>
          <w:p w:rsidR="005F59CA" w:rsidRDefault="0025358B">
            <w:pPr>
              <w:jc w:val="center"/>
            </w:pPr>
            <w:r>
              <w:rPr>
                <w:color w:val="000000"/>
                <w:sz w:val="24"/>
              </w:rPr>
              <w:t>工商银行</w:t>
            </w:r>
          </w:p>
        </w:tc>
        <w:tc>
          <w:tcPr>
            <w:tcW w:w="1327" w:type="dxa"/>
            <w:vAlign w:val="center"/>
          </w:tcPr>
          <w:p w:rsidR="005F59CA" w:rsidRDefault="0025358B">
            <w:pPr>
              <w:jc w:val="right"/>
            </w:pPr>
            <w:r>
              <w:rPr>
                <w:color w:val="000000"/>
                <w:sz w:val="24"/>
              </w:rPr>
              <w:t>1,890,451</w:t>
            </w:r>
          </w:p>
        </w:tc>
        <w:tc>
          <w:tcPr>
            <w:tcW w:w="1915" w:type="dxa"/>
            <w:vAlign w:val="center"/>
          </w:tcPr>
          <w:p w:rsidR="005F59CA" w:rsidRDefault="0025358B">
            <w:pPr>
              <w:jc w:val="right"/>
            </w:pPr>
            <w:r>
              <w:rPr>
                <w:color w:val="000000"/>
                <w:sz w:val="24"/>
              </w:rPr>
              <w:t>10,057,199.32</w:t>
            </w:r>
          </w:p>
        </w:tc>
        <w:tc>
          <w:tcPr>
            <w:tcW w:w="1680" w:type="dxa"/>
            <w:vAlign w:val="center"/>
          </w:tcPr>
          <w:p w:rsidR="005F59CA" w:rsidRDefault="0025358B">
            <w:pPr>
              <w:jc w:val="right"/>
            </w:pPr>
            <w:r>
              <w:rPr>
                <w:color w:val="000000"/>
                <w:sz w:val="24"/>
              </w:rPr>
              <w:t>2.65</w:t>
            </w:r>
          </w:p>
        </w:tc>
      </w:tr>
      <w:tr w:rsidR="005F59CA">
        <w:trPr>
          <w:jc w:val="center"/>
        </w:trPr>
        <w:tc>
          <w:tcPr>
            <w:tcW w:w="850" w:type="dxa"/>
            <w:vAlign w:val="center"/>
          </w:tcPr>
          <w:p w:rsidR="005F59CA" w:rsidRDefault="0025358B">
            <w:pPr>
              <w:jc w:val="center"/>
            </w:pPr>
            <w:r>
              <w:rPr>
                <w:color w:val="000000"/>
                <w:sz w:val="24"/>
              </w:rPr>
              <w:t>6</w:t>
            </w:r>
          </w:p>
        </w:tc>
        <w:tc>
          <w:tcPr>
            <w:tcW w:w="1327" w:type="dxa"/>
            <w:vAlign w:val="center"/>
          </w:tcPr>
          <w:p w:rsidR="005F59CA" w:rsidRDefault="0025358B">
            <w:pPr>
              <w:jc w:val="center"/>
            </w:pPr>
            <w:r>
              <w:rPr>
                <w:color w:val="000000"/>
                <w:sz w:val="24"/>
              </w:rPr>
              <w:t>601668</w:t>
            </w:r>
          </w:p>
        </w:tc>
        <w:tc>
          <w:tcPr>
            <w:tcW w:w="1769" w:type="dxa"/>
            <w:vAlign w:val="center"/>
          </w:tcPr>
          <w:p w:rsidR="005F59CA" w:rsidRDefault="0025358B">
            <w:pPr>
              <w:jc w:val="center"/>
            </w:pPr>
            <w:r>
              <w:rPr>
                <w:color w:val="000000"/>
                <w:sz w:val="24"/>
              </w:rPr>
              <w:t>中国建筑</w:t>
            </w:r>
          </w:p>
        </w:tc>
        <w:tc>
          <w:tcPr>
            <w:tcW w:w="1327" w:type="dxa"/>
            <w:vAlign w:val="center"/>
          </w:tcPr>
          <w:p w:rsidR="005F59CA" w:rsidRDefault="0025358B">
            <w:pPr>
              <w:jc w:val="right"/>
            </w:pPr>
            <w:r>
              <w:rPr>
                <w:color w:val="000000"/>
                <w:sz w:val="24"/>
              </w:rPr>
              <w:t>1,840,725</w:t>
            </w:r>
          </w:p>
        </w:tc>
        <w:tc>
          <w:tcPr>
            <w:tcW w:w="1915" w:type="dxa"/>
            <w:vAlign w:val="center"/>
          </w:tcPr>
          <w:p w:rsidR="005F59CA" w:rsidRDefault="0025358B">
            <w:pPr>
              <w:jc w:val="right"/>
            </w:pPr>
            <w:r>
              <w:rPr>
                <w:color w:val="000000"/>
                <w:sz w:val="24"/>
              </w:rPr>
              <w:t>10,050,358.50</w:t>
            </w:r>
          </w:p>
        </w:tc>
        <w:tc>
          <w:tcPr>
            <w:tcW w:w="1680" w:type="dxa"/>
            <w:vAlign w:val="center"/>
          </w:tcPr>
          <w:p w:rsidR="005F59CA" w:rsidRDefault="0025358B">
            <w:pPr>
              <w:jc w:val="right"/>
            </w:pPr>
            <w:r>
              <w:rPr>
                <w:color w:val="000000"/>
                <w:sz w:val="24"/>
              </w:rPr>
              <w:t>2.65</w:t>
            </w:r>
          </w:p>
        </w:tc>
      </w:tr>
      <w:tr w:rsidR="005F59CA">
        <w:trPr>
          <w:jc w:val="center"/>
        </w:trPr>
        <w:tc>
          <w:tcPr>
            <w:tcW w:w="850" w:type="dxa"/>
            <w:vAlign w:val="center"/>
          </w:tcPr>
          <w:p w:rsidR="005F59CA" w:rsidRDefault="0025358B">
            <w:pPr>
              <w:jc w:val="center"/>
            </w:pPr>
            <w:r>
              <w:rPr>
                <w:color w:val="000000"/>
                <w:sz w:val="24"/>
              </w:rPr>
              <w:t>7</w:t>
            </w:r>
          </w:p>
        </w:tc>
        <w:tc>
          <w:tcPr>
            <w:tcW w:w="1327" w:type="dxa"/>
            <w:vAlign w:val="center"/>
          </w:tcPr>
          <w:p w:rsidR="005F59CA" w:rsidRDefault="0025358B">
            <w:pPr>
              <w:jc w:val="center"/>
            </w:pPr>
            <w:r>
              <w:rPr>
                <w:color w:val="000000"/>
                <w:sz w:val="24"/>
              </w:rPr>
              <w:t>600000</w:t>
            </w:r>
          </w:p>
        </w:tc>
        <w:tc>
          <w:tcPr>
            <w:tcW w:w="1769" w:type="dxa"/>
            <w:vAlign w:val="center"/>
          </w:tcPr>
          <w:p w:rsidR="005F59CA" w:rsidRDefault="0025358B">
            <w:pPr>
              <w:jc w:val="center"/>
            </w:pPr>
            <w:r>
              <w:rPr>
                <w:color w:val="000000"/>
                <w:sz w:val="24"/>
              </w:rPr>
              <w:t>浦发银行</w:t>
            </w:r>
          </w:p>
        </w:tc>
        <w:tc>
          <w:tcPr>
            <w:tcW w:w="1327" w:type="dxa"/>
            <w:vAlign w:val="center"/>
          </w:tcPr>
          <w:p w:rsidR="005F59CA" w:rsidRDefault="0025358B">
            <w:pPr>
              <w:jc w:val="right"/>
            </w:pPr>
            <w:r>
              <w:rPr>
                <w:color w:val="000000"/>
                <w:sz w:val="24"/>
              </w:rPr>
              <w:t>1,029,045</w:t>
            </w:r>
          </w:p>
        </w:tc>
        <w:tc>
          <w:tcPr>
            <w:tcW w:w="1915" w:type="dxa"/>
            <w:vAlign w:val="center"/>
          </w:tcPr>
          <w:p w:rsidR="005F59CA" w:rsidRDefault="0025358B">
            <w:pPr>
              <w:jc w:val="right"/>
            </w:pPr>
            <w:r>
              <w:rPr>
                <w:color w:val="000000"/>
                <w:sz w:val="24"/>
              </w:rPr>
              <w:t>9,837,670.20</w:t>
            </w:r>
          </w:p>
        </w:tc>
        <w:tc>
          <w:tcPr>
            <w:tcW w:w="1680" w:type="dxa"/>
            <w:vAlign w:val="center"/>
          </w:tcPr>
          <w:p w:rsidR="005F59CA" w:rsidRDefault="0025358B">
            <w:pPr>
              <w:jc w:val="right"/>
            </w:pPr>
            <w:r>
              <w:rPr>
                <w:color w:val="000000"/>
                <w:sz w:val="24"/>
              </w:rPr>
              <w:t>2.59</w:t>
            </w:r>
          </w:p>
        </w:tc>
      </w:tr>
      <w:tr w:rsidR="005F59CA">
        <w:trPr>
          <w:jc w:val="center"/>
        </w:trPr>
        <w:tc>
          <w:tcPr>
            <w:tcW w:w="850" w:type="dxa"/>
            <w:vAlign w:val="center"/>
          </w:tcPr>
          <w:p w:rsidR="005F59CA" w:rsidRDefault="0025358B">
            <w:pPr>
              <w:jc w:val="center"/>
            </w:pPr>
            <w:r>
              <w:rPr>
                <w:color w:val="000000"/>
                <w:sz w:val="24"/>
              </w:rPr>
              <w:t>8</w:t>
            </w:r>
          </w:p>
        </w:tc>
        <w:tc>
          <w:tcPr>
            <w:tcW w:w="1327" w:type="dxa"/>
            <w:vAlign w:val="center"/>
          </w:tcPr>
          <w:p w:rsidR="005F59CA" w:rsidRDefault="0025358B">
            <w:pPr>
              <w:jc w:val="center"/>
            </w:pPr>
            <w:r>
              <w:rPr>
                <w:color w:val="000000"/>
                <w:sz w:val="24"/>
              </w:rPr>
              <w:t>600900</w:t>
            </w:r>
          </w:p>
        </w:tc>
        <w:tc>
          <w:tcPr>
            <w:tcW w:w="1769" w:type="dxa"/>
            <w:vAlign w:val="center"/>
          </w:tcPr>
          <w:p w:rsidR="005F59CA" w:rsidRDefault="0025358B">
            <w:pPr>
              <w:jc w:val="center"/>
            </w:pPr>
            <w:r>
              <w:rPr>
                <w:color w:val="000000"/>
                <w:sz w:val="24"/>
              </w:rPr>
              <w:t>长江电力</w:t>
            </w:r>
          </w:p>
        </w:tc>
        <w:tc>
          <w:tcPr>
            <w:tcW w:w="1327" w:type="dxa"/>
            <w:vAlign w:val="center"/>
          </w:tcPr>
          <w:p w:rsidR="005F59CA" w:rsidRDefault="0025358B">
            <w:pPr>
              <w:jc w:val="right"/>
            </w:pPr>
            <w:r>
              <w:rPr>
                <w:color w:val="000000"/>
                <w:sz w:val="24"/>
              </w:rPr>
              <w:t>578,540</w:t>
            </w:r>
          </w:p>
        </w:tc>
        <w:tc>
          <w:tcPr>
            <w:tcW w:w="1915" w:type="dxa"/>
            <w:vAlign w:val="center"/>
          </w:tcPr>
          <w:p w:rsidR="005F59CA" w:rsidRDefault="0025358B">
            <w:pPr>
              <w:jc w:val="right"/>
            </w:pPr>
            <w:r>
              <w:rPr>
                <w:color w:val="000000"/>
                <w:sz w:val="24"/>
              </w:rPr>
              <w:t>9,337,635.60</w:t>
            </w:r>
          </w:p>
        </w:tc>
        <w:tc>
          <w:tcPr>
            <w:tcW w:w="1680" w:type="dxa"/>
            <w:vAlign w:val="center"/>
          </w:tcPr>
          <w:p w:rsidR="005F59CA" w:rsidRDefault="0025358B">
            <w:pPr>
              <w:jc w:val="right"/>
            </w:pPr>
            <w:r>
              <w:rPr>
                <w:color w:val="000000"/>
                <w:sz w:val="24"/>
              </w:rPr>
              <w:t>2.46</w:t>
            </w:r>
          </w:p>
        </w:tc>
      </w:tr>
      <w:tr w:rsidR="005F59CA">
        <w:trPr>
          <w:jc w:val="center"/>
        </w:trPr>
        <w:tc>
          <w:tcPr>
            <w:tcW w:w="850" w:type="dxa"/>
            <w:vAlign w:val="center"/>
          </w:tcPr>
          <w:p w:rsidR="005F59CA" w:rsidRDefault="0025358B">
            <w:pPr>
              <w:jc w:val="center"/>
            </w:pPr>
            <w:r>
              <w:rPr>
                <w:color w:val="000000"/>
                <w:sz w:val="24"/>
              </w:rPr>
              <w:t>9</w:t>
            </w:r>
          </w:p>
        </w:tc>
        <w:tc>
          <w:tcPr>
            <w:tcW w:w="1327" w:type="dxa"/>
            <w:vAlign w:val="center"/>
          </w:tcPr>
          <w:p w:rsidR="005F59CA" w:rsidRDefault="0025358B">
            <w:pPr>
              <w:jc w:val="center"/>
            </w:pPr>
            <w:r>
              <w:rPr>
                <w:color w:val="000000"/>
                <w:sz w:val="24"/>
              </w:rPr>
              <w:t>601601</w:t>
            </w:r>
          </w:p>
        </w:tc>
        <w:tc>
          <w:tcPr>
            <w:tcW w:w="1769" w:type="dxa"/>
            <w:vAlign w:val="center"/>
          </w:tcPr>
          <w:p w:rsidR="005F59CA" w:rsidRDefault="0025358B">
            <w:pPr>
              <w:jc w:val="center"/>
            </w:pPr>
            <w:r>
              <w:rPr>
                <w:color w:val="000000"/>
                <w:sz w:val="24"/>
              </w:rPr>
              <w:t>中国太保</w:t>
            </w:r>
          </w:p>
        </w:tc>
        <w:tc>
          <w:tcPr>
            <w:tcW w:w="1327" w:type="dxa"/>
            <w:vAlign w:val="center"/>
          </w:tcPr>
          <w:p w:rsidR="005F59CA" w:rsidRDefault="0025358B">
            <w:pPr>
              <w:jc w:val="right"/>
            </w:pPr>
            <w:r>
              <w:rPr>
                <w:color w:val="000000"/>
                <w:sz w:val="24"/>
              </w:rPr>
              <w:t>273,099</w:t>
            </w:r>
          </w:p>
        </w:tc>
        <w:tc>
          <w:tcPr>
            <w:tcW w:w="1915" w:type="dxa"/>
            <w:vAlign w:val="center"/>
          </w:tcPr>
          <w:p w:rsidR="005F59CA" w:rsidRDefault="0025358B">
            <w:pPr>
              <w:jc w:val="right"/>
            </w:pPr>
            <w:r>
              <w:rPr>
                <w:color w:val="000000"/>
                <w:sz w:val="24"/>
              </w:rPr>
              <w:t>8,698,203.15</w:t>
            </w:r>
          </w:p>
        </w:tc>
        <w:tc>
          <w:tcPr>
            <w:tcW w:w="1680" w:type="dxa"/>
            <w:vAlign w:val="center"/>
          </w:tcPr>
          <w:p w:rsidR="005F59CA" w:rsidRDefault="0025358B">
            <w:pPr>
              <w:jc w:val="right"/>
            </w:pPr>
            <w:r>
              <w:rPr>
                <w:color w:val="000000"/>
                <w:sz w:val="24"/>
              </w:rPr>
              <w:t>2.29</w:t>
            </w:r>
          </w:p>
        </w:tc>
      </w:tr>
      <w:tr w:rsidR="005F59CA">
        <w:trPr>
          <w:jc w:val="center"/>
        </w:trPr>
        <w:tc>
          <w:tcPr>
            <w:tcW w:w="850" w:type="dxa"/>
            <w:vAlign w:val="center"/>
          </w:tcPr>
          <w:p w:rsidR="005F59CA" w:rsidRDefault="0025358B">
            <w:pPr>
              <w:jc w:val="center"/>
            </w:pPr>
            <w:r>
              <w:rPr>
                <w:color w:val="000000"/>
                <w:sz w:val="24"/>
              </w:rPr>
              <w:t>10</w:t>
            </w:r>
          </w:p>
        </w:tc>
        <w:tc>
          <w:tcPr>
            <w:tcW w:w="1327" w:type="dxa"/>
            <w:vAlign w:val="center"/>
          </w:tcPr>
          <w:p w:rsidR="005F59CA" w:rsidRDefault="0025358B">
            <w:pPr>
              <w:jc w:val="center"/>
            </w:pPr>
            <w:r>
              <w:rPr>
                <w:color w:val="000000"/>
                <w:sz w:val="24"/>
              </w:rPr>
              <w:t>600048</w:t>
            </w:r>
          </w:p>
        </w:tc>
        <w:tc>
          <w:tcPr>
            <w:tcW w:w="1769" w:type="dxa"/>
            <w:vAlign w:val="center"/>
          </w:tcPr>
          <w:p w:rsidR="005F59CA" w:rsidRDefault="0025358B">
            <w:pPr>
              <w:jc w:val="center"/>
            </w:pPr>
            <w:r>
              <w:rPr>
                <w:color w:val="000000"/>
                <w:sz w:val="24"/>
              </w:rPr>
              <w:t>保利地产</w:t>
            </w:r>
          </w:p>
        </w:tc>
        <w:tc>
          <w:tcPr>
            <w:tcW w:w="1327" w:type="dxa"/>
            <w:vAlign w:val="center"/>
          </w:tcPr>
          <w:p w:rsidR="005F59CA" w:rsidRDefault="0025358B">
            <w:pPr>
              <w:jc w:val="right"/>
            </w:pPr>
            <w:r>
              <w:rPr>
                <w:color w:val="000000"/>
                <w:sz w:val="24"/>
              </w:rPr>
              <w:t>623,659</w:t>
            </w:r>
          </w:p>
        </w:tc>
        <w:tc>
          <w:tcPr>
            <w:tcW w:w="1915" w:type="dxa"/>
            <w:vAlign w:val="center"/>
          </w:tcPr>
          <w:p w:rsidR="005F59CA" w:rsidRDefault="0025358B">
            <w:pPr>
              <w:jc w:val="right"/>
            </w:pPr>
            <w:r>
              <w:rPr>
                <w:color w:val="000000"/>
                <w:sz w:val="24"/>
              </w:rPr>
              <w:t>7,608,639.80</w:t>
            </w:r>
          </w:p>
        </w:tc>
        <w:tc>
          <w:tcPr>
            <w:tcW w:w="1680" w:type="dxa"/>
            <w:vAlign w:val="center"/>
          </w:tcPr>
          <w:p w:rsidR="005F59CA" w:rsidRDefault="0025358B">
            <w:pPr>
              <w:jc w:val="right"/>
            </w:pPr>
            <w:r>
              <w:rPr>
                <w:color w:val="000000"/>
                <w:sz w:val="24"/>
              </w:rPr>
              <w:t>2.01</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lastRenderedPageBreak/>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报告期内本基金投资的前十名证券的发行主体除浦发银行（证券代码：</w:t>
      </w:r>
      <w:r w:rsidRPr="008119CB">
        <w:rPr>
          <w:color w:val="000000"/>
          <w:kern w:val="0"/>
          <w:sz w:val="24"/>
        </w:rPr>
        <w:t>600000</w:t>
      </w:r>
      <w:r w:rsidRPr="008119CB">
        <w:rPr>
          <w:color w:val="000000"/>
          <w:kern w:val="0"/>
          <w:sz w:val="24"/>
        </w:rPr>
        <w:t>）外，未出现被监管部门立案调查，或在报告编制日前一年内受到公开谴责、处罚的情形。</w:t>
      </w:r>
    </w:p>
    <w:p w:rsidR="005F59CA" w:rsidRDefault="0025358B">
      <w:pPr>
        <w:autoSpaceDE w:val="0"/>
        <w:autoSpaceDN w:val="0"/>
        <w:adjustRightInd w:val="0"/>
        <w:spacing w:before="29" w:line="288" w:lineRule="auto"/>
        <w:jc w:val="left"/>
        <w:rPr>
          <w:color w:val="000000"/>
          <w:kern w:val="0"/>
          <w:sz w:val="24"/>
        </w:rPr>
      </w:pPr>
      <w:r>
        <w:rPr>
          <w:color w:val="000000"/>
          <w:kern w:val="0"/>
          <w:sz w:val="24"/>
        </w:rPr>
        <w:t>报告期内本基金投资的前十名证券之一浦发银行（证券代码：</w:t>
      </w:r>
      <w:r>
        <w:rPr>
          <w:color w:val="000000"/>
          <w:kern w:val="0"/>
          <w:sz w:val="24"/>
        </w:rPr>
        <w:t>600000</w:t>
      </w:r>
      <w:r>
        <w:rPr>
          <w:color w:val="000000"/>
          <w:kern w:val="0"/>
          <w:sz w:val="24"/>
        </w:rPr>
        <w:t>）收到中国银行业监督管理委员会四川监管局（以下简称</w:t>
      </w:r>
      <w:r>
        <w:rPr>
          <w:color w:val="000000"/>
          <w:kern w:val="0"/>
          <w:sz w:val="24"/>
        </w:rPr>
        <w:t>“</w:t>
      </w:r>
      <w:r>
        <w:rPr>
          <w:color w:val="000000"/>
          <w:kern w:val="0"/>
          <w:sz w:val="24"/>
        </w:rPr>
        <w:t>银监会四川监管局</w:t>
      </w:r>
      <w:r>
        <w:rPr>
          <w:color w:val="000000"/>
          <w:kern w:val="0"/>
          <w:sz w:val="24"/>
        </w:rPr>
        <w:t>”</w:t>
      </w:r>
      <w:r>
        <w:rPr>
          <w:color w:val="000000"/>
          <w:kern w:val="0"/>
          <w:sz w:val="24"/>
        </w:rPr>
        <w:t>）行政处罚决定书（川银监罚字【</w:t>
      </w:r>
      <w:r>
        <w:rPr>
          <w:color w:val="000000"/>
          <w:kern w:val="0"/>
          <w:sz w:val="24"/>
        </w:rPr>
        <w:t>2018</w:t>
      </w:r>
      <w:r>
        <w:rPr>
          <w:color w:val="000000"/>
          <w:kern w:val="0"/>
          <w:sz w:val="24"/>
        </w:rPr>
        <w:t>】</w:t>
      </w:r>
      <w:r>
        <w:rPr>
          <w:color w:val="000000"/>
          <w:kern w:val="0"/>
          <w:sz w:val="24"/>
        </w:rPr>
        <w:t>2</w:t>
      </w:r>
      <w:r>
        <w:rPr>
          <w:color w:val="000000"/>
          <w:kern w:val="0"/>
          <w:sz w:val="24"/>
        </w:rPr>
        <w:t>号）</w:t>
      </w:r>
      <w:r>
        <w:rPr>
          <w:color w:val="000000"/>
          <w:kern w:val="0"/>
          <w:sz w:val="24"/>
        </w:rPr>
        <w:t>,</w:t>
      </w:r>
      <w:r>
        <w:rPr>
          <w:color w:val="000000"/>
          <w:kern w:val="0"/>
          <w:sz w:val="24"/>
        </w:rPr>
        <w:t>对成都分行内控管理严重失效</w:t>
      </w:r>
      <w:r>
        <w:rPr>
          <w:color w:val="000000"/>
          <w:kern w:val="0"/>
          <w:sz w:val="24"/>
        </w:rPr>
        <w:t>,</w:t>
      </w:r>
      <w:r>
        <w:rPr>
          <w:color w:val="000000"/>
          <w:kern w:val="0"/>
          <w:sz w:val="24"/>
        </w:rPr>
        <w:t>授信管理违规，违规办理信贷业务等严重违反审慎经营规则的违规行为依法查处，执行罚款</w:t>
      </w:r>
      <w:r>
        <w:rPr>
          <w:color w:val="000000"/>
          <w:kern w:val="0"/>
          <w:sz w:val="24"/>
        </w:rPr>
        <w:t>46,175</w:t>
      </w:r>
      <w:r>
        <w:rPr>
          <w:color w:val="000000"/>
          <w:kern w:val="0"/>
          <w:sz w:val="24"/>
        </w:rPr>
        <w:t>万元人民币。</w:t>
      </w:r>
    </w:p>
    <w:p w:rsidR="005F59CA" w:rsidRDefault="0025358B">
      <w:pPr>
        <w:autoSpaceDE w:val="0"/>
        <w:autoSpaceDN w:val="0"/>
        <w:adjustRightInd w:val="0"/>
        <w:spacing w:before="29" w:line="288" w:lineRule="auto"/>
        <w:jc w:val="left"/>
        <w:rPr>
          <w:color w:val="000000"/>
          <w:kern w:val="0"/>
          <w:sz w:val="24"/>
        </w:rPr>
      </w:pPr>
      <w:r>
        <w:rPr>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2,106.06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966.33</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lastRenderedPageBreak/>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3,072.39</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本基金本报告期末积极投资前五名股票中不存在流通受限情况。</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742ADC" w:rsidRPr="00C51B4E" w:rsidRDefault="00742ADC" w:rsidP="006D2F4A">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742ADC" w:rsidRPr="00C51B4E" w:rsidRDefault="00742ADC" w:rsidP="00742ADC">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742ADC" w:rsidRPr="00C51B4E" w:rsidRDefault="00742ADC" w:rsidP="00742ADC">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742ADC" w:rsidRPr="00C51B4E" w:rsidRDefault="00742ADC" w:rsidP="006D2F4A">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742ADC" w:rsidRPr="00C51B4E" w:rsidRDefault="00742ADC" w:rsidP="00742ADC">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742ADC" w:rsidRDefault="00742ADC" w:rsidP="006D2F4A">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p w:rsidR="00BC7013" w:rsidRPr="00C51B4E" w:rsidRDefault="00BC7013" w:rsidP="00BC7013">
      <w:pPr>
        <w:adjustRightInd w:val="0"/>
        <w:snapToGrid w:val="0"/>
        <w:spacing w:beforeLines="50" w:before="156" w:line="360" w:lineRule="auto"/>
        <w:ind w:firstLineChars="200" w:firstLine="420"/>
        <w:rPr>
          <w:rFonts w:eastAsiaTheme="minorEastAsia" w:hint="eastAsia"/>
          <w:b/>
          <w:color w:val="000000" w:themeColor="text1"/>
          <w:kern w:val="0"/>
          <w:szCs w:val="21"/>
        </w:rPr>
      </w:pPr>
      <w:bookmarkStart w:id="0" w:name="_GoBack"/>
      <w:bookmarkEnd w:id="0"/>
      <w:r w:rsidRPr="00C51B4E">
        <w:rPr>
          <w:rFonts w:eastAsiaTheme="minorEastAsia" w:hint="eastAsia"/>
          <w:color w:val="000000" w:themeColor="text1"/>
          <w:szCs w:val="21"/>
        </w:rPr>
        <w:t>无。</w:t>
      </w:r>
    </w:p>
    <w:p w:rsidR="00220542" w:rsidRPr="0036023B" w:rsidRDefault="0055680B" w:rsidP="006D2F4A">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§7</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377,524,362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12,000,000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lastRenderedPageBreak/>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367,524,362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6D2F4A">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8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8.1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8.2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6D2F4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F59CA">
        <w:tc>
          <w:tcPr>
            <w:tcW w:w="992" w:type="dxa"/>
          </w:tcPr>
          <w:p w:rsidR="005F59CA" w:rsidRDefault="005F59CA"/>
          <w:p w:rsidR="005F59CA" w:rsidRDefault="0025358B">
            <w:r>
              <w:rPr>
                <w:rFonts w:ascii="宋体" w:hAnsi="宋体" w:hint="eastAsia"/>
                <w:kern w:val="0"/>
                <w:szCs w:val="21"/>
              </w:rPr>
              <w:t>交银施罗德上证180公司治理交易型开放式指数证券投资基金联接基金</w:t>
            </w:r>
          </w:p>
        </w:tc>
        <w:tc>
          <w:tcPr>
            <w:tcW w:w="991" w:type="dxa"/>
            <w:vAlign w:val="center"/>
          </w:tcPr>
          <w:p w:rsidR="005F59CA" w:rsidRDefault="0025358B">
            <w:pPr>
              <w:jc w:val="center"/>
            </w:pPr>
            <w:r>
              <w:rPr>
                <w:rFonts w:ascii="宋体" w:hAnsi="宋体" w:hint="eastAsia"/>
                <w:bCs/>
                <w:color w:val="000000"/>
                <w:kern w:val="0"/>
                <w:szCs w:val="21"/>
              </w:rPr>
              <w:t>1</w:t>
            </w:r>
          </w:p>
        </w:tc>
        <w:tc>
          <w:tcPr>
            <w:tcW w:w="1843" w:type="dxa"/>
            <w:vAlign w:val="center"/>
          </w:tcPr>
          <w:p w:rsidR="005F59CA" w:rsidRDefault="0025358B">
            <w:pPr>
              <w:jc w:val="center"/>
            </w:pPr>
            <w:r>
              <w:rPr>
                <w:rFonts w:ascii="宋体" w:hAnsi="宋体" w:hint="eastAsia"/>
                <w:bCs/>
                <w:color w:val="000000"/>
                <w:kern w:val="0"/>
                <w:szCs w:val="21"/>
              </w:rPr>
              <w:t>2018/4/1-2018/6/30</w:t>
            </w:r>
          </w:p>
        </w:tc>
        <w:tc>
          <w:tcPr>
            <w:tcW w:w="851" w:type="dxa"/>
            <w:vAlign w:val="center"/>
          </w:tcPr>
          <w:p w:rsidR="005F59CA" w:rsidRDefault="0025358B">
            <w:pPr>
              <w:jc w:val="center"/>
            </w:pPr>
            <w:r>
              <w:rPr>
                <w:rFonts w:ascii="宋体" w:hAnsi="宋体" w:hint="eastAsia"/>
                <w:bCs/>
                <w:color w:val="000000"/>
                <w:kern w:val="0"/>
                <w:szCs w:val="21"/>
              </w:rPr>
              <w:t>351,424,699.00</w:t>
            </w:r>
          </w:p>
        </w:tc>
        <w:tc>
          <w:tcPr>
            <w:tcW w:w="850" w:type="dxa"/>
            <w:vAlign w:val="center"/>
          </w:tcPr>
          <w:p w:rsidR="005F59CA" w:rsidRDefault="0025358B">
            <w:pPr>
              <w:jc w:val="center"/>
            </w:pPr>
            <w:r>
              <w:rPr>
                <w:rFonts w:ascii="宋体" w:hAnsi="宋体" w:hint="eastAsia"/>
                <w:bCs/>
                <w:color w:val="000000"/>
                <w:kern w:val="0"/>
                <w:szCs w:val="21"/>
              </w:rPr>
              <w:t>9,000,000.00</w:t>
            </w:r>
          </w:p>
        </w:tc>
        <w:tc>
          <w:tcPr>
            <w:tcW w:w="1134" w:type="dxa"/>
            <w:vAlign w:val="center"/>
          </w:tcPr>
          <w:p w:rsidR="005F59CA" w:rsidRDefault="0025358B">
            <w:pPr>
              <w:jc w:val="center"/>
            </w:pPr>
            <w:r>
              <w:rPr>
                <w:rFonts w:ascii="宋体" w:hAnsi="宋体" w:hint="eastAsia"/>
                <w:bCs/>
                <w:color w:val="000000"/>
                <w:kern w:val="0"/>
                <w:szCs w:val="21"/>
              </w:rPr>
              <w:t>18,000,000.00</w:t>
            </w:r>
          </w:p>
        </w:tc>
        <w:tc>
          <w:tcPr>
            <w:tcW w:w="1419" w:type="dxa"/>
            <w:vAlign w:val="center"/>
          </w:tcPr>
          <w:p w:rsidR="005F59CA" w:rsidRDefault="0025358B">
            <w:pPr>
              <w:jc w:val="center"/>
            </w:pPr>
            <w:r>
              <w:rPr>
                <w:rFonts w:ascii="宋体" w:hAnsi="宋体" w:hint="eastAsia"/>
                <w:bCs/>
                <w:color w:val="000000"/>
                <w:kern w:val="0"/>
                <w:szCs w:val="21"/>
              </w:rPr>
              <w:t>342,424,699.00</w:t>
            </w:r>
          </w:p>
        </w:tc>
        <w:tc>
          <w:tcPr>
            <w:tcW w:w="1130" w:type="dxa"/>
            <w:vAlign w:val="center"/>
          </w:tcPr>
          <w:p w:rsidR="005F59CA" w:rsidRDefault="0025358B">
            <w:pPr>
              <w:jc w:val="center"/>
            </w:pPr>
            <w:r>
              <w:rPr>
                <w:rFonts w:ascii="宋体" w:hAnsi="宋体" w:hint="eastAsia"/>
                <w:bCs/>
                <w:color w:val="000000"/>
                <w:kern w:val="0"/>
                <w:szCs w:val="21"/>
              </w:rPr>
              <w:t>93.17%</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981CE6" w:rsidRPr="00405A85"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lastRenderedPageBreak/>
        <w:t>§</w:t>
      </w:r>
      <w:r w:rsidR="00122A26" w:rsidRPr="0036023B">
        <w:rPr>
          <w:color w:val="000000"/>
          <w:kern w:val="0"/>
          <w:sz w:val="24"/>
          <w:szCs w:val="24"/>
        </w:rPr>
        <w:t>10</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5F59CA" w:rsidRDefault="0025358B">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5F59CA" w:rsidRDefault="0025358B">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5F59CA" w:rsidRDefault="0025358B">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5F59CA" w:rsidRDefault="0025358B">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5F59CA" w:rsidRDefault="0025358B">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5F59CA" w:rsidRDefault="0025358B">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5F59CA" w:rsidRDefault="0025358B">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5F59CA" w:rsidRDefault="0025358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0CE" w:rsidRDefault="00A350CE">
      <w:r>
        <w:separator/>
      </w:r>
    </w:p>
  </w:endnote>
  <w:endnote w:type="continuationSeparator" w:id="0">
    <w:p w:rsidR="00A350CE" w:rsidRDefault="00A35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A76DFA">
      <w:rPr>
        <w:kern w:val="0"/>
        <w:szCs w:val="21"/>
      </w:rPr>
      <w:fldChar w:fldCharType="begin"/>
    </w:r>
    <w:r>
      <w:rPr>
        <w:kern w:val="0"/>
        <w:szCs w:val="21"/>
      </w:rPr>
      <w:instrText xml:space="preserve"> PAGE </w:instrText>
    </w:r>
    <w:r w:rsidR="00A76DFA">
      <w:rPr>
        <w:kern w:val="0"/>
        <w:szCs w:val="21"/>
      </w:rPr>
      <w:fldChar w:fldCharType="separate"/>
    </w:r>
    <w:r w:rsidR="00BC7013">
      <w:rPr>
        <w:noProof/>
        <w:kern w:val="0"/>
        <w:szCs w:val="21"/>
      </w:rPr>
      <w:t>13</w:t>
    </w:r>
    <w:r w:rsidR="00A76DFA">
      <w:rPr>
        <w:kern w:val="0"/>
        <w:szCs w:val="21"/>
      </w:rPr>
      <w:fldChar w:fldCharType="end"/>
    </w:r>
    <w:proofErr w:type="gramStart"/>
    <w:r>
      <w:rPr>
        <w:rFonts w:hint="eastAsia"/>
        <w:kern w:val="0"/>
        <w:szCs w:val="21"/>
      </w:rPr>
      <w:t>页共</w:t>
    </w:r>
    <w:proofErr w:type="gramEnd"/>
    <w:r w:rsidR="00A76DFA">
      <w:rPr>
        <w:kern w:val="0"/>
        <w:szCs w:val="21"/>
      </w:rPr>
      <w:fldChar w:fldCharType="begin"/>
    </w:r>
    <w:r>
      <w:rPr>
        <w:kern w:val="0"/>
        <w:szCs w:val="21"/>
      </w:rPr>
      <w:instrText xml:space="preserve"> NUMPAGES </w:instrText>
    </w:r>
    <w:r w:rsidR="00A76DFA">
      <w:rPr>
        <w:kern w:val="0"/>
        <w:szCs w:val="21"/>
      </w:rPr>
      <w:fldChar w:fldCharType="separate"/>
    </w:r>
    <w:r w:rsidR="00BC7013">
      <w:rPr>
        <w:noProof/>
        <w:kern w:val="0"/>
        <w:szCs w:val="21"/>
      </w:rPr>
      <w:t>13</w:t>
    </w:r>
    <w:r w:rsidR="00A76DF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A76DFA">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0CE" w:rsidRDefault="00A350CE">
      <w:r>
        <w:separator/>
      </w:r>
    </w:p>
  </w:footnote>
  <w:footnote w:type="continuationSeparator" w:id="0">
    <w:p w:rsidR="00A350CE" w:rsidRDefault="00A35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上证</w:t>
    </w:r>
    <w:r w:rsidRPr="003E676C">
      <w:rPr>
        <w:sz w:val="24"/>
        <w:szCs w:val="24"/>
      </w:rPr>
      <w:t>180</w:t>
    </w:r>
    <w:r w:rsidRPr="003E676C">
      <w:rPr>
        <w:sz w:val="24"/>
        <w:szCs w:val="24"/>
      </w:rPr>
      <w:t>公司治理交易型开放式指数证券投资基金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58B"/>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A688B"/>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704"/>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59CA"/>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50CE"/>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C7013"/>
    <w:rsid w:val="00BD30C8"/>
    <w:rsid w:val="00BD3DFE"/>
    <w:rsid w:val="00BD3EB4"/>
    <w:rsid w:val="00BD596C"/>
    <w:rsid w:val="00BD5C65"/>
    <w:rsid w:val="00BD7DB4"/>
    <w:rsid w:val="00BE1A80"/>
    <w:rsid w:val="00BE2F07"/>
    <w:rsid w:val="00BE6018"/>
    <w:rsid w:val="00BF00F0"/>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5E84AD2-25F0-49F4-B825-028D40F6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 w:type="paragraph" w:styleId="af9">
    <w:name w:val="Revision"/>
    <w:hidden/>
    <w:uiPriority w:val="99"/>
    <w:semiHidden/>
    <w:rsid w:val="003A68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13</Pages>
  <Words>1124</Words>
  <Characters>6410</Characters>
  <Application>Microsoft Office Word</Application>
  <DocSecurity>0</DocSecurity>
  <Lines>53</Lines>
  <Paragraphs>15</Paragraphs>
  <ScaleCrop>false</ScaleCrop>
  <Company>TRT. Ltd. Co.</Company>
  <LinksUpToDate>false</LinksUpToDate>
  <CharactersWithSpaces>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395</cp:revision>
  <cp:lastPrinted>2007-07-19T00:46:00Z</cp:lastPrinted>
  <dcterms:created xsi:type="dcterms:W3CDTF">2012-11-21T04:46:00Z</dcterms:created>
  <dcterms:modified xsi:type="dcterms:W3CDTF">2018-07-16T08:08:00Z</dcterms:modified>
</cp:coreProperties>
</file>