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95A29" w:rsidRDefault="00F35B3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95A29" w:rsidRDefault="00F35B3E">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95A29" w:rsidRDefault="00F35B3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95A29" w:rsidRDefault="00F35B3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95A29" w:rsidRDefault="00F35B3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723,522,709.84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w:t>
            </w:r>
            <w:r w:rsidRPr="00414345">
              <w:rPr>
                <w:color w:val="000000"/>
                <w:kern w:val="0"/>
                <w:sz w:val="24"/>
                <w:szCs w:val="24"/>
              </w:rPr>
              <w:lastRenderedPageBreak/>
              <w:t>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35B3E" w:rsidRPr="00414345" w:rsidTr="00F35B3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35B3E" w:rsidRPr="00414345" w:rsidTr="00F35B3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22,416,912.98</w:t>
            </w:r>
          </w:p>
        </w:tc>
      </w:tr>
      <w:tr w:rsidR="00F35B3E" w:rsidRPr="00414345" w:rsidTr="00F35B3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-111,058,425.99</w:t>
            </w:r>
          </w:p>
        </w:tc>
      </w:tr>
      <w:tr w:rsidR="00F35B3E" w:rsidRPr="00414345" w:rsidTr="00F35B3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-0.1509</w:t>
            </w:r>
          </w:p>
        </w:tc>
      </w:tr>
      <w:tr w:rsidR="00F35B3E" w:rsidRPr="00414345" w:rsidTr="00F35B3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876,633,515.55</w:t>
            </w:r>
          </w:p>
        </w:tc>
      </w:tr>
      <w:tr w:rsidR="00F35B3E" w:rsidRPr="00414345" w:rsidTr="00F35B3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1.2116</w:t>
            </w:r>
          </w:p>
        </w:tc>
      </w:tr>
    </w:tbl>
    <w:p w:rsidR="00B95A29" w:rsidRDefault="00F35B3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95A29">
        <w:trPr>
          <w:jc w:val="center"/>
        </w:trPr>
        <w:tc>
          <w:tcPr>
            <w:tcW w:w="1701" w:type="dxa"/>
            <w:vAlign w:val="center"/>
          </w:tcPr>
          <w:p w:rsidR="00B95A29" w:rsidRDefault="00F35B3E">
            <w:pPr>
              <w:jc w:val="left"/>
            </w:pPr>
            <w:r>
              <w:rPr>
                <w:color w:val="000000"/>
                <w:sz w:val="24"/>
                <w:szCs w:val="24"/>
              </w:rPr>
              <w:t>过去三个月</w:t>
            </w:r>
          </w:p>
        </w:tc>
        <w:tc>
          <w:tcPr>
            <w:tcW w:w="1045" w:type="dxa"/>
            <w:vAlign w:val="center"/>
          </w:tcPr>
          <w:p w:rsidR="00B95A29" w:rsidRDefault="00F35B3E">
            <w:pPr>
              <w:jc w:val="center"/>
            </w:pPr>
            <w:r>
              <w:rPr>
                <w:color w:val="000000"/>
                <w:sz w:val="24"/>
                <w:szCs w:val="24"/>
              </w:rPr>
              <w:t>-10.68%</w:t>
            </w:r>
          </w:p>
        </w:tc>
        <w:tc>
          <w:tcPr>
            <w:tcW w:w="1344" w:type="dxa"/>
            <w:vAlign w:val="center"/>
          </w:tcPr>
          <w:p w:rsidR="00B95A29" w:rsidRDefault="00F35B3E">
            <w:pPr>
              <w:jc w:val="center"/>
            </w:pPr>
            <w:r>
              <w:rPr>
                <w:color w:val="000000"/>
                <w:sz w:val="24"/>
                <w:szCs w:val="24"/>
              </w:rPr>
              <w:t>2.12%</w:t>
            </w:r>
          </w:p>
        </w:tc>
        <w:tc>
          <w:tcPr>
            <w:tcW w:w="1194" w:type="dxa"/>
            <w:vAlign w:val="center"/>
          </w:tcPr>
          <w:p w:rsidR="00B95A29" w:rsidRDefault="00F35B3E">
            <w:pPr>
              <w:jc w:val="center"/>
            </w:pPr>
            <w:r>
              <w:rPr>
                <w:color w:val="000000"/>
                <w:sz w:val="24"/>
                <w:szCs w:val="24"/>
              </w:rPr>
              <w:t>-9.86%</w:t>
            </w:r>
          </w:p>
        </w:tc>
        <w:tc>
          <w:tcPr>
            <w:tcW w:w="1492" w:type="dxa"/>
            <w:vAlign w:val="center"/>
          </w:tcPr>
          <w:p w:rsidR="00B95A29" w:rsidRDefault="00F35B3E">
            <w:pPr>
              <w:jc w:val="center"/>
            </w:pPr>
            <w:r>
              <w:rPr>
                <w:color w:val="000000"/>
                <w:sz w:val="24"/>
                <w:szCs w:val="24"/>
              </w:rPr>
              <w:t>0.96%</w:t>
            </w:r>
          </w:p>
        </w:tc>
        <w:tc>
          <w:tcPr>
            <w:tcW w:w="1194" w:type="dxa"/>
            <w:vAlign w:val="center"/>
          </w:tcPr>
          <w:p w:rsidR="00B95A29" w:rsidRDefault="00F35B3E">
            <w:pPr>
              <w:jc w:val="center"/>
            </w:pPr>
            <w:r>
              <w:rPr>
                <w:color w:val="000000"/>
                <w:sz w:val="24"/>
                <w:szCs w:val="24"/>
              </w:rPr>
              <w:t>-0.82%</w:t>
            </w:r>
          </w:p>
        </w:tc>
        <w:tc>
          <w:tcPr>
            <w:tcW w:w="898" w:type="dxa"/>
            <w:vAlign w:val="center"/>
          </w:tcPr>
          <w:p w:rsidR="00B95A29" w:rsidRDefault="00F35B3E">
            <w:pPr>
              <w:jc w:val="center"/>
            </w:pPr>
            <w:r>
              <w:rPr>
                <w:color w:val="000000"/>
                <w:sz w:val="24"/>
                <w:szCs w:val="24"/>
              </w:rPr>
              <w:t>1.16%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w:t>
      </w:r>
      <w:r w:rsidRPr="00414345">
        <w:rPr>
          <w:color w:val="000000"/>
          <w:sz w:val="24"/>
          <w:szCs w:val="24"/>
        </w:rPr>
        <w:lastRenderedPageBreak/>
        <w:t>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95A29">
        <w:trPr>
          <w:jc w:val="center"/>
        </w:trPr>
        <w:tc>
          <w:tcPr>
            <w:tcW w:w="846" w:type="dxa"/>
            <w:vAlign w:val="center"/>
          </w:tcPr>
          <w:p w:rsidR="00B95A29" w:rsidRDefault="00F35B3E">
            <w:pPr>
              <w:jc w:val="center"/>
            </w:pPr>
            <w:r>
              <w:rPr>
                <w:color w:val="000000"/>
                <w:sz w:val="24"/>
                <w:szCs w:val="24"/>
              </w:rPr>
              <w:t>芮晨</w:t>
            </w:r>
          </w:p>
        </w:tc>
        <w:tc>
          <w:tcPr>
            <w:tcW w:w="845" w:type="dxa"/>
            <w:vAlign w:val="center"/>
          </w:tcPr>
          <w:p w:rsidR="00B95A29" w:rsidRDefault="00F35B3E">
            <w:pPr>
              <w:jc w:val="center"/>
            </w:pPr>
            <w:r>
              <w:rPr>
                <w:color w:val="000000"/>
                <w:sz w:val="24"/>
                <w:szCs w:val="24"/>
              </w:rPr>
              <w:t>交银先锋混合、交银科技创新灵活</w:t>
            </w:r>
            <w:r>
              <w:rPr>
                <w:color w:val="000000"/>
                <w:sz w:val="24"/>
                <w:szCs w:val="24"/>
              </w:rPr>
              <w:lastRenderedPageBreak/>
              <w:t>配置混合、交银数据产业灵活配置混合的基金经理</w:t>
            </w:r>
          </w:p>
        </w:tc>
        <w:tc>
          <w:tcPr>
            <w:tcW w:w="1549" w:type="dxa"/>
            <w:vAlign w:val="center"/>
          </w:tcPr>
          <w:p w:rsidR="00B95A29" w:rsidRDefault="00F35B3E">
            <w:pPr>
              <w:jc w:val="center"/>
            </w:pPr>
            <w:r>
              <w:rPr>
                <w:color w:val="000000"/>
                <w:sz w:val="24"/>
                <w:szCs w:val="24"/>
              </w:rPr>
              <w:lastRenderedPageBreak/>
              <w:t>2015-05-18</w:t>
            </w:r>
          </w:p>
        </w:tc>
        <w:tc>
          <w:tcPr>
            <w:tcW w:w="1548" w:type="dxa"/>
            <w:vAlign w:val="center"/>
          </w:tcPr>
          <w:p w:rsidR="00B95A29" w:rsidRDefault="00F35B3E">
            <w:pPr>
              <w:jc w:val="center"/>
            </w:pPr>
            <w:r>
              <w:rPr>
                <w:color w:val="000000"/>
                <w:sz w:val="24"/>
                <w:szCs w:val="24"/>
              </w:rPr>
              <w:t>-</w:t>
            </w:r>
          </w:p>
        </w:tc>
        <w:tc>
          <w:tcPr>
            <w:tcW w:w="1407" w:type="dxa"/>
            <w:vAlign w:val="center"/>
          </w:tcPr>
          <w:p w:rsidR="00B95A29" w:rsidRDefault="00F35B3E">
            <w:pPr>
              <w:jc w:val="center"/>
            </w:pPr>
            <w:r>
              <w:rPr>
                <w:color w:val="000000"/>
                <w:sz w:val="24"/>
                <w:szCs w:val="24"/>
              </w:rPr>
              <w:t>11</w:t>
            </w:r>
            <w:r>
              <w:rPr>
                <w:color w:val="000000"/>
                <w:sz w:val="24"/>
                <w:szCs w:val="24"/>
              </w:rPr>
              <w:t>年</w:t>
            </w:r>
          </w:p>
        </w:tc>
        <w:tc>
          <w:tcPr>
            <w:tcW w:w="2673" w:type="dxa"/>
            <w:vAlign w:val="center"/>
          </w:tcPr>
          <w:p w:rsidR="00B95A29" w:rsidRDefault="00F35B3E">
            <w:r>
              <w:rPr>
                <w:color w:val="000000"/>
                <w:sz w:val="24"/>
                <w:szCs w:val="24"/>
              </w:rPr>
              <w:t>芮晨先生，内蒙古科技大学工学士。历任深圳尚诚资产管理有限公司研究员、研究副总监，国联安基金管理有限公司行业研究员、投资经理，浙商证券资产管理</w:t>
            </w:r>
            <w:r>
              <w:rPr>
                <w:color w:val="000000"/>
                <w:sz w:val="24"/>
                <w:szCs w:val="24"/>
              </w:rPr>
              <w:lastRenderedPageBreak/>
              <w:t>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95A29" w:rsidRDefault="00F35B3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95A29" w:rsidRDefault="00F35B3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95A29" w:rsidRDefault="00F35B3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95A29" w:rsidRDefault="00F35B3E">
      <w:pPr>
        <w:spacing w:before="29" w:line="288" w:lineRule="auto"/>
        <w:ind w:firstLineChars="200" w:firstLine="480"/>
        <w:rPr>
          <w:color w:val="000000"/>
          <w:sz w:val="24"/>
          <w:szCs w:val="24"/>
        </w:rPr>
      </w:pPr>
      <w:r>
        <w:rPr>
          <w:color w:val="000000"/>
          <w:sz w:val="24"/>
          <w:szCs w:val="24"/>
        </w:rPr>
        <w:t>2018</w:t>
      </w:r>
      <w:r>
        <w:rPr>
          <w:color w:val="000000"/>
          <w:sz w:val="24"/>
          <w:szCs w:val="24"/>
        </w:rPr>
        <w:t>二季度，宏观经济表现出较强韧性，所以利率水平保持高位震荡，中美贸易战反复发酵，市场调整幅度较大。</w:t>
      </w:r>
    </w:p>
    <w:p w:rsidR="00B95A29" w:rsidRDefault="00F35B3E">
      <w:pPr>
        <w:spacing w:before="29" w:line="288" w:lineRule="auto"/>
        <w:ind w:firstLineChars="200" w:firstLine="480"/>
        <w:rPr>
          <w:color w:val="000000"/>
          <w:sz w:val="24"/>
          <w:szCs w:val="24"/>
        </w:rPr>
      </w:pPr>
      <w:r>
        <w:rPr>
          <w:color w:val="000000"/>
          <w:sz w:val="24"/>
          <w:szCs w:val="24"/>
        </w:rPr>
        <w:t>前期一季度调整较多的消费类股票，由于调整后的估值相对于业绩较为合理，所以二季度表现较好。一季度中表现较好的成长类股票，上涨后估值有所上升，同时相对于消费股的性价比降低，所以二季度表现一般。</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综上，我们看到今年市场就像我们在</w:t>
      </w:r>
      <w:r w:rsidRPr="00414345">
        <w:rPr>
          <w:color w:val="000000"/>
          <w:sz w:val="24"/>
          <w:szCs w:val="24"/>
        </w:rPr>
        <w:t>2017</w:t>
      </w:r>
      <w:r w:rsidRPr="00414345">
        <w:rPr>
          <w:color w:val="000000"/>
          <w:sz w:val="24"/>
          <w:szCs w:val="24"/>
        </w:rPr>
        <w:t>年年报中所预计的一样：风格切换较难发生，更多是个股间性价比的比较，着重在于成长性和估值的匹配度。具体到组合，经过二季度的调整，成长和估值的匹配度又回到了非常有吸引力的程度，同时经过半年的观察，我们发现组合持有的部分公司的盈利还在加速，这将进一步提高组合的性价比。展望三季度，我们认为性价比好的公司将有所表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F35B3E" w:rsidP="00C15CAC">
      <w:pPr>
        <w:spacing w:before="29" w:line="288" w:lineRule="auto"/>
        <w:ind w:firstLineChars="200" w:firstLine="480"/>
        <w:rPr>
          <w:color w:val="000000"/>
          <w:sz w:val="24"/>
          <w:szCs w:val="24"/>
        </w:rPr>
      </w:pPr>
      <w:r w:rsidRPr="00F35B3E">
        <w:rPr>
          <w:rFonts w:hint="eastAsia"/>
          <w:color w:val="000000"/>
          <w:sz w:val="24"/>
          <w:szCs w:val="24"/>
        </w:rPr>
        <w:t>截至</w:t>
      </w:r>
      <w:r w:rsidRPr="00F35B3E">
        <w:rPr>
          <w:rFonts w:hint="eastAsia"/>
          <w:color w:val="000000"/>
          <w:sz w:val="24"/>
          <w:szCs w:val="24"/>
        </w:rPr>
        <w:t>2018</w:t>
      </w:r>
      <w:r w:rsidRPr="00F35B3E">
        <w:rPr>
          <w:rFonts w:hint="eastAsia"/>
          <w:color w:val="000000"/>
          <w:sz w:val="24"/>
          <w:szCs w:val="24"/>
        </w:rPr>
        <w:t>年</w:t>
      </w:r>
      <w:r w:rsidRPr="00F35B3E">
        <w:rPr>
          <w:rFonts w:hint="eastAsia"/>
          <w:color w:val="000000"/>
          <w:sz w:val="24"/>
          <w:szCs w:val="24"/>
        </w:rPr>
        <w:t>6</w:t>
      </w:r>
      <w:r w:rsidRPr="00F35B3E">
        <w:rPr>
          <w:rFonts w:hint="eastAsia"/>
          <w:color w:val="000000"/>
          <w:sz w:val="24"/>
          <w:szCs w:val="24"/>
        </w:rPr>
        <w:t>月</w:t>
      </w:r>
      <w:r w:rsidRPr="00F35B3E">
        <w:rPr>
          <w:rFonts w:hint="eastAsia"/>
          <w:color w:val="000000"/>
          <w:sz w:val="24"/>
          <w:szCs w:val="24"/>
        </w:rPr>
        <w:t>30</w:t>
      </w:r>
      <w:r w:rsidRPr="00F35B3E">
        <w:rPr>
          <w:rFonts w:hint="eastAsia"/>
          <w:color w:val="000000"/>
          <w:sz w:val="24"/>
          <w:szCs w:val="24"/>
        </w:rPr>
        <w:t>日，本基金份额净值为</w:t>
      </w:r>
      <w:r w:rsidRPr="00F35B3E">
        <w:rPr>
          <w:rFonts w:hint="eastAsia"/>
          <w:color w:val="000000"/>
          <w:sz w:val="24"/>
          <w:szCs w:val="24"/>
        </w:rPr>
        <w:t>1.2116</w:t>
      </w:r>
      <w:r w:rsidRPr="00F35B3E">
        <w:rPr>
          <w:rFonts w:hint="eastAsia"/>
          <w:color w:val="000000"/>
          <w:sz w:val="24"/>
          <w:szCs w:val="24"/>
        </w:rPr>
        <w:t>元，本报告期份额净值增长率为</w:t>
      </w:r>
      <w:r w:rsidRPr="00F35B3E">
        <w:rPr>
          <w:rFonts w:hint="eastAsia"/>
          <w:color w:val="000000"/>
          <w:sz w:val="24"/>
          <w:szCs w:val="24"/>
        </w:rPr>
        <w:t>-10.68%</w:t>
      </w:r>
      <w:r w:rsidRPr="00F35B3E">
        <w:rPr>
          <w:rFonts w:hint="eastAsia"/>
          <w:color w:val="000000"/>
          <w:sz w:val="24"/>
          <w:szCs w:val="24"/>
        </w:rPr>
        <w:t>，同期业绩比较基准增长率为</w:t>
      </w:r>
      <w:r w:rsidRPr="00F35B3E">
        <w:rPr>
          <w:rFonts w:hint="eastAsia"/>
          <w:color w:val="000000"/>
          <w:sz w:val="24"/>
          <w:szCs w:val="24"/>
        </w:rPr>
        <w:t>-9.86%</w:t>
      </w:r>
      <w:r w:rsidRPr="00F35B3E">
        <w:rPr>
          <w:rFonts w:hint="eastAsia"/>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828,292,572.88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94.17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828,292,572.88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94.17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45,284,550.00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45,284,550.00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3,967,350.37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0.45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2,064,297.54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879,608,770.79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400,335,110.66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39,313,556.04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350,967,521.98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37,676,384.20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828,292,572.88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94.49</w:t>
            </w:r>
          </w:p>
        </w:tc>
      </w:tr>
    </w:tbl>
    <w:p w:rsidR="00A836F4" w:rsidRDefault="00A836F4"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95A29">
        <w:trPr>
          <w:jc w:val="center"/>
        </w:trPr>
        <w:tc>
          <w:tcPr>
            <w:tcW w:w="855" w:type="dxa"/>
            <w:vAlign w:val="center"/>
          </w:tcPr>
          <w:p w:rsidR="00B95A29" w:rsidRDefault="00F35B3E">
            <w:pPr>
              <w:jc w:val="center"/>
            </w:pPr>
            <w:r>
              <w:rPr>
                <w:color w:val="000000"/>
                <w:sz w:val="24"/>
                <w:szCs w:val="24"/>
              </w:rPr>
              <w:t>1</w:t>
            </w:r>
          </w:p>
        </w:tc>
        <w:tc>
          <w:tcPr>
            <w:tcW w:w="1334" w:type="dxa"/>
            <w:vAlign w:val="center"/>
          </w:tcPr>
          <w:p w:rsidR="00B95A29" w:rsidRDefault="00F35B3E">
            <w:pPr>
              <w:jc w:val="center"/>
            </w:pPr>
            <w:r>
              <w:rPr>
                <w:color w:val="000000"/>
                <w:sz w:val="24"/>
                <w:szCs w:val="24"/>
              </w:rPr>
              <w:t>000977</w:t>
            </w:r>
          </w:p>
        </w:tc>
        <w:tc>
          <w:tcPr>
            <w:tcW w:w="1777" w:type="dxa"/>
            <w:vAlign w:val="center"/>
          </w:tcPr>
          <w:p w:rsidR="00B95A29" w:rsidRDefault="00F35B3E">
            <w:pPr>
              <w:jc w:val="center"/>
            </w:pPr>
            <w:r>
              <w:rPr>
                <w:color w:val="000000"/>
                <w:sz w:val="24"/>
                <w:szCs w:val="24"/>
              </w:rPr>
              <w:t>浪潮信息</w:t>
            </w:r>
          </w:p>
        </w:tc>
        <w:tc>
          <w:tcPr>
            <w:tcW w:w="1334" w:type="dxa"/>
            <w:vAlign w:val="center"/>
          </w:tcPr>
          <w:p w:rsidR="00B95A29" w:rsidRDefault="00F35B3E">
            <w:pPr>
              <w:jc w:val="right"/>
            </w:pPr>
            <w:r>
              <w:rPr>
                <w:color w:val="000000"/>
                <w:sz w:val="24"/>
                <w:szCs w:val="24"/>
              </w:rPr>
              <w:t>3,526,931</w:t>
            </w:r>
          </w:p>
        </w:tc>
        <w:tc>
          <w:tcPr>
            <w:tcW w:w="1924" w:type="dxa"/>
            <w:vAlign w:val="center"/>
          </w:tcPr>
          <w:p w:rsidR="00B95A29" w:rsidRDefault="00F35B3E">
            <w:pPr>
              <w:jc w:val="right"/>
            </w:pPr>
            <w:r>
              <w:rPr>
                <w:color w:val="000000"/>
                <w:sz w:val="24"/>
                <w:szCs w:val="24"/>
              </w:rPr>
              <w:t>84,117,304.35</w:t>
            </w:r>
          </w:p>
        </w:tc>
        <w:tc>
          <w:tcPr>
            <w:tcW w:w="1644" w:type="dxa"/>
            <w:vAlign w:val="center"/>
          </w:tcPr>
          <w:p w:rsidR="00B95A29" w:rsidRDefault="00F35B3E">
            <w:pPr>
              <w:jc w:val="right"/>
            </w:pPr>
            <w:r>
              <w:rPr>
                <w:color w:val="000000"/>
                <w:sz w:val="24"/>
                <w:szCs w:val="24"/>
              </w:rPr>
              <w:t>9.60</w:t>
            </w:r>
          </w:p>
        </w:tc>
      </w:tr>
      <w:tr w:rsidR="00B95A29">
        <w:trPr>
          <w:jc w:val="center"/>
        </w:trPr>
        <w:tc>
          <w:tcPr>
            <w:tcW w:w="855" w:type="dxa"/>
            <w:vAlign w:val="center"/>
          </w:tcPr>
          <w:p w:rsidR="00B95A29" w:rsidRDefault="00F35B3E">
            <w:pPr>
              <w:jc w:val="center"/>
            </w:pPr>
            <w:r>
              <w:rPr>
                <w:color w:val="000000"/>
                <w:sz w:val="24"/>
                <w:szCs w:val="24"/>
              </w:rPr>
              <w:t>2</w:t>
            </w:r>
          </w:p>
        </w:tc>
        <w:tc>
          <w:tcPr>
            <w:tcW w:w="1334" w:type="dxa"/>
            <w:vAlign w:val="center"/>
          </w:tcPr>
          <w:p w:rsidR="00B95A29" w:rsidRDefault="00F35B3E">
            <w:pPr>
              <w:jc w:val="center"/>
            </w:pPr>
            <w:r>
              <w:rPr>
                <w:color w:val="000000"/>
                <w:sz w:val="24"/>
                <w:szCs w:val="24"/>
              </w:rPr>
              <w:t>300365</w:t>
            </w:r>
          </w:p>
        </w:tc>
        <w:tc>
          <w:tcPr>
            <w:tcW w:w="1777" w:type="dxa"/>
            <w:vAlign w:val="center"/>
          </w:tcPr>
          <w:p w:rsidR="00B95A29" w:rsidRDefault="00F35B3E">
            <w:pPr>
              <w:jc w:val="center"/>
            </w:pPr>
            <w:r>
              <w:rPr>
                <w:color w:val="000000"/>
                <w:sz w:val="24"/>
                <w:szCs w:val="24"/>
              </w:rPr>
              <w:t>恒华科技</w:t>
            </w:r>
          </w:p>
        </w:tc>
        <w:tc>
          <w:tcPr>
            <w:tcW w:w="1334" w:type="dxa"/>
            <w:vAlign w:val="center"/>
          </w:tcPr>
          <w:p w:rsidR="00B95A29" w:rsidRDefault="00F35B3E">
            <w:pPr>
              <w:jc w:val="right"/>
            </w:pPr>
            <w:r>
              <w:rPr>
                <w:color w:val="000000"/>
                <w:sz w:val="24"/>
                <w:szCs w:val="24"/>
              </w:rPr>
              <w:t>4,077,207</w:t>
            </w:r>
          </w:p>
        </w:tc>
        <w:tc>
          <w:tcPr>
            <w:tcW w:w="1924" w:type="dxa"/>
            <w:vAlign w:val="center"/>
          </w:tcPr>
          <w:p w:rsidR="00B95A29" w:rsidRDefault="00F35B3E">
            <w:pPr>
              <w:jc w:val="right"/>
            </w:pPr>
            <w:r>
              <w:rPr>
                <w:color w:val="000000"/>
                <w:sz w:val="24"/>
                <w:szCs w:val="24"/>
              </w:rPr>
              <w:t>84,112,780.41</w:t>
            </w:r>
          </w:p>
        </w:tc>
        <w:tc>
          <w:tcPr>
            <w:tcW w:w="1644" w:type="dxa"/>
            <w:vAlign w:val="center"/>
          </w:tcPr>
          <w:p w:rsidR="00B95A29" w:rsidRDefault="00F35B3E">
            <w:pPr>
              <w:jc w:val="right"/>
            </w:pPr>
            <w:r>
              <w:rPr>
                <w:color w:val="000000"/>
                <w:sz w:val="24"/>
                <w:szCs w:val="24"/>
              </w:rPr>
              <w:t>9.59</w:t>
            </w:r>
          </w:p>
        </w:tc>
      </w:tr>
      <w:tr w:rsidR="00B95A29">
        <w:trPr>
          <w:jc w:val="center"/>
        </w:trPr>
        <w:tc>
          <w:tcPr>
            <w:tcW w:w="855" w:type="dxa"/>
            <w:vAlign w:val="center"/>
          </w:tcPr>
          <w:p w:rsidR="00B95A29" w:rsidRDefault="00F35B3E">
            <w:pPr>
              <w:jc w:val="center"/>
            </w:pPr>
            <w:r>
              <w:rPr>
                <w:color w:val="000000"/>
                <w:sz w:val="24"/>
                <w:szCs w:val="24"/>
              </w:rPr>
              <w:t>3</w:t>
            </w:r>
          </w:p>
        </w:tc>
        <w:tc>
          <w:tcPr>
            <w:tcW w:w="1334" w:type="dxa"/>
            <w:vAlign w:val="center"/>
          </w:tcPr>
          <w:p w:rsidR="00B95A29" w:rsidRDefault="00F35B3E">
            <w:pPr>
              <w:jc w:val="center"/>
            </w:pPr>
            <w:r>
              <w:rPr>
                <w:color w:val="000000"/>
                <w:sz w:val="24"/>
                <w:szCs w:val="24"/>
              </w:rPr>
              <w:t>300253</w:t>
            </w:r>
          </w:p>
        </w:tc>
        <w:tc>
          <w:tcPr>
            <w:tcW w:w="1777" w:type="dxa"/>
            <w:vAlign w:val="center"/>
          </w:tcPr>
          <w:p w:rsidR="00B95A29" w:rsidRDefault="00F35B3E">
            <w:pPr>
              <w:jc w:val="center"/>
            </w:pPr>
            <w:r>
              <w:rPr>
                <w:color w:val="000000"/>
                <w:sz w:val="24"/>
                <w:szCs w:val="24"/>
              </w:rPr>
              <w:t>卫宁健康</w:t>
            </w:r>
          </w:p>
        </w:tc>
        <w:tc>
          <w:tcPr>
            <w:tcW w:w="1334" w:type="dxa"/>
            <w:vAlign w:val="center"/>
          </w:tcPr>
          <w:p w:rsidR="00B95A29" w:rsidRDefault="00F35B3E">
            <w:pPr>
              <w:jc w:val="right"/>
            </w:pPr>
            <w:r>
              <w:rPr>
                <w:color w:val="000000"/>
                <w:sz w:val="24"/>
                <w:szCs w:val="24"/>
              </w:rPr>
              <w:t>6,070,365</w:t>
            </w:r>
          </w:p>
        </w:tc>
        <w:tc>
          <w:tcPr>
            <w:tcW w:w="1924" w:type="dxa"/>
            <w:vAlign w:val="center"/>
          </w:tcPr>
          <w:p w:rsidR="00B95A29" w:rsidRDefault="00F35B3E">
            <w:pPr>
              <w:jc w:val="right"/>
            </w:pPr>
            <w:r>
              <w:rPr>
                <w:color w:val="000000"/>
                <w:sz w:val="24"/>
                <w:szCs w:val="24"/>
              </w:rPr>
              <w:t>75,211,822.35</w:t>
            </w:r>
          </w:p>
        </w:tc>
        <w:tc>
          <w:tcPr>
            <w:tcW w:w="1644" w:type="dxa"/>
            <w:vAlign w:val="center"/>
          </w:tcPr>
          <w:p w:rsidR="00B95A29" w:rsidRDefault="00F35B3E">
            <w:pPr>
              <w:jc w:val="right"/>
            </w:pPr>
            <w:r>
              <w:rPr>
                <w:color w:val="000000"/>
                <w:sz w:val="24"/>
                <w:szCs w:val="24"/>
              </w:rPr>
              <w:t>8.58</w:t>
            </w:r>
          </w:p>
        </w:tc>
      </w:tr>
      <w:tr w:rsidR="00B95A29">
        <w:trPr>
          <w:jc w:val="center"/>
        </w:trPr>
        <w:tc>
          <w:tcPr>
            <w:tcW w:w="855" w:type="dxa"/>
            <w:vAlign w:val="center"/>
          </w:tcPr>
          <w:p w:rsidR="00B95A29" w:rsidRDefault="00F35B3E">
            <w:pPr>
              <w:jc w:val="center"/>
            </w:pPr>
            <w:r>
              <w:rPr>
                <w:color w:val="000000"/>
                <w:sz w:val="24"/>
                <w:szCs w:val="24"/>
              </w:rPr>
              <w:t>4</w:t>
            </w:r>
          </w:p>
        </w:tc>
        <w:tc>
          <w:tcPr>
            <w:tcW w:w="1334" w:type="dxa"/>
            <w:vAlign w:val="center"/>
          </w:tcPr>
          <w:p w:rsidR="00B95A29" w:rsidRDefault="00F35B3E">
            <w:pPr>
              <w:jc w:val="center"/>
            </w:pPr>
            <w:r>
              <w:rPr>
                <w:color w:val="000000"/>
                <w:sz w:val="24"/>
                <w:szCs w:val="24"/>
              </w:rPr>
              <w:t>002599</w:t>
            </w:r>
          </w:p>
        </w:tc>
        <w:tc>
          <w:tcPr>
            <w:tcW w:w="1777" w:type="dxa"/>
            <w:vAlign w:val="center"/>
          </w:tcPr>
          <w:p w:rsidR="00B95A29" w:rsidRDefault="00F35B3E">
            <w:pPr>
              <w:jc w:val="center"/>
            </w:pPr>
            <w:r>
              <w:rPr>
                <w:color w:val="000000"/>
                <w:sz w:val="24"/>
                <w:szCs w:val="24"/>
              </w:rPr>
              <w:t>盛通股份</w:t>
            </w:r>
          </w:p>
        </w:tc>
        <w:tc>
          <w:tcPr>
            <w:tcW w:w="1334" w:type="dxa"/>
            <w:vAlign w:val="center"/>
          </w:tcPr>
          <w:p w:rsidR="00B95A29" w:rsidRDefault="00F35B3E">
            <w:pPr>
              <w:jc w:val="right"/>
            </w:pPr>
            <w:r>
              <w:rPr>
                <w:color w:val="000000"/>
                <w:sz w:val="24"/>
                <w:szCs w:val="24"/>
              </w:rPr>
              <w:t>6,558,280</w:t>
            </w:r>
          </w:p>
        </w:tc>
        <w:tc>
          <w:tcPr>
            <w:tcW w:w="1924" w:type="dxa"/>
            <w:vAlign w:val="center"/>
          </w:tcPr>
          <w:p w:rsidR="00B95A29" w:rsidRDefault="00F35B3E">
            <w:pPr>
              <w:jc w:val="right"/>
            </w:pPr>
            <w:r>
              <w:rPr>
                <w:color w:val="000000"/>
                <w:sz w:val="24"/>
                <w:szCs w:val="24"/>
              </w:rPr>
              <w:t>68,402,860.40</w:t>
            </w:r>
          </w:p>
        </w:tc>
        <w:tc>
          <w:tcPr>
            <w:tcW w:w="1644" w:type="dxa"/>
            <w:vAlign w:val="center"/>
          </w:tcPr>
          <w:p w:rsidR="00B95A29" w:rsidRDefault="00F35B3E">
            <w:pPr>
              <w:jc w:val="right"/>
            </w:pPr>
            <w:r>
              <w:rPr>
                <w:color w:val="000000"/>
                <w:sz w:val="24"/>
                <w:szCs w:val="24"/>
              </w:rPr>
              <w:t>7.80</w:t>
            </w:r>
          </w:p>
        </w:tc>
      </w:tr>
      <w:tr w:rsidR="00B95A29">
        <w:trPr>
          <w:jc w:val="center"/>
        </w:trPr>
        <w:tc>
          <w:tcPr>
            <w:tcW w:w="855" w:type="dxa"/>
            <w:vAlign w:val="center"/>
          </w:tcPr>
          <w:p w:rsidR="00B95A29" w:rsidRDefault="00F35B3E">
            <w:pPr>
              <w:jc w:val="center"/>
            </w:pPr>
            <w:r>
              <w:rPr>
                <w:color w:val="000000"/>
                <w:sz w:val="24"/>
                <w:szCs w:val="24"/>
              </w:rPr>
              <w:t>5</w:t>
            </w:r>
          </w:p>
        </w:tc>
        <w:tc>
          <w:tcPr>
            <w:tcW w:w="1334" w:type="dxa"/>
            <w:vAlign w:val="center"/>
          </w:tcPr>
          <w:p w:rsidR="00B95A29" w:rsidRDefault="00F35B3E">
            <w:pPr>
              <w:jc w:val="center"/>
            </w:pPr>
            <w:r>
              <w:rPr>
                <w:color w:val="000000"/>
                <w:sz w:val="24"/>
                <w:szCs w:val="24"/>
              </w:rPr>
              <w:t>300271</w:t>
            </w:r>
          </w:p>
        </w:tc>
        <w:tc>
          <w:tcPr>
            <w:tcW w:w="1777" w:type="dxa"/>
            <w:vAlign w:val="center"/>
          </w:tcPr>
          <w:p w:rsidR="00B95A29" w:rsidRDefault="00F35B3E">
            <w:pPr>
              <w:jc w:val="center"/>
            </w:pPr>
            <w:r>
              <w:rPr>
                <w:color w:val="000000"/>
                <w:sz w:val="24"/>
                <w:szCs w:val="24"/>
              </w:rPr>
              <w:t>华宇软件</w:t>
            </w:r>
          </w:p>
        </w:tc>
        <w:tc>
          <w:tcPr>
            <w:tcW w:w="1334" w:type="dxa"/>
            <w:vAlign w:val="center"/>
          </w:tcPr>
          <w:p w:rsidR="00B95A29" w:rsidRDefault="00F35B3E">
            <w:pPr>
              <w:jc w:val="right"/>
            </w:pPr>
            <w:r>
              <w:rPr>
                <w:color w:val="000000"/>
                <w:sz w:val="24"/>
                <w:szCs w:val="24"/>
              </w:rPr>
              <w:t>2,534,386</w:t>
            </w:r>
          </w:p>
        </w:tc>
        <w:tc>
          <w:tcPr>
            <w:tcW w:w="1924" w:type="dxa"/>
            <w:vAlign w:val="center"/>
          </w:tcPr>
          <w:p w:rsidR="00B95A29" w:rsidRDefault="00F35B3E">
            <w:pPr>
              <w:jc w:val="right"/>
            </w:pPr>
            <w:r>
              <w:rPr>
                <w:color w:val="000000"/>
                <w:sz w:val="24"/>
                <w:szCs w:val="24"/>
              </w:rPr>
              <w:t>44,807,944.48</w:t>
            </w:r>
          </w:p>
        </w:tc>
        <w:tc>
          <w:tcPr>
            <w:tcW w:w="1644" w:type="dxa"/>
            <w:vAlign w:val="center"/>
          </w:tcPr>
          <w:p w:rsidR="00B95A29" w:rsidRDefault="00F35B3E">
            <w:pPr>
              <w:jc w:val="right"/>
            </w:pPr>
            <w:r>
              <w:rPr>
                <w:color w:val="000000"/>
                <w:sz w:val="24"/>
                <w:szCs w:val="24"/>
              </w:rPr>
              <w:t>5.11</w:t>
            </w:r>
          </w:p>
        </w:tc>
      </w:tr>
      <w:tr w:rsidR="00B95A29">
        <w:trPr>
          <w:jc w:val="center"/>
        </w:trPr>
        <w:tc>
          <w:tcPr>
            <w:tcW w:w="855" w:type="dxa"/>
            <w:vAlign w:val="center"/>
          </w:tcPr>
          <w:p w:rsidR="00B95A29" w:rsidRDefault="00F35B3E">
            <w:pPr>
              <w:jc w:val="center"/>
            </w:pPr>
            <w:r>
              <w:rPr>
                <w:color w:val="000000"/>
                <w:sz w:val="24"/>
                <w:szCs w:val="24"/>
              </w:rPr>
              <w:t>6</w:t>
            </w:r>
          </w:p>
        </w:tc>
        <w:tc>
          <w:tcPr>
            <w:tcW w:w="1334" w:type="dxa"/>
            <w:vAlign w:val="center"/>
          </w:tcPr>
          <w:p w:rsidR="00B95A29" w:rsidRDefault="00F35B3E">
            <w:pPr>
              <w:jc w:val="center"/>
            </w:pPr>
            <w:r>
              <w:rPr>
                <w:color w:val="000000"/>
                <w:sz w:val="24"/>
                <w:szCs w:val="24"/>
              </w:rPr>
              <w:t>002371</w:t>
            </w:r>
          </w:p>
        </w:tc>
        <w:tc>
          <w:tcPr>
            <w:tcW w:w="1777" w:type="dxa"/>
            <w:vAlign w:val="center"/>
          </w:tcPr>
          <w:p w:rsidR="00B95A29" w:rsidRDefault="00F35B3E">
            <w:pPr>
              <w:jc w:val="center"/>
            </w:pPr>
            <w:r>
              <w:rPr>
                <w:color w:val="000000"/>
                <w:sz w:val="24"/>
                <w:szCs w:val="24"/>
              </w:rPr>
              <w:t>北方华创</w:t>
            </w:r>
          </w:p>
        </w:tc>
        <w:tc>
          <w:tcPr>
            <w:tcW w:w="1334" w:type="dxa"/>
            <w:vAlign w:val="center"/>
          </w:tcPr>
          <w:p w:rsidR="00B95A29" w:rsidRDefault="00F35B3E">
            <w:pPr>
              <w:jc w:val="right"/>
            </w:pPr>
            <w:r>
              <w:rPr>
                <w:color w:val="000000"/>
                <w:sz w:val="24"/>
                <w:szCs w:val="24"/>
              </w:rPr>
              <w:t>887,848</w:t>
            </w:r>
          </w:p>
        </w:tc>
        <w:tc>
          <w:tcPr>
            <w:tcW w:w="1924" w:type="dxa"/>
            <w:vAlign w:val="center"/>
          </w:tcPr>
          <w:p w:rsidR="00B95A29" w:rsidRDefault="00F35B3E">
            <w:pPr>
              <w:jc w:val="right"/>
            </w:pPr>
            <w:r>
              <w:rPr>
                <w:color w:val="000000"/>
                <w:sz w:val="24"/>
                <w:szCs w:val="24"/>
              </w:rPr>
              <w:t>44,099,410.16</w:t>
            </w:r>
          </w:p>
        </w:tc>
        <w:tc>
          <w:tcPr>
            <w:tcW w:w="1644" w:type="dxa"/>
            <w:vAlign w:val="center"/>
          </w:tcPr>
          <w:p w:rsidR="00B95A29" w:rsidRDefault="00F35B3E">
            <w:pPr>
              <w:jc w:val="right"/>
            </w:pPr>
            <w:r>
              <w:rPr>
                <w:color w:val="000000"/>
                <w:sz w:val="24"/>
                <w:szCs w:val="24"/>
              </w:rPr>
              <w:t>5.03</w:t>
            </w:r>
          </w:p>
        </w:tc>
      </w:tr>
      <w:tr w:rsidR="00B95A29">
        <w:trPr>
          <w:jc w:val="center"/>
        </w:trPr>
        <w:tc>
          <w:tcPr>
            <w:tcW w:w="855" w:type="dxa"/>
            <w:vAlign w:val="center"/>
          </w:tcPr>
          <w:p w:rsidR="00B95A29" w:rsidRDefault="00F35B3E">
            <w:pPr>
              <w:jc w:val="center"/>
            </w:pPr>
            <w:r>
              <w:rPr>
                <w:color w:val="000000"/>
                <w:sz w:val="24"/>
                <w:szCs w:val="24"/>
              </w:rPr>
              <w:t>7</w:t>
            </w:r>
          </w:p>
        </w:tc>
        <w:tc>
          <w:tcPr>
            <w:tcW w:w="1334" w:type="dxa"/>
            <w:vAlign w:val="center"/>
          </w:tcPr>
          <w:p w:rsidR="00B95A29" w:rsidRDefault="00F35B3E">
            <w:pPr>
              <w:jc w:val="center"/>
            </w:pPr>
            <w:r>
              <w:rPr>
                <w:color w:val="000000"/>
                <w:sz w:val="24"/>
                <w:szCs w:val="24"/>
              </w:rPr>
              <w:t>300130</w:t>
            </w:r>
          </w:p>
        </w:tc>
        <w:tc>
          <w:tcPr>
            <w:tcW w:w="1777" w:type="dxa"/>
            <w:vAlign w:val="center"/>
          </w:tcPr>
          <w:p w:rsidR="00B95A29" w:rsidRDefault="00F35B3E">
            <w:pPr>
              <w:jc w:val="center"/>
            </w:pPr>
            <w:r>
              <w:rPr>
                <w:color w:val="000000"/>
                <w:sz w:val="24"/>
                <w:szCs w:val="24"/>
              </w:rPr>
              <w:t>新国都</w:t>
            </w:r>
          </w:p>
        </w:tc>
        <w:tc>
          <w:tcPr>
            <w:tcW w:w="1334" w:type="dxa"/>
            <w:vAlign w:val="center"/>
          </w:tcPr>
          <w:p w:rsidR="00B95A29" w:rsidRDefault="00F35B3E">
            <w:pPr>
              <w:jc w:val="right"/>
            </w:pPr>
            <w:r>
              <w:rPr>
                <w:color w:val="000000"/>
                <w:sz w:val="24"/>
                <w:szCs w:val="24"/>
              </w:rPr>
              <w:t>2,926,441</w:t>
            </w:r>
          </w:p>
        </w:tc>
        <w:tc>
          <w:tcPr>
            <w:tcW w:w="1924" w:type="dxa"/>
            <w:vAlign w:val="center"/>
          </w:tcPr>
          <w:p w:rsidR="00B95A29" w:rsidRDefault="00F35B3E">
            <w:pPr>
              <w:jc w:val="right"/>
            </w:pPr>
            <w:r>
              <w:rPr>
                <w:color w:val="000000"/>
                <w:sz w:val="24"/>
                <w:szCs w:val="24"/>
              </w:rPr>
              <w:t>39,477,689.09</w:t>
            </w:r>
          </w:p>
        </w:tc>
        <w:tc>
          <w:tcPr>
            <w:tcW w:w="1644" w:type="dxa"/>
            <w:vAlign w:val="center"/>
          </w:tcPr>
          <w:p w:rsidR="00B95A29" w:rsidRDefault="00F35B3E">
            <w:pPr>
              <w:jc w:val="right"/>
            </w:pPr>
            <w:r>
              <w:rPr>
                <w:color w:val="000000"/>
                <w:sz w:val="24"/>
                <w:szCs w:val="24"/>
              </w:rPr>
              <w:t>4.50</w:t>
            </w:r>
          </w:p>
        </w:tc>
      </w:tr>
      <w:tr w:rsidR="00B95A29">
        <w:trPr>
          <w:jc w:val="center"/>
        </w:trPr>
        <w:tc>
          <w:tcPr>
            <w:tcW w:w="855" w:type="dxa"/>
            <w:vAlign w:val="center"/>
          </w:tcPr>
          <w:p w:rsidR="00B95A29" w:rsidRDefault="00F35B3E">
            <w:pPr>
              <w:jc w:val="center"/>
            </w:pPr>
            <w:r>
              <w:rPr>
                <w:color w:val="000000"/>
                <w:sz w:val="24"/>
                <w:szCs w:val="24"/>
              </w:rPr>
              <w:t>8</w:t>
            </w:r>
          </w:p>
        </w:tc>
        <w:tc>
          <w:tcPr>
            <w:tcW w:w="1334" w:type="dxa"/>
            <w:vAlign w:val="center"/>
          </w:tcPr>
          <w:p w:rsidR="00B95A29" w:rsidRDefault="00F35B3E">
            <w:pPr>
              <w:jc w:val="center"/>
            </w:pPr>
            <w:r>
              <w:rPr>
                <w:color w:val="000000"/>
                <w:sz w:val="24"/>
                <w:szCs w:val="24"/>
              </w:rPr>
              <w:t>603108</w:t>
            </w:r>
          </w:p>
        </w:tc>
        <w:tc>
          <w:tcPr>
            <w:tcW w:w="1777" w:type="dxa"/>
            <w:vAlign w:val="center"/>
          </w:tcPr>
          <w:p w:rsidR="00B95A29" w:rsidRDefault="00F35B3E">
            <w:pPr>
              <w:jc w:val="center"/>
            </w:pPr>
            <w:r>
              <w:rPr>
                <w:color w:val="000000"/>
                <w:sz w:val="24"/>
                <w:szCs w:val="24"/>
              </w:rPr>
              <w:t>润达医疗</w:t>
            </w:r>
          </w:p>
        </w:tc>
        <w:tc>
          <w:tcPr>
            <w:tcW w:w="1334" w:type="dxa"/>
            <w:vAlign w:val="center"/>
          </w:tcPr>
          <w:p w:rsidR="00B95A29" w:rsidRDefault="00F35B3E">
            <w:pPr>
              <w:jc w:val="right"/>
            </w:pPr>
            <w:r>
              <w:rPr>
                <w:color w:val="000000"/>
                <w:sz w:val="24"/>
                <w:szCs w:val="24"/>
              </w:rPr>
              <w:t>3,503,882</w:t>
            </w:r>
          </w:p>
        </w:tc>
        <w:tc>
          <w:tcPr>
            <w:tcW w:w="1924" w:type="dxa"/>
            <w:vAlign w:val="center"/>
          </w:tcPr>
          <w:p w:rsidR="00B95A29" w:rsidRDefault="00F35B3E">
            <w:pPr>
              <w:jc w:val="right"/>
            </w:pPr>
            <w:r>
              <w:rPr>
                <w:color w:val="000000"/>
                <w:sz w:val="24"/>
                <w:szCs w:val="24"/>
              </w:rPr>
              <w:t>39,313,556.04</w:t>
            </w:r>
          </w:p>
        </w:tc>
        <w:tc>
          <w:tcPr>
            <w:tcW w:w="1644" w:type="dxa"/>
            <w:vAlign w:val="center"/>
          </w:tcPr>
          <w:p w:rsidR="00B95A29" w:rsidRDefault="00F35B3E">
            <w:pPr>
              <w:jc w:val="right"/>
            </w:pPr>
            <w:r>
              <w:rPr>
                <w:color w:val="000000"/>
                <w:sz w:val="24"/>
                <w:szCs w:val="24"/>
              </w:rPr>
              <w:t>4.48</w:t>
            </w:r>
          </w:p>
        </w:tc>
      </w:tr>
      <w:tr w:rsidR="00B95A29">
        <w:trPr>
          <w:jc w:val="center"/>
        </w:trPr>
        <w:tc>
          <w:tcPr>
            <w:tcW w:w="855" w:type="dxa"/>
            <w:vAlign w:val="center"/>
          </w:tcPr>
          <w:p w:rsidR="00B95A29" w:rsidRDefault="00F35B3E">
            <w:pPr>
              <w:jc w:val="center"/>
            </w:pPr>
            <w:r>
              <w:rPr>
                <w:color w:val="000000"/>
                <w:sz w:val="24"/>
                <w:szCs w:val="24"/>
              </w:rPr>
              <w:t>9</w:t>
            </w:r>
          </w:p>
        </w:tc>
        <w:tc>
          <w:tcPr>
            <w:tcW w:w="1334" w:type="dxa"/>
            <w:vAlign w:val="center"/>
          </w:tcPr>
          <w:p w:rsidR="00B95A29" w:rsidRDefault="00F35B3E">
            <w:pPr>
              <w:jc w:val="center"/>
            </w:pPr>
            <w:r>
              <w:rPr>
                <w:color w:val="000000"/>
                <w:sz w:val="24"/>
                <w:szCs w:val="24"/>
              </w:rPr>
              <w:t>300572</w:t>
            </w:r>
          </w:p>
        </w:tc>
        <w:tc>
          <w:tcPr>
            <w:tcW w:w="1777" w:type="dxa"/>
            <w:vAlign w:val="center"/>
          </w:tcPr>
          <w:p w:rsidR="00B95A29" w:rsidRDefault="00F35B3E">
            <w:pPr>
              <w:jc w:val="center"/>
            </w:pPr>
            <w:r>
              <w:rPr>
                <w:color w:val="000000"/>
                <w:sz w:val="24"/>
                <w:szCs w:val="24"/>
              </w:rPr>
              <w:t>安车检测</w:t>
            </w:r>
          </w:p>
        </w:tc>
        <w:tc>
          <w:tcPr>
            <w:tcW w:w="1334" w:type="dxa"/>
            <w:vAlign w:val="center"/>
          </w:tcPr>
          <w:p w:rsidR="00B95A29" w:rsidRDefault="00F35B3E">
            <w:pPr>
              <w:jc w:val="right"/>
            </w:pPr>
            <w:r>
              <w:rPr>
                <w:color w:val="000000"/>
                <w:sz w:val="24"/>
                <w:szCs w:val="24"/>
              </w:rPr>
              <w:t>794,851</w:t>
            </w:r>
          </w:p>
        </w:tc>
        <w:tc>
          <w:tcPr>
            <w:tcW w:w="1924" w:type="dxa"/>
            <w:vAlign w:val="center"/>
          </w:tcPr>
          <w:p w:rsidR="00B95A29" w:rsidRDefault="00F35B3E">
            <w:pPr>
              <w:jc w:val="right"/>
            </w:pPr>
            <w:r>
              <w:rPr>
                <w:color w:val="000000"/>
                <w:sz w:val="24"/>
                <w:szCs w:val="24"/>
              </w:rPr>
              <w:t>39,114,617.71</w:t>
            </w:r>
          </w:p>
        </w:tc>
        <w:tc>
          <w:tcPr>
            <w:tcW w:w="1644" w:type="dxa"/>
            <w:vAlign w:val="center"/>
          </w:tcPr>
          <w:p w:rsidR="00B95A29" w:rsidRDefault="00F35B3E">
            <w:pPr>
              <w:jc w:val="right"/>
            </w:pPr>
            <w:r>
              <w:rPr>
                <w:color w:val="000000"/>
                <w:sz w:val="24"/>
                <w:szCs w:val="24"/>
              </w:rPr>
              <w:t>4.46</w:t>
            </w:r>
          </w:p>
        </w:tc>
      </w:tr>
      <w:tr w:rsidR="00B95A29">
        <w:trPr>
          <w:jc w:val="center"/>
        </w:trPr>
        <w:tc>
          <w:tcPr>
            <w:tcW w:w="855" w:type="dxa"/>
            <w:vAlign w:val="center"/>
          </w:tcPr>
          <w:p w:rsidR="00B95A29" w:rsidRDefault="00F35B3E">
            <w:pPr>
              <w:jc w:val="center"/>
            </w:pPr>
            <w:r>
              <w:rPr>
                <w:color w:val="000000"/>
                <w:sz w:val="24"/>
                <w:szCs w:val="24"/>
              </w:rPr>
              <w:t>10</w:t>
            </w:r>
          </w:p>
        </w:tc>
        <w:tc>
          <w:tcPr>
            <w:tcW w:w="1334" w:type="dxa"/>
            <w:vAlign w:val="center"/>
          </w:tcPr>
          <w:p w:rsidR="00B95A29" w:rsidRDefault="00F35B3E">
            <w:pPr>
              <w:jc w:val="center"/>
            </w:pPr>
            <w:r>
              <w:rPr>
                <w:color w:val="000000"/>
                <w:sz w:val="24"/>
                <w:szCs w:val="24"/>
              </w:rPr>
              <w:t>300532</w:t>
            </w:r>
          </w:p>
        </w:tc>
        <w:tc>
          <w:tcPr>
            <w:tcW w:w="1777" w:type="dxa"/>
            <w:vAlign w:val="center"/>
          </w:tcPr>
          <w:p w:rsidR="00B95A29" w:rsidRDefault="00F35B3E">
            <w:pPr>
              <w:jc w:val="center"/>
            </w:pPr>
            <w:r>
              <w:rPr>
                <w:color w:val="000000"/>
                <w:sz w:val="24"/>
                <w:szCs w:val="24"/>
              </w:rPr>
              <w:t>今天国际</w:t>
            </w:r>
          </w:p>
        </w:tc>
        <w:tc>
          <w:tcPr>
            <w:tcW w:w="1334" w:type="dxa"/>
            <w:vAlign w:val="center"/>
          </w:tcPr>
          <w:p w:rsidR="00B95A29" w:rsidRDefault="00F35B3E">
            <w:pPr>
              <w:jc w:val="right"/>
            </w:pPr>
            <w:r>
              <w:rPr>
                <w:color w:val="000000"/>
                <w:sz w:val="24"/>
                <w:szCs w:val="24"/>
              </w:rPr>
              <w:t>2,227,559</w:t>
            </w:r>
          </w:p>
        </w:tc>
        <w:tc>
          <w:tcPr>
            <w:tcW w:w="1924" w:type="dxa"/>
            <w:vAlign w:val="center"/>
          </w:tcPr>
          <w:p w:rsidR="00B95A29" w:rsidRDefault="00F35B3E">
            <w:pPr>
              <w:jc w:val="right"/>
            </w:pPr>
            <w:r>
              <w:rPr>
                <w:color w:val="000000"/>
                <w:sz w:val="24"/>
                <w:szCs w:val="24"/>
              </w:rPr>
              <w:t>38,915,455.73</w:t>
            </w:r>
          </w:p>
        </w:tc>
        <w:tc>
          <w:tcPr>
            <w:tcW w:w="1644" w:type="dxa"/>
            <w:vAlign w:val="center"/>
          </w:tcPr>
          <w:p w:rsidR="00B95A29" w:rsidRDefault="00F35B3E">
            <w:pPr>
              <w:jc w:val="right"/>
            </w:pPr>
            <w:r>
              <w:rPr>
                <w:color w:val="000000"/>
                <w:sz w:val="24"/>
                <w:szCs w:val="24"/>
              </w:rPr>
              <w:t>4.44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5,500,550.00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0.63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39,784,000.00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39,784,000.00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45,284,550.00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95A29">
        <w:trPr>
          <w:jc w:val="center"/>
        </w:trPr>
        <w:tc>
          <w:tcPr>
            <w:tcW w:w="850" w:type="dxa"/>
            <w:vAlign w:val="center"/>
          </w:tcPr>
          <w:p w:rsidR="00B95A29" w:rsidRDefault="00F35B3E">
            <w:pPr>
              <w:jc w:val="center"/>
            </w:pPr>
            <w:r>
              <w:rPr>
                <w:color w:val="000000"/>
                <w:sz w:val="24"/>
                <w:szCs w:val="24"/>
              </w:rPr>
              <w:t>1</w:t>
            </w:r>
          </w:p>
        </w:tc>
        <w:tc>
          <w:tcPr>
            <w:tcW w:w="1475" w:type="dxa"/>
            <w:vAlign w:val="center"/>
          </w:tcPr>
          <w:p w:rsidR="00B95A29" w:rsidRDefault="00F35B3E">
            <w:pPr>
              <w:jc w:val="center"/>
            </w:pPr>
            <w:r>
              <w:rPr>
                <w:color w:val="000000"/>
                <w:sz w:val="24"/>
                <w:szCs w:val="24"/>
              </w:rPr>
              <w:t>160301</w:t>
            </w:r>
          </w:p>
        </w:tc>
        <w:tc>
          <w:tcPr>
            <w:tcW w:w="1769" w:type="dxa"/>
            <w:vAlign w:val="center"/>
          </w:tcPr>
          <w:p w:rsidR="00B95A29" w:rsidRDefault="00F35B3E">
            <w:pPr>
              <w:jc w:val="center"/>
            </w:pPr>
            <w:r>
              <w:rPr>
                <w:color w:val="000000"/>
                <w:sz w:val="24"/>
                <w:szCs w:val="24"/>
              </w:rPr>
              <w:t>16</w:t>
            </w:r>
            <w:r>
              <w:rPr>
                <w:color w:val="000000"/>
                <w:sz w:val="24"/>
                <w:szCs w:val="24"/>
              </w:rPr>
              <w:t>进出</w:t>
            </w:r>
            <w:r>
              <w:rPr>
                <w:color w:val="000000"/>
                <w:sz w:val="24"/>
                <w:szCs w:val="24"/>
              </w:rPr>
              <w:t>01</w:t>
            </w:r>
          </w:p>
        </w:tc>
        <w:tc>
          <w:tcPr>
            <w:tcW w:w="1387" w:type="dxa"/>
            <w:vAlign w:val="center"/>
          </w:tcPr>
          <w:p w:rsidR="00B95A29" w:rsidRDefault="00F35B3E">
            <w:pPr>
              <w:jc w:val="right"/>
            </w:pPr>
            <w:r>
              <w:rPr>
                <w:color w:val="000000"/>
                <w:sz w:val="24"/>
                <w:szCs w:val="24"/>
              </w:rPr>
              <w:t>400,000</w:t>
            </w:r>
          </w:p>
        </w:tc>
        <w:tc>
          <w:tcPr>
            <w:tcW w:w="2150" w:type="dxa"/>
            <w:vAlign w:val="center"/>
          </w:tcPr>
          <w:p w:rsidR="00B95A29" w:rsidRDefault="00F35B3E">
            <w:pPr>
              <w:jc w:val="right"/>
            </w:pPr>
            <w:r>
              <w:rPr>
                <w:color w:val="000000"/>
                <w:sz w:val="24"/>
                <w:szCs w:val="24"/>
              </w:rPr>
              <w:t>39,784,000.00</w:t>
            </w:r>
          </w:p>
        </w:tc>
        <w:tc>
          <w:tcPr>
            <w:tcW w:w="1237" w:type="dxa"/>
            <w:vAlign w:val="center"/>
          </w:tcPr>
          <w:p w:rsidR="00B95A29" w:rsidRDefault="00F35B3E">
            <w:pPr>
              <w:jc w:val="right"/>
            </w:pPr>
            <w:r>
              <w:rPr>
                <w:color w:val="000000"/>
                <w:sz w:val="24"/>
                <w:szCs w:val="24"/>
              </w:rPr>
              <w:t>4.54</w:t>
            </w:r>
          </w:p>
        </w:tc>
      </w:tr>
      <w:tr w:rsidR="00B95A29">
        <w:trPr>
          <w:jc w:val="center"/>
        </w:trPr>
        <w:tc>
          <w:tcPr>
            <w:tcW w:w="850" w:type="dxa"/>
            <w:vAlign w:val="center"/>
          </w:tcPr>
          <w:p w:rsidR="00B95A29" w:rsidRDefault="00F35B3E">
            <w:pPr>
              <w:jc w:val="center"/>
            </w:pPr>
            <w:r>
              <w:rPr>
                <w:color w:val="000000"/>
                <w:sz w:val="24"/>
                <w:szCs w:val="24"/>
              </w:rPr>
              <w:t>2</w:t>
            </w:r>
          </w:p>
        </w:tc>
        <w:tc>
          <w:tcPr>
            <w:tcW w:w="1475" w:type="dxa"/>
            <w:vAlign w:val="center"/>
          </w:tcPr>
          <w:p w:rsidR="00B95A29" w:rsidRDefault="00F35B3E">
            <w:pPr>
              <w:jc w:val="center"/>
            </w:pPr>
            <w:r>
              <w:rPr>
                <w:color w:val="000000"/>
                <w:sz w:val="24"/>
                <w:szCs w:val="24"/>
              </w:rPr>
              <w:t>019571</w:t>
            </w:r>
          </w:p>
        </w:tc>
        <w:tc>
          <w:tcPr>
            <w:tcW w:w="1769" w:type="dxa"/>
            <w:vAlign w:val="center"/>
          </w:tcPr>
          <w:p w:rsidR="00B95A29" w:rsidRDefault="00F35B3E">
            <w:pPr>
              <w:jc w:val="center"/>
            </w:pPr>
            <w:r>
              <w:rPr>
                <w:color w:val="000000"/>
                <w:sz w:val="24"/>
                <w:szCs w:val="24"/>
              </w:rPr>
              <w:t>17</w:t>
            </w:r>
            <w:r>
              <w:rPr>
                <w:color w:val="000000"/>
                <w:sz w:val="24"/>
                <w:szCs w:val="24"/>
              </w:rPr>
              <w:t>国债</w:t>
            </w:r>
            <w:r>
              <w:rPr>
                <w:color w:val="000000"/>
                <w:sz w:val="24"/>
                <w:szCs w:val="24"/>
              </w:rPr>
              <w:t>17</w:t>
            </w:r>
          </w:p>
        </w:tc>
        <w:tc>
          <w:tcPr>
            <w:tcW w:w="1387" w:type="dxa"/>
            <w:vAlign w:val="center"/>
          </w:tcPr>
          <w:p w:rsidR="00B95A29" w:rsidRDefault="00F35B3E">
            <w:pPr>
              <w:jc w:val="right"/>
            </w:pPr>
            <w:r>
              <w:rPr>
                <w:color w:val="000000"/>
                <w:sz w:val="24"/>
                <w:szCs w:val="24"/>
              </w:rPr>
              <w:t>55,000</w:t>
            </w:r>
          </w:p>
        </w:tc>
        <w:tc>
          <w:tcPr>
            <w:tcW w:w="2150" w:type="dxa"/>
            <w:vAlign w:val="center"/>
          </w:tcPr>
          <w:p w:rsidR="00B95A29" w:rsidRDefault="00F35B3E">
            <w:pPr>
              <w:jc w:val="right"/>
            </w:pPr>
            <w:r>
              <w:rPr>
                <w:color w:val="000000"/>
                <w:sz w:val="24"/>
                <w:szCs w:val="24"/>
              </w:rPr>
              <w:t>5,500,550.00</w:t>
            </w:r>
          </w:p>
        </w:tc>
        <w:tc>
          <w:tcPr>
            <w:tcW w:w="1237" w:type="dxa"/>
            <w:vAlign w:val="center"/>
          </w:tcPr>
          <w:p w:rsidR="00B95A29" w:rsidRDefault="00F35B3E">
            <w:pPr>
              <w:jc w:val="right"/>
            </w:pPr>
            <w:r>
              <w:rPr>
                <w:color w:val="000000"/>
                <w:sz w:val="24"/>
                <w:szCs w:val="24"/>
              </w:rPr>
              <w:t>0.63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报告期内本基金投资的前十名证券的发行主体除新国都（证券代码：</w:t>
      </w:r>
      <w:r w:rsidRPr="00BE5388">
        <w:rPr>
          <w:bCs/>
          <w:color w:val="000000"/>
          <w:kern w:val="0"/>
          <w:sz w:val="24"/>
          <w:szCs w:val="24"/>
        </w:rPr>
        <w:t>300130</w:t>
      </w:r>
      <w:r w:rsidRPr="00BE5388">
        <w:rPr>
          <w:bCs/>
          <w:color w:val="000000"/>
          <w:kern w:val="0"/>
          <w:sz w:val="24"/>
          <w:szCs w:val="24"/>
        </w:rPr>
        <w:t>）外，未出现被监管部门立案调查，或在报告编制日前一年内受到公开谴责、处罚的情形。</w:t>
      </w:r>
    </w:p>
    <w:p w:rsidR="00B95A29" w:rsidRDefault="00F35B3E">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报告期内本基金投资的前十名证券之一新国都（证券代码：</w:t>
      </w:r>
      <w:r>
        <w:rPr>
          <w:bCs/>
          <w:color w:val="000000"/>
          <w:kern w:val="0"/>
          <w:sz w:val="24"/>
          <w:szCs w:val="24"/>
        </w:rPr>
        <w:t>300130</w:t>
      </w:r>
      <w:r>
        <w:rPr>
          <w:bCs/>
          <w:color w:val="000000"/>
          <w:kern w:val="0"/>
          <w:sz w:val="24"/>
          <w:szCs w:val="24"/>
        </w:rPr>
        <w:t>）于</w:t>
      </w:r>
      <w:r>
        <w:rPr>
          <w:bCs/>
          <w:color w:val="000000"/>
          <w:kern w:val="0"/>
          <w:sz w:val="24"/>
          <w:szCs w:val="24"/>
        </w:rPr>
        <w:t>2017</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28</w:t>
      </w:r>
      <w:r>
        <w:rPr>
          <w:bCs/>
          <w:color w:val="000000"/>
          <w:kern w:val="0"/>
          <w:sz w:val="24"/>
          <w:szCs w:val="24"/>
        </w:rPr>
        <w:lastRenderedPageBreak/>
        <w:t>日收到已收购的嘉联支付有限公司的通知说明，获悉嘉联支付宁波分公司于</w:t>
      </w:r>
      <w:r>
        <w:rPr>
          <w:bCs/>
          <w:color w:val="000000"/>
          <w:kern w:val="0"/>
          <w:sz w:val="24"/>
          <w:szCs w:val="24"/>
        </w:rPr>
        <w:t>2017</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27</w:t>
      </w:r>
      <w:r>
        <w:rPr>
          <w:bCs/>
          <w:color w:val="000000"/>
          <w:kern w:val="0"/>
          <w:sz w:val="24"/>
          <w:szCs w:val="24"/>
        </w:rPr>
        <w:t>日收到中国人民银行宁波市中心支行出具的行政处罚决定书（甬银处罚字〔</w:t>
      </w:r>
      <w:r>
        <w:rPr>
          <w:bCs/>
          <w:color w:val="000000"/>
          <w:kern w:val="0"/>
          <w:sz w:val="24"/>
          <w:szCs w:val="24"/>
        </w:rPr>
        <w:t>2017</w:t>
      </w:r>
      <w:r>
        <w:rPr>
          <w:bCs/>
          <w:color w:val="000000"/>
          <w:kern w:val="0"/>
          <w:sz w:val="24"/>
          <w:szCs w:val="24"/>
        </w:rPr>
        <w:t>〕</w:t>
      </w:r>
      <w:r>
        <w:rPr>
          <w:bCs/>
          <w:color w:val="000000"/>
          <w:kern w:val="0"/>
          <w:sz w:val="24"/>
          <w:szCs w:val="24"/>
        </w:rPr>
        <w:t>42</w:t>
      </w:r>
      <w:r>
        <w:rPr>
          <w:bCs/>
          <w:color w:val="000000"/>
          <w:kern w:val="0"/>
          <w:sz w:val="24"/>
          <w:szCs w:val="24"/>
        </w:rPr>
        <w:t>号），嘉联支付宁波分公司因阻碍反洗钱检查、未按照规定履行客户身份识别义务、与身份不明的客户进行交易或者为客户开立匿名账户、假名账户、未按照规定报送可疑交易报告的行为予以罚款，共计人民币</w:t>
      </w:r>
      <w:r>
        <w:rPr>
          <w:bCs/>
          <w:color w:val="000000"/>
          <w:kern w:val="0"/>
          <w:sz w:val="24"/>
          <w:szCs w:val="24"/>
        </w:rPr>
        <w:t>138</w:t>
      </w:r>
      <w:r>
        <w:rPr>
          <w:bCs/>
          <w:color w:val="000000"/>
          <w:kern w:val="0"/>
          <w:sz w:val="24"/>
          <w:szCs w:val="24"/>
        </w:rPr>
        <w:t>万元。</w:t>
      </w:r>
    </w:p>
    <w:p w:rsidR="00B95A29" w:rsidRDefault="00F35B3E">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323,276.57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570,240.02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1,170,780.95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2,064,297.54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lastRenderedPageBreak/>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5B7F51" w:rsidRDefault="005B7F51" w:rsidP="00C15CAC">
      <w:pPr>
        <w:spacing w:before="29" w:line="288" w:lineRule="auto"/>
        <w:ind w:firstLineChars="200" w:firstLine="480"/>
        <w:rPr>
          <w:color w:val="000000"/>
          <w:sz w:val="24"/>
          <w:szCs w:val="24"/>
        </w:rPr>
      </w:pPr>
      <w:r>
        <w:rPr>
          <w:rFonts w:hint="eastAsia"/>
          <w:color w:val="000000"/>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617,925,943.68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344,085,229.11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238,488,462.95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723,522,709.84</w:t>
            </w:r>
          </w:p>
        </w:tc>
      </w:tr>
    </w:tbl>
    <w:p w:rsidR="00B95A29" w:rsidRDefault="00F35B3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95A29" w:rsidRDefault="00F35B3E">
      <w:pPr>
        <w:spacing w:before="29" w:line="288" w:lineRule="auto"/>
        <w:ind w:firstLineChars="200" w:firstLine="480"/>
        <w:rPr>
          <w:color w:val="000000"/>
          <w:sz w:val="24"/>
          <w:szCs w:val="24"/>
        </w:rPr>
      </w:pPr>
      <w:r>
        <w:rPr>
          <w:color w:val="000000"/>
          <w:sz w:val="24"/>
          <w:szCs w:val="24"/>
        </w:rPr>
        <w:lastRenderedPageBreak/>
        <w:t>1</w:t>
      </w:r>
      <w:r>
        <w:rPr>
          <w:color w:val="000000"/>
          <w:sz w:val="24"/>
          <w:szCs w:val="24"/>
        </w:rPr>
        <w:t>、中国证监会核准交银施罗德先锋股票证券投资基金募集的文件；</w:t>
      </w:r>
    </w:p>
    <w:p w:rsidR="00B95A29" w:rsidRDefault="00F35B3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、《交银施罗德先锋混合型证券投资基金基金合同》；</w:t>
      </w:r>
    </w:p>
    <w:p w:rsidR="00B95A29" w:rsidRDefault="00F35B3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、《交银施罗德先锋混合型证券投资基金招募说明书》；</w:t>
      </w:r>
    </w:p>
    <w:p w:rsidR="00B95A29" w:rsidRDefault="00F35B3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、《交银施罗德先锋混合型证券投资基金托管协议》；</w:t>
      </w:r>
    </w:p>
    <w:p w:rsidR="00B95A29" w:rsidRDefault="00F35B3E">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B95A29" w:rsidRDefault="00F35B3E">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B95A29" w:rsidRDefault="00F35B3E">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95A29" w:rsidRDefault="00F35B3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651" w:rsidRDefault="00283651" w:rsidP="00876D65">
      <w:r>
        <w:separator/>
      </w:r>
    </w:p>
  </w:endnote>
  <w:endnote w:type="continuationSeparator" w:id="0">
    <w:p w:rsidR="00283651" w:rsidRDefault="0028365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A836F4">
      <w:rPr>
        <w:noProof/>
        <w:kern w:val="0"/>
        <w:szCs w:val="21"/>
      </w:rPr>
      <w:t>12</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A836F4">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651" w:rsidRDefault="00283651" w:rsidP="00876D65">
      <w:r>
        <w:separator/>
      </w:r>
    </w:p>
  </w:footnote>
  <w:footnote w:type="continuationSeparator" w:id="0">
    <w:p w:rsidR="00283651" w:rsidRDefault="0028365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交银施罗德先锋混合型证券投资基金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3651"/>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B7F51"/>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E4DDD"/>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36F4"/>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95A29"/>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5B3E"/>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7484C-3725-499D-9638-B5883041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12</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579</cp:revision>
  <dcterms:created xsi:type="dcterms:W3CDTF">2012-10-16T06:07:00Z</dcterms:created>
  <dcterms:modified xsi:type="dcterms:W3CDTF">2018-07-16T08:26:00Z</dcterms:modified>
</cp:coreProperties>
</file>