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交银施罗德蓝筹混合型证券投资基金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default" r:id="rId8"/>
          <w:footerReference w:type="default" r:id="rId9"/>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二〇一八年七月十八日</w:t>
      </w:r>
    </w:p>
    <w:p w:rsidR="004061AC" w:rsidRPr="00414345" w:rsidRDefault="004061AC" w:rsidP="007B5F21">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425655" w:rsidRDefault="00141C9A">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425655" w:rsidRDefault="00141C9A">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2018</w:t>
      </w:r>
      <w:r>
        <w:rPr>
          <w:color w:val="000000"/>
          <w:sz w:val="24"/>
          <w:szCs w:val="24"/>
        </w:rPr>
        <w:t>年</w:t>
      </w:r>
      <w:r>
        <w:rPr>
          <w:color w:val="000000"/>
          <w:sz w:val="24"/>
          <w:szCs w:val="24"/>
        </w:rPr>
        <w:t>7</w:t>
      </w:r>
      <w:r>
        <w:rPr>
          <w:color w:val="000000"/>
          <w:sz w:val="24"/>
          <w:szCs w:val="24"/>
        </w:rPr>
        <w:t>月</w:t>
      </w:r>
      <w:r>
        <w:rPr>
          <w:color w:val="000000"/>
          <w:sz w:val="24"/>
          <w:szCs w:val="24"/>
        </w:rPr>
        <w:t>17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425655" w:rsidRDefault="00141C9A">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425655" w:rsidRDefault="00141C9A">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425655" w:rsidRDefault="00141C9A">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交银蓝筹混合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519694</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2007</w:t>
            </w:r>
            <w:r w:rsidRPr="00414345">
              <w:rPr>
                <w:color w:val="000000"/>
                <w:kern w:val="0"/>
                <w:sz w:val="24"/>
                <w:szCs w:val="24"/>
              </w:rPr>
              <w:t>年</w:t>
            </w:r>
            <w:r w:rsidRPr="00414345">
              <w:rPr>
                <w:color w:val="000000"/>
                <w:kern w:val="0"/>
                <w:sz w:val="24"/>
                <w:szCs w:val="24"/>
              </w:rPr>
              <w:t>8</w:t>
            </w:r>
            <w:r w:rsidRPr="00414345">
              <w:rPr>
                <w:color w:val="000000"/>
                <w:kern w:val="0"/>
                <w:sz w:val="24"/>
                <w:szCs w:val="24"/>
              </w:rPr>
              <w:t>月</w:t>
            </w:r>
            <w:r w:rsidRPr="00414345">
              <w:rPr>
                <w:color w:val="000000"/>
                <w:kern w:val="0"/>
                <w:sz w:val="24"/>
                <w:szCs w:val="24"/>
              </w:rPr>
              <w:t>8</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2,347,250,515.49</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为一只蓝筹混合型基金，主要通过投资于业绩优良、发展稳定、在行业内占有支配性地位、分红稳定的蓝筹上市公司股票，在有效控制风险并保持基金资产良好流动性的前提下，追求在稳定分红的基础上实现基金资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通过优选业绩优良、发展稳定、在行业内占有支配性地位、分红稳定的蓝筹上市公司股票进行投资，以谋求基金资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中证</w:t>
            </w:r>
            <w:r w:rsidRPr="00414345">
              <w:rPr>
                <w:color w:val="000000"/>
                <w:kern w:val="0"/>
                <w:sz w:val="24"/>
                <w:szCs w:val="24"/>
              </w:rPr>
              <w:t>100</w:t>
            </w:r>
            <w:r w:rsidRPr="00414345">
              <w:rPr>
                <w:color w:val="000000"/>
                <w:kern w:val="0"/>
                <w:sz w:val="24"/>
                <w:szCs w:val="24"/>
              </w:rPr>
              <w:t>指数</w:t>
            </w:r>
            <w:r w:rsidRPr="00414345">
              <w:rPr>
                <w:color w:val="000000"/>
                <w:kern w:val="0"/>
                <w:sz w:val="24"/>
                <w:szCs w:val="24"/>
              </w:rPr>
              <w:t>+25%×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本基金是一只混合型基金，以优质蓝筹股为主要投资</w:t>
            </w:r>
            <w:r w:rsidRPr="00414345">
              <w:rPr>
                <w:color w:val="000000"/>
                <w:kern w:val="0"/>
                <w:sz w:val="24"/>
                <w:szCs w:val="24"/>
              </w:rPr>
              <w:lastRenderedPageBreak/>
              <w:t>对象，其风险和预期收益高于债券型基金和货币市场基金，低于股票型基金。属于承担较高风险、预期收益较高的证券投资基金品种。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080701" w:rsidRPr="00414345" w:rsidTr="00080701">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080701" w:rsidRPr="00414345" w:rsidTr="0008070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-22,767,512.41</w:t>
            </w:r>
          </w:p>
        </w:tc>
      </w:tr>
      <w:tr w:rsidR="00080701" w:rsidRPr="00414345" w:rsidTr="0008070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-171,159,715.66</w:t>
            </w:r>
          </w:p>
        </w:tc>
      </w:tr>
      <w:tr w:rsidR="00080701" w:rsidRPr="00414345" w:rsidTr="0008070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-0.0720</w:t>
            </w:r>
          </w:p>
        </w:tc>
      </w:tr>
      <w:tr w:rsidR="00080701" w:rsidRPr="00414345" w:rsidTr="0008070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2,178,460,195.41</w:t>
            </w:r>
          </w:p>
        </w:tc>
      </w:tr>
      <w:tr w:rsidR="00080701" w:rsidRPr="00414345" w:rsidTr="00080701">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0.9281</w:t>
            </w:r>
          </w:p>
        </w:tc>
      </w:tr>
    </w:tbl>
    <w:p w:rsidR="00425655" w:rsidRDefault="00141C9A">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425655">
        <w:trPr>
          <w:jc w:val="center"/>
        </w:trPr>
        <w:tc>
          <w:tcPr>
            <w:tcW w:w="1701" w:type="dxa"/>
            <w:vAlign w:val="center"/>
          </w:tcPr>
          <w:p w:rsidR="00425655" w:rsidRDefault="00141C9A">
            <w:pPr>
              <w:jc w:val="left"/>
            </w:pPr>
            <w:r>
              <w:rPr>
                <w:color w:val="000000"/>
                <w:sz w:val="24"/>
                <w:szCs w:val="24"/>
              </w:rPr>
              <w:t>过去三个月</w:t>
            </w:r>
          </w:p>
        </w:tc>
        <w:tc>
          <w:tcPr>
            <w:tcW w:w="1045" w:type="dxa"/>
            <w:vAlign w:val="center"/>
          </w:tcPr>
          <w:p w:rsidR="00425655" w:rsidRDefault="00141C9A">
            <w:pPr>
              <w:jc w:val="center"/>
            </w:pPr>
            <w:r>
              <w:rPr>
                <w:color w:val="000000"/>
                <w:sz w:val="24"/>
                <w:szCs w:val="24"/>
              </w:rPr>
              <w:t>-7.23%</w:t>
            </w:r>
          </w:p>
        </w:tc>
        <w:tc>
          <w:tcPr>
            <w:tcW w:w="1344" w:type="dxa"/>
            <w:vAlign w:val="center"/>
          </w:tcPr>
          <w:p w:rsidR="00425655" w:rsidRDefault="00141C9A">
            <w:pPr>
              <w:jc w:val="center"/>
            </w:pPr>
            <w:r>
              <w:rPr>
                <w:color w:val="000000"/>
                <w:sz w:val="24"/>
                <w:szCs w:val="24"/>
              </w:rPr>
              <w:t>1.39%</w:t>
            </w:r>
          </w:p>
        </w:tc>
        <w:tc>
          <w:tcPr>
            <w:tcW w:w="1194" w:type="dxa"/>
            <w:vAlign w:val="center"/>
          </w:tcPr>
          <w:p w:rsidR="00425655" w:rsidRDefault="00141C9A">
            <w:pPr>
              <w:jc w:val="center"/>
            </w:pPr>
            <w:r>
              <w:rPr>
                <w:color w:val="000000"/>
                <w:sz w:val="24"/>
                <w:szCs w:val="24"/>
              </w:rPr>
              <w:t>-6.03%</w:t>
            </w:r>
          </w:p>
        </w:tc>
        <w:tc>
          <w:tcPr>
            <w:tcW w:w="1492" w:type="dxa"/>
            <w:vAlign w:val="center"/>
          </w:tcPr>
          <w:p w:rsidR="00425655" w:rsidRDefault="00141C9A">
            <w:pPr>
              <w:jc w:val="center"/>
            </w:pPr>
            <w:r>
              <w:rPr>
                <w:color w:val="000000"/>
                <w:sz w:val="24"/>
                <w:szCs w:val="24"/>
              </w:rPr>
              <w:t>0.88%</w:t>
            </w:r>
          </w:p>
        </w:tc>
        <w:tc>
          <w:tcPr>
            <w:tcW w:w="1194" w:type="dxa"/>
            <w:vAlign w:val="center"/>
          </w:tcPr>
          <w:p w:rsidR="00425655" w:rsidRDefault="00141C9A">
            <w:pPr>
              <w:jc w:val="center"/>
            </w:pPr>
            <w:r>
              <w:rPr>
                <w:color w:val="000000"/>
                <w:sz w:val="24"/>
                <w:szCs w:val="24"/>
              </w:rPr>
              <w:t>-1.20%</w:t>
            </w:r>
          </w:p>
        </w:tc>
        <w:tc>
          <w:tcPr>
            <w:tcW w:w="898" w:type="dxa"/>
            <w:vAlign w:val="center"/>
          </w:tcPr>
          <w:p w:rsidR="00425655" w:rsidRDefault="00141C9A">
            <w:pPr>
              <w:jc w:val="center"/>
            </w:pPr>
            <w:r>
              <w:rPr>
                <w:color w:val="000000"/>
                <w:sz w:val="24"/>
                <w:szCs w:val="24"/>
              </w:rPr>
              <w:t>0.51%</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中证</w:t>
      </w:r>
      <w:r w:rsidRPr="00414345">
        <w:rPr>
          <w:color w:val="000000"/>
          <w:sz w:val="24"/>
          <w:szCs w:val="24"/>
        </w:rPr>
        <w:t>100</w:t>
      </w:r>
      <w:r w:rsidRPr="00414345">
        <w:rPr>
          <w:color w:val="000000"/>
          <w:sz w:val="24"/>
          <w:szCs w:val="24"/>
        </w:rPr>
        <w:t>指数</w:t>
      </w:r>
      <w:r w:rsidRPr="00414345">
        <w:rPr>
          <w:color w:val="000000"/>
          <w:sz w:val="24"/>
          <w:szCs w:val="24"/>
        </w:rPr>
        <w:t>+25%×</w:t>
      </w:r>
      <w:r w:rsidRPr="00414345">
        <w:rPr>
          <w:color w:val="000000"/>
          <w:sz w:val="24"/>
          <w:szCs w:val="24"/>
        </w:rPr>
        <w:t>中信全债指数</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中证</w:t>
      </w:r>
      <w:r w:rsidRPr="00414345">
        <w:rPr>
          <w:color w:val="000000"/>
          <w:sz w:val="24"/>
          <w:szCs w:val="24"/>
        </w:rPr>
        <w:t>100</w:t>
      </w:r>
      <w:r w:rsidRPr="00414345">
        <w:rPr>
          <w:color w:val="000000"/>
          <w:sz w:val="24"/>
          <w:szCs w:val="24"/>
        </w:rPr>
        <w:t>指数</w:t>
      </w:r>
      <w:r w:rsidRPr="00414345">
        <w:rPr>
          <w:color w:val="000000"/>
          <w:sz w:val="24"/>
          <w:szCs w:val="24"/>
        </w:rPr>
        <w:t>+25%×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w:t>
      </w:r>
      <w:r w:rsidR="00C6002A" w:rsidRPr="00414345">
        <w:rPr>
          <w:b/>
          <w:bCs/>
          <w:color w:val="000000"/>
          <w:sz w:val="24"/>
        </w:rPr>
        <w:lastRenderedPageBreak/>
        <w:t>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交银施罗德蓝筹混合型证券投资基金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2007</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425655">
        <w:trPr>
          <w:jc w:val="center"/>
        </w:trPr>
        <w:tc>
          <w:tcPr>
            <w:tcW w:w="846" w:type="dxa"/>
            <w:vAlign w:val="center"/>
          </w:tcPr>
          <w:p w:rsidR="00425655" w:rsidRDefault="00141C9A">
            <w:pPr>
              <w:jc w:val="center"/>
            </w:pPr>
            <w:r>
              <w:rPr>
                <w:color w:val="000000"/>
                <w:sz w:val="24"/>
                <w:szCs w:val="24"/>
              </w:rPr>
              <w:t>陈孜铎</w:t>
            </w:r>
          </w:p>
        </w:tc>
        <w:tc>
          <w:tcPr>
            <w:tcW w:w="845" w:type="dxa"/>
            <w:vAlign w:val="center"/>
          </w:tcPr>
          <w:p w:rsidR="00425655" w:rsidRDefault="00141C9A">
            <w:pPr>
              <w:jc w:val="center"/>
            </w:pPr>
            <w:r>
              <w:rPr>
                <w:color w:val="000000"/>
                <w:sz w:val="24"/>
                <w:szCs w:val="24"/>
              </w:rPr>
              <w:t>交银稳健配置混合的基金经理、交银蓝筹混合的</w:t>
            </w:r>
            <w:r>
              <w:rPr>
                <w:color w:val="000000"/>
                <w:sz w:val="24"/>
                <w:szCs w:val="24"/>
              </w:rPr>
              <w:lastRenderedPageBreak/>
              <w:t>基金经理，公司研究部助理总经理</w:t>
            </w:r>
          </w:p>
        </w:tc>
        <w:tc>
          <w:tcPr>
            <w:tcW w:w="1549" w:type="dxa"/>
            <w:vAlign w:val="center"/>
          </w:tcPr>
          <w:p w:rsidR="00425655" w:rsidRDefault="00141C9A">
            <w:pPr>
              <w:jc w:val="center"/>
            </w:pPr>
            <w:r>
              <w:rPr>
                <w:color w:val="000000"/>
                <w:sz w:val="24"/>
                <w:szCs w:val="24"/>
              </w:rPr>
              <w:lastRenderedPageBreak/>
              <w:t>2014-10-22</w:t>
            </w:r>
          </w:p>
        </w:tc>
        <w:tc>
          <w:tcPr>
            <w:tcW w:w="1548" w:type="dxa"/>
            <w:vAlign w:val="center"/>
          </w:tcPr>
          <w:p w:rsidR="00425655" w:rsidRDefault="00141C9A">
            <w:pPr>
              <w:jc w:val="center"/>
            </w:pPr>
            <w:r>
              <w:rPr>
                <w:color w:val="000000"/>
                <w:sz w:val="24"/>
                <w:szCs w:val="24"/>
              </w:rPr>
              <w:t>-</w:t>
            </w:r>
          </w:p>
        </w:tc>
        <w:tc>
          <w:tcPr>
            <w:tcW w:w="1407" w:type="dxa"/>
            <w:vAlign w:val="center"/>
          </w:tcPr>
          <w:p w:rsidR="00425655" w:rsidRDefault="00141C9A">
            <w:pPr>
              <w:jc w:val="center"/>
            </w:pPr>
            <w:r>
              <w:rPr>
                <w:color w:val="000000"/>
                <w:sz w:val="24"/>
                <w:szCs w:val="24"/>
              </w:rPr>
              <w:t>10</w:t>
            </w:r>
            <w:r>
              <w:rPr>
                <w:color w:val="000000"/>
                <w:sz w:val="24"/>
                <w:szCs w:val="24"/>
              </w:rPr>
              <w:t>年</w:t>
            </w:r>
          </w:p>
        </w:tc>
        <w:tc>
          <w:tcPr>
            <w:tcW w:w="2673" w:type="dxa"/>
            <w:vAlign w:val="center"/>
          </w:tcPr>
          <w:p w:rsidR="00425655" w:rsidRDefault="00141C9A">
            <w:r>
              <w:rPr>
                <w:color w:val="000000"/>
                <w:sz w:val="24"/>
                <w:szCs w:val="24"/>
              </w:rPr>
              <w:t>陈孜铎先生，清华大学材料科学与工程硕士。</w:t>
            </w:r>
            <w:r>
              <w:rPr>
                <w:color w:val="000000"/>
                <w:sz w:val="24"/>
                <w:szCs w:val="24"/>
              </w:rPr>
              <w:t>2008</w:t>
            </w:r>
            <w:r>
              <w:rPr>
                <w:color w:val="000000"/>
                <w:sz w:val="24"/>
                <w:szCs w:val="24"/>
              </w:rPr>
              <w:t>年加入交银施罗德基金管理有限公司，历任行业分析师、高级研究员。</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425655" w:rsidRDefault="00141C9A">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425655" w:rsidRDefault="00141C9A">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425655" w:rsidRDefault="00141C9A">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425655" w:rsidRDefault="00141C9A">
      <w:pPr>
        <w:spacing w:before="29" w:line="288" w:lineRule="auto"/>
        <w:ind w:firstLineChars="200" w:firstLine="480"/>
        <w:rPr>
          <w:color w:val="000000"/>
          <w:sz w:val="24"/>
          <w:szCs w:val="24"/>
        </w:rPr>
      </w:pPr>
      <w:r>
        <w:rPr>
          <w:color w:val="000000"/>
          <w:sz w:val="24"/>
          <w:szCs w:val="24"/>
        </w:rPr>
        <w:t>2018</w:t>
      </w:r>
      <w:r>
        <w:rPr>
          <w:color w:val="000000"/>
          <w:sz w:val="24"/>
          <w:szCs w:val="24"/>
        </w:rPr>
        <w:t>年二季度整个</w:t>
      </w:r>
      <w:r>
        <w:rPr>
          <w:color w:val="000000"/>
          <w:sz w:val="24"/>
          <w:szCs w:val="24"/>
        </w:rPr>
        <w:t>A</w:t>
      </w:r>
      <w:r>
        <w:rPr>
          <w:color w:val="000000"/>
          <w:sz w:val="24"/>
          <w:szCs w:val="24"/>
        </w:rPr>
        <w:t>股市场整体呈现单边下跌态势，各主要指数均回到过去一到三年较低位置附近。整体市场表现受宏观预期的不确定性影响较大，一方面在美联储加息周期的大通道中，随着中美贸易博弈的反复加剧了市场对全球经济走势的担忧，另一方面随着国内去杠杆政策继续深化，在</w:t>
      </w:r>
      <w:r>
        <w:rPr>
          <w:color w:val="000000"/>
          <w:sz w:val="24"/>
          <w:szCs w:val="24"/>
        </w:rPr>
        <w:t>“</w:t>
      </w:r>
      <w:r>
        <w:rPr>
          <w:color w:val="000000"/>
          <w:sz w:val="24"/>
          <w:szCs w:val="24"/>
        </w:rPr>
        <w:t>宽货币紧信用</w:t>
      </w:r>
      <w:r>
        <w:rPr>
          <w:color w:val="000000"/>
          <w:sz w:val="24"/>
          <w:szCs w:val="24"/>
        </w:rPr>
        <w:t>”</w:t>
      </w:r>
      <w:r>
        <w:rPr>
          <w:color w:val="000000"/>
          <w:sz w:val="24"/>
          <w:szCs w:val="24"/>
        </w:rPr>
        <w:t>环境下市场对未来国内的总需求和信用风险担忧加剧。我们认为，虽然市场对宏观各种不确定性有所担忧，但大幅下跌后</w:t>
      </w:r>
      <w:r>
        <w:rPr>
          <w:color w:val="000000"/>
          <w:sz w:val="24"/>
          <w:szCs w:val="24"/>
        </w:rPr>
        <w:t>A</w:t>
      </w:r>
      <w:r>
        <w:rPr>
          <w:color w:val="000000"/>
          <w:sz w:val="24"/>
          <w:szCs w:val="24"/>
        </w:rPr>
        <w:t>股整体估值已经接近历史低位水平，风险得到相当程度的释放，宏观环境对各行业的影响会有所分化，此时各行业的中微观行业格局和基本面的变化更为重要。</w:t>
      </w:r>
    </w:p>
    <w:p w:rsidR="00425655" w:rsidRDefault="00141C9A">
      <w:pPr>
        <w:spacing w:before="29" w:line="288" w:lineRule="auto"/>
        <w:ind w:firstLineChars="200" w:firstLine="480"/>
        <w:rPr>
          <w:color w:val="000000"/>
          <w:sz w:val="24"/>
          <w:szCs w:val="24"/>
        </w:rPr>
      </w:pPr>
      <w:r>
        <w:rPr>
          <w:color w:val="000000"/>
          <w:sz w:val="24"/>
          <w:szCs w:val="24"/>
        </w:rPr>
        <w:t>在上述市场环境中，本基金在二季度前期依然坚持相对稳健均衡的配置，随着市场大幅下跌，我们认为虽然宏观风险仍未完全出清，但市场估值已经具备吸引力，故而在六月份加大了仓位配置，短期波动有所加大。</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2018</w:t>
      </w:r>
      <w:r w:rsidRPr="00414345">
        <w:rPr>
          <w:color w:val="000000"/>
          <w:sz w:val="24"/>
          <w:szCs w:val="24"/>
        </w:rPr>
        <w:t>年上半年以来，去杠杆深化和贸易战超预期大幅影响估值水平和市场风险偏好。贸易战表象是贸易结构问题，实质是长期各经济体国际竞争力与未来产业格局问题。去杠杆政策的主要目标是化解风险，而不是放大风险。中期随着国内结构调整的深化，在当前估值水平下，传统行业的行业结构改善与新兴行业都蕴含着机会。基于以上思路，本基金在传统行业中更关注价值被低估、行业地位突出的公司，在转型过程中更关注长期前景的中微观路径，积极寻找投资机会。</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2018</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0.9281</w:t>
      </w:r>
      <w:r w:rsidRPr="00414345">
        <w:rPr>
          <w:color w:val="000000"/>
          <w:sz w:val="24"/>
          <w:szCs w:val="24"/>
        </w:rPr>
        <w:t>元，本报告期份额净值增长率为</w:t>
      </w:r>
      <w:r w:rsidRPr="00414345">
        <w:rPr>
          <w:color w:val="000000"/>
          <w:sz w:val="24"/>
          <w:szCs w:val="24"/>
        </w:rPr>
        <w:t>-7.23%</w:t>
      </w:r>
      <w:r w:rsidRPr="00414345">
        <w:rPr>
          <w:color w:val="000000"/>
          <w:sz w:val="24"/>
          <w:szCs w:val="24"/>
        </w:rPr>
        <w:t>，同期业绩比较基准增长率为</w:t>
      </w:r>
      <w:r w:rsidRPr="00414345">
        <w:rPr>
          <w:color w:val="000000"/>
          <w:sz w:val="24"/>
          <w:szCs w:val="24"/>
        </w:rPr>
        <w:t>-6.03%</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1,999,038,561.12</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90.21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1,999,038,561.12</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90.21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123,838,479.27</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5.59</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123,838,479.27</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5.59</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89,331,000.20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4.03</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3,891,088.78</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0.18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2,216,099,129.37</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40,899,905.93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1.88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1,211,009,842.87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55.59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71,559.85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84,204,562.41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198,099,640.42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9.09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10,174,200.00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0.47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93,401,410.34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319,973,777.32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14.69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41,122,435.84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81,226.14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1,999,038,561.12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91.76</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425655">
        <w:trPr>
          <w:jc w:val="center"/>
        </w:trPr>
        <w:tc>
          <w:tcPr>
            <w:tcW w:w="855" w:type="dxa"/>
            <w:vAlign w:val="center"/>
          </w:tcPr>
          <w:p w:rsidR="00425655" w:rsidRDefault="00141C9A">
            <w:pPr>
              <w:jc w:val="center"/>
            </w:pPr>
            <w:r>
              <w:rPr>
                <w:color w:val="000000"/>
                <w:sz w:val="24"/>
                <w:szCs w:val="24"/>
              </w:rPr>
              <w:t>1</w:t>
            </w:r>
          </w:p>
        </w:tc>
        <w:tc>
          <w:tcPr>
            <w:tcW w:w="1334" w:type="dxa"/>
            <w:vAlign w:val="center"/>
          </w:tcPr>
          <w:p w:rsidR="00425655" w:rsidRDefault="00141C9A">
            <w:pPr>
              <w:jc w:val="center"/>
            </w:pPr>
            <w:r>
              <w:rPr>
                <w:color w:val="000000"/>
                <w:sz w:val="24"/>
                <w:szCs w:val="24"/>
              </w:rPr>
              <w:t>300413</w:t>
            </w:r>
          </w:p>
        </w:tc>
        <w:tc>
          <w:tcPr>
            <w:tcW w:w="1777" w:type="dxa"/>
            <w:vAlign w:val="center"/>
          </w:tcPr>
          <w:p w:rsidR="00425655" w:rsidRDefault="00141C9A">
            <w:pPr>
              <w:jc w:val="center"/>
            </w:pPr>
            <w:r>
              <w:rPr>
                <w:color w:val="000000"/>
                <w:sz w:val="24"/>
                <w:szCs w:val="24"/>
              </w:rPr>
              <w:t>快乐购</w:t>
            </w:r>
          </w:p>
        </w:tc>
        <w:tc>
          <w:tcPr>
            <w:tcW w:w="1334" w:type="dxa"/>
            <w:vAlign w:val="center"/>
          </w:tcPr>
          <w:p w:rsidR="00425655" w:rsidRDefault="00141C9A">
            <w:pPr>
              <w:jc w:val="right"/>
            </w:pPr>
            <w:r>
              <w:rPr>
                <w:color w:val="000000"/>
                <w:sz w:val="24"/>
                <w:szCs w:val="24"/>
              </w:rPr>
              <w:t>5,179,893</w:t>
            </w:r>
          </w:p>
        </w:tc>
        <w:tc>
          <w:tcPr>
            <w:tcW w:w="1924" w:type="dxa"/>
            <w:vAlign w:val="center"/>
          </w:tcPr>
          <w:p w:rsidR="00425655" w:rsidRDefault="00141C9A">
            <w:pPr>
              <w:jc w:val="right"/>
            </w:pPr>
            <w:r>
              <w:rPr>
                <w:color w:val="000000"/>
                <w:sz w:val="24"/>
                <w:szCs w:val="24"/>
              </w:rPr>
              <w:t>196,525,140.42</w:t>
            </w:r>
          </w:p>
        </w:tc>
        <w:tc>
          <w:tcPr>
            <w:tcW w:w="1644" w:type="dxa"/>
            <w:vAlign w:val="center"/>
          </w:tcPr>
          <w:p w:rsidR="00425655" w:rsidRDefault="00141C9A">
            <w:pPr>
              <w:jc w:val="right"/>
            </w:pPr>
            <w:r>
              <w:rPr>
                <w:color w:val="000000"/>
                <w:sz w:val="24"/>
                <w:szCs w:val="24"/>
              </w:rPr>
              <w:t>9.02</w:t>
            </w:r>
          </w:p>
        </w:tc>
      </w:tr>
      <w:tr w:rsidR="00425655">
        <w:trPr>
          <w:jc w:val="center"/>
        </w:trPr>
        <w:tc>
          <w:tcPr>
            <w:tcW w:w="855" w:type="dxa"/>
            <w:vAlign w:val="center"/>
          </w:tcPr>
          <w:p w:rsidR="00425655" w:rsidRDefault="00141C9A">
            <w:pPr>
              <w:jc w:val="center"/>
            </w:pPr>
            <w:r>
              <w:rPr>
                <w:color w:val="000000"/>
                <w:sz w:val="24"/>
                <w:szCs w:val="24"/>
              </w:rPr>
              <w:t>2</w:t>
            </w:r>
          </w:p>
        </w:tc>
        <w:tc>
          <w:tcPr>
            <w:tcW w:w="1334" w:type="dxa"/>
            <w:vAlign w:val="center"/>
          </w:tcPr>
          <w:p w:rsidR="00425655" w:rsidRDefault="00141C9A">
            <w:pPr>
              <w:jc w:val="center"/>
            </w:pPr>
            <w:r>
              <w:rPr>
                <w:color w:val="000000"/>
                <w:sz w:val="24"/>
                <w:szCs w:val="24"/>
              </w:rPr>
              <w:t>600048</w:t>
            </w:r>
          </w:p>
        </w:tc>
        <w:tc>
          <w:tcPr>
            <w:tcW w:w="1777" w:type="dxa"/>
            <w:vAlign w:val="center"/>
          </w:tcPr>
          <w:p w:rsidR="00425655" w:rsidRDefault="00141C9A">
            <w:pPr>
              <w:jc w:val="center"/>
            </w:pPr>
            <w:r>
              <w:rPr>
                <w:color w:val="000000"/>
                <w:sz w:val="24"/>
                <w:szCs w:val="24"/>
              </w:rPr>
              <w:t>保利地产</w:t>
            </w:r>
          </w:p>
        </w:tc>
        <w:tc>
          <w:tcPr>
            <w:tcW w:w="1334" w:type="dxa"/>
            <w:vAlign w:val="center"/>
          </w:tcPr>
          <w:p w:rsidR="00425655" w:rsidRDefault="00141C9A">
            <w:pPr>
              <w:jc w:val="right"/>
            </w:pPr>
            <w:r>
              <w:rPr>
                <w:color w:val="000000"/>
                <w:sz w:val="24"/>
                <w:szCs w:val="24"/>
              </w:rPr>
              <w:t>13,509,970</w:t>
            </w:r>
          </w:p>
        </w:tc>
        <w:tc>
          <w:tcPr>
            <w:tcW w:w="1924" w:type="dxa"/>
            <w:vAlign w:val="center"/>
          </w:tcPr>
          <w:p w:rsidR="00425655" w:rsidRDefault="00141C9A">
            <w:pPr>
              <w:jc w:val="right"/>
            </w:pPr>
            <w:r>
              <w:rPr>
                <w:color w:val="000000"/>
                <w:sz w:val="24"/>
                <w:szCs w:val="24"/>
              </w:rPr>
              <w:t>164,821,634.00</w:t>
            </w:r>
          </w:p>
        </w:tc>
        <w:tc>
          <w:tcPr>
            <w:tcW w:w="1644" w:type="dxa"/>
            <w:vAlign w:val="center"/>
          </w:tcPr>
          <w:p w:rsidR="00425655" w:rsidRDefault="00141C9A">
            <w:pPr>
              <w:jc w:val="right"/>
            </w:pPr>
            <w:r>
              <w:rPr>
                <w:color w:val="000000"/>
                <w:sz w:val="24"/>
                <w:szCs w:val="24"/>
              </w:rPr>
              <w:t>7.57</w:t>
            </w:r>
          </w:p>
        </w:tc>
      </w:tr>
      <w:tr w:rsidR="00425655">
        <w:trPr>
          <w:jc w:val="center"/>
        </w:trPr>
        <w:tc>
          <w:tcPr>
            <w:tcW w:w="855" w:type="dxa"/>
            <w:vAlign w:val="center"/>
          </w:tcPr>
          <w:p w:rsidR="00425655" w:rsidRDefault="00141C9A">
            <w:pPr>
              <w:jc w:val="center"/>
            </w:pPr>
            <w:r>
              <w:rPr>
                <w:color w:val="000000"/>
                <w:sz w:val="24"/>
                <w:szCs w:val="24"/>
              </w:rPr>
              <w:t>3</w:t>
            </w:r>
          </w:p>
        </w:tc>
        <w:tc>
          <w:tcPr>
            <w:tcW w:w="1334" w:type="dxa"/>
            <w:vAlign w:val="center"/>
          </w:tcPr>
          <w:p w:rsidR="00425655" w:rsidRDefault="00141C9A">
            <w:pPr>
              <w:jc w:val="center"/>
            </w:pPr>
            <w:r>
              <w:rPr>
                <w:color w:val="000000"/>
                <w:sz w:val="24"/>
                <w:szCs w:val="24"/>
              </w:rPr>
              <w:t>601155</w:t>
            </w:r>
          </w:p>
        </w:tc>
        <w:tc>
          <w:tcPr>
            <w:tcW w:w="1777" w:type="dxa"/>
            <w:vAlign w:val="center"/>
          </w:tcPr>
          <w:p w:rsidR="00425655" w:rsidRDefault="00141C9A">
            <w:pPr>
              <w:jc w:val="center"/>
            </w:pPr>
            <w:r>
              <w:rPr>
                <w:color w:val="000000"/>
                <w:sz w:val="24"/>
                <w:szCs w:val="24"/>
              </w:rPr>
              <w:t>新城控股</w:t>
            </w:r>
          </w:p>
        </w:tc>
        <w:tc>
          <w:tcPr>
            <w:tcW w:w="1334" w:type="dxa"/>
            <w:vAlign w:val="center"/>
          </w:tcPr>
          <w:p w:rsidR="00425655" w:rsidRDefault="00141C9A">
            <w:pPr>
              <w:jc w:val="right"/>
            </w:pPr>
            <w:r>
              <w:rPr>
                <w:color w:val="000000"/>
                <w:sz w:val="24"/>
                <w:szCs w:val="24"/>
              </w:rPr>
              <w:t>5,009,756</w:t>
            </w:r>
          </w:p>
        </w:tc>
        <w:tc>
          <w:tcPr>
            <w:tcW w:w="1924" w:type="dxa"/>
            <w:vAlign w:val="center"/>
          </w:tcPr>
          <w:p w:rsidR="00425655" w:rsidRDefault="00141C9A">
            <w:pPr>
              <w:jc w:val="right"/>
            </w:pPr>
            <w:r>
              <w:rPr>
                <w:color w:val="000000"/>
                <w:sz w:val="24"/>
                <w:szCs w:val="24"/>
              </w:rPr>
              <w:t>155,152,143.32</w:t>
            </w:r>
          </w:p>
        </w:tc>
        <w:tc>
          <w:tcPr>
            <w:tcW w:w="1644" w:type="dxa"/>
            <w:vAlign w:val="center"/>
          </w:tcPr>
          <w:p w:rsidR="00425655" w:rsidRDefault="00141C9A">
            <w:pPr>
              <w:jc w:val="right"/>
            </w:pPr>
            <w:r>
              <w:rPr>
                <w:color w:val="000000"/>
                <w:sz w:val="24"/>
                <w:szCs w:val="24"/>
              </w:rPr>
              <w:t>7.12</w:t>
            </w:r>
          </w:p>
        </w:tc>
      </w:tr>
      <w:tr w:rsidR="00425655">
        <w:trPr>
          <w:jc w:val="center"/>
        </w:trPr>
        <w:tc>
          <w:tcPr>
            <w:tcW w:w="855" w:type="dxa"/>
            <w:vAlign w:val="center"/>
          </w:tcPr>
          <w:p w:rsidR="00425655" w:rsidRDefault="00141C9A">
            <w:pPr>
              <w:jc w:val="center"/>
            </w:pPr>
            <w:r>
              <w:rPr>
                <w:color w:val="000000"/>
                <w:sz w:val="24"/>
                <w:szCs w:val="24"/>
              </w:rPr>
              <w:t>4</w:t>
            </w:r>
          </w:p>
        </w:tc>
        <w:tc>
          <w:tcPr>
            <w:tcW w:w="1334" w:type="dxa"/>
            <w:vAlign w:val="center"/>
          </w:tcPr>
          <w:p w:rsidR="00425655" w:rsidRDefault="00141C9A">
            <w:pPr>
              <w:jc w:val="center"/>
            </w:pPr>
            <w:r>
              <w:rPr>
                <w:color w:val="000000"/>
                <w:sz w:val="24"/>
                <w:szCs w:val="24"/>
              </w:rPr>
              <w:t>600519</w:t>
            </w:r>
          </w:p>
        </w:tc>
        <w:tc>
          <w:tcPr>
            <w:tcW w:w="1777" w:type="dxa"/>
            <w:vAlign w:val="center"/>
          </w:tcPr>
          <w:p w:rsidR="00425655" w:rsidRDefault="00141C9A">
            <w:pPr>
              <w:jc w:val="center"/>
            </w:pPr>
            <w:r>
              <w:rPr>
                <w:color w:val="000000"/>
                <w:sz w:val="24"/>
                <w:szCs w:val="24"/>
              </w:rPr>
              <w:t>贵州茅台</w:t>
            </w:r>
          </w:p>
        </w:tc>
        <w:tc>
          <w:tcPr>
            <w:tcW w:w="1334" w:type="dxa"/>
            <w:vAlign w:val="center"/>
          </w:tcPr>
          <w:p w:rsidR="00425655" w:rsidRDefault="00141C9A">
            <w:pPr>
              <w:jc w:val="right"/>
            </w:pPr>
            <w:r>
              <w:rPr>
                <w:color w:val="000000"/>
                <w:sz w:val="24"/>
                <w:szCs w:val="24"/>
              </w:rPr>
              <w:t>150,000</w:t>
            </w:r>
          </w:p>
        </w:tc>
        <w:tc>
          <w:tcPr>
            <w:tcW w:w="1924" w:type="dxa"/>
            <w:vAlign w:val="center"/>
          </w:tcPr>
          <w:p w:rsidR="00425655" w:rsidRDefault="00141C9A">
            <w:pPr>
              <w:jc w:val="right"/>
            </w:pPr>
            <w:r>
              <w:rPr>
                <w:color w:val="000000"/>
                <w:sz w:val="24"/>
                <w:szCs w:val="24"/>
              </w:rPr>
              <w:t>109,719,000.00</w:t>
            </w:r>
          </w:p>
        </w:tc>
        <w:tc>
          <w:tcPr>
            <w:tcW w:w="1644" w:type="dxa"/>
            <w:vAlign w:val="center"/>
          </w:tcPr>
          <w:p w:rsidR="00425655" w:rsidRDefault="00141C9A">
            <w:pPr>
              <w:jc w:val="right"/>
            </w:pPr>
            <w:r>
              <w:rPr>
                <w:color w:val="000000"/>
                <w:sz w:val="24"/>
                <w:szCs w:val="24"/>
              </w:rPr>
              <w:t>5.04</w:t>
            </w:r>
          </w:p>
        </w:tc>
      </w:tr>
      <w:tr w:rsidR="00425655">
        <w:trPr>
          <w:jc w:val="center"/>
        </w:trPr>
        <w:tc>
          <w:tcPr>
            <w:tcW w:w="855" w:type="dxa"/>
            <w:vAlign w:val="center"/>
          </w:tcPr>
          <w:p w:rsidR="00425655" w:rsidRDefault="00141C9A">
            <w:pPr>
              <w:jc w:val="center"/>
            </w:pPr>
            <w:r>
              <w:rPr>
                <w:color w:val="000000"/>
                <w:sz w:val="24"/>
                <w:szCs w:val="24"/>
              </w:rPr>
              <w:t>5</w:t>
            </w:r>
          </w:p>
        </w:tc>
        <w:tc>
          <w:tcPr>
            <w:tcW w:w="1334" w:type="dxa"/>
            <w:vAlign w:val="center"/>
          </w:tcPr>
          <w:p w:rsidR="00425655" w:rsidRDefault="00141C9A">
            <w:pPr>
              <w:jc w:val="center"/>
            </w:pPr>
            <w:r>
              <w:rPr>
                <w:color w:val="000000"/>
                <w:sz w:val="24"/>
                <w:szCs w:val="24"/>
              </w:rPr>
              <w:t>600705</w:t>
            </w:r>
          </w:p>
        </w:tc>
        <w:tc>
          <w:tcPr>
            <w:tcW w:w="1777" w:type="dxa"/>
            <w:vAlign w:val="center"/>
          </w:tcPr>
          <w:p w:rsidR="00425655" w:rsidRDefault="00141C9A">
            <w:pPr>
              <w:jc w:val="center"/>
            </w:pPr>
            <w:r>
              <w:rPr>
                <w:color w:val="000000"/>
                <w:sz w:val="24"/>
                <w:szCs w:val="24"/>
              </w:rPr>
              <w:t>中航资本</w:t>
            </w:r>
          </w:p>
        </w:tc>
        <w:tc>
          <w:tcPr>
            <w:tcW w:w="1334" w:type="dxa"/>
            <w:vAlign w:val="center"/>
          </w:tcPr>
          <w:p w:rsidR="00425655" w:rsidRDefault="00141C9A">
            <w:pPr>
              <w:jc w:val="right"/>
            </w:pPr>
            <w:r>
              <w:rPr>
                <w:color w:val="000000"/>
                <w:sz w:val="24"/>
                <w:szCs w:val="24"/>
              </w:rPr>
              <w:t>20,000,302</w:t>
            </w:r>
          </w:p>
        </w:tc>
        <w:tc>
          <w:tcPr>
            <w:tcW w:w="1924" w:type="dxa"/>
            <w:vAlign w:val="center"/>
          </w:tcPr>
          <w:p w:rsidR="00425655" w:rsidRDefault="00141C9A">
            <w:pPr>
              <w:jc w:val="right"/>
            </w:pPr>
            <w:r>
              <w:rPr>
                <w:color w:val="000000"/>
                <w:sz w:val="24"/>
                <w:szCs w:val="24"/>
              </w:rPr>
              <w:t>93,401,410.34</w:t>
            </w:r>
          </w:p>
        </w:tc>
        <w:tc>
          <w:tcPr>
            <w:tcW w:w="1644" w:type="dxa"/>
            <w:vAlign w:val="center"/>
          </w:tcPr>
          <w:p w:rsidR="00425655" w:rsidRDefault="00141C9A">
            <w:pPr>
              <w:jc w:val="right"/>
            </w:pPr>
            <w:r>
              <w:rPr>
                <w:color w:val="000000"/>
                <w:sz w:val="24"/>
                <w:szCs w:val="24"/>
              </w:rPr>
              <w:t>4.29</w:t>
            </w:r>
          </w:p>
        </w:tc>
      </w:tr>
      <w:tr w:rsidR="00425655">
        <w:trPr>
          <w:jc w:val="center"/>
        </w:trPr>
        <w:tc>
          <w:tcPr>
            <w:tcW w:w="855" w:type="dxa"/>
            <w:vAlign w:val="center"/>
          </w:tcPr>
          <w:p w:rsidR="00425655" w:rsidRDefault="00141C9A">
            <w:pPr>
              <w:jc w:val="center"/>
            </w:pPr>
            <w:r>
              <w:rPr>
                <w:color w:val="000000"/>
                <w:sz w:val="24"/>
                <w:szCs w:val="24"/>
              </w:rPr>
              <w:t>6</w:t>
            </w:r>
          </w:p>
        </w:tc>
        <w:tc>
          <w:tcPr>
            <w:tcW w:w="1334" w:type="dxa"/>
            <w:vAlign w:val="center"/>
          </w:tcPr>
          <w:p w:rsidR="00425655" w:rsidRDefault="00141C9A">
            <w:pPr>
              <w:jc w:val="center"/>
            </w:pPr>
            <w:r>
              <w:rPr>
                <w:color w:val="000000"/>
                <w:sz w:val="24"/>
                <w:szCs w:val="24"/>
              </w:rPr>
              <w:t>600066</w:t>
            </w:r>
          </w:p>
        </w:tc>
        <w:tc>
          <w:tcPr>
            <w:tcW w:w="1777" w:type="dxa"/>
            <w:vAlign w:val="center"/>
          </w:tcPr>
          <w:p w:rsidR="00425655" w:rsidRDefault="00141C9A">
            <w:pPr>
              <w:jc w:val="center"/>
            </w:pPr>
            <w:r>
              <w:rPr>
                <w:color w:val="000000"/>
                <w:sz w:val="24"/>
                <w:szCs w:val="24"/>
              </w:rPr>
              <w:t>宇通客车</w:t>
            </w:r>
          </w:p>
        </w:tc>
        <w:tc>
          <w:tcPr>
            <w:tcW w:w="1334" w:type="dxa"/>
            <w:vAlign w:val="center"/>
          </w:tcPr>
          <w:p w:rsidR="00425655" w:rsidRDefault="00141C9A">
            <w:pPr>
              <w:jc w:val="right"/>
            </w:pPr>
            <w:r>
              <w:rPr>
                <w:color w:val="000000"/>
                <w:sz w:val="24"/>
                <w:szCs w:val="24"/>
              </w:rPr>
              <w:t>4,509,955</w:t>
            </w:r>
          </w:p>
        </w:tc>
        <w:tc>
          <w:tcPr>
            <w:tcW w:w="1924" w:type="dxa"/>
            <w:vAlign w:val="center"/>
          </w:tcPr>
          <w:p w:rsidR="00425655" w:rsidRDefault="00141C9A">
            <w:pPr>
              <w:jc w:val="right"/>
            </w:pPr>
            <w:r>
              <w:rPr>
                <w:color w:val="000000"/>
                <w:sz w:val="24"/>
                <w:szCs w:val="24"/>
              </w:rPr>
              <w:t>86,546,036.45</w:t>
            </w:r>
          </w:p>
        </w:tc>
        <w:tc>
          <w:tcPr>
            <w:tcW w:w="1644" w:type="dxa"/>
            <w:vAlign w:val="center"/>
          </w:tcPr>
          <w:p w:rsidR="00425655" w:rsidRDefault="00141C9A">
            <w:pPr>
              <w:jc w:val="right"/>
            </w:pPr>
            <w:r>
              <w:rPr>
                <w:color w:val="000000"/>
                <w:sz w:val="24"/>
                <w:szCs w:val="24"/>
              </w:rPr>
              <w:t>3.97</w:t>
            </w:r>
          </w:p>
        </w:tc>
      </w:tr>
      <w:tr w:rsidR="00425655">
        <w:trPr>
          <w:jc w:val="center"/>
        </w:trPr>
        <w:tc>
          <w:tcPr>
            <w:tcW w:w="855" w:type="dxa"/>
            <w:vAlign w:val="center"/>
          </w:tcPr>
          <w:p w:rsidR="00425655" w:rsidRDefault="00141C9A">
            <w:pPr>
              <w:jc w:val="center"/>
            </w:pPr>
            <w:r>
              <w:rPr>
                <w:color w:val="000000"/>
                <w:sz w:val="24"/>
                <w:szCs w:val="24"/>
              </w:rPr>
              <w:t>7</w:t>
            </w:r>
          </w:p>
        </w:tc>
        <w:tc>
          <w:tcPr>
            <w:tcW w:w="1334" w:type="dxa"/>
            <w:vAlign w:val="center"/>
          </w:tcPr>
          <w:p w:rsidR="00425655" w:rsidRDefault="00141C9A">
            <w:pPr>
              <w:jc w:val="center"/>
            </w:pPr>
            <w:r>
              <w:rPr>
                <w:color w:val="000000"/>
                <w:sz w:val="24"/>
                <w:szCs w:val="24"/>
              </w:rPr>
              <w:t>600782</w:t>
            </w:r>
          </w:p>
        </w:tc>
        <w:tc>
          <w:tcPr>
            <w:tcW w:w="1777" w:type="dxa"/>
            <w:vAlign w:val="center"/>
          </w:tcPr>
          <w:p w:rsidR="00425655" w:rsidRDefault="00141C9A">
            <w:pPr>
              <w:jc w:val="center"/>
            </w:pPr>
            <w:r>
              <w:rPr>
                <w:color w:val="000000"/>
                <w:sz w:val="24"/>
                <w:szCs w:val="24"/>
              </w:rPr>
              <w:t>新钢股份</w:t>
            </w:r>
          </w:p>
        </w:tc>
        <w:tc>
          <w:tcPr>
            <w:tcW w:w="1334" w:type="dxa"/>
            <w:vAlign w:val="center"/>
          </w:tcPr>
          <w:p w:rsidR="00425655" w:rsidRDefault="00141C9A">
            <w:pPr>
              <w:jc w:val="right"/>
            </w:pPr>
            <w:r>
              <w:rPr>
                <w:color w:val="000000"/>
                <w:sz w:val="24"/>
                <w:szCs w:val="24"/>
              </w:rPr>
              <w:t>13,000,000</w:t>
            </w:r>
          </w:p>
        </w:tc>
        <w:tc>
          <w:tcPr>
            <w:tcW w:w="1924" w:type="dxa"/>
            <w:vAlign w:val="center"/>
          </w:tcPr>
          <w:p w:rsidR="00425655" w:rsidRDefault="00141C9A">
            <w:pPr>
              <w:jc w:val="right"/>
            </w:pPr>
            <w:r>
              <w:rPr>
                <w:color w:val="000000"/>
                <w:sz w:val="24"/>
                <w:szCs w:val="24"/>
              </w:rPr>
              <w:t>72,540,000.00</w:t>
            </w:r>
          </w:p>
        </w:tc>
        <w:tc>
          <w:tcPr>
            <w:tcW w:w="1644" w:type="dxa"/>
            <w:vAlign w:val="center"/>
          </w:tcPr>
          <w:p w:rsidR="00425655" w:rsidRDefault="00141C9A">
            <w:pPr>
              <w:jc w:val="right"/>
            </w:pPr>
            <w:r>
              <w:rPr>
                <w:color w:val="000000"/>
                <w:sz w:val="24"/>
                <w:szCs w:val="24"/>
              </w:rPr>
              <w:t>3.33</w:t>
            </w:r>
          </w:p>
        </w:tc>
      </w:tr>
      <w:tr w:rsidR="00425655">
        <w:trPr>
          <w:jc w:val="center"/>
        </w:trPr>
        <w:tc>
          <w:tcPr>
            <w:tcW w:w="855" w:type="dxa"/>
            <w:vAlign w:val="center"/>
          </w:tcPr>
          <w:p w:rsidR="00425655" w:rsidRDefault="00141C9A">
            <w:pPr>
              <w:jc w:val="center"/>
            </w:pPr>
            <w:r>
              <w:rPr>
                <w:color w:val="000000"/>
                <w:sz w:val="24"/>
                <w:szCs w:val="24"/>
              </w:rPr>
              <w:t>8</w:t>
            </w:r>
          </w:p>
        </w:tc>
        <w:tc>
          <w:tcPr>
            <w:tcW w:w="1334" w:type="dxa"/>
            <w:vAlign w:val="center"/>
          </w:tcPr>
          <w:p w:rsidR="00425655" w:rsidRDefault="00141C9A">
            <w:pPr>
              <w:jc w:val="center"/>
            </w:pPr>
            <w:r>
              <w:rPr>
                <w:color w:val="000000"/>
                <w:sz w:val="24"/>
                <w:szCs w:val="24"/>
              </w:rPr>
              <w:t>603799</w:t>
            </w:r>
          </w:p>
        </w:tc>
        <w:tc>
          <w:tcPr>
            <w:tcW w:w="1777" w:type="dxa"/>
            <w:vAlign w:val="center"/>
          </w:tcPr>
          <w:p w:rsidR="00425655" w:rsidRDefault="00141C9A">
            <w:pPr>
              <w:jc w:val="center"/>
            </w:pPr>
            <w:r>
              <w:rPr>
                <w:color w:val="000000"/>
                <w:sz w:val="24"/>
                <w:szCs w:val="24"/>
              </w:rPr>
              <w:t>华友钴业</w:t>
            </w:r>
          </w:p>
        </w:tc>
        <w:tc>
          <w:tcPr>
            <w:tcW w:w="1334" w:type="dxa"/>
            <w:vAlign w:val="center"/>
          </w:tcPr>
          <w:p w:rsidR="00425655" w:rsidRDefault="00141C9A">
            <w:pPr>
              <w:jc w:val="right"/>
            </w:pPr>
            <w:r>
              <w:rPr>
                <w:color w:val="000000"/>
                <w:sz w:val="24"/>
                <w:szCs w:val="24"/>
              </w:rPr>
              <w:t>740,000</w:t>
            </w:r>
          </w:p>
        </w:tc>
        <w:tc>
          <w:tcPr>
            <w:tcW w:w="1924" w:type="dxa"/>
            <w:vAlign w:val="center"/>
          </w:tcPr>
          <w:p w:rsidR="00425655" w:rsidRDefault="00141C9A">
            <w:pPr>
              <w:jc w:val="right"/>
            </w:pPr>
            <w:r>
              <w:rPr>
                <w:color w:val="000000"/>
                <w:sz w:val="24"/>
                <w:szCs w:val="24"/>
              </w:rPr>
              <w:t>72,127,800.00</w:t>
            </w:r>
          </w:p>
        </w:tc>
        <w:tc>
          <w:tcPr>
            <w:tcW w:w="1644" w:type="dxa"/>
            <w:vAlign w:val="center"/>
          </w:tcPr>
          <w:p w:rsidR="00425655" w:rsidRDefault="00141C9A">
            <w:pPr>
              <w:jc w:val="right"/>
            </w:pPr>
            <w:r>
              <w:rPr>
                <w:color w:val="000000"/>
                <w:sz w:val="24"/>
                <w:szCs w:val="24"/>
              </w:rPr>
              <w:t>3.31</w:t>
            </w:r>
          </w:p>
        </w:tc>
      </w:tr>
      <w:tr w:rsidR="00425655">
        <w:trPr>
          <w:jc w:val="center"/>
        </w:trPr>
        <w:tc>
          <w:tcPr>
            <w:tcW w:w="855" w:type="dxa"/>
            <w:vAlign w:val="center"/>
          </w:tcPr>
          <w:p w:rsidR="00425655" w:rsidRDefault="00141C9A">
            <w:pPr>
              <w:jc w:val="center"/>
            </w:pPr>
            <w:r>
              <w:rPr>
                <w:color w:val="000000"/>
                <w:sz w:val="24"/>
                <w:szCs w:val="24"/>
              </w:rPr>
              <w:t>9</w:t>
            </w:r>
          </w:p>
        </w:tc>
        <w:tc>
          <w:tcPr>
            <w:tcW w:w="1334" w:type="dxa"/>
            <w:vAlign w:val="center"/>
          </w:tcPr>
          <w:p w:rsidR="00425655" w:rsidRDefault="00141C9A">
            <w:pPr>
              <w:jc w:val="center"/>
            </w:pPr>
            <w:r>
              <w:rPr>
                <w:color w:val="000000"/>
                <w:sz w:val="24"/>
                <w:szCs w:val="24"/>
              </w:rPr>
              <w:t>600031</w:t>
            </w:r>
          </w:p>
        </w:tc>
        <w:tc>
          <w:tcPr>
            <w:tcW w:w="1777" w:type="dxa"/>
            <w:vAlign w:val="center"/>
          </w:tcPr>
          <w:p w:rsidR="00425655" w:rsidRDefault="00141C9A">
            <w:pPr>
              <w:jc w:val="center"/>
            </w:pPr>
            <w:r>
              <w:rPr>
                <w:color w:val="000000"/>
                <w:sz w:val="24"/>
                <w:szCs w:val="24"/>
              </w:rPr>
              <w:t>三一重工</w:t>
            </w:r>
          </w:p>
        </w:tc>
        <w:tc>
          <w:tcPr>
            <w:tcW w:w="1334" w:type="dxa"/>
            <w:vAlign w:val="center"/>
          </w:tcPr>
          <w:p w:rsidR="00425655" w:rsidRDefault="00141C9A">
            <w:pPr>
              <w:jc w:val="right"/>
            </w:pPr>
            <w:r>
              <w:rPr>
                <w:color w:val="000000"/>
                <w:sz w:val="24"/>
                <w:szCs w:val="24"/>
              </w:rPr>
              <w:t>8,009,994</w:t>
            </w:r>
          </w:p>
        </w:tc>
        <w:tc>
          <w:tcPr>
            <w:tcW w:w="1924" w:type="dxa"/>
            <w:vAlign w:val="center"/>
          </w:tcPr>
          <w:p w:rsidR="00425655" w:rsidRDefault="00141C9A">
            <w:pPr>
              <w:jc w:val="right"/>
            </w:pPr>
            <w:r>
              <w:rPr>
                <w:color w:val="000000"/>
                <w:sz w:val="24"/>
                <w:szCs w:val="24"/>
              </w:rPr>
              <w:t>71,849,646.18</w:t>
            </w:r>
          </w:p>
        </w:tc>
        <w:tc>
          <w:tcPr>
            <w:tcW w:w="1644" w:type="dxa"/>
            <w:vAlign w:val="center"/>
          </w:tcPr>
          <w:p w:rsidR="00425655" w:rsidRDefault="00141C9A">
            <w:pPr>
              <w:jc w:val="right"/>
            </w:pPr>
            <w:r>
              <w:rPr>
                <w:color w:val="000000"/>
                <w:sz w:val="24"/>
                <w:szCs w:val="24"/>
              </w:rPr>
              <w:t>3.30</w:t>
            </w:r>
          </w:p>
        </w:tc>
      </w:tr>
      <w:tr w:rsidR="00425655">
        <w:trPr>
          <w:jc w:val="center"/>
        </w:trPr>
        <w:tc>
          <w:tcPr>
            <w:tcW w:w="855" w:type="dxa"/>
            <w:vAlign w:val="center"/>
          </w:tcPr>
          <w:p w:rsidR="00425655" w:rsidRDefault="00141C9A">
            <w:pPr>
              <w:jc w:val="center"/>
            </w:pPr>
            <w:r>
              <w:rPr>
                <w:color w:val="000000"/>
                <w:sz w:val="24"/>
                <w:szCs w:val="24"/>
              </w:rPr>
              <w:t>10</w:t>
            </w:r>
          </w:p>
        </w:tc>
        <w:tc>
          <w:tcPr>
            <w:tcW w:w="1334" w:type="dxa"/>
            <w:vAlign w:val="center"/>
          </w:tcPr>
          <w:p w:rsidR="00425655" w:rsidRDefault="00141C9A">
            <w:pPr>
              <w:jc w:val="center"/>
            </w:pPr>
            <w:r>
              <w:rPr>
                <w:color w:val="000000"/>
                <w:sz w:val="24"/>
                <w:szCs w:val="24"/>
              </w:rPr>
              <w:t>601877</w:t>
            </w:r>
          </w:p>
        </w:tc>
        <w:tc>
          <w:tcPr>
            <w:tcW w:w="1777" w:type="dxa"/>
            <w:vAlign w:val="center"/>
          </w:tcPr>
          <w:p w:rsidR="00425655" w:rsidRDefault="00141C9A">
            <w:pPr>
              <w:jc w:val="center"/>
            </w:pPr>
            <w:r>
              <w:rPr>
                <w:color w:val="000000"/>
                <w:sz w:val="24"/>
                <w:szCs w:val="24"/>
              </w:rPr>
              <w:t>正泰电器</w:t>
            </w:r>
          </w:p>
        </w:tc>
        <w:tc>
          <w:tcPr>
            <w:tcW w:w="1334" w:type="dxa"/>
            <w:vAlign w:val="center"/>
          </w:tcPr>
          <w:p w:rsidR="00425655" w:rsidRDefault="00141C9A">
            <w:pPr>
              <w:jc w:val="right"/>
            </w:pPr>
            <w:r>
              <w:rPr>
                <w:color w:val="000000"/>
                <w:sz w:val="24"/>
                <w:szCs w:val="24"/>
              </w:rPr>
              <w:t>3,009,981</w:t>
            </w:r>
          </w:p>
        </w:tc>
        <w:tc>
          <w:tcPr>
            <w:tcW w:w="1924" w:type="dxa"/>
            <w:vAlign w:val="center"/>
          </w:tcPr>
          <w:p w:rsidR="00425655" w:rsidRDefault="00141C9A">
            <w:pPr>
              <w:jc w:val="right"/>
            </w:pPr>
            <w:r>
              <w:rPr>
                <w:color w:val="000000"/>
                <w:sz w:val="24"/>
                <w:szCs w:val="24"/>
              </w:rPr>
              <w:t>67,182,775.92</w:t>
            </w:r>
          </w:p>
        </w:tc>
        <w:tc>
          <w:tcPr>
            <w:tcW w:w="1644" w:type="dxa"/>
            <w:vAlign w:val="center"/>
          </w:tcPr>
          <w:p w:rsidR="00425655" w:rsidRDefault="00141C9A">
            <w:pPr>
              <w:jc w:val="right"/>
            </w:pPr>
            <w:r>
              <w:rPr>
                <w:color w:val="000000"/>
                <w:sz w:val="24"/>
                <w:szCs w:val="24"/>
              </w:rPr>
              <w:t>3.08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119,889,000.00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5.50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119,889,000.00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5.50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lastRenderedPageBreak/>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3,949,479.27</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0.18</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123,838,479.27</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5.68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425655">
        <w:trPr>
          <w:jc w:val="center"/>
        </w:trPr>
        <w:tc>
          <w:tcPr>
            <w:tcW w:w="850" w:type="dxa"/>
            <w:vAlign w:val="center"/>
          </w:tcPr>
          <w:p w:rsidR="00425655" w:rsidRDefault="00141C9A">
            <w:pPr>
              <w:jc w:val="center"/>
            </w:pPr>
            <w:r>
              <w:rPr>
                <w:color w:val="000000"/>
                <w:sz w:val="24"/>
                <w:szCs w:val="24"/>
              </w:rPr>
              <w:t>1</w:t>
            </w:r>
          </w:p>
        </w:tc>
        <w:tc>
          <w:tcPr>
            <w:tcW w:w="1475" w:type="dxa"/>
            <w:vAlign w:val="center"/>
          </w:tcPr>
          <w:p w:rsidR="00425655" w:rsidRDefault="00141C9A">
            <w:pPr>
              <w:jc w:val="center"/>
            </w:pPr>
            <w:r>
              <w:rPr>
                <w:color w:val="000000"/>
                <w:sz w:val="24"/>
                <w:szCs w:val="24"/>
              </w:rPr>
              <w:t>170410</w:t>
            </w:r>
          </w:p>
        </w:tc>
        <w:tc>
          <w:tcPr>
            <w:tcW w:w="1769" w:type="dxa"/>
            <w:vAlign w:val="center"/>
          </w:tcPr>
          <w:p w:rsidR="00425655" w:rsidRDefault="00141C9A">
            <w:pPr>
              <w:jc w:val="center"/>
            </w:pPr>
            <w:r>
              <w:rPr>
                <w:color w:val="000000"/>
                <w:sz w:val="24"/>
                <w:szCs w:val="24"/>
              </w:rPr>
              <w:t>17</w:t>
            </w:r>
            <w:r>
              <w:rPr>
                <w:color w:val="000000"/>
                <w:sz w:val="24"/>
                <w:szCs w:val="24"/>
              </w:rPr>
              <w:t>农发</w:t>
            </w:r>
            <w:r>
              <w:rPr>
                <w:color w:val="000000"/>
                <w:sz w:val="24"/>
                <w:szCs w:val="24"/>
              </w:rPr>
              <w:t>10</w:t>
            </w:r>
          </w:p>
        </w:tc>
        <w:tc>
          <w:tcPr>
            <w:tcW w:w="1387" w:type="dxa"/>
            <w:vAlign w:val="center"/>
          </w:tcPr>
          <w:p w:rsidR="00425655" w:rsidRDefault="00141C9A">
            <w:pPr>
              <w:jc w:val="right"/>
            </w:pPr>
            <w:r>
              <w:rPr>
                <w:color w:val="000000"/>
                <w:sz w:val="24"/>
                <w:szCs w:val="24"/>
              </w:rPr>
              <w:t>500,000</w:t>
            </w:r>
          </w:p>
        </w:tc>
        <w:tc>
          <w:tcPr>
            <w:tcW w:w="2150" w:type="dxa"/>
            <w:vAlign w:val="center"/>
          </w:tcPr>
          <w:p w:rsidR="00425655" w:rsidRDefault="00141C9A">
            <w:pPr>
              <w:jc w:val="right"/>
            </w:pPr>
            <w:r>
              <w:rPr>
                <w:color w:val="000000"/>
                <w:sz w:val="24"/>
                <w:szCs w:val="24"/>
              </w:rPr>
              <w:t>50,015,000.00</w:t>
            </w:r>
          </w:p>
        </w:tc>
        <w:tc>
          <w:tcPr>
            <w:tcW w:w="1237" w:type="dxa"/>
            <w:vAlign w:val="center"/>
          </w:tcPr>
          <w:p w:rsidR="00425655" w:rsidRDefault="00141C9A">
            <w:pPr>
              <w:jc w:val="right"/>
            </w:pPr>
            <w:r>
              <w:rPr>
                <w:color w:val="000000"/>
                <w:sz w:val="24"/>
                <w:szCs w:val="24"/>
              </w:rPr>
              <w:t>2.30</w:t>
            </w:r>
          </w:p>
        </w:tc>
      </w:tr>
      <w:tr w:rsidR="00425655">
        <w:trPr>
          <w:jc w:val="center"/>
        </w:trPr>
        <w:tc>
          <w:tcPr>
            <w:tcW w:w="850" w:type="dxa"/>
            <w:vAlign w:val="center"/>
          </w:tcPr>
          <w:p w:rsidR="00425655" w:rsidRDefault="00141C9A">
            <w:pPr>
              <w:jc w:val="center"/>
            </w:pPr>
            <w:r>
              <w:rPr>
                <w:color w:val="000000"/>
                <w:sz w:val="24"/>
                <w:szCs w:val="24"/>
              </w:rPr>
              <w:t>2</w:t>
            </w:r>
          </w:p>
        </w:tc>
        <w:tc>
          <w:tcPr>
            <w:tcW w:w="1475" w:type="dxa"/>
            <w:vAlign w:val="center"/>
          </w:tcPr>
          <w:p w:rsidR="00425655" w:rsidRDefault="00141C9A">
            <w:pPr>
              <w:jc w:val="center"/>
            </w:pPr>
            <w:r>
              <w:rPr>
                <w:color w:val="000000"/>
                <w:sz w:val="24"/>
                <w:szCs w:val="24"/>
              </w:rPr>
              <w:t>160301</w:t>
            </w:r>
          </w:p>
        </w:tc>
        <w:tc>
          <w:tcPr>
            <w:tcW w:w="1769" w:type="dxa"/>
            <w:vAlign w:val="center"/>
          </w:tcPr>
          <w:p w:rsidR="00425655" w:rsidRDefault="00141C9A">
            <w:pPr>
              <w:jc w:val="center"/>
            </w:pPr>
            <w:r>
              <w:rPr>
                <w:color w:val="000000"/>
                <w:sz w:val="24"/>
                <w:szCs w:val="24"/>
              </w:rPr>
              <w:t>16</w:t>
            </w:r>
            <w:r>
              <w:rPr>
                <w:color w:val="000000"/>
                <w:sz w:val="24"/>
                <w:szCs w:val="24"/>
              </w:rPr>
              <w:t>进出</w:t>
            </w:r>
            <w:r>
              <w:rPr>
                <w:color w:val="000000"/>
                <w:sz w:val="24"/>
                <w:szCs w:val="24"/>
              </w:rPr>
              <w:t>01</w:t>
            </w:r>
          </w:p>
        </w:tc>
        <w:tc>
          <w:tcPr>
            <w:tcW w:w="1387" w:type="dxa"/>
            <w:vAlign w:val="center"/>
          </w:tcPr>
          <w:p w:rsidR="00425655" w:rsidRDefault="00141C9A">
            <w:pPr>
              <w:jc w:val="right"/>
            </w:pPr>
            <w:r>
              <w:rPr>
                <w:color w:val="000000"/>
                <w:sz w:val="24"/>
                <w:szCs w:val="24"/>
              </w:rPr>
              <w:t>400,000</w:t>
            </w:r>
          </w:p>
        </w:tc>
        <w:tc>
          <w:tcPr>
            <w:tcW w:w="2150" w:type="dxa"/>
            <w:vAlign w:val="center"/>
          </w:tcPr>
          <w:p w:rsidR="00425655" w:rsidRDefault="00141C9A">
            <w:pPr>
              <w:jc w:val="right"/>
            </w:pPr>
            <w:r>
              <w:rPr>
                <w:color w:val="000000"/>
                <w:sz w:val="24"/>
                <w:szCs w:val="24"/>
              </w:rPr>
              <w:t>39,784,000.00</w:t>
            </w:r>
          </w:p>
        </w:tc>
        <w:tc>
          <w:tcPr>
            <w:tcW w:w="1237" w:type="dxa"/>
            <w:vAlign w:val="center"/>
          </w:tcPr>
          <w:p w:rsidR="00425655" w:rsidRDefault="00141C9A">
            <w:pPr>
              <w:jc w:val="right"/>
            </w:pPr>
            <w:r>
              <w:rPr>
                <w:color w:val="000000"/>
                <w:sz w:val="24"/>
                <w:szCs w:val="24"/>
              </w:rPr>
              <w:t>1.83</w:t>
            </w:r>
          </w:p>
        </w:tc>
      </w:tr>
      <w:tr w:rsidR="00425655">
        <w:trPr>
          <w:jc w:val="center"/>
        </w:trPr>
        <w:tc>
          <w:tcPr>
            <w:tcW w:w="850" w:type="dxa"/>
            <w:vAlign w:val="center"/>
          </w:tcPr>
          <w:p w:rsidR="00425655" w:rsidRDefault="00141C9A">
            <w:pPr>
              <w:jc w:val="center"/>
            </w:pPr>
            <w:r>
              <w:rPr>
                <w:color w:val="000000"/>
                <w:sz w:val="24"/>
                <w:szCs w:val="24"/>
              </w:rPr>
              <w:t>3</w:t>
            </w:r>
          </w:p>
        </w:tc>
        <w:tc>
          <w:tcPr>
            <w:tcW w:w="1475" w:type="dxa"/>
            <w:vAlign w:val="center"/>
          </w:tcPr>
          <w:p w:rsidR="00425655" w:rsidRDefault="00141C9A">
            <w:pPr>
              <w:jc w:val="center"/>
            </w:pPr>
            <w:r>
              <w:rPr>
                <w:color w:val="000000"/>
                <w:sz w:val="24"/>
                <w:szCs w:val="24"/>
              </w:rPr>
              <w:t>180201</w:t>
            </w:r>
          </w:p>
        </w:tc>
        <w:tc>
          <w:tcPr>
            <w:tcW w:w="1769" w:type="dxa"/>
            <w:vAlign w:val="center"/>
          </w:tcPr>
          <w:p w:rsidR="00425655" w:rsidRDefault="00141C9A">
            <w:pPr>
              <w:jc w:val="center"/>
            </w:pPr>
            <w:r>
              <w:rPr>
                <w:color w:val="000000"/>
                <w:sz w:val="24"/>
                <w:szCs w:val="24"/>
              </w:rPr>
              <w:t>18</w:t>
            </w:r>
            <w:r>
              <w:rPr>
                <w:color w:val="000000"/>
                <w:sz w:val="24"/>
                <w:szCs w:val="24"/>
              </w:rPr>
              <w:t>国开</w:t>
            </w:r>
            <w:r>
              <w:rPr>
                <w:color w:val="000000"/>
                <w:sz w:val="24"/>
                <w:szCs w:val="24"/>
              </w:rPr>
              <w:t>01</w:t>
            </w:r>
          </w:p>
        </w:tc>
        <w:tc>
          <w:tcPr>
            <w:tcW w:w="1387" w:type="dxa"/>
            <w:vAlign w:val="center"/>
          </w:tcPr>
          <w:p w:rsidR="00425655" w:rsidRDefault="00141C9A">
            <w:pPr>
              <w:jc w:val="right"/>
            </w:pPr>
            <w:r>
              <w:rPr>
                <w:color w:val="000000"/>
                <w:sz w:val="24"/>
                <w:szCs w:val="24"/>
              </w:rPr>
              <w:t>300,000</w:t>
            </w:r>
          </w:p>
        </w:tc>
        <w:tc>
          <w:tcPr>
            <w:tcW w:w="2150" w:type="dxa"/>
            <w:vAlign w:val="center"/>
          </w:tcPr>
          <w:p w:rsidR="00425655" w:rsidRDefault="00141C9A">
            <w:pPr>
              <w:jc w:val="right"/>
            </w:pPr>
            <w:r>
              <w:rPr>
                <w:color w:val="000000"/>
                <w:sz w:val="24"/>
                <w:szCs w:val="24"/>
              </w:rPr>
              <w:t>30,090,000.00</w:t>
            </w:r>
          </w:p>
        </w:tc>
        <w:tc>
          <w:tcPr>
            <w:tcW w:w="1237" w:type="dxa"/>
            <w:vAlign w:val="center"/>
          </w:tcPr>
          <w:p w:rsidR="00425655" w:rsidRDefault="00141C9A">
            <w:pPr>
              <w:jc w:val="right"/>
            </w:pPr>
            <w:r>
              <w:rPr>
                <w:color w:val="000000"/>
                <w:sz w:val="24"/>
                <w:szCs w:val="24"/>
              </w:rPr>
              <w:t>1.38</w:t>
            </w:r>
          </w:p>
        </w:tc>
      </w:tr>
      <w:tr w:rsidR="00425655">
        <w:trPr>
          <w:jc w:val="center"/>
        </w:trPr>
        <w:tc>
          <w:tcPr>
            <w:tcW w:w="850" w:type="dxa"/>
            <w:vAlign w:val="center"/>
          </w:tcPr>
          <w:p w:rsidR="00425655" w:rsidRDefault="00141C9A">
            <w:pPr>
              <w:jc w:val="center"/>
            </w:pPr>
            <w:r>
              <w:rPr>
                <w:color w:val="000000"/>
                <w:sz w:val="24"/>
                <w:szCs w:val="24"/>
              </w:rPr>
              <w:t>4</w:t>
            </w:r>
          </w:p>
        </w:tc>
        <w:tc>
          <w:tcPr>
            <w:tcW w:w="1475" w:type="dxa"/>
            <w:vAlign w:val="center"/>
          </w:tcPr>
          <w:p w:rsidR="00425655" w:rsidRDefault="00141C9A">
            <w:pPr>
              <w:jc w:val="center"/>
            </w:pPr>
            <w:r>
              <w:rPr>
                <w:color w:val="000000"/>
                <w:sz w:val="24"/>
                <w:szCs w:val="24"/>
              </w:rPr>
              <w:t>123004</w:t>
            </w:r>
          </w:p>
        </w:tc>
        <w:tc>
          <w:tcPr>
            <w:tcW w:w="1769" w:type="dxa"/>
            <w:vAlign w:val="center"/>
          </w:tcPr>
          <w:p w:rsidR="00425655" w:rsidRDefault="00141C9A">
            <w:pPr>
              <w:jc w:val="center"/>
            </w:pPr>
            <w:r>
              <w:rPr>
                <w:color w:val="000000"/>
                <w:sz w:val="24"/>
                <w:szCs w:val="24"/>
              </w:rPr>
              <w:t>铁汉转债</w:t>
            </w:r>
          </w:p>
        </w:tc>
        <w:tc>
          <w:tcPr>
            <w:tcW w:w="1387" w:type="dxa"/>
            <w:vAlign w:val="center"/>
          </w:tcPr>
          <w:p w:rsidR="00425655" w:rsidRDefault="00141C9A">
            <w:pPr>
              <w:jc w:val="right"/>
            </w:pPr>
            <w:r>
              <w:rPr>
                <w:color w:val="000000"/>
                <w:sz w:val="24"/>
                <w:szCs w:val="24"/>
              </w:rPr>
              <w:t>43,263</w:t>
            </w:r>
          </w:p>
        </w:tc>
        <w:tc>
          <w:tcPr>
            <w:tcW w:w="2150" w:type="dxa"/>
            <w:vAlign w:val="center"/>
          </w:tcPr>
          <w:p w:rsidR="00425655" w:rsidRDefault="00141C9A">
            <w:pPr>
              <w:jc w:val="right"/>
            </w:pPr>
            <w:r>
              <w:rPr>
                <w:color w:val="000000"/>
                <w:sz w:val="24"/>
                <w:szCs w:val="24"/>
              </w:rPr>
              <w:t>3,949,479.27</w:t>
            </w:r>
          </w:p>
        </w:tc>
        <w:tc>
          <w:tcPr>
            <w:tcW w:w="1237" w:type="dxa"/>
            <w:vAlign w:val="center"/>
          </w:tcPr>
          <w:p w:rsidR="00425655" w:rsidRDefault="00141C9A">
            <w:pPr>
              <w:jc w:val="right"/>
            </w:pPr>
            <w:r>
              <w:rPr>
                <w:color w:val="000000"/>
                <w:sz w:val="24"/>
                <w:szCs w:val="24"/>
              </w:rPr>
              <w:t>0.18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lastRenderedPageBreak/>
        <w:t>5.11.1</w:t>
      </w:r>
      <w:r w:rsidRPr="00BE5388">
        <w:rPr>
          <w:bCs/>
          <w:color w:val="000000"/>
          <w:kern w:val="0"/>
          <w:sz w:val="24"/>
          <w:szCs w:val="24"/>
        </w:rPr>
        <w:t>报告期内本基金投资的前十名证券的发行主体除中航资本（证券代码：</w:t>
      </w:r>
      <w:r w:rsidRPr="00BE5388">
        <w:rPr>
          <w:bCs/>
          <w:color w:val="000000"/>
          <w:kern w:val="0"/>
          <w:sz w:val="24"/>
          <w:szCs w:val="24"/>
        </w:rPr>
        <w:t>600705</w:t>
      </w:r>
      <w:r w:rsidRPr="00BE5388">
        <w:rPr>
          <w:bCs/>
          <w:color w:val="000000"/>
          <w:kern w:val="0"/>
          <w:sz w:val="24"/>
          <w:szCs w:val="24"/>
        </w:rPr>
        <w:t>）外，未出现被监管部门立案调查，或在报告编制日前一年内受到公开谴责、处罚的情形。</w:t>
      </w:r>
    </w:p>
    <w:p w:rsidR="00425655" w:rsidRDefault="00141C9A">
      <w:pPr>
        <w:autoSpaceDE w:val="0"/>
        <w:autoSpaceDN w:val="0"/>
        <w:adjustRightInd w:val="0"/>
        <w:spacing w:before="29" w:line="288" w:lineRule="auto"/>
        <w:jc w:val="left"/>
        <w:rPr>
          <w:bCs/>
          <w:color w:val="000000"/>
          <w:kern w:val="0"/>
          <w:sz w:val="24"/>
          <w:szCs w:val="24"/>
        </w:rPr>
      </w:pPr>
      <w:r>
        <w:rPr>
          <w:bCs/>
          <w:color w:val="000000"/>
          <w:kern w:val="0"/>
          <w:sz w:val="24"/>
          <w:szCs w:val="24"/>
        </w:rPr>
        <w:t>报告期内本基金投资的前十名证券之一中航资本（证券代码</w:t>
      </w:r>
      <w:r>
        <w:rPr>
          <w:bCs/>
          <w:color w:val="000000"/>
          <w:kern w:val="0"/>
          <w:sz w:val="24"/>
          <w:szCs w:val="24"/>
        </w:rPr>
        <w:t>:600705</w:t>
      </w:r>
      <w:r>
        <w:rPr>
          <w:bCs/>
          <w:color w:val="000000"/>
          <w:kern w:val="0"/>
          <w:sz w:val="24"/>
          <w:szCs w:val="24"/>
        </w:rPr>
        <w:t>）于</w:t>
      </w:r>
      <w:r>
        <w:rPr>
          <w:bCs/>
          <w:color w:val="000000"/>
          <w:kern w:val="0"/>
          <w:sz w:val="24"/>
          <w:szCs w:val="24"/>
        </w:rPr>
        <w:t>2017</w:t>
      </w:r>
      <w:r>
        <w:rPr>
          <w:bCs/>
          <w:color w:val="000000"/>
          <w:kern w:val="0"/>
          <w:sz w:val="24"/>
          <w:szCs w:val="24"/>
        </w:rPr>
        <w:t>年</w:t>
      </w:r>
      <w:r>
        <w:rPr>
          <w:bCs/>
          <w:color w:val="000000"/>
          <w:kern w:val="0"/>
          <w:sz w:val="24"/>
          <w:szCs w:val="24"/>
        </w:rPr>
        <w:t>12</w:t>
      </w:r>
      <w:r>
        <w:rPr>
          <w:bCs/>
          <w:color w:val="000000"/>
          <w:kern w:val="0"/>
          <w:sz w:val="24"/>
          <w:szCs w:val="24"/>
        </w:rPr>
        <w:t>月</w:t>
      </w:r>
      <w:r>
        <w:rPr>
          <w:bCs/>
          <w:color w:val="000000"/>
          <w:kern w:val="0"/>
          <w:sz w:val="24"/>
          <w:szCs w:val="24"/>
        </w:rPr>
        <w:t>13</w:t>
      </w:r>
      <w:r>
        <w:rPr>
          <w:bCs/>
          <w:color w:val="000000"/>
          <w:kern w:val="0"/>
          <w:sz w:val="24"/>
          <w:szCs w:val="24"/>
        </w:rPr>
        <w:t>日公告，</w:t>
      </w:r>
      <w:r>
        <w:rPr>
          <w:bCs/>
          <w:color w:val="000000"/>
          <w:kern w:val="0"/>
          <w:sz w:val="24"/>
          <w:szCs w:val="24"/>
        </w:rPr>
        <w:t>2017</w:t>
      </w:r>
      <w:r>
        <w:rPr>
          <w:bCs/>
          <w:color w:val="000000"/>
          <w:kern w:val="0"/>
          <w:sz w:val="24"/>
          <w:szCs w:val="24"/>
        </w:rPr>
        <w:t>年</w:t>
      </w:r>
      <w:r>
        <w:rPr>
          <w:bCs/>
          <w:color w:val="000000"/>
          <w:kern w:val="0"/>
          <w:sz w:val="24"/>
          <w:szCs w:val="24"/>
        </w:rPr>
        <w:t>12</w:t>
      </w:r>
      <w:r>
        <w:rPr>
          <w:bCs/>
          <w:color w:val="000000"/>
          <w:kern w:val="0"/>
          <w:sz w:val="24"/>
          <w:szCs w:val="24"/>
        </w:rPr>
        <w:t>月</w:t>
      </w:r>
      <w:r>
        <w:rPr>
          <w:bCs/>
          <w:color w:val="000000"/>
          <w:kern w:val="0"/>
          <w:sz w:val="24"/>
          <w:szCs w:val="24"/>
        </w:rPr>
        <w:t>11</w:t>
      </w:r>
      <w:r>
        <w:rPr>
          <w:bCs/>
          <w:color w:val="000000"/>
          <w:kern w:val="0"/>
          <w:sz w:val="24"/>
          <w:szCs w:val="24"/>
        </w:rPr>
        <w:t>日公司子公司中航财务收到北京银监局的行政处罚决定书（京银监罚决字</w:t>
      </w:r>
      <w:r>
        <w:rPr>
          <w:bCs/>
          <w:color w:val="000000"/>
          <w:kern w:val="0"/>
          <w:sz w:val="24"/>
          <w:szCs w:val="24"/>
        </w:rPr>
        <w:t>[2017]27</w:t>
      </w:r>
      <w:r>
        <w:rPr>
          <w:bCs/>
          <w:color w:val="000000"/>
          <w:kern w:val="0"/>
          <w:sz w:val="24"/>
          <w:szCs w:val="24"/>
        </w:rPr>
        <w:t>号），北京银监局决定对中航财务做出如下行政处罚：责令中航财务改正，并给予</w:t>
      </w:r>
      <w:r>
        <w:rPr>
          <w:bCs/>
          <w:color w:val="000000"/>
          <w:kern w:val="0"/>
          <w:sz w:val="24"/>
          <w:szCs w:val="24"/>
        </w:rPr>
        <w:t>50</w:t>
      </w:r>
      <w:r>
        <w:rPr>
          <w:bCs/>
          <w:color w:val="000000"/>
          <w:kern w:val="0"/>
          <w:sz w:val="24"/>
          <w:szCs w:val="24"/>
        </w:rPr>
        <w:t>万元罚款的行政处罚。公司于</w:t>
      </w:r>
      <w:r>
        <w:rPr>
          <w:bCs/>
          <w:color w:val="000000"/>
          <w:kern w:val="0"/>
          <w:sz w:val="24"/>
          <w:szCs w:val="24"/>
        </w:rPr>
        <w:t>2017</w:t>
      </w:r>
      <w:r>
        <w:rPr>
          <w:bCs/>
          <w:color w:val="000000"/>
          <w:kern w:val="0"/>
          <w:sz w:val="24"/>
          <w:szCs w:val="24"/>
        </w:rPr>
        <w:t>年</w:t>
      </w:r>
      <w:r>
        <w:rPr>
          <w:bCs/>
          <w:color w:val="000000"/>
          <w:kern w:val="0"/>
          <w:sz w:val="24"/>
          <w:szCs w:val="24"/>
        </w:rPr>
        <w:t>12</w:t>
      </w:r>
      <w:r>
        <w:rPr>
          <w:bCs/>
          <w:color w:val="000000"/>
          <w:kern w:val="0"/>
          <w:sz w:val="24"/>
          <w:szCs w:val="24"/>
        </w:rPr>
        <w:t>月</w:t>
      </w:r>
      <w:r>
        <w:rPr>
          <w:bCs/>
          <w:color w:val="000000"/>
          <w:kern w:val="0"/>
          <w:sz w:val="24"/>
          <w:szCs w:val="24"/>
        </w:rPr>
        <w:t>13</w:t>
      </w:r>
      <w:r>
        <w:rPr>
          <w:bCs/>
          <w:color w:val="000000"/>
          <w:kern w:val="0"/>
          <w:sz w:val="24"/>
          <w:szCs w:val="24"/>
        </w:rPr>
        <w:t>日公告，近日公司控股子公司中航信托收到江西银监局出具的《行政处罚决定书》（赣银监罚决字</w:t>
      </w:r>
      <w:r>
        <w:rPr>
          <w:bCs/>
          <w:color w:val="000000"/>
          <w:kern w:val="0"/>
          <w:sz w:val="24"/>
          <w:szCs w:val="24"/>
        </w:rPr>
        <w:t>[2017]48</w:t>
      </w:r>
      <w:r>
        <w:rPr>
          <w:bCs/>
          <w:color w:val="000000"/>
          <w:kern w:val="0"/>
          <w:sz w:val="24"/>
          <w:szCs w:val="24"/>
        </w:rPr>
        <w:t>号），江西银监局决定对中航信托处以</w:t>
      </w:r>
      <w:r>
        <w:rPr>
          <w:bCs/>
          <w:color w:val="000000"/>
          <w:kern w:val="0"/>
          <w:sz w:val="24"/>
          <w:szCs w:val="24"/>
        </w:rPr>
        <w:t>20</w:t>
      </w:r>
      <w:r>
        <w:rPr>
          <w:bCs/>
          <w:color w:val="000000"/>
          <w:kern w:val="0"/>
          <w:sz w:val="24"/>
          <w:szCs w:val="24"/>
        </w:rPr>
        <w:t>万元罚款。</w:t>
      </w:r>
    </w:p>
    <w:p w:rsidR="00425655" w:rsidRDefault="00141C9A">
      <w:pPr>
        <w:autoSpaceDE w:val="0"/>
        <w:autoSpaceDN w:val="0"/>
        <w:adjustRightInd w:val="0"/>
        <w:spacing w:before="29" w:line="288" w:lineRule="auto"/>
        <w:jc w:val="left"/>
        <w:rPr>
          <w:bCs/>
          <w:color w:val="000000"/>
          <w:kern w:val="0"/>
          <w:sz w:val="24"/>
          <w:szCs w:val="24"/>
        </w:rPr>
      </w:pPr>
      <w:r>
        <w:rPr>
          <w:bCs/>
          <w:color w:val="000000"/>
          <w:kern w:val="0"/>
          <w:sz w:val="24"/>
          <w:szCs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1,062,227.95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2,611,614.23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217,246.60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3,891,088.78</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425655">
        <w:trPr>
          <w:jc w:val="center"/>
        </w:trPr>
        <w:tc>
          <w:tcPr>
            <w:tcW w:w="1883" w:type="dxa"/>
            <w:vAlign w:val="center"/>
          </w:tcPr>
          <w:p w:rsidR="00425655" w:rsidRDefault="00141C9A">
            <w:pPr>
              <w:jc w:val="center"/>
            </w:pPr>
            <w:r>
              <w:rPr>
                <w:color w:val="000000"/>
                <w:sz w:val="24"/>
                <w:szCs w:val="24"/>
              </w:rPr>
              <w:t>1</w:t>
            </w:r>
          </w:p>
        </w:tc>
        <w:tc>
          <w:tcPr>
            <w:tcW w:w="1801" w:type="dxa"/>
            <w:vAlign w:val="center"/>
          </w:tcPr>
          <w:p w:rsidR="00425655" w:rsidRDefault="00141C9A">
            <w:pPr>
              <w:jc w:val="center"/>
            </w:pPr>
            <w:r>
              <w:rPr>
                <w:color w:val="000000"/>
                <w:sz w:val="24"/>
                <w:szCs w:val="24"/>
              </w:rPr>
              <w:t>123004</w:t>
            </w:r>
          </w:p>
        </w:tc>
        <w:tc>
          <w:tcPr>
            <w:tcW w:w="1727" w:type="dxa"/>
            <w:vAlign w:val="center"/>
          </w:tcPr>
          <w:p w:rsidR="00425655" w:rsidRDefault="00141C9A">
            <w:pPr>
              <w:jc w:val="center"/>
            </w:pPr>
            <w:r>
              <w:rPr>
                <w:color w:val="000000"/>
                <w:sz w:val="24"/>
                <w:szCs w:val="24"/>
              </w:rPr>
              <w:t>铁汉转债</w:t>
            </w:r>
          </w:p>
        </w:tc>
        <w:tc>
          <w:tcPr>
            <w:tcW w:w="1768" w:type="dxa"/>
            <w:vAlign w:val="center"/>
          </w:tcPr>
          <w:p w:rsidR="00425655" w:rsidRDefault="00141C9A">
            <w:pPr>
              <w:jc w:val="right"/>
            </w:pPr>
            <w:r>
              <w:rPr>
                <w:color w:val="000000"/>
                <w:sz w:val="24"/>
                <w:szCs w:val="24"/>
              </w:rPr>
              <w:t>3,949,479.27</w:t>
            </w:r>
          </w:p>
        </w:tc>
        <w:tc>
          <w:tcPr>
            <w:tcW w:w="1689" w:type="dxa"/>
            <w:vAlign w:val="center"/>
          </w:tcPr>
          <w:p w:rsidR="00425655" w:rsidRDefault="00141C9A">
            <w:pPr>
              <w:jc w:val="right"/>
            </w:pPr>
            <w:r>
              <w:rPr>
                <w:color w:val="000000"/>
                <w:sz w:val="24"/>
                <w:szCs w:val="24"/>
              </w:rPr>
              <w:t>0.18</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F3E2A">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p w:rsidR="00080701" w:rsidRPr="00AF276E" w:rsidRDefault="00080701" w:rsidP="00AF276E">
      <w:pPr>
        <w:rPr>
          <w:rFonts w:eastAsiaTheme="minorEastAsia"/>
          <w:color w:val="000000" w:themeColor="text1"/>
          <w:sz w:val="24"/>
          <w:szCs w:val="24"/>
        </w:rPr>
      </w:pPr>
      <w:r w:rsidRPr="00AF276E">
        <w:t xml:space="preserve">  </w:t>
      </w:r>
      <w:r w:rsidRPr="00AF276E">
        <w:rPr>
          <w:rFonts w:eastAsiaTheme="minorEastAsia"/>
          <w:color w:val="000000" w:themeColor="text1"/>
          <w:sz w:val="24"/>
          <w:szCs w:val="24"/>
        </w:rPr>
        <w:t xml:space="preserve">   </w:t>
      </w:r>
      <w:r w:rsidRPr="00AF276E">
        <w:rPr>
          <w:rFonts w:eastAsiaTheme="minorEastAsia" w:hint="eastAsia"/>
          <w:color w:val="000000" w:themeColor="text1"/>
          <w:sz w:val="24"/>
          <w:szCs w:val="24"/>
        </w:rPr>
        <w:t>无。</w:t>
      </w: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5A3D62">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2,407,737,083.63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17,999,911.11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78,486,479.25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2,347,250,515.49</w:t>
            </w:r>
          </w:p>
        </w:tc>
      </w:tr>
    </w:tbl>
    <w:p w:rsidR="00425655" w:rsidRDefault="00141C9A">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7B5F21">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lastRenderedPageBreak/>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425655" w:rsidRDefault="00141C9A">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、中国证监会批准交银施罗德蓝筹股票证券投资基金募集的文件；</w:t>
      </w:r>
      <w:r>
        <w:rPr>
          <w:color w:val="000000"/>
          <w:sz w:val="24"/>
          <w:szCs w:val="24"/>
        </w:rPr>
        <w:t xml:space="preserve"> </w:t>
      </w:r>
    </w:p>
    <w:p w:rsidR="00425655" w:rsidRDefault="00141C9A">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、《交银施罗德蓝筹混合型证券投资基金基金合同》；</w:t>
      </w:r>
      <w:r>
        <w:rPr>
          <w:color w:val="000000"/>
          <w:sz w:val="24"/>
          <w:szCs w:val="24"/>
        </w:rPr>
        <w:t xml:space="preserve"> </w:t>
      </w:r>
    </w:p>
    <w:p w:rsidR="00425655" w:rsidRDefault="00141C9A">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、《交银施罗德蓝筹混合型证券投资基金招募说明书》；</w:t>
      </w:r>
      <w:r>
        <w:rPr>
          <w:color w:val="000000"/>
          <w:sz w:val="24"/>
          <w:szCs w:val="24"/>
        </w:rPr>
        <w:t xml:space="preserve"> </w:t>
      </w:r>
    </w:p>
    <w:p w:rsidR="00425655" w:rsidRDefault="00141C9A">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、《交银施罗德蓝筹混合型证券投资基金托管协议》；</w:t>
      </w:r>
      <w:r>
        <w:rPr>
          <w:color w:val="000000"/>
          <w:sz w:val="24"/>
          <w:szCs w:val="24"/>
        </w:rPr>
        <w:t xml:space="preserve"> </w:t>
      </w:r>
    </w:p>
    <w:p w:rsidR="00425655" w:rsidRDefault="00141C9A">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、关于募集交银施罗德蓝筹股票证券投资基金之法律意见书；</w:t>
      </w:r>
      <w:r>
        <w:rPr>
          <w:color w:val="000000"/>
          <w:sz w:val="24"/>
          <w:szCs w:val="24"/>
        </w:rPr>
        <w:t xml:space="preserve"> </w:t>
      </w:r>
    </w:p>
    <w:p w:rsidR="00425655" w:rsidRDefault="00141C9A">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425655" w:rsidRDefault="00141C9A">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、报告期内交银施罗德蓝筹混合型证券投资基金在指定报刊上各项公告的原稿。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425655" w:rsidRDefault="00141C9A">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764" w:rsidRDefault="00990764" w:rsidP="00876D65">
      <w:r>
        <w:separator/>
      </w:r>
    </w:p>
  </w:endnote>
  <w:endnote w:type="continuationSeparator" w:id="0">
    <w:p w:rsidR="00990764" w:rsidRDefault="00990764"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006A28">
      <w:rPr>
        <w:kern w:val="0"/>
        <w:szCs w:val="21"/>
      </w:rPr>
      <w:fldChar w:fldCharType="begin"/>
    </w:r>
    <w:r>
      <w:rPr>
        <w:kern w:val="0"/>
        <w:szCs w:val="21"/>
      </w:rPr>
      <w:instrText xml:space="preserve"> PAGE </w:instrText>
    </w:r>
    <w:r w:rsidR="00006A28">
      <w:rPr>
        <w:kern w:val="0"/>
        <w:szCs w:val="21"/>
      </w:rPr>
      <w:fldChar w:fldCharType="separate"/>
    </w:r>
    <w:r w:rsidR="00AF276E">
      <w:rPr>
        <w:noProof/>
        <w:kern w:val="0"/>
        <w:szCs w:val="21"/>
      </w:rPr>
      <w:t>10</w:t>
    </w:r>
    <w:r w:rsidR="00006A28">
      <w:rPr>
        <w:kern w:val="0"/>
        <w:szCs w:val="21"/>
      </w:rPr>
      <w:fldChar w:fldCharType="end"/>
    </w:r>
    <w:r>
      <w:rPr>
        <w:rFonts w:hint="eastAsia"/>
        <w:kern w:val="0"/>
        <w:szCs w:val="21"/>
      </w:rPr>
      <w:t>页共</w:t>
    </w:r>
    <w:r w:rsidR="00006A28">
      <w:rPr>
        <w:kern w:val="0"/>
        <w:szCs w:val="21"/>
      </w:rPr>
      <w:fldChar w:fldCharType="begin"/>
    </w:r>
    <w:r>
      <w:rPr>
        <w:kern w:val="0"/>
        <w:szCs w:val="21"/>
      </w:rPr>
      <w:instrText xml:space="preserve"> NUMPAGES </w:instrText>
    </w:r>
    <w:r w:rsidR="00006A28">
      <w:rPr>
        <w:kern w:val="0"/>
        <w:szCs w:val="21"/>
      </w:rPr>
      <w:fldChar w:fldCharType="separate"/>
    </w:r>
    <w:r w:rsidR="00AF276E">
      <w:rPr>
        <w:noProof/>
        <w:kern w:val="0"/>
        <w:szCs w:val="21"/>
      </w:rPr>
      <w:t>12</w:t>
    </w:r>
    <w:r w:rsidR="00006A2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764" w:rsidRDefault="00990764" w:rsidP="00876D65">
      <w:r>
        <w:separator/>
      </w:r>
    </w:p>
  </w:footnote>
  <w:footnote w:type="continuationSeparator" w:id="0">
    <w:p w:rsidR="00990764" w:rsidRDefault="00990764"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交银施罗德蓝筹混合型证券投资基金</w:t>
    </w:r>
    <w:r w:rsidRPr="003E676C">
      <w:rPr>
        <w:sz w:val="24"/>
        <w:szCs w:val="24"/>
      </w:rPr>
      <w:t>2018</w:t>
    </w:r>
    <w:r w:rsidRPr="003E676C">
      <w:rPr>
        <w:sz w:val="24"/>
        <w:szCs w:val="24"/>
      </w:rPr>
      <w:t>年第</w:t>
    </w:r>
    <w:r w:rsidRPr="003E676C">
      <w:rPr>
        <w:sz w:val="24"/>
        <w:szCs w:val="24"/>
      </w:rPr>
      <w:t>2</w:t>
    </w:r>
    <w:r w:rsidRPr="003E676C">
      <w:rPr>
        <w:sz w:val="24"/>
        <w:szCs w:val="24"/>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0701"/>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1C9A"/>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5655"/>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90764"/>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276E"/>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814DB8-F36B-4E44-AAAD-8618D7D1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 w:type="paragraph" w:styleId="afc">
    <w:name w:val="Revision"/>
    <w:hidden/>
    <w:uiPriority w:val="99"/>
    <w:semiHidden/>
    <w:rsid w:val="00AF276E"/>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58875-7E20-4EA5-BCF8-12DA25679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1808</TotalTime>
  <Pages>1</Pages>
  <Words>1146</Words>
  <Characters>6535</Characters>
  <Application>Microsoft Office Word</Application>
  <DocSecurity>0</DocSecurity>
  <Lines>54</Lines>
  <Paragraphs>15</Paragraphs>
  <ScaleCrop>false</ScaleCrop>
  <Company/>
  <LinksUpToDate>false</LinksUpToDate>
  <CharactersWithSpaces>7666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579</cp:revision>
  <dcterms:created xsi:type="dcterms:W3CDTF">2012-10-16T06:07:00Z</dcterms:created>
  <dcterms:modified xsi:type="dcterms:W3CDTF">2018-07-16T08:48:00Z</dcterms:modified>
</cp:coreProperties>
</file>