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675,448,932.79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w:t>
            </w:r>
            <w:r w:rsidRPr="007F52FA">
              <w:rPr>
                <w:color w:val="000000"/>
                <w:kern w:val="0"/>
                <w:sz w:val="24"/>
              </w:rPr>
              <w:lastRenderedPageBreak/>
              <w:t>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519692</w:t>
            </w:r>
            <w:r w:rsidRPr="007F52FA">
              <w:rPr>
                <w:color w:val="000000" w:themeColor="text1"/>
                <w:sz w:val="24"/>
              </w:rPr>
              <w:t>（前端）、</w:t>
            </w: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675,149,249.47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299,683.32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25,321,817.47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10,335.80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-26,782,025.77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-13,718.79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-0.0458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2,586,451,733.17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1,153,928.05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3.8309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3.8505</w:t>
            </w:r>
          </w:p>
        </w:tc>
      </w:tr>
    </w:tbl>
    <w:p w:rsidR="00BD67AE" w:rsidRDefault="00960FF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D67AE">
        <w:trPr>
          <w:jc w:val="center"/>
        </w:trPr>
        <w:tc>
          <w:tcPr>
            <w:tcW w:w="1266" w:type="dxa"/>
            <w:vAlign w:val="center"/>
          </w:tcPr>
          <w:p w:rsidR="00BD67AE" w:rsidRDefault="00960FF2">
            <w:pPr>
              <w:jc w:val="left"/>
            </w:pPr>
            <w:r>
              <w:rPr>
                <w:color w:val="000000"/>
                <w:sz w:val="24"/>
              </w:rPr>
              <w:t>过去三个月</w:t>
            </w:r>
          </w:p>
        </w:tc>
        <w:tc>
          <w:tcPr>
            <w:tcW w:w="1267" w:type="dxa"/>
            <w:vAlign w:val="center"/>
          </w:tcPr>
          <w:p w:rsidR="00BD67AE" w:rsidRDefault="00960FF2">
            <w:pPr>
              <w:jc w:val="center"/>
            </w:pPr>
            <w:r>
              <w:rPr>
                <w:color w:val="000000"/>
                <w:sz w:val="24"/>
              </w:rPr>
              <w:t>-1.08%</w:t>
            </w:r>
          </w:p>
        </w:tc>
        <w:tc>
          <w:tcPr>
            <w:tcW w:w="1267" w:type="dxa"/>
            <w:vAlign w:val="center"/>
          </w:tcPr>
          <w:p w:rsidR="00BD67AE" w:rsidRDefault="00960FF2">
            <w:pPr>
              <w:jc w:val="center"/>
            </w:pPr>
            <w:r>
              <w:rPr>
                <w:color w:val="000000"/>
                <w:sz w:val="24"/>
              </w:rPr>
              <w:t>1.27%</w:t>
            </w:r>
          </w:p>
        </w:tc>
        <w:tc>
          <w:tcPr>
            <w:tcW w:w="1267" w:type="dxa"/>
            <w:vAlign w:val="center"/>
          </w:tcPr>
          <w:p w:rsidR="00BD67AE" w:rsidRDefault="00960FF2">
            <w:pPr>
              <w:jc w:val="center"/>
            </w:pPr>
            <w:r>
              <w:rPr>
                <w:color w:val="000000"/>
                <w:sz w:val="24"/>
              </w:rPr>
              <w:t>-6.90%</w:t>
            </w:r>
          </w:p>
        </w:tc>
        <w:tc>
          <w:tcPr>
            <w:tcW w:w="1267" w:type="dxa"/>
            <w:vAlign w:val="center"/>
          </w:tcPr>
          <w:p w:rsidR="00BD67AE" w:rsidRDefault="00960FF2">
            <w:pPr>
              <w:jc w:val="center"/>
            </w:pPr>
            <w:r>
              <w:rPr>
                <w:color w:val="000000"/>
                <w:sz w:val="24"/>
              </w:rPr>
              <w:t>0.98%</w:t>
            </w:r>
          </w:p>
        </w:tc>
        <w:tc>
          <w:tcPr>
            <w:tcW w:w="1267" w:type="dxa"/>
            <w:vAlign w:val="center"/>
          </w:tcPr>
          <w:p w:rsidR="00BD67AE" w:rsidRDefault="00960FF2">
            <w:pPr>
              <w:jc w:val="center"/>
            </w:pPr>
            <w:r>
              <w:rPr>
                <w:color w:val="000000"/>
                <w:sz w:val="24"/>
              </w:rPr>
              <w:t>5.82%</w:t>
            </w:r>
          </w:p>
        </w:tc>
        <w:tc>
          <w:tcPr>
            <w:tcW w:w="1267" w:type="dxa"/>
            <w:vAlign w:val="center"/>
          </w:tcPr>
          <w:p w:rsidR="00BD67AE" w:rsidRDefault="00960FF2">
            <w:pPr>
              <w:jc w:val="center"/>
            </w:pPr>
            <w:r>
              <w:rPr>
                <w:color w:val="000000"/>
                <w:sz w:val="24"/>
              </w:rPr>
              <w:t>0.29%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D67AE">
        <w:trPr>
          <w:jc w:val="center"/>
        </w:trPr>
        <w:tc>
          <w:tcPr>
            <w:tcW w:w="1266" w:type="dxa"/>
            <w:vAlign w:val="center"/>
          </w:tcPr>
          <w:p w:rsidR="00BD67AE" w:rsidRDefault="00960FF2">
            <w:pPr>
              <w:jc w:val="left"/>
            </w:pPr>
            <w:r>
              <w:rPr>
                <w:color w:val="000000"/>
                <w:sz w:val="24"/>
              </w:rPr>
              <w:t>过去三个月</w:t>
            </w:r>
          </w:p>
        </w:tc>
        <w:tc>
          <w:tcPr>
            <w:tcW w:w="1267" w:type="dxa"/>
            <w:vAlign w:val="center"/>
          </w:tcPr>
          <w:p w:rsidR="00BD67AE" w:rsidRDefault="00960FF2">
            <w:pPr>
              <w:jc w:val="center"/>
            </w:pPr>
            <w:r>
              <w:rPr>
                <w:color w:val="000000"/>
                <w:sz w:val="24"/>
              </w:rPr>
              <w:t>-1.18%</w:t>
            </w:r>
          </w:p>
        </w:tc>
        <w:tc>
          <w:tcPr>
            <w:tcW w:w="1267" w:type="dxa"/>
            <w:vAlign w:val="center"/>
          </w:tcPr>
          <w:p w:rsidR="00BD67AE" w:rsidRDefault="00960FF2">
            <w:pPr>
              <w:jc w:val="center"/>
            </w:pPr>
            <w:r>
              <w:rPr>
                <w:color w:val="000000"/>
                <w:sz w:val="24"/>
              </w:rPr>
              <w:t>1.27%</w:t>
            </w:r>
          </w:p>
        </w:tc>
        <w:tc>
          <w:tcPr>
            <w:tcW w:w="1267" w:type="dxa"/>
            <w:vAlign w:val="center"/>
          </w:tcPr>
          <w:p w:rsidR="00BD67AE" w:rsidRDefault="00960FF2">
            <w:pPr>
              <w:jc w:val="center"/>
            </w:pPr>
            <w:r>
              <w:rPr>
                <w:color w:val="000000"/>
                <w:sz w:val="24"/>
              </w:rPr>
              <w:t>-6.90%</w:t>
            </w:r>
          </w:p>
        </w:tc>
        <w:tc>
          <w:tcPr>
            <w:tcW w:w="1267" w:type="dxa"/>
            <w:vAlign w:val="center"/>
          </w:tcPr>
          <w:p w:rsidR="00BD67AE" w:rsidRDefault="00960FF2">
            <w:pPr>
              <w:jc w:val="center"/>
            </w:pPr>
            <w:r>
              <w:rPr>
                <w:color w:val="000000"/>
                <w:sz w:val="24"/>
              </w:rPr>
              <w:t>0.98%</w:t>
            </w:r>
          </w:p>
        </w:tc>
        <w:tc>
          <w:tcPr>
            <w:tcW w:w="1267" w:type="dxa"/>
            <w:vAlign w:val="center"/>
          </w:tcPr>
          <w:p w:rsidR="00BD67AE" w:rsidRDefault="00960FF2">
            <w:pPr>
              <w:jc w:val="center"/>
            </w:pPr>
            <w:r>
              <w:rPr>
                <w:color w:val="000000"/>
                <w:sz w:val="24"/>
              </w:rPr>
              <w:t>5.72%</w:t>
            </w:r>
          </w:p>
        </w:tc>
        <w:tc>
          <w:tcPr>
            <w:tcW w:w="1267" w:type="dxa"/>
            <w:vAlign w:val="center"/>
          </w:tcPr>
          <w:p w:rsidR="00BD67AE" w:rsidRDefault="00960FF2">
            <w:pPr>
              <w:jc w:val="center"/>
            </w:pPr>
            <w:r>
              <w:rPr>
                <w:color w:val="000000"/>
                <w:sz w:val="24"/>
              </w:rPr>
              <w:t>0.29%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w:t>
      </w:r>
      <w:r w:rsidRPr="007F52FA">
        <w:rPr>
          <w:color w:val="000000"/>
          <w:sz w:val="24"/>
        </w:rPr>
        <w:lastRenderedPageBreak/>
        <w:t>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类份额，当日投资者提交的申购申请于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D67AE">
        <w:trPr>
          <w:jc w:val="center"/>
        </w:trPr>
        <w:tc>
          <w:tcPr>
            <w:tcW w:w="946" w:type="dxa"/>
            <w:vAlign w:val="center"/>
          </w:tcPr>
          <w:p w:rsidR="00BD67AE" w:rsidRDefault="00960FF2">
            <w:pPr>
              <w:jc w:val="center"/>
            </w:pPr>
            <w:r>
              <w:rPr>
                <w:color w:val="000000"/>
                <w:sz w:val="24"/>
              </w:rPr>
              <w:t>王少成</w:t>
            </w:r>
          </w:p>
        </w:tc>
        <w:tc>
          <w:tcPr>
            <w:tcW w:w="924" w:type="dxa"/>
            <w:vAlign w:val="center"/>
          </w:tcPr>
          <w:p w:rsidR="00BD67AE" w:rsidRDefault="00960FF2">
            <w:pPr>
              <w:jc w:val="center"/>
            </w:pPr>
            <w:r>
              <w:rPr>
                <w:color w:val="000000"/>
                <w:sz w:val="24"/>
              </w:rPr>
              <w:t>交银成长混合、、交银成长</w:t>
            </w:r>
            <w:r>
              <w:rPr>
                <w:color w:val="000000"/>
                <w:sz w:val="24"/>
              </w:rPr>
              <w:lastRenderedPageBreak/>
              <w:t>30</w:t>
            </w:r>
            <w:r>
              <w:rPr>
                <w:color w:val="000000"/>
                <w:sz w:val="24"/>
              </w:rPr>
              <w:t>混合的基金经理，公司权益投资总监</w:t>
            </w:r>
          </w:p>
        </w:tc>
        <w:tc>
          <w:tcPr>
            <w:tcW w:w="1202" w:type="dxa"/>
            <w:vAlign w:val="center"/>
          </w:tcPr>
          <w:p w:rsidR="00BD67AE" w:rsidRDefault="00960FF2">
            <w:pPr>
              <w:jc w:val="center"/>
            </w:pPr>
            <w:r>
              <w:rPr>
                <w:color w:val="000000"/>
                <w:sz w:val="24"/>
              </w:rPr>
              <w:lastRenderedPageBreak/>
              <w:t>2015-03-24</w:t>
            </w:r>
          </w:p>
        </w:tc>
        <w:tc>
          <w:tcPr>
            <w:tcW w:w="1300" w:type="dxa"/>
            <w:vAlign w:val="center"/>
          </w:tcPr>
          <w:p w:rsidR="00BD67AE" w:rsidRDefault="00960FF2">
            <w:pPr>
              <w:jc w:val="center"/>
            </w:pPr>
            <w:r>
              <w:rPr>
                <w:color w:val="000000"/>
                <w:sz w:val="24"/>
              </w:rPr>
              <w:t>-</w:t>
            </w:r>
          </w:p>
        </w:tc>
        <w:tc>
          <w:tcPr>
            <w:tcW w:w="1245" w:type="dxa"/>
            <w:vAlign w:val="center"/>
          </w:tcPr>
          <w:p w:rsidR="00BD67AE" w:rsidRDefault="00960FF2">
            <w:pPr>
              <w:jc w:val="center"/>
            </w:pPr>
            <w:r>
              <w:rPr>
                <w:color w:val="000000"/>
                <w:sz w:val="24"/>
              </w:rPr>
              <w:t>14</w:t>
            </w:r>
            <w:r>
              <w:rPr>
                <w:color w:val="000000"/>
                <w:sz w:val="24"/>
              </w:rPr>
              <w:t>年</w:t>
            </w:r>
          </w:p>
        </w:tc>
        <w:tc>
          <w:tcPr>
            <w:tcW w:w="3251" w:type="dxa"/>
            <w:vAlign w:val="center"/>
          </w:tcPr>
          <w:p w:rsidR="00BD67AE" w:rsidRDefault="00960FF2">
            <w:r>
              <w:rPr>
                <w:color w:val="000000"/>
                <w:sz w:val="24"/>
              </w:rPr>
              <w:t>王少成先生，复旦大学硕士学历。历任上海融昌资产管理公司研究员，中原证券投资经理，信诚基金管理有限公司研究总监助理，东吴基金管理有限公司投资经理、基金经理、</w:t>
            </w:r>
            <w:r>
              <w:rPr>
                <w:color w:val="000000"/>
                <w:sz w:val="24"/>
              </w:rPr>
              <w:lastRenderedPageBreak/>
              <w:t>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D67AE" w:rsidRDefault="00960FF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BD67AE" w:rsidRDefault="00960FF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D67AE" w:rsidRDefault="00960FF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D67AE" w:rsidRDefault="00960FF2">
      <w:pPr>
        <w:spacing w:before="29" w:line="288" w:lineRule="auto"/>
        <w:ind w:firstLineChars="200" w:firstLine="480"/>
        <w:rPr>
          <w:color w:val="000000"/>
          <w:sz w:val="24"/>
        </w:rPr>
      </w:pPr>
      <w:r>
        <w:rPr>
          <w:color w:val="000000"/>
          <w:sz w:val="24"/>
        </w:rPr>
        <w:t>2018</w:t>
      </w:r>
      <w:r>
        <w:rPr>
          <w:color w:val="000000"/>
          <w:sz w:val="24"/>
        </w:rPr>
        <w:t>年二季度中国经济内生增长动力放缓。实体去杠杆的影响使得企业融资环境大为收紧，民营企业的信用风险开始暴露，一定程度地加剧了信用收缩的宏观经济压力。外部环境也并非友好，贸易战阴云密布，明显地抑制了企业出口订单，经济放缓预期在加剧。但自六月份以来的高频数据显示，经济增速有触底反弹迹象，新增信贷增速较前两个月有明显加速趋势，大宗商品价格淡季不弱，受环保影响供给端的周期行业的盈利趋势依然向好。我们预计整体的宏观经济政策依然坚持去杠杆降风险的导向，但良好的去杠杆过程本身就需要温和的通胀环境和相对稳定的宏观预期，这些约束可能正在驱动政府宏观调控政策的微调。</w:t>
      </w:r>
    </w:p>
    <w:p w:rsidR="00BD67AE" w:rsidRDefault="00960FF2">
      <w:pPr>
        <w:spacing w:before="29" w:line="288" w:lineRule="auto"/>
        <w:ind w:firstLineChars="200" w:firstLine="480"/>
        <w:rPr>
          <w:color w:val="000000"/>
          <w:sz w:val="24"/>
        </w:rPr>
      </w:pPr>
      <w:r>
        <w:rPr>
          <w:color w:val="000000"/>
          <w:sz w:val="24"/>
        </w:rPr>
        <w:t>二季度本基金保持中性的仓位水平。市场的连续调整使得场内股权质押风险暴露持续加大，即使质押风险较小，流动性较好的蓝筹股也出现不同程度的流动性问题，市场情绪整体较为脆弱。</w:t>
      </w:r>
    </w:p>
    <w:p w:rsidR="00952A72" w:rsidRPr="007F52FA" w:rsidRDefault="00323F25" w:rsidP="007C14DF">
      <w:pPr>
        <w:spacing w:before="29" w:line="288" w:lineRule="auto"/>
        <w:ind w:firstLineChars="200" w:firstLine="480"/>
        <w:rPr>
          <w:color w:val="000000"/>
          <w:sz w:val="24"/>
        </w:rPr>
      </w:pPr>
      <w:r w:rsidRPr="007F52FA">
        <w:rPr>
          <w:color w:val="000000"/>
          <w:sz w:val="24"/>
        </w:rPr>
        <w:t>我们预计</w:t>
      </w:r>
      <w:r w:rsidRPr="007F52FA">
        <w:rPr>
          <w:color w:val="000000"/>
          <w:sz w:val="24"/>
        </w:rPr>
        <w:t>2018</w:t>
      </w:r>
      <w:r w:rsidRPr="007F52FA">
        <w:rPr>
          <w:color w:val="000000"/>
          <w:sz w:val="24"/>
        </w:rPr>
        <w:t>年经济降速换挡，新经济的动能持续恢复，中观行业依然有很多变化值得重视。周期性行业中，上游液压件供给受限的工程机械的增长依然强劲，其增长的持续性超越过往的周期性经验，国内民用航空领域的供给侧改革依旧持续，驱动行业进入一个较长的景气上行周期。整体来看，</w:t>
      </w:r>
      <w:r w:rsidRPr="007F52FA">
        <w:rPr>
          <w:color w:val="000000"/>
          <w:sz w:val="24"/>
        </w:rPr>
        <w:t>2018</w:t>
      </w:r>
      <w:r w:rsidRPr="007F52FA">
        <w:rPr>
          <w:color w:val="000000"/>
          <w:sz w:val="24"/>
        </w:rPr>
        <w:t>年中观行业依然有很多亮点，预计周期性行业和新经济均有投资机会。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本报告期末，交银成长混合</w:t>
      </w:r>
      <w:r w:rsidRPr="007F52FA">
        <w:rPr>
          <w:color w:val="000000"/>
          <w:sz w:val="24"/>
        </w:rPr>
        <w:t>A</w:t>
      </w:r>
      <w:r w:rsidRPr="007F52FA">
        <w:rPr>
          <w:color w:val="000000"/>
          <w:sz w:val="24"/>
        </w:rPr>
        <w:t>份额净值为</w:t>
      </w:r>
      <w:r w:rsidRPr="007F52FA">
        <w:rPr>
          <w:color w:val="000000"/>
          <w:sz w:val="24"/>
        </w:rPr>
        <w:t>3.8309</w:t>
      </w:r>
      <w:r w:rsidRPr="007F52FA">
        <w:rPr>
          <w:color w:val="000000"/>
          <w:sz w:val="24"/>
        </w:rPr>
        <w:t>元，本报告期份额净值增长率为</w:t>
      </w:r>
      <w:r w:rsidRPr="007F52FA">
        <w:rPr>
          <w:color w:val="000000"/>
          <w:sz w:val="24"/>
        </w:rPr>
        <w:t>-1.08%</w:t>
      </w:r>
      <w:r w:rsidRPr="007F52FA">
        <w:rPr>
          <w:color w:val="000000"/>
          <w:sz w:val="24"/>
        </w:rPr>
        <w:t>，同期业绩比较基准增长率为</w:t>
      </w:r>
      <w:r w:rsidRPr="007F52FA">
        <w:rPr>
          <w:color w:val="000000"/>
          <w:sz w:val="24"/>
        </w:rPr>
        <w:t>-6.90%</w:t>
      </w:r>
      <w:r w:rsidRPr="007F52FA">
        <w:rPr>
          <w:color w:val="000000"/>
          <w:sz w:val="24"/>
        </w:rPr>
        <w:t>；交银成长混合</w:t>
      </w:r>
      <w:r w:rsidRPr="007F52FA">
        <w:rPr>
          <w:color w:val="000000"/>
          <w:sz w:val="24"/>
        </w:rPr>
        <w:t>H</w:t>
      </w:r>
      <w:r w:rsidRPr="007F52FA">
        <w:rPr>
          <w:color w:val="000000"/>
          <w:sz w:val="24"/>
        </w:rPr>
        <w:t>份额净值为</w:t>
      </w:r>
      <w:r w:rsidRPr="007F52FA">
        <w:rPr>
          <w:color w:val="000000"/>
          <w:sz w:val="24"/>
        </w:rPr>
        <w:t>3.8505</w:t>
      </w:r>
      <w:r w:rsidRPr="007F52FA">
        <w:rPr>
          <w:color w:val="000000"/>
          <w:sz w:val="24"/>
        </w:rPr>
        <w:t>元，本报告期份额净值增长率为</w:t>
      </w:r>
      <w:r w:rsidRPr="007F52FA">
        <w:rPr>
          <w:color w:val="000000"/>
          <w:sz w:val="24"/>
        </w:rPr>
        <w:t>-1.18%</w:t>
      </w:r>
      <w:r w:rsidRPr="007F52FA">
        <w:rPr>
          <w:color w:val="000000"/>
          <w:sz w:val="24"/>
        </w:rPr>
        <w:t>，同期业绩比较基准增长率为</w:t>
      </w:r>
      <w:r w:rsidRPr="007F52FA">
        <w:rPr>
          <w:color w:val="000000"/>
          <w:sz w:val="24"/>
        </w:rPr>
        <w:t>-6.90%</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2,239,674,233.81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2,239,674,233.81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50,015,000.00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50,015,000.00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149,150,274.58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5.75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151,012,003.74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5.82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3,497,414.22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2,593,348,926.35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lastRenderedPageBreak/>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82,744,196.95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3.20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1,392,762,291.52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53.82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71,559.85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41,027,444.70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493,402,071.57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166,555,857.72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6.44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63,029,585.36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2.44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81,226.14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2,239,674,233.81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86.55</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D67AE">
        <w:trPr>
          <w:jc w:val="center"/>
        </w:trPr>
        <w:tc>
          <w:tcPr>
            <w:tcW w:w="850" w:type="dxa"/>
            <w:vAlign w:val="center"/>
          </w:tcPr>
          <w:p w:rsidR="00BD67AE" w:rsidRDefault="00960FF2">
            <w:pPr>
              <w:jc w:val="center"/>
            </w:pPr>
            <w:r>
              <w:rPr>
                <w:color w:val="000000"/>
                <w:sz w:val="24"/>
              </w:rPr>
              <w:t>1</w:t>
            </w:r>
          </w:p>
        </w:tc>
        <w:tc>
          <w:tcPr>
            <w:tcW w:w="1327" w:type="dxa"/>
            <w:vAlign w:val="center"/>
          </w:tcPr>
          <w:p w:rsidR="00BD67AE" w:rsidRDefault="00960FF2">
            <w:pPr>
              <w:jc w:val="center"/>
            </w:pPr>
            <w:r>
              <w:rPr>
                <w:color w:val="000000"/>
                <w:sz w:val="24"/>
              </w:rPr>
              <w:t>601100</w:t>
            </w:r>
          </w:p>
        </w:tc>
        <w:tc>
          <w:tcPr>
            <w:tcW w:w="1769" w:type="dxa"/>
            <w:vAlign w:val="center"/>
          </w:tcPr>
          <w:p w:rsidR="00BD67AE" w:rsidRDefault="00960FF2">
            <w:pPr>
              <w:jc w:val="center"/>
            </w:pPr>
            <w:r>
              <w:rPr>
                <w:color w:val="000000"/>
                <w:sz w:val="24"/>
              </w:rPr>
              <w:t>恒立液压</w:t>
            </w:r>
          </w:p>
        </w:tc>
        <w:tc>
          <w:tcPr>
            <w:tcW w:w="1327" w:type="dxa"/>
            <w:vAlign w:val="center"/>
          </w:tcPr>
          <w:p w:rsidR="00BD67AE" w:rsidRDefault="00960FF2">
            <w:pPr>
              <w:jc w:val="right"/>
            </w:pPr>
            <w:r>
              <w:rPr>
                <w:color w:val="000000"/>
                <w:sz w:val="24"/>
              </w:rPr>
              <w:t>11,404,691</w:t>
            </w:r>
          </w:p>
        </w:tc>
        <w:tc>
          <w:tcPr>
            <w:tcW w:w="1915" w:type="dxa"/>
            <w:vAlign w:val="center"/>
          </w:tcPr>
          <w:p w:rsidR="00BD67AE" w:rsidRDefault="00960FF2">
            <w:pPr>
              <w:jc w:val="right"/>
            </w:pPr>
            <w:r>
              <w:rPr>
                <w:color w:val="000000"/>
                <w:sz w:val="24"/>
              </w:rPr>
              <w:t>238,129,948.08</w:t>
            </w:r>
          </w:p>
        </w:tc>
        <w:tc>
          <w:tcPr>
            <w:tcW w:w="1680" w:type="dxa"/>
            <w:vAlign w:val="center"/>
          </w:tcPr>
          <w:p w:rsidR="00BD67AE" w:rsidRDefault="00960FF2">
            <w:pPr>
              <w:jc w:val="right"/>
            </w:pPr>
            <w:r>
              <w:rPr>
                <w:color w:val="000000"/>
                <w:sz w:val="24"/>
              </w:rPr>
              <w:t>9.20</w:t>
            </w:r>
          </w:p>
        </w:tc>
      </w:tr>
      <w:tr w:rsidR="00BD67AE">
        <w:trPr>
          <w:jc w:val="center"/>
        </w:trPr>
        <w:tc>
          <w:tcPr>
            <w:tcW w:w="850" w:type="dxa"/>
            <w:vAlign w:val="center"/>
          </w:tcPr>
          <w:p w:rsidR="00BD67AE" w:rsidRDefault="00960FF2">
            <w:pPr>
              <w:jc w:val="center"/>
            </w:pPr>
            <w:r>
              <w:rPr>
                <w:color w:val="000000"/>
                <w:sz w:val="24"/>
              </w:rPr>
              <w:t>2</w:t>
            </w:r>
          </w:p>
        </w:tc>
        <w:tc>
          <w:tcPr>
            <w:tcW w:w="1327" w:type="dxa"/>
            <w:vAlign w:val="center"/>
          </w:tcPr>
          <w:p w:rsidR="00BD67AE" w:rsidRDefault="00960FF2">
            <w:pPr>
              <w:jc w:val="center"/>
            </w:pPr>
            <w:r>
              <w:rPr>
                <w:color w:val="000000"/>
                <w:sz w:val="24"/>
              </w:rPr>
              <w:t>000538</w:t>
            </w:r>
          </w:p>
        </w:tc>
        <w:tc>
          <w:tcPr>
            <w:tcW w:w="1769" w:type="dxa"/>
            <w:vAlign w:val="center"/>
          </w:tcPr>
          <w:p w:rsidR="00BD67AE" w:rsidRDefault="00960FF2">
            <w:pPr>
              <w:jc w:val="center"/>
            </w:pPr>
            <w:r>
              <w:rPr>
                <w:color w:val="000000"/>
                <w:sz w:val="24"/>
              </w:rPr>
              <w:t>云南白药</w:t>
            </w:r>
          </w:p>
        </w:tc>
        <w:tc>
          <w:tcPr>
            <w:tcW w:w="1327" w:type="dxa"/>
            <w:vAlign w:val="center"/>
          </w:tcPr>
          <w:p w:rsidR="00BD67AE" w:rsidRDefault="00960FF2">
            <w:pPr>
              <w:jc w:val="right"/>
            </w:pPr>
            <w:r>
              <w:rPr>
                <w:color w:val="000000"/>
                <w:sz w:val="24"/>
              </w:rPr>
              <w:t>2,086,856</w:t>
            </w:r>
          </w:p>
        </w:tc>
        <w:tc>
          <w:tcPr>
            <w:tcW w:w="1915" w:type="dxa"/>
            <w:vAlign w:val="center"/>
          </w:tcPr>
          <w:p w:rsidR="00BD67AE" w:rsidRDefault="00960FF2">
            <w:pPr>
              <w:jc w:val="right"/>
            </w:pPr>
            <w:r>
              <w:rPr>
                <w:color w:val="000000"/>
                <w:sz w:val="24"/>
              </w:rPr>
              <w:t>223,210,117.76</w:t>
            </w:r>
          </w:p>
        </w:tc>
        <w:tc>
          <w:tcPr>
            <w:tcW w:w="1680" w:type="dxa"/>
            <w:vAlign w:val="center"/>
          </w:tcPr>
          <w:p w:rsidR="00BD67AE" w:rsidRDefault="00960FF2">
            <w:pPr>
              <w:jc w:val="right"/>
            </w:pPr>
            <w:r>
              <w:rPr>
                <w:color w:val="000000"/>
                <w:sz w:val="24"/>
              </w:rPr>
              <w:t>8.63</w:t>
            </w:r>
          </w:p>
        </w:tc>
      </w:tr>
      <w:tr w:rsidR="00BD67AE">
        <w:trPr>
          <w:jc w:val="center"/>
        </w:trPr>
        <w:tc>
          <w:tcPr>
            <w:tcW w:w="850" w:type="dxa"/>
            <w:vAlign w:val="center"/>
          </w:tcPr>
          <w:p w:rsidR="00BD67AE" w:rsidRDefault="00960FF2">
            <w:pPr>
              <w:jc w:val="center"/>
            </w:pPr>
            <w:r>
              <w:rPr>
                <w:color w:val="000000"/>
                <w:sz w:val="24"/>
              </w:rPr>
              <w:lastRenderedPageBreak/>
              <w:t>3</w:t>
            </w:r>
          </w:p>
        </w:tc>
        <w:tc>
          <w:tcPr>
            <w:tcW w:w="1327" w:type="dxa"/>
            <w:vAlign w:val="center"/>
          </w:tcPr>
          <w:p w:rsidR="00BD67AE" w:rsidRDefault="00960FF2">
            <w:pPr>
              <w:jc w:val="center"/>
            </w:pPr>
            <w:r>
              <w:rPr>
                <w:color w:val="000000"/>
                <w:sz w:val="24"/>
              </w:rPr>
              <w:t>600066</w:t>
            </w:r>
          </w:p>
        </w:tc>
        <w:tc>
          <w:tcPr>
            <w:tcW w:w="1769" w:type="dxa"/>
            <w:vAlign w:val="center"/>
          </w:tcPr>
          <w:p w:rsidR="00BD67AE" w:rsidRDefault="00960FF2">
            <w:pPr>
              <w:jc w:val="center"/>
            </w:pPr>
            <w:r>
              <w:rPr>
                <w:color w:val="000000"/>
                <w:sz w:val="24"/>
              </w:rPr>
              <w:t>宇通客车</w:t>
            </w:r>
          </w:p>
        </w:tc>
        <w:tc>
          <w:tcPr>
            <w:tcW w:w="1327" w:type="dxa"/>
            <w:vAlign w:val="center"/>
          </w:tcPr>
          <w:p w:rsidR="00BD67AE" w:rsidRDefault="00960FF2">
            <w:pPr>
              <w:jc w:val="right"/>
            </w:pPr>
            <w:r>
              <w:rPr>
                <w:color w:val="000000"/>
                <w:sz w:val="24"/>
              </w:rPr>
              <w:t>8,328,709</w:t>
            </w:r>
          </w:p>
        </w:tc>
        <w:tc>
          <w:tcPr>
            <w:tcW w:w="1915" w:type="dxa"/>
            <w:vAlign w:val="center"/>
          </w:tcPr>
          <w:p w:rsidR="00BD67AE" w:rsidRDefault="00960FF2">
            <w:pPr>
              <w:jc w:val="right"/>
            </w:pPr>
            <w:r>
              <w:rPr>
                <w:color w:val="000000"/>
                <w:sz w:val="24"/>
              </w:rPr>
              <w:t>159,827,925.71</w:t>
            </w:r>
          </w:p>
        </w:tc>
        <w:tc>
          <w:tcPr>
            <w:tcW w:w="1680" w:type="dxa"/>
            <w:vAlign w:val="center"/>
          </w:tcPr>
          <w:p w:rsidR="00BD67AE" w:rsidRDefault="00960FF2">
            <w:pPr>
              <w:jc w:val="right"/>
            </w:pPr>
            <w:r>
              <w:rPr>
                <w:color w:val="000000"/>
                <w:sz w:val="24"/>
              </w:rPr>
              <w:t>6.18</w:t>
            </w:r>
          </w:p>
        </w:tc>
      </w:tr>
      <w:tr w:rsidR="00BD67AE">
        <w:trPr>
          <w:jc w:val="center"/>
        </w:trPr>
        <w:tc>
          <w:tcPr>
            <w:tcW w:w="850" w:type="dxa"/>
            <w:vAlign w:val="center"/>
          </w:tcPr>
          <w:p w:rsidR="00BD67AE" w:rsidRDefault="00960FF2">
            <w:pPr>
              <w:jc w:val="center"/>
            </w:pPr>
            <w:r>
              <w:rPr>
                <w:color w:val="000000"/>
                <w:sz w:val="24"/>
              </w:rPr>
              <w:t>4</w:t>
            </w:r>
          </w:p>
        </w:tc>
        <w:tc>
          <w:tcPr>
            <w:tcW w:w="1327" w:type="dxa"/>
            <w:vAlign w:val="center"/>
          </w:tcPr>
          <w:p w:rsidR="00BD67AE" w:rsidRDefault="00960FF2">
            <w:pPr>
              <w:jc w:val="center"/>
            </w:pPr>
            <w:r>
              <w:rPr>
                <w:color w:val="000000"/>
                <w:sz w:val="24"/>
              </w:rPr>
              <w:t>002180</w:t>
            </w:r>
          </w:p>
        </w:tc>
        <w:tc>
          <w:tcPr>
            <w:tcW w:w="1769" w:type="dxa"/>
            <w:vAlign w:val="center"/>
          </w:tcPr>
          <w:p w:rsidR="00BD67AE" w:rsidRDefault="00960FF2">
            <w:pPr>
              <w:jc w:val="center"/>
            </w:pPr>
            <w:r>
              <w:rPr>
                <w:color w:val="000000"/>
                <w:sz w:val="24"/>
              </w:rPr>
              <w:t>纳思达</w:t>
            </w:r>
          </w:p>
        </w:tc>
        <w:tc>
          <w:tcPr>
            <w:tcW w:w="1327" w:type="dxa"/>
            <w:vAlign w:val="center"/>
          </w:tcPr>
          <w:p w:rsidR="00BD67AE" w:rsidRDefault="00960FF2">
            <w:pPr>
              <w:jc w:val="right"/>
            </w:pPr>
            <w:r>
              <w:rPr>
                <w:color w:val="000000"/>
                <w:sz w:val="24"/>
              </w:rPr>
              <w:t>5,723,356</w:t>
            </w:r>
          </w:p>
        </w:tc>
        <w:tc>
          <w:tcPr>
            <w:tcW w:w="1915" w:type="dxa"/>
            <w:vAlign w:val="center"/>
          </w:tcPr>
          <w:p w:rsidR="00BD67AE" w:rsidRDefault="00960FF2">
            <w:pPr>
              <w:jc w:val="right"/>
            </w:pPr>
            <w:r>
              <w:rPr>
                <w:color w:val="000000"/>
                <w:sz w:val="24"/>
              </w:rPr>
              <w:t>157,163,355.76</w:t>
            </w:r>
          </w:p>
        </w:tc>
        <w:tc>
          <w:tcPr>
            <w:tcW w:w="1680" w:type="dxa"/>
            <w:vAlign w:val="center"/>
          </w:tcPr>
          <w:p w:rsidR="00BD67AE" w:rsidRDefault="00960FF2">
            <w:pPr>
              <w:jc w:val="right"/>
            </w:pPr>
            <w:r>
              <w:rPr>
                <w:color w:val="000000"/>
                <w:sz w:val="24"/>
              </w:rPr>
              <w:t>6.07</w:t>
            </w:r>
          </w:p>
        </w:tc>
      </w:tr>
      <w:tr w:rsidR="00BD67AE">
        <w:trPr>
          <w:jc w:val="center"/>
        </w:trPr>
        <w:tc>
          <w:tcPr>
            <w:tcW w:w="850" w:type="dxa"/>
            <w:vAlign w:val="center"/>
          </w:tcPr>
          <w:p w:rsidR="00BD67AE" w:rsidRDefault="00960FF2">
            <w:pPr>
              <w:jc w:val="center"/>
            </w:pPr>
            <w:r>
              <w:rPr>
                <w:color w:val="000000"/>
                <w:sz w:val="24"/>
              </w:rPr>
              <w:t>5</w:t>
            </w:r>
          </w:p>
        </w:tc>
        <w:tc>
          <w:tcPr>
            <w:tcW w:w="1327" w:type="dxa"/>
            <w:vAlign w:val="center"/>
          </w:tcPr>
          <w:p w:rsidR="00BD67AE" w:rsidRDefault="00960FF2">
            <w:pPr>
              <w:jc w:val="center"/>
            </w:pPr>
            <w:r>
              <w:rPr>
                <w:color w:val="000000"/>
                <w:sz w:val="24"/>
              </w:rPr>
              <w:t>002120</w:t>
            </w:r>
          </w:p>
        </w:tc>
        <w:tc>
          <w:tcPr>
            <w:tcW w:w="1769" w:type="dxa"/>
            <w:vAlign w:val="center"/>
          </w:tcPr>
          <w:p w:rsidR="00BD67AE" w:rsidRDefault="00960FF2">
            <w:pPr>
              <w:jc w:val="center"/>
            </w:pPr>
            <w:r>
              <w:rPr>
                <w:color w:val="000000"/>
                <w:sz w:val="24"/>
              </w:rPr>
              <w:t>韵达股份</w:t>
            </w:r>
          </w:p>
        </w:tc>
        <w:tc>
          <w:tcPr>
            <w:tcW w:w="1327" w:type="dxa"/>
            <w:vAlign w:val="center"/>
          </w:tcPr>
          <w:p w:rsidR="00BD67AE" w:rsidRDefault="00960FF2">
            <w:pPr>
              <w:jc w:val="right"/>
            </w:pPr>
            <w:r>
              <w:rPr>
                <w:color w:val="000000"/>
                <w:sz w:val="24"/>
              </w:rPr>
              <w:t>2,627,142</w:t>
            </w:r>
          </w:p>
        </w:tc>
        <w:tc>
          <w:tcPr>
            <w:tcW w:w="1915" w:type="dxa"/>
            <w:vAlign w:val="center"/>
          </w:tcPr>
          <w:p w:rsidR="00BD67AE" w:rsidRDefault="00960FF2">
            <w:pPr>
              <w:jc w:val="right"/>
            </w:pPr>
            <w:r>
              <w:rPr>
                <w:color w:val="000000"/>
                <w:sz w:val="24"/>
              </w:rPr>
              <w:t>139,369,883.10</w:t>
            </w:r>
          </w:p>
        </w:tc>
        <w:tc>
          <w:tcPr>
            <w:tcW w:w="1680" w:type="dxa"/>
            <w:vAlign w:val="center"/>
          </w:tcPr>
          <w:p w:rsidR="00BD67AE" w:rsidRDefault="00960FF2">
            <w:pPr>
              <w:jc w:val="right"/>
            </w:pPr>
            <w:r>
              <w:rPr>
                <w:color w:val="000000"/>
                <w:sz w:val="24"/>
              </w:rPr>
              <w:t>5.39</w:t>
            </w:r>
          </w:p>
        </w:tc>
      </w:tr>
      <w:tr w:rsidR="00BD67AE">
        <w:trPr>
          <w:jc w:val="center"/>
        </w:trPr>
        <w:tc>
          <w:tcPr>
            <w:tcW w:w="850" w:type="dxa"/>
            <w:vAlign w:val="center"/>
          </w:tcPr>
          <w:p w:rsidR="00BD67AE" w:rsidRDefault="00960FF2">
            <w:pPr>
              <w:jc w:val="center"/>
            </w:pPr>
            <w:r>
              <w:rPr>
                <w:color w:val="000000"/>
                <w:sz w:val="24"/>
              </w:rPr>
              <w:t>6</w:t>
            </w:r>
          </w:p>
        </w:tc>
        <w:tc>
          <w:tcPr>
            <w:tcW w:w="1327" w:type="dxa"/>
            <w:vAlign w:val="center"/>
          </w:tcPr>
          <w:p w:rsidR="00BD67AE" w:rsidRDefault="00960FF2">
            <w:pPr>
              <w:jc w:val="center"/>
            </w:pPr>
            <w:r>
              <w:rPr>
                <w:color w:val="000000"/>
                <w:sz w:val="24"/>
              </w:rPr>
              <w:t>600690</w:t>
            </w:r>
          </w:p>
        </w:tc>
        <w:tc>
          <w:tcPr>
            <w:tcW w:w="1769" w:type="dxa"/>
            <w:vAlign w:val="center"/>
          </w:tcPr>
          <w:p w:rsidR="00BD67AE" w:rsidRDefault="00960FF2">
            <w:pPr>
              <w:jc w:val="center"/>
            </w:pPr>
            <w:r>
              <w:rPr>
                <w:color w:val="000000"/>
                <w:sz w:val="24"/>
              </w:rPr>
              <w:t>青岛海尔</w:t>
            </w:r>
          </w:p>
        </w:tc>
        <w:tc>
          <w:tcPr>
            <w:tcW w:w="1327" w:type="dxa"/>
            <w:vAlign w:val="center"/>
          </w:tcPr>
          <w:p w:rsidR="00BD67AE" w:rsidRDefault="00960FF2">
            <w:pPr>
              <w:jc w:val="right"/>
            </w:pPr>
            <w:r>
              <w:rPr>
                <w:color w:val="000000"/>
                <w:sz w:val="24"/>
              </w:rPr>
              <w:t>7,137,346</w:t>
            </w:r>
          </w:p>
        </w:tc>
        <w:tc>
          <w:tcPr>
            <w:tcW w:w="1915" w:type="dxa"/>
            <w:vAlign w:val="center"/>
          </w:tcPr>
          <w:p w:rsidR="00BD67AE" w:rsidRDefault="00960FF2">
            <w:pPr>
              <w:jc w:val="right"/>
            </w:pPr>
            <w:r>
              <w:rPr>
                <w:color w:val="000000"/>
                <w:sz w:val="24"/>
              </w:rPr>
              <w:t>137,465,283.96</w:t>
            </w:r>
          </w:p>
        </w:tc>
        <w:tc>
          <w:tcPr>
            <w:tcW w:w="1680" w:type="dxa"/>
            <w:vAlign w:val="center"/>
          </w:tcPr>
          <w:p w:rsidR="00BD67AE" w:rsidRDefault="00960FF2">
            <w:pPr>
              <w:jc w:val="right"/>
            </w:pPr>
            <w:r>
              <w:rPr>
                <w:color w:val="000000"/>
                <w:sz w:val="24"/>
              </w:rPr>
              <w:t>5.31</w:t>
            </w:r>
          </w:p>
        </w:tc>
      </w:tr>
      <w:tr w:rsidR="00BD67AE">
        <w:trPr>
          <w:jc w:val="center"/>
        </w:trPr>
        <w:tc>
          <w:tcPr>
            <w:tcW w:w="850" w:type="dxa"/>
            <w:vAlign w:val="center"/>
          </w:tcPr>
          <w:p w:rsidR="00BD67AE" w:rsidRDefault="00960FF2">
            <w:pPr>
              <w:jc w:val="center"/>
            </w:pPr>
            <w:r>
              <w:rPr>
                <w:color w:val="000000"/>
                <w:sz w:val="24"/>
              </w:rPr>
              <w:t>7</w:t>
            </w:r>
          </w:p>
        </w:tc>
        <w:tc>
          <w:tcPr>
            <w:tcW w:w="1327" w:type="dxa"/>
            <w:vAlign w:val="center"/>
          </w:tcPr>
          <w:p w:rsidR="00BD67AE" w:rsidRDefault="00960FF2">
            <w:pPr>
              <w:jc w:val="center"/>
            </w:pPr>
            <w:r>
              <w:rPr>
                <w:color w:val="000000"/>
                <w:sz w:val="24"/>
              </w:rPr>
              <w:t>600115</w:t>
            </w:r>
          </w:p>
        </w:tc>
        <w:tc>
          <w:tcPr>
            <w:tcW w:w="1769" w:type="dxa"/>
            <w:vAlign w:val="center"/>
          </w:tcPr>
          <w:p w:rsidR="00BD67AE" w:rsidRDefault="00960FF2">
            <w:pPr>
              <w:jc w:val="center"/>
            </w:pPr>
            <w:r>
              <w:rPr>
                <w:color w:val="000000"/>
                <w:sz w:val="24"/>
              </w:rPr>
              <w:t>东方航空</w:t>
            </w:r>
          </w:p>
        </w:tc>
        <w:tc>
          <w:tcPr>
            <w:tcW w:w="1327" w:type="dxa"/>
            <w:vAlign w:val="center"/>
          </w:tcPr>
          <w:p w:rsidR="00BD67AE" w:rsidRDefault="00960FF2">
            <w:pPr>
              <w:jc w:val="right"/>
            </w:pPr>
            <w:r>
              <w:rPr>
                <w:color w:val="000000"/>
                <w:sz w:val="24"/>
              </w:rPr>
              <w:t>18,285,274</w:t>
            </w:r>
          </w:p>
        </w:tc>
        <w:tc>
          <w:tcPr>
            <w:tcW w:w="1915" w:type="dxa"/>
            <w:vAlign w:val="center"/>
          </w:tcPr>
          <w:p w:rsidR="00BD67AE" w:rsidRDefault="00960FF2">
            <w:pPr>
              <w:jc w:val="right"/>
            </w:pPr>
            <w:r>
              <w:rPr>
                <w:color w:val="000000"/>
                <w:sz w:val="24"/>
              </w:rPr>
              <w:t>121,048,513.88</w:t>
            </w:r>
          </w:p>
        </w:tc>
        <w:tc>
          <w:tcPr>
            <w:tcW w:w="1680" w:type="dxa"/>
            <w:vAlign w:val="center"/>
          </w:tcPr>
          <w:p w:rsidR="00BD67AE" w:rsidRDefault="00960FF2">
            <w:pPr>
              <w:jc w:val="right"/>
            </w:pPr>
            <w:r>
              <w:rPr>
                <w:color w:val="000000"/>
                <w:sz w:val="24"/>
              </w:rPr>
              <w:t>4.68</w:t>
            </w:r>
          </w:p>
        </w:tc>
      </w:tr>
      <w:tr w:rsidR="00BD67AE">
        <w:trPr>
          <w:jc w:val="center"/>
        </w:trPr>
        <w:tc>
          <w:tcPr>
            <w:tcW w:w="850" w:type="dxa"/>
            <w:vAlign w:val="center"/>
          </w:tcPr>
          <w:p w:rsidR="00BD67AE" w:rsidRDefault="00960FF2">
            <w:pPr>
              <w:jc w:val="center"/>
            </w:pPr>
            <w:r>
              <w:rPr>
                <w:color w:val="000000"/>
                <w:sz w:val="24"/>
              </w:rPr>
              <w:t>8</w:t>
            </w:r>
          </w:p>
        </w:tc>
        <w:tc>
          <w:tcPr>
            <w:tcW w:w="1327" w:type="dxa"/>
            <w:vAlign w:val="center"/>
          </w:tcPr>
          <w:p w:rsidR="00BD67AE" w:rsidRDefault="00960FF2">
            <w:pPr>
              <w:jc w:val="center"/>
            </w:pPr>
            <w:r>
              <w:rPr>
                <w:color w:val="000000"/>
                <w:sz w:val="24"/>
              </w:rPr>
              <w:t>002035</w:t>
            </w:r>
          </w:p>
        </w:tc>
        <w:tc>
          <w:tcPr>
            <w:tcW w:w="1769" w:type="dxa"/>
            <w:vAlign w:val="center"/>
          </w:tcPr>
          <w:p w:rsidR="00BD67AE" w:rsidRDefault="00960FF2">
            <w:pPr>
              <w:jc w:val="center"/>
            </w:pPr>
            <w:r>
              <w:rPr>
                <w:color w:val="000000"/>
                <w:sz w:val="24"/>
              </w:rPr>
              <w:t>华帝股份</w:t>
            </w:r>
          </w:p>
        </w:tc>
        <w:tc>
          <w:tcPr>
            <w:tcW w:w="1327" w:type="dxa"/>
            <w:vAlign w:val="center"/>
          </w:tcPr>
          <w:p w:rsidR="00BD67AE" w:rsidRDefault="00960FF2">
            <w:pPr>
              <w:jc w:val="right"/>
            </w:pPr>
            <w:r>
              <w:rPr>
                <w:color w:val="000000"/>
                <w:sz w:val="24"/>
              </w:rPr>
              <w:t>4,706,313</w:t>
            </w:r>
          </w:p>
        </w:tc>
        <w:tc>
          <w:tcPr>
            <w:tcW w:w="1915" w:type="dxa"/>
            <w:vAlign w:val="center"/>
          </w:tcPr>
          <w:p w:rsidR="00BD67AE" w:rsidRDefault="00960FF2">
            <w:pPr>
              <w:jc w:val="right"/>
            </w:pPr>
            <w:r>
              <w:rPr>
                <w:color w:val="000000"/>
                <w:sz w:val="24"/>
              </w:rPr>
              <w:t>114,975,226.59</w:t>
            </w:r>
          </w:p>
        </w:tc>
        <w:tc>
          <w:tcPr>
            <w:tcW w:w="1680" w:type="dxa"/>
            <w:vAlign w:val="center"/>
          </w:tcPr>
          <w:p w:rsidR="00BD67AE" w:rsidRDefault="00960FF2">
            <w:pPr>
              <w:jc w:val="right"/>
            </w:pPr>
            <w:r>
              <w:rPr>
                <w:color w:val="000000"/>
                <w:sz w:val="24"/>
              </w:rPr>
              <w:t>4.44</w:t>
            </w:r>
          </w:p>
        </w:tc>
      </w:tr>
      <w:tr w:rsidR="00BD67AE">
        <w:trPr>
          <w:jc w:val="center"/>
        </w:trPr>
        <w:tc>
          <w:tcPr>
            <w:tcW w:w="850" w:type="dxa"/>
            <w:vAlign w:val="center"/>
          </w:tcPr>
          <w:p w:rsidR="00BD67AE" w:rsidRDefault="00960FF2">
            <w:pPr>
              <w:jc w:val="center"/>
            </w:pPr>
            <w:r>
              <w:rPr>
                <w:color w:val="000000"/>
                <w:sz w:val="24"/>
              </w:rPr>
              <w:t>9</w:t>
            </w:r>
          </w:p>
        </w:tc>
        <w:tc>
          <w:tcPr>
            <w:tcW w:w="1327" w:type="dxa"/>
            <w:vAlign w:val="center"/>
          </w:tcPr>
          <w:p w:rsidR="00BD67AE" w:rsidRDefault="00960FF2">
            <w:pPr>
              <w:jc w:val="center"/>
            </w:pPr>
            <w:r>
              <w:rPr>
                <w:color w:val="000000"/>
                <w:sz w:val="24"/>
              </w:rPr>
              <w:t>002624</w:t>
            </w:r>
          </w:p>
        </w:tc>
        <w:tc>
          <w:tcPr>
            <w:tcW w:w="1769" w:type="dxa"/>
            <w:vAlign w:val="center"/>
          </w:tcPr>
          <w:p w:rsidR="00BD67AE" w:rsidRDefault="00960FF2">
            <w:pPr>
              <w:jc w:val="center"/>
            </w:pPr>
            <w:r>
              <w:rPr>
                <w:color w:val="000000"/>
                <w:sz w:val="24"/>
              </w:rPr>
              <w:t>完美世界</w:t>
            </w:r>
          </w:p>
        </w:tc>
        <w:tc>
          <w:tcPr>
            <w:tcW w:w="1327" w:type="dxa"/>
            <w:vAlign w:val="center"/>
          </w:tcPr>
          <w:p w:rsidR="00BD67AE" w:rsidRDefault="00960FF2">
            <w:pPr>
              <w:jc w:val="right"/>
            </w:pPr>
            <w:r>
              <w:rPr>
                <w:color w:val="000000"/>
                <w:sz w:val="24"/>
              </w:rPr>
              <w:t>3,455,376</w:t>
            </w:r>
          </w:p>
        </w:tc>
        <w:tc>
          <w:tcPr>
            <w:tcW w:w="1915" w:type="dxa"/>
            <w:vAlign w:val="center"/>
          </w:tcPr>
          <w:p w:rsidR="00BD67AE" w:rsidRDefault="00960FF2">
            <w:pPr>
              <w:jc w:val="right"/>
            </w:pPr>
            <w:r>
              <w:rPr>
                <w:color w:val="000000"/>
                <w:sz w:val="24"/>
              </w:rPr>
              <w:t>107,151,209.76</w:t>
            </w:r>
          </w:p>
        </w:tc>
        <w:tc>
          <w:tcPr>
            <w:tcW w:w="1680" w:type="dxa"/>
            <w:vAlign w:val="center"/>
          </w:tcPr>
          <w:p w:rsidR="00BD67AE" w:rsidRDefault="00960FF2">
            <w:pPr>
              <w:jc w:val="right"/>
            </w:pPr>
            <w:r>
              <w:rPr>
                <w:color w:val="000000"/>
                <w:sz w:val="24"/>
              </w:rPr>
              <w:t>4.14</w:t>
            </w:r>
          </w:p>
        </w:tc>
      </w:tr>
      <w:tr w:rsidR="00BD67AE">
        <w:trPr>
          <w:jc w:val="center"/>
        </w:trPr>
        <w:tc>
          <w:tcPr>
            <w:tcW w:w="850" w:type="dxa"/>
            <w:vAlign w:val="center"/>
          </w:tcPr>
          <w:p w:rsidR="00BD67AE" w:rsidRDefault="00960FF2">
            <w:pPr>
              <w:jc w:val="center"/>
            </w:pPr>
            <w:r>
              <w:rPr>
                <w:color w:val="000000"/>
                <w:sz w:val="24"/>
              </w:rPr>
              <w:t>10</w:t>
            </w:r>
          </w:p>
        </w:tc>
        <w:tc>
          <w:tcPr>
            <w:tcW w:w="1327" w:type="dxa"/>
            <w:vAlign w:val="center"/>
          </w:tcPr>
          <w:p w:rsidR="00BD67AE" w:rsidRDefault="00960FF2">
            <w:pPr>
              <w:jc w:val="center"/>
            </w:pPr>
            <w:r>
              <w:rPr>
                <w:color w:val="000000"/>
                <w:sz w:val="24"/>
              </w:rPr>
              <w:t>600389</w:t>
            </w:r>
          </w:p>
        </w:tc>
        <w:tc>
          <w:tcPr>
            <w:tcW w:w="1769" w:type="dxa"/>
            <w:vAlign w:val="center"/>
          </w:tcPr>
          <w:p w:rsidR="00BD67AE" w:rsidRDefault="00960FF2">
            <w:pPr>
              <w:jc w:val="center"/>
            </w:pPr>
            <w:r>
              <w:rPr>
                <w:color w:val="000000"/>
                <w:sz w:val="24"/>
              </w:rPr>
              <w:t>江山股份</w:t>
            </w:r>
          </w:p>
        </w:tc>
        <w:tc>
          <w:tcPr>
            <w:tcW w:w="1327" w:type="dxa"/>
            <w:vAlign w:val="center"/>
          </w:tcPr>
          <w:p w:rsidR="00BD67AE" w:rsidRDefault="00960FF2">
            <w:pPr>
              <w:jc w:val="right"/>
            </w:pPr>
            <w:r>
              <w:rPr>
                <w:color w:val="000000"/>
                <w:sz w:val="24"/>
              </w:rPr>
              <w:t>5,511,787</w:t>
            </w:r>
          </w:p>
        </w:tc>
        <w:tc>
          <w:tcPr>
            <w:tcW w:w="1915" w:type="dxa"/>
            <w:vAlign w:val="center"/>
          </w:tcPr>
          <w:p w:rsidR="00BD67AE" w:rsidRDefault="00960FF2">
            <w:pPr>
              <w:jc w:val="right"/>
            </w:pPr>
            <w:r>
              <w:rPr>
                <w:color w:val="000000"/>
                <w:sz w:val="24"/>
              </w:rPr>
              <w:t>104,448,363.65</w:t>
            </w:r>
          </w:p>
        </w:tc>
        <w:tc>
          <w:tcPr>
            <w:tcW w:w="1680" w:type="dxa"/>
            <w:vAlign w:val="center"/>
          </w:tcPr>
          <w:p w:rsidR="00BD67AE" w:rsidRDefault="00960FF2">
            <w:pPr>
              <w:jc w:val="right"/>
            </w:pPr>
            <w:r>
              <w:rPr>
                <w:color w:val="000000"/>
                <w:sz w:val="24"/>
              </w:rPr>
              <w:t>4.04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50,015,000.00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50,015,000.00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50,015,000.00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D67AE">
        <w:trPr>
          <w:jc w:val="center"/>
        </w:trPr>
        <w:tc>
          <w:tcPr>
            <w:tcW w:w="1075" w:type="dxa"/>
            <w:vAlign w:val="center"/>
          </w:tcPr>
          <w:p w:rsidR="00BD67AE" w:rsidRDefault="00960FF2">
            <w:pPr>
              <w:jc w:val="center"/>
            </w:pPr>
            <w:r>
              <w:rPr>
                <w:color w:val="000000"/>
                <w:sz w:val="24"/>
              </w:rPr>
              <w:t>1</w:t>
            </w:r>
          </w:p>
        </w:tc>
        <w:tc>
          <w:tcPr>
            <w:tcW w:w="1533" w:type="dxa"/>
            <w:vAlign w:val="center"/>
          </w:tcPr>
          <w:p w:rsidR="00BD67AE" w:rsidRDefault="00960FF2">
            <w:pPr>
              <w:jc w:val="center"/>
            </w:pPr>
            <w:r>
              <w:rPr>
                <w:color w:val="000000"/>
                <w:sz w:val="24"/>
              </w:rPr>
              <w:t>170410</w:t>
            </w:r>
          </w:p>
        </w:tc>
        <w:tc>
          <w:tcPr>
            <w:tcW w:w="1533" w:type="dxa"/>
            <w:vAlign w:val="center"/>
          </w:tcPr>
          <w:p w:rsidR="00BD67AE" w:rsidRDefault="00960FF2">
            <w:pPr>
              <w:jc w:val="center"/>
            </w:pPr>
            <w:r>
              <w:rPr>
                <w:color w:val="000000"/>
                <w:sz w:val="24"/>
              </w:rPr>
              <w:t>17</w:t>
            </w:r>
            <w:r>
              <w:rPr>
                <w:color w:val="000000"/>
                <w:sz w:val="24"/>
              </w:rPr>
              <w:t>农发</w:t>
            </w:r>
            <w:r>
              <w:rPr>
                <w:color w:val="000000"/>
                <w:sz w:val="24"/>
              </w:rPr>
              <w:t>10</w:t>
            </w:r>
          </w:p>
        </w:tc>
        <w:tc>
          <w:tcPr>
            <w:tcW w:w="1394" w:type="dxa"/>
            <w:vAlign w:val="center"/>
          </w:tcPr>
          <w:p w:rsidR="00BD67AE" w:rsidRDefault="00960FF2">
            <w:pPr>
              <w:jc w:val="right"/>
            </w:pPr>
            <w:r>
              <w:rPr>
                <w:color w:val="000000"/>
                <w:sz w:val="24"/>
              </w:rPr>
              <w:t>500,000</w:t>
            </w:r>
          </w:p>
        </w:tc>
        <w:tc>
          <w:tcPr>
            <w:tcW w:w="1944" w:type="dxa"/>
            <w:vAlign w:val="center"/>
          </w:tcPr>
          <w:p w:rsidR="00BD67AE" w:rsidRDefault="00960FF2">
            <w:pPr>
              <w:jc w:val="right"/>
            </w:pPr>
            <w:r>
              <w:rPr>
                <w:color w:val="000000"/>
                <w:sz w:val="24"/>
              </w:rPr>
              <w:t>50,015,000.00</w:t>
            </w:r>
          </w:p>
        </w:tc>
        <w:tc>
          <w:tcPr>
            <w:tcW w:w="1389" w:type="dxa"/>
            <w:vAlign w:val="center"/>
          </w:tcPr>
          <w:p w:rsidR="00BD67AE" w:rsidRDefault="00960FF2">
            <w:pPr>
              <w:jc w:val="right"/>
            </w:pPr>
            <w:r>
              <w:rPr>
                <w:color w:val="000000"/>
                <w:sz w:val="24"/>
              </w:rPr>
              <w:t>1.93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588,376.29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1,749,840.94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1,159,196.99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3,497,414.22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p w:rsidR="00010B5D" w:rsidRPr="00105DF5" w:rsidRDefault="00010B5D" w:rsidP="00105DF5">
      <w:pPr>
        <w:adjustRightInd w:val="0"/>
        <w:snapToGrid w:val="0"/>
        <w:spacing w:beforeLines="50" w:before="156" w:line="360" w:lineRule="auto"/>
        <w:ind w:firstLineChars="200" w:firstLine="420"/>
        <w:rPr>
          <w:rFonts w:eastAsiaTheme="minorEastAsia"/>
          <w:color w:val="000000" w:themeColor="text1"/>
          <w:kern w:val="0"/>
          <w:szCs w:val="21"/>
        </w:rPr>
      </w:pPr>
      <w:r w:rsidRPr="00105DF5">
        <w:rPr>
          <w:rFonts w:eastAsiaTheme="minorEastAsia" w:hint="eastAsia"/>
          <w:color w:val="000000" w:themeColor="text1"/>
          <w:kern w:val="0"/>
          <w:szCs w:val="21"/>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685,507,632.85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299,683.32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13,131,405.57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23,489,788.95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675,149,249.47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299,683.32</w:t>
            </w:r>
          </w:p>
        </w:tc>
      </w:tr>
    </w:tbl>
    <w:p w:rsidR="00BD67AE" w:rsidRDefault="00960FF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lastRenderedPageBreak/>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D67AE" w:rsidRDefault="00960FF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612" w:rsidRDefault="00630612">
      <w:r>
        <w:separator/>
      </w:r>
    </w:p>
  </w:endnote>
  <w:endnote w:type="continuationSeparator" w:id="0">
    <w:p w:rsidR="00630612" w:rsidRDefault="0063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105DF5">
      <w:rPr>
        <w:noProof/>
        <w:kern w:val="0"/>
        <w:szCs w:val="21"/>
      </w:rPr>
      <w:t>11</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105DF5">
      <w:rPr>
        <w:noProof/>
        <w:kern w:val="0"/>
        <w:szCs w:val="21"/>
      </w:rPr>
      <w:t>13</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612" w:rsidRDefault="00630612">
      <w:r>
        <w:separator/>
      </w:r>
    </w:p>
  </w:footnote>
  <w:footnote w:type="continuationSeparator" w:id="0">
    <w:p w:rsidR="00630612" w:rsidRDefault="00630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0B5D"/>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6DD2"/>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5B2C"/>
    <w:rsid w:val="000F60FF"/>
    <w:rsid w:val="000F6F7C"/>
    <w:rsid w:val="000F7468"/>
    <w:rsid w:val="001005BB"/>
    <w:rsid w:val="00103B0E"/>
    <w:rsid w:val="001040EA"/>
    <w:rsid w:val="00105DF5"/>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2A92"/>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286"/>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0612"/>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0FF2"/>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67AE"/>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105D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FBF25-D87F-4896-9548-4961597A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13</Pages>
  <Words>1159</Words>
  <Characters>6608</Characters>
  <Application>Microsoft Office Word</Application>
  <DocSecurity>0</DocSecurity>
  <Lines>55</Lines>
  <Paragraphs>15</Paragraphs>
  <ScaleCrop>false</ScaleCrop>
  <Company>TRT. Ltd. Co.</Company>
  <LinksUpToDate>false</LinksUpToDate>
  <CharactersWithSpaces>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379</cp:revision>
  <cp:lastPrinted>2007-07-19T00:46:00Z</cp:lastPrinted>
  <dcterms:created xsi:type="dcterms:W3CDTF">2014-01-17T06:19:00Z</dcterms:created>
  <dcterms:modified xsi:type="dcterms:W3CDTF">2018-07-16T08:48:00Z</dcterms:modified>
</cp:coreProperties>
</file>