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二〇一八年七月十八日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BC5DEC" w:rsidRDefault="00040F90">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BC5DEC" w:rsidRDefault="00040F90">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BC5DEC" w:rsidRDefault="00040F90">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BC5DEC" w:rsidRDefault="00040F90">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BC5DEC" w:rsidRDefault="00040F90">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2,825,506,808.41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40F90" w:rsidRPr="00414345" w:rsidTr="00040F9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040F90" w:rsidRPr="00414345" w:rsidTr="00040F9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23,799,798.04</w:t>
            </w:r>
          </w:p>
        </w:tc>
      </w:tr>
      <w:tr w:rsidR="00040F90" w:rsidRPr="00414345" w:rsidTr="00040F9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-263,135,805.41</w:t>
            </w:r>
          </w:p>
        </w:tc>
      </w:tr>
      <w:tr w:rsidR="00040F90" w:rsidRPr="00414345" w:rsidTr="00040F9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-0.0899</w:t>
            </w:r>
          </w:p>
        </w:tc>
      </w:tr>
      <w:tr w:rsidR="00040F90" w:rsidRPr="00414345" w:rsidTr="00040F9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3,830,361,980.50</w:t>
            </w:r>
          </w:p>
        </w:tc>
      </w:tr>
      <w:tr w:rsidR="00040F90" w:rsidRPr="00414345" w:rsidTr="00040F9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1.3556</w:t>
            </w:r>
          </w:p>
        </w:tc>
      </w:tr>
    </w:tbl>
    <w:p w:rsidR="00BC5DEC" w:rsidRDefault="00040F9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040F90">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BC5DEC">
        <w:trPr>
          <w:jc w:val="center"/>
        </w:trPr>
        <w:tc>
          <w:tcPr>
            <w:tcW w:w="1701" w:type="dxa"/>
            <w:vAlign w:val="center"/>
          </w:tcPr>
          <w:p w:rsidR="00BC5DEC" w:rsidRDefault="00040F90">
            <w:pPr>
              <w:jc w:val="left"/>
            </w:pPr>
            <w:r>
              <w:rPr>
                <w:color w:val="000000"/>
                <w:sz w:val="24"/>
                <w:szCs w:val="24"/>
              </w:rPr>
              <w:t>过去三个月</w:t>
            </w:r>
          </w:p>
        </w:tc>
        <w:tc>
          <w:tcPr>
            <w:tcW w:w="1045" w:type="dxa"/>
            <w:vAlign w:val="center"/>
          </w:tcPr>
          <w:p w:rsidR="00BC5DEC" w:rsidRDefault="00040F90">
            <w:pPr>
              <w:jc w:val="center"/>
            </w:pPr>
            <w:r>
              <w:rPr>
                <w:color w:val="000000"/>
                <w:sz w:val="24"/>
                <w:szCs w:val="24"/>
              </w:rPr>
              <w:t>-6.32%</w:t>
            </w:r>
          </w:p>
        </w:tc>
        <w:tc>
          <w:tcPr>
            <w:tcW w:w="1344" w:type="dxa"/>
            <w:vAlign w:val="center"/>
          </w:tcPr>
          <w:p w:rsidR="00BC5DEC" w:rsidRDefault="00040F90">
            <w:pPr>
              <w:jc w:val="center"/>
            </w:pPr>
            <w:r>
              <w:rPr>
                <w:color w:val="000000"/>
                <w:sz w:val="24"/>
                <w:szCs w:val="24"/>
              </w:rPr>
              <w:t>1.43%</w:t>
            </w:r>
          </w:p>
        </w:tc>
        <w:tc>
          <w:tcPr>
            <w:tcW w:w="1194" w:type="dxa"/>
            <w:vAlign w:val="center"/>
          </w:tcPr>
          <w:p w:rsidR="00BC5DEC" w:rsidRDefault="00040F90">
            <w:pPr>
              <w:jc w:val="center"/>
            </w:pPr>
            <w:r>
              <w:rPr>
                <w:color w:val="000000"/>
                <w:sz w:val="24"/>
                <w:szCs w:val="24"/>
              </w:rPr>
              <w:t>-8.11%</w:t>
            </w:r>
          </w:p>
        </w:tc>
        <w:tc>
          <w:tcPr>
            <w:tcW w:w="1492" w:type="dxa"/>
            <w:vAlign w:val="center"/>
          </w:tcPr>
          <w:p w:rsidR="00BC5DEC" w:rsidRDefault="00040F90">
            <w:pPr>
              <w:jc w:val="center"/>
            </w:pPr>
            <w:r>
              <w:rPr>
                <w:color w:val="000000"/>
                <w:sz w:val="24"/>
                <w:szCs w:val="24"/>
              </w:rPr>
              <w:t>0.75%</w:t>
            </w:r>
          </w:p>
        </w:tc>
        <w:tc>
          <w:tcPr>
            <w:tcW w:w="1194" w:type="dxa"/>
            <w:vAlign w:val="center"/>
          </w:tcPr>
          <w:p w:rsidR="00BC5DEC" w:rsidRDefault="00040F90">
            <w:pPr>
              <w:jc w:val="center"/>
            </w:pPr>
            <w:r>
              <w:rPr>
                <w:color w:val="000000"/>
                <w:sz w:val="24"/>
                <w:szCs w:val="24"/>
              </w:rPr>
              <w:t>1.79%</w:t>
            </w:r>
          </w:p>
        </w:tc>
        <w:tc>
          <w:tcPr>
            <w:tcW w:w="898" w:type="dxa"/>
            <w:vAlign w:val="center"/>
          </w:tcPr>
          <w:p w:rsidR="00BC5DEC" w:rsidRDefault="00040F90">
            <w:pPr>
              <w:jc w:val="center"/>
            </w:pPr>
            <w:r>
              <w:rPr>
                <w:color w:val="000000"/>
                <w:sz w:val="24"/>
                <w:szCs w:val="24"/>
              </w:rPr>
              <w:t>0.68%</w:t>
            </w:r>
          </w:p>
        </w:tc>
      </w:tr>
    </w:tbl>
    <w:p w:rsidR="00BC5DEC" w:rsidRDefault="00040F9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日起，由</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新华巴克莱资本中国全债指数</w:t>
      </w:r>
      <w:r>
        <w:rPr>
          <w:color w:val="000000"/>
          <w:sz w:val="24"/>
          <w:szCs w:val="24"/>
        </w:rPr>
        <w:t>”</w:t>
      </w:r>
      <w:r>
        <w:rPr>
          <w:color w:val="000000"/>
          <w:sz w:val="24"/>
          <w:szCs w:val="24"/>
        </w:rPr>
        <w:t>变更为</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中信标普全债指数</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26</w:t>
      </w:r>
      <w:r>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040F90">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w:t>
      </w:r>
      <w:r w:rsidRPr="00414345">
        <w:rPr>
          <w:color w:val="000000"/>
          <w:sz w:val="24"/>
          <w:szCs w:val="24"/>
        </w:rPr>
        <w:lastRenderedPageBreak/>
        <w:t>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BC5DEC">
        <w:trPr>
          <w:jc w:val="center"/>
        </w:trPr>
        <w:tc>
          <w:tcPr>
            <w:tcW w:w="846" w:type="dxa"/>
            <w:vAlign w:val="center"/>
          </w:tcPr>
          <w:p w:rsidR="00BC5DEC" w:rsidRDefault="00040F90">
            <w:pPr>
              <w:jc w:val="center"/>
            </w:pPr>
            <w:r>
              <w:rPr>
                <w:color w:val="000000"/>
                <w:sz w:val="24"/>
                <w:szCs w:val="24"/>
              </w:rPr>
              <w:t>唐倩</w:t>
            </w:r>
          </w:p>
        </w:tc>
        <w:tc>
          <w:tcPr>
            <w:tcW w:w="845" w:type="dxa"/>
            <w:vAlign w:val="center"/>
          </w:tcPr>
          <w:p w:rsidR="00BC5DEC" w:rsidRDefault="00040F90">
            <w:pPr>
              <w:jc w:val="center"/>
            </w:pPr>
            <w:r>
              <w:rPr>
                <w:color w:val="000000"/>
                <w:sz w:val="24"/>
                <w:szCs w:val="24"/>
              </w:rPr>
              <w:t>交银稳健配置混合的基金经</w:t>
            </w:r>
            <w:r>
              <w:rPr>
                <w:color w:val="000000"/>
                <w:sz w:val="24"/>
                <w:szCs w:val="24"/>
              </w:rPr>
              <w:lastRenderedPageBreak/>
              <w:t>理、公司首席基金经理</w:t>
            </w:r>
          </w:p>
        </w:tc>
        <w:tc>
          <w:tcPr>
            <w:tcW w:w="1549" w:type="dxa"/>
            <w:vAlign w:val="center"/>
          </w:tcPr>
          <w:p w:rsidR="00BC5DEC" w:rsidRDefault="00040F90">
            <w:pPr>
              <w:jc w:val="center"/>
            </w:pPr>
            <w:r>
              <w:rPr>
                <w:color w:val="000000"/>
                <w:sz w:val="24"/>
                <w:szCs w:val="24"/>
              </w:rPr>
              <w:lastRenderedPageBreak/>
              <w:t>2013-12-12</w:t>
            </w:r>
          </w:p>
        </w:tc>
        <w:tc>
          <w:tcPr>
            <w:tcW w:w="1548" w:type="dxa"/>
            <w:vAlign w:val="center"/>
          </w:tcPr>
          <w:p w:rsidR="00BC5DEC" w:rsidRDefault="00040F90">
            <w:pPr>
              <w:jc w:val="center"/>
            </w:pPr>
            <w:r>
              <w:rPr>
                <w:color w:val="000000"/>
                <w:sz w:val="24"/>
                <w:szCs w:val="24"/>
              </w:rPr>
              <w:t>-</w:t>
            </w:r>
          </w:p>
        </w:tc>
        <w:tc>
          <w:tcPr>
            <w:tcW w:w="1407" w:type="dxa"/>
            <w:vAlign w:val="center"/>
          </w:tcPr>
          <w:p w:rsidR="00BC5DEC" w:rsidRDefault="00040F90">
            <w:pPr>
              <w:jc w:val="center"/>
            </w:pPr>
            <w:r>
              <w:rPr>
                <w:color w:val="000000"/>
                <w:sz w:val="24"/>
                <w:szCs w:val="24"/>
              </w:rPr>
              <w:t>18</w:t>
            </w:r>
            <w:r>
              <w:rPr>
                <w:color w:val="000000"/>
                <w:sz w:val="24"/>
                <w:szCs w:val="24"/>
              </w:rPr>
              <w:t>年</w:t>
            </w:r>
          </w:p>
        </w:tc>
        <w:tc>
          <w:tcPr>
            <w:tcW w:w="2673" w:type="dxa"/>
            <w:vAlign w:val="center"/>
          </w:tcPr>
          <w:p w:rsidR="00BC5DEC" w:rsidRDefault="00040F90">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w:t>
            </w:r>
            <w:r>
              <w:rPr>
                <w:color w:val="000000"/>
                <w:sz w:val="24"/>
                <w:szCs w:val="24"/>
              </w:rPr>
              <w:lastRenderedPageBreak/>
              <w:t>员，上投摩根基金管理有限公司研究部总监、基金经理。其中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日担任上投摩根成长先锋基金经理。</w:t>
            </w:r>
            <w:r>
              <w:rPr>
                <w:color w:val="000000"/>
                <w:sz w:val="24"/>
                <w:szCs w:val="24"/>
              </w:rPr>
              <w:t>2013</w:t>
            </w:r>
            <w:r>
              <w:rPr>
                <w:color w:val="000000"/>
                <w:sz w:val="24"/>
                <w:szCs w:val="24"/>
              </w:rPr>
              <w:t>年加入交银施罗德基金管理有限公司，历任权益部副总经理。</w:t>
            </w:r>
          </w:p>
        </w:tc>
      </w:tr>
      <w:tr w:rsidR="00BC5DEC">
        <w:trPr>
          <w:jc w:val="center"/>
        </w:trPr>
        <w:tc>
          <w:tcPr>
            <w:tcW w:w="846" w:type="dxa"/>
            <w:vAlign w:val="center"/>
          </w:tcPr>
          <w:p w:rsidR="00BC5DEC" w:rsidRDefault="00040F90">
            <w:pPr>
              <w:jc w:val="center"/>
            </w:pPr>
            <w:r>
              <w:rPr>
                <w:color w:val="000000"/>
                <w:sz w:val="24"/>
                <w:szCs w:val="24"/>
              </w:rPr>
              <w:lastRenderedPageBreak/>
              <w:t>陈孜铎</w:t>
            </w:r>
          </w:p>
        </w:tc>
        <w:tc>
          <w:tcPr>
            <w:tcW w:w="845" w:type="dxa"/>
            <w:vAlign w:val="center"/>
          </w:tcPr>
          <w:p w:rsidR="00BC5DEC" w:rsidRDefault="00040F90">
            <w:pPr>
              <w:jc w:val="center"/>
            </w:pPr>
            <w:r>
              <w:rPr>
                <w:color w:val="000000"/>
                <w:sz w:val="24"/>
                <w:szCs w:val="24"/>
              </w:rPr>
              <w:t>交银稳健配置混合的基金经理、交银蓝筹混合的基金经理，公司研究部助理总经理</w:t>
            </w:r>
          </w:p>
        </w:tc>
        <w:tc>
          <w:tcPr>
            <w:tcW w:w="1549" w:type="dxa"/>
            <w:vAlign w:val="center"/>
          </w:tcPr>
          <w:p w:rsidR="00BC5DEC" w:rsidRDefault="00040F90">
            <w:pPr>
              <w:jc w:val="center"/>
            </w:pPr>
            <w:r>
              <w:rPr>
                <w:color w:val="000000"/>
                <w:sz w:val="24"/>
                <w:szCs w:val="24"/>
              </w:rPr>
              <w:t>2018-07-04</w:t>
            </w:r>
          </w:p>
        </w:tc>
        <w:tc>
          <w:tcPr>
            <w:tcW w:w="1548" w:type="dxa"/>
            <w:vAlign w:val="center"/>
          </w:tcPr>
          <w:p w:rsidR="00BC5DEC" w:rsidRDefault="00040F90">
            <w:pPr>
              <w:jc w:val="center"/>
            </w:pPr>
            <w:r>
              <w:rPr>
                <w:color w:val="000000"/>
                <w:sz w:val="24"/>
                <w:szCs w:val="24"/>
              </w:rPr>
              <w:t>-</w:t>
            </w:r>
          </w:p>
        </w:tc>
        <w:tc>
          <w:tcPr>
            <w:tcW w:w="1407" w:type="dxa"/>
            <w:vAlign w:val="center"/>
          </w:tcPr>
          <w:p w:rsidR="00BC5DEC" w:rsidRDefault="00040F90">
            <w:pPr>
              <w:jc w:val="center"/>
            </w:pPr>
            <w:r>
              <w:rPr>
                <w:color w:val="000000"/>
                <w:sz w:val="24"/>
                <w:szCs w:val="24"/>
              </w:rPr>
              <w:t>10</w:t>
            </w:r>
            <w:r>
              <w:rPr>
                <w:color w:val="000000"/>
                <w:sz w:val="24"/>
                <w:szCs w:val="24"/>
              </w:rPr>
              <w:t>年</w:t>
            </w:r>
          </w:p>
        </w:tc>
        <w:tc>
          <w:tcPr>
            <w:tcW w:w="2673" w:type="dxa"/>
            <w:vAlign w:val="center"/>
          </w:tcPr>
          <w:p w:rsidR="00BC5DEC" w:rsidRDefault="00040F90">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BC5DEC" w:rsidRDefault="00040F90">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BC5DEC" w:rsidRDefault="00040F90">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w:t>
      </w:r>
      <w:r>
        <w:rPr>
          <w:color w:val="000000"/>
          <w:sz w:val="24"/>
          <w:szCs w:val="24"/>
        </w:rPr>
        <w:lastRenderedPageBreak/>
        <w:t>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BC5DEC" w:rsidRDefault="00040F90">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BC5DEC" w:rsidRDefault="00040F90">
      <w:pPr>
        <w:spacing w:before="29" w:line="288" w:lineRule="auto"/>
        <w:ind w:firstLineChars="200" w:firstLine="480"/>
        <w:rPr>
          <w:color w:val="000000"/>
          <w:sz w:val="24"/>
          <w:szCs w:val="24"/>
        </w:rPr>
      </w:pPr>
      <w:r>
        <w:rPr>
          <w:color w:val="000000"/>
          <w:sz w:val="24"/>
          <w:szCs w:val="24"/>
        </w:rPr>
        <w:t>二季度，特别是六月份以来，市场进入了深度下跌、泥沙俱下的阶段。其主要原因是受到包括中美贸易战的进一步恶化、国内对于房地产政策以及产业影响的悲观预期，以及人民币在短期出现快速贬值等因素的影响。六月份以来的市场跌幅超出我们预期，我们对于地产产业链引发的调整准备不足，因此在仓位和结构上尚未及时做出适当调整。</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后市，市场整体估值水平已经较低，一些优质公司在这轮跌幅中会出现比较好的投资机会。就短期而言，我们比较关注行业景气度以及中观层面的数据，希望能够对于本次经济调整做出更加细致全面的行业分析。</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1.3556</w:t>
      </w:r>
      <w:r w:rsidRPr="00414345">
        <w:rPr>
          <w:color w:val="000000"/>
          <w:sz w:val="24"/>
          <w:szCs w:val="24"/>
        </w:rPr>
        <w:t>元，本报告期份额净值增长率为</w:t>
      </w:r>
      <w:r w:rsidRPr="00414345">
        <w:rPr>
          <w:color w:val="000000"/>
          <w:sz w:val="24"/>
          <w:szCs w:val="24"/>
        </w:rPr>
        <w:t>-6.32%</w:t>
      </w:r>
      <w:r w:rsidRPr="00414345">
        <w:rPr>
          <w:color w:val="000000"/>
          <w:sz w:val="24"/>
          <w:szCs w:val="24"/>
        </w:rPr>
        <w:t>，同期业绩比较基准增长率为</w:t>
      </w:r>
      <w:r w:rsidRPr="00414345">
        <w:rPr>
          <w:color w:val="000000"/>
          <w:sz w:val="24"/>
          <w:szCs w:val="24"/>
        </w:rPr>
        <w:t>-8.11%</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040F90">
        <w:tc>
          <w:tcPr>
            <w:tcW w:w="720" w:type="dxa"/>
            <w:vAlign w:val="center"/>
          </w:tcPr>
          <w:p w:rsidR="00BF0019" w:rsidRPr="007B5F21" w:rsidRDefault="00BF0019" w:rsidP="00040F90">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序号</w:t>
            </w:r>
          </w:p>
        </w:tc>
        <w:tc>
          <w:tcPr>
            <w:tcW w:w="2824" w:type="dxa"/>
            <w:vAlign w:val="center"/>
          </w:tcPr>
          <w:p w:rsidR="00BF0019" w:rsidRPr="007B5F21" w:rsidRDefault="00BF0019" w:rsidP="00040F90">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040F90">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040F90">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040F90">
        <w:tc>
          <w:tcPr>
            <w:tcW w:w="720" w:type="dxa"/>
            <w:vAlign w:val="center"/>
          </w:tcPr>
          <w:p w:rsidR="00BF0019" w:rsidRPr="007B5F21" w:rsidRDefault="00BF0019" w:rsidP="00040F90">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040F90">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3,577,999,331.68</w:t>
            </w:r>
          </w:p>
        </w:tc>
        <w:tc>
          <w:tcPr>
            <w:tcW w:w="2801"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93.03</w:t>
            </w:r>
          </w:p>
        </w:tc>
      </w:tr>
      <w:tr w:rsidR="00BF0019" w:rsidRPr="007B5F21" w:rsidTr="00040F90">
        <w:tc>
          <w:tcPr>
            <w:tcW w:w="720" w:type="dxa"/>
            <w:vAlign w:val="center"/>
          </w:tcPr>
          <w:p w:rsidR="00BF0019" w:rsidRPr="007B5F21" w:rsidRDefault="00BF0019" w:rsidP="00040F90">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040F90">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3,577,999,331.68</w:t>
            </w:r>
          </w:p>
        </w:tc>
        <w:tc>
          <w:tcPr>
            <w:tcW w:w="2801"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93.03</w:t>
            </w:r>
          </w:p>
        </w:tc>
      </w:tr>
      <w:tr w:rsidR="00BF0019" w:rsidRPr="007B5F21" w:rsidTr="00040F90">
        <w:tc>
          <w:tcPr>
            <w:tcW w:w="720" w:type="dxa"/>
            <w:vAlign w:val="center"/>
          </w:tcPr>
          <w:p w:rsidR="00BF0019" w:rsidRPr="007B5F21" w:rsidRDefault="00BF0019" w:rsidP="00040F90">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040F90">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040F90">
        <w:tc>
          <w:tcPr>
            <w:tcW w:w="720" w:type="dxa"/>
            <w:vAlign w:val="center"/>
          </w:tcPr>
          <w:p w:rsidR="00BF0019" w:rsidRPr="007B5F21" w:rsidRDefault="00BF0019" w:rsidP="00040F90">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040F90">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132,845,470.50</w:t>
            </w:r>
          </w:p>
        </w:tc>
        <w:tc>
          <w:tcPr>
            <w:tcW w:w="2801"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3.45</w:t>
            </w:r>
          </w:p>
        </w:tc>
      </w:tr>
      <w:tr w:rsidR="00BF0019" w:rsidRPr="007B5F21" w:rsidTr="00040F90">
        <w:tc>
          <w:tcPr>
            <w:tcW w:w="720" w:type="dxa"/>
            <w:vAlign w:val="center"/>
          </w:tcPr>
          <w:p w:rsidR="00BF0019" w:rsidRPr="007B5F21" w:rsidRDefault="00BF0019" w:rsidP="00040F90">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040F90">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132,845,470.50</w:t>
            </w:r>
          </w:p>
        </w:tc>
        <w:tc>
          <w:tcPr>
            <w:tcW w:w="2801"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3.45</w:t>
            </w:r>
          </w:p>
        </w:tc>
      </w:tr>
      <w:tr w:rsidR="00BF0019" w:rsidRPr="007B5F21" w:rsidTr="00040F90">
        <w:tc>
          <w:tcPr>
            <w:tcW w:w="720" w:type="dxa"/>
            <w:vAlign w:val="center"/>
          </w:tcPr>
          <w:p w:rsidR="00BF0019" w:rsidRPr="007B5F21" w:rsidRDefault="00BF0019" w:rsidP="00040F90">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040F90">
        <w:tc>
          <w:tcPr>
            <w:tcW w:w="720" w:type="dxa"/>
            <w:vAlign w:val="center"/>
          </w:tcPr>
          <w:p w:rsidR="00BF0019" w:rsidRPr="007B5F21" w:rsidRDefault="00BF0019" w:rsidP="00040F90">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040F90">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040F90">
        <w:tc>
          <w:tcPr>
            <w:tcW w:w="720" w:type="dxa"/>
            <w:vAlign w:val="center"/>
          </w:tcPr>
          <w:p w:rsidR="00BF0019" w:rsidRPr="007B5F21" w:rsidRDefault="00BF0019" w:rsidP="00040F90">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040F90">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040F90">
        <w:tc>
          <w:tcPr>
            <w:tcW w:w="720" w:type="dxa"/>
            <w:vAlign w:val="center"/>
          </w:tcPr>
          <w:p w:rsidR="00BF0019" w:rsidRPr="007B5F21" w:rsidRDefault="00BF0019" w:rsidP="00040F90">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040F90">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040F90">
        <w:tc>
          <w:tcPr>
            <w:tcW w:w="720" w:type="dxa"/>
            <w:vAlign w:val="center"/>
          </w:tcPr>
          <w:p w:rsidR="00BF0019" w:rsidRPr="007B5F21" w:rsidRDefault="00BF0019" w:rsidP="00040F90">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040F90">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040F90">
        <w:tc>
          <w:tcPr>
            <w:tcW w:w="720" w:type="dxa"/>
            <w:vAlign w:val="center"/>
          </w:tcPr>
          <w:p w:rsidR="00BF0019" w:rsidRPr="007B5F21" w:rsidRDefault="00BF0019" w:rsidP="00040F90">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040F90">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125,730,697.84</w:t>
            </w:r>
          </w:p>
        </w:tc>
        <w:tc>
          <w:tcPr>
            <w:tcW w:w="2801" w:type="dxa"/>
            <w:vAlign w:val="center"/>
          </w:tcPr>
          <w:p w:rsidR="00BF0019" w:rsidRPr="007B5F21" w:rsidRDefault="00BF0019" w:rsidP="00040F90">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3.27</w:t>
            </w:r>
          </w:p>
        </w:tc>
      </w:tr>
      <w:tr w:rsidR="00BF0019" w:rsidRPr="007B5F21" w:rsidTr="00040F90">
        <w:tc>
          <w:tcPr>
            <w:tcW w:w="720" w:type="dxa"/>
            <w:vAlign w:val="center"/>
          </w:tcPr>
          <w:p w:rsidR="00BF0019" w:rsidRPr="007B5F21" w:rsidRDefault="00BF0019" w:rsidP="00040F90">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040F90">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040F90">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9,460,759.40</w:t>
            </w:r>
          </w:p>
        </w:tc>
        <w:tc>
          <w:tcPr>
            <w:tcW w:w="2801" w:type="dxa"/>
            <w:vAlign w:val="center"/>
          </w:tcPr>
          <w:p w:rsidR="00BF0019" w:rsidRPr="007B5F21" w:rsidRDefault="00BF0019" w:rsidP="00040F90">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0.25</w:t>
            </w:r>
          </w:p>
        </w:tc>
      </w:tr>
      <w:tr w:rsidR="00BF0019" w:rsidRPr="007B5F21" w:rsidTr="00040F90">
        <w:tc>
          <w:tcPr>
            <w:tcW w:w="720" w:type="dxa"/>
            <w:vAlign w:val="center"/>
          </w:tcPr>
          <w:p w:rsidR="00BF0019" w:rsidRPr="007B5F21" w:rsidRDefault="00BF0019" w:rsidP="00040F90">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040F90">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040F90">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3,846,036,259.42</w:t>
            </w:r>
          </w:p>
        </w:tc>
        <w:tc>
          <w:tcPr>
            <w:tcW w:w="2801" w:type="dxa"/>
            <w:vAlign w:val="center"/>
          </w:tcPr>
          <w:p w:rsidR="00BF0019" w:rsidRPr="007B5F21" w:rsidRDefault="00BF0019" w:rsidP="00040F90">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2,957,194,113.31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77.20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112,095.90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48,229.12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302,563.88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445,794.38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77,987,193.60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253,649,278.83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287,580,309.07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529,549.45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150,204.14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3,577,999,331.68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93.41</w:t>
            </w:r>
          </w:p>
        </w:tc>
      </w:tr>
    </w:tbl>
    <w:p w:rsidR="00790B3C" w:rsidRDefault="00790B3C"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BC5DEC">
        <w:trPr>
          <w:jc w:val="center"/>
        </w:trPr>
        <w:tc>
          <w:tcPr>
            <w:tcW w:w="855" w:type="dxa"/>
            <w:vAlign w:val="center"/>
          </w:tcPr>
          <w:p w:rsidR="00BC5DEC" w:rsidRDefault="00040F90">
            <w:pPr>
              <w:jc w:val="center"/>
            </w:pPr>
            <w:r>
              <w:rPr>
                <w:color w:val="000000"/>
                <w:sz w:val="24"/>
                <w:szCs w:val="24"/>
              </w:rPr>
              <w:t>1</w:t>
            </w:r>
          </w:p>
        </w:tc>
        <w:tc>
          <w:tcPr>
            <w:tcW w:w="1334" w:type="dxa"/>
            <w:vAlign w:val="center"/>
          </w:tcPr>
          <w:p w:rsidR="00BC5DEC" w:rsidRDefault="00040F90">
            <w:pPr>
              <w:jc w:val="center"/>
            </w:pPr>
            <w:r>
              <w:rPr>
                <w:color w:val="000000"/>
                <w:sz w:val="24"/>
                <w:szCs w:val="24"/>
              </w:rPr>
              <w:t>600298</w:t>
            </w:r>
          </w:p>
        </w:tc>
        <w:tc>
          <w:tcPr>
            <w:tcW w:w="1777" w:type="dxa"/>
            <w:vAlign w:val="center"/>
          </w:tcPr>
          <w:p w:rsidR="00BC5DEC" w:rsidRDefault="00040F90">
            <w:pPr>
              <w:jc w:val="center"/>
            </w:pPr>
            <w:r>
              <w:rPr>
                <w:color w:val="000000"/>
                <w:sz w:val="24"/>
                <w:szCs w:val="24"/>
              </w:rPr>
              <w:t>安琪酵母</w:t>
            </w:r>
          </w:p>
        </w:tc>
        <w:tc>
          <w:tcPr>
            <w:tcW w:w="1334" w:type="dxa"/>
            <w:vAlign w:val="center"/>
          </w:tcPr>
          <w:p w:rsidR="00BC5DEC" w:rsidRDefault="00040F90">
            <w:pPr>
              <w:jc w:val="right"/>
            </w:pPr>
            <w:r>
              <w:rPr>
                <w:color w:val="000000"/>
                <w:sz w:val="24"/>
                <w:szCs w:val="24"/>
              </w:rPr>
              <w:t>9,263,407</w:t>
            </w:r>
          </w:p>
        </w:tc>
        <w:tc>
          <w:tcPr>
            <w:tcW w:w="1924" w:type="dxa"/>
            <w:vAlign w:val="center"/>
          </w:tcPr>
          <w:p w:rsidR="00BC5DEC" w:rsidRDefault="00040F90">
            <w:pPr>
              <w:jc w:val="right"/>
            </w:pPr>
            <w:r>
              <w:rPr>
                <w:color w:val="000000"/>
                <w:sz w:val="24"/>
                <w:szCs w:val="24"/>
              </w:rPr>
              <w:t>330,518,361.76</w:t>
            </w:r>
          </w:p>
        </w:tc>
        <w:tc>
          <w:tcPr>
            <w:tcW w:w="1644" w:type="dxa"/>
            <w:vAlign w:val="center"/>
          </w:tcPr>
          <w:p w:rsidR="00BC5DEC" w:rsidRDefault="00040F90">
            <w:pPr>
              <w:jc w:val="right"/>
            </w:pPr>
            <w:r>
              <w:rPr>
                <w:color w:val="000000"/>
                <w:sz w:val="24"/>
                <w:szCs w:val="24"/>
              </w:rPr>
              <w:t>8.63</w:t>
            </w:r>
          </w:p>
        </w:tc>
      </w:tr>
      <w:tr w:rsidR="00BC5DEC">
        <w:trPr>
          <w:jc w:val="center"/>
        </w:trPr>
        <w:tc>
          <w:tcPr>
            <w:tcW w:w="855" w:type="dxa"/>
            <w:vAlign w:val="center"/>
          </w:tcPr>
          <w:p w:rsidR="00BC5DEC" w:rsidRDefault="00040F90">
            <w:pPr>
              <w:jc w:val="center"/>
            </w:pPr>
            <w:r>
              <w:rPr>
                <w:color w:val="000000"/>
                <w:sz w:val="24"/>
                <w:szCs w:val="24"/>
              </w:rPr>
              <w:t>2</w:t>
            </w:r>
          </w:p>
        </w:tc>
        <w:tc>
          <w:tcPr>
            <w:tcW w:w="1334" w:type="dxa"/>
            <w:vAlign w:val="center"/>
          </w:tcPr>
          <w:p w:rsidR="00BC5DEC" w:rsidRDefault="00040F90">
            <w:pPr>
              <w:jc w:val="center"/>
            </w:pPr>
            <w:r>
              <w:rPr>
                <w:color w:val="000000"/>
                <w:sz w:val="24"/>
                <w:szCs w:val="24"/>
              </w:rPr>
              <w:t>600519</w:t>
            </w:r>
          </w:p>
        </w:tc>
        <w:tc>
          <w:tcPr>
            <w:tcW w:w="1777" w:type="dxa"/>
            <w:vAlign w:val="center"/>
          </w:tcPr>
          <w:p w:rsidR="00BC5DEC" w:rsidRDefault="00040F90">
            <w:pPr>
              <w:jc w:val="center"/>
            </w:pPr>
            <w:r>
              <w:rPr>
                <w:color w:val="000000"/>
                <w:sz w:val="24"/>
                <w:szCs w:val="24"/>
              </w:rPr>
              <w:t>贵州茅台</w:t>
            </w:r>
          </w:p>
        </w:tc>
        <w:tc>
          <w:tcPr>
            <w:tcW w:w="1334" w:type="dxa"/>
            <w:vAlign w:val="center"/>
          </w:tcPr>
          <w:p w:rsidR="00BC5DEC" w:rsidRDefault="00040F90">
            <w:pPr>
              <w:jc w:val="right"/>
            </w:pPr>
            <w:r>
              <w:rPr>
                <w:color w:val="000000"/>
                <w:sz w:val="24"/>
                <w:szCs w:val="24"/>
              </w:rPr>
              <w:t>412,846</w:t>
            </w:r>
          </w:p>
        </w:tc>
        <w:tc>
          <w:tcPr>
            <w:tcW w:w="1924" w:type="dxa"/>
            <w:vAlign w:val="center"/>
          </w:tcPr>
          <w:p w:rsidR="00BC5DEC" w:rsidRDefault="00040F90">
            <w:pPr>
              <w:jc w:val="right"/>
            </w:pPr>
            <w:r>
              <w:rPr>
                <w:color w:val="000000"/>
                <w:sz w:val="24"/>
                <w:szCs w:val="24"/>
              </w:rPr>
              <w:t>301,980,335.16</w:t>
            </w:r>
          </w:p>
        </w:tc>
        <w:tc>
          <w:tcPr>
            <w:tcW w:w="1644" w:type="dxa"/>
            <w:vAlign w:val="center"/>
          </w:tcPr>
          <w:p w:rsidR="00BC5DEC" w:rsidRDefault="00040F90">
            <w:pPr>
              <w:jc w:val="right"/>
            </w:pPr>
            <w:r>
              <w:rPr>
                <w:color w:val="000000"/>
                <w:sz w:val="24"/>
                <w:szCs w:val="24"/>
              </w:rPr>
              <w:t>7.88</w:t>
            </w:r>
          </w:p>
        </w:tc>
      </w:tr>
      <w:tr w:rsidR="00BC5DEC">
        <w:trPr>
          <w:jc w:val="center"/>
        </w:trPr>
        <w:tc>
          <w:tcPr>
            <w:tcW w:w="855" w:type="dxa"/>
            <w:vAlign w:val="center"/>
          </w:tcPr>
          <w:p w:rsidR="00BC5DEC" w:rsidRDefault="00040F90">
            <w:pPr>
              <w:jc w:val="center"/>
            </w:pPr>
            <w:r>
              <w:rPr>
                <w:color w:val="000000"/>
                <w:sz w:val="24"/>
                <w:szCs w:val="24"/>
              </w:rPr>
              <w:t>3</w:t>
            </w:r>
          </w:p>
        </w:tc>
        <w:tc>
          <w:tcPr>
            <w:tcW w:w="1334" w:type="dxa"/>
            <w:vAlign w:val="center"/>
          </w:tcPr>
          <w:p w:rsidR="00BC5DEC" w:rsidRDefault="00040F90">
            <w:pPr>
              <w:jc w:val="center"/>
            </w:pPr>
            <w:r>
              <w:rPr>
                <w:color w:val="000000"/>
                <w:sz w:val="24"/>
                <w:szCs w:val="24"/>
              </w:rPr>
              <w:t>000538</w:t>
            </w:r>
          </w:p>
        </w:tc>
        <w:tc>
          <w:tcPr>
            <w:tcW w:w="1777" w:type="dxa"/>
            <w:vAlign w:val="center"/>
          </w:tcPr>
          <w:p w:rsidR="00BC5DEC" w:rsidRDefault="00040F90">
            <w:pPr>
              <w:jc w:val="center"/>
            </w:pPr>
            <w:r>
              <w:rPr>
                <w:color w:val="000000"/>
                <w:sz w:val="24"/>
                <w:szCs w:val="24"/>
              </w:rPr>
              <w:t>云南白药</w:t>
            </w:r>
          </w:p>
        </w:tc>
        <w:tc>
          <w:tcPr>
            <w:tcW w:w="1334" w:type="dxa"/>
            <w:vAlign w:val="center"/>
          </w:tcPr>
          <w:p w:rsidR="00BC5DEC" w:rsidRDefault="00040F90">
            <w:pPr>
              <w:jc w:val="right"/>
            </w:pPr>
            <w:r>
              <w:rPr>
                <w:color w:val="000000"/>
                <w:sz w:val="24"/>
                <w:szCs w:val="24"/>
              </w:rPr>
              <w:t>2,553,284</w:t>
            </w:r>
          </w:p>
        </w:tc>
        <w:tc>
          <w:tcPr>
            <w:tcW w:w="1924" w:type="dxa"/>
            <w:vAlign w:val="center"/>
          </w:tcPr>
          <w:p w:rsidR="00BC5DEC" w:rsidRDefault="00040F90">
            <w:pPr>
              <w:jc w:val="right"/>
            </w:pPr>
            <w:r>
              <w:rPr>
                <w:color w:val="000000"/>
                <w:sz w:val="24"/>
                <w:szCs w:val="24"/>
              </w:rPr>
              <w:t>273,099,256.64</w:t>
            </w:r>
          </w:p>
        </w:tc>
        <w:tc>
          <w:tcPr>
            <w:tcW w:w="1644" w:type="dxa"/>
            <w:vAlign w:val="center"/>
          </w:tcPr>
          <w:p w:rsidR="00BC5DEC" w:rsidRDefault="00040F90">
            <w:pPr>
              <w:jc w:val="right"/>
            </w:pPr>
            <w:r>
              <w:rPr>
                <w:color w:val="000000"/>
                <w:sz w:val="24"/>
                <w:szCs w:val="24"/>
              </w:rPr>
              <w:t>7.13</w:t>
            </w:r>
          </w:p>
        </w:tc>
      </w:tr>
      <w:tr w:rsidR="00BC5DEC">
        <w:trPr>
          <w:jc w:val="center"/>
        </w:trPr>
        <w:tc>
          <w:tcPr>
            <w:tcW w:w="855" w:type="dxa"/>
            <w:vAlign w:val="center"/>
          </w:tcPr>
          <w:p w:rsidR="00BC5DEC" w:rsidRDefault="00040F90">
            <w:pPr>
              <w:jc w:val="center"/>
            </w:pPr>
            <w:r>
              <w:rPr>
                <w:color w:val="000000"/>
                <w:sz w:val="24"/>
                <w:szCs w:val="24"/>
              </w:rPr>
              <w:t>4</w:t>
            </w:r>
          </w:p>
        </w:tc>
        <w:tc>
          <w:tcPr>
            <w:tcW w:w="1334" w:type="dxa"/>
            <w:vAlign w:val="center"/>
          </w:tcPr>
          <w:p w:rsidR="00BC5DEC" w:rsidRDefault="00040F90">
            <w:pPr>
              <w:jc w:val="center"/>
            </w:pPr>
            <w:r>
              <w:rPr>
                <w:color w:val="000000"/>
                <w:sz w:val="24"/>
                <w:szCs w:val="24"/>
              </w:rPr>
              <w:t>600887</w:t>
            </w:r>
          </w:p>
        </w:tc>
        <w:tc>
          <w:tcPr>
            <w:tcW w:w="1777" w:type="dxa"/>
            <w:vAlign w:val="center"/>
          </w:tcPr>
          <w:p w:rsidR="00BC5DEC" w:rsidRDefault="00040F90">
            <w:pPr>
              <w:jc w:val="center"/>
            </w:pPr>
            <w:r>
              <w:rPr>
                <w:color w:val="000000"/>
                <w:sz w:val="24"/>
                <w:szCs w:val="24"/>
              </w:rPr>
              <w:t>伊利股份</w:t>
            </w:r>
          </w:p>
        </w:tc>
        <w:tc>
          <w:tcPr>
            <w:tcW w:w="1334" w:type="dxa"/>
            <w:vAlign w:val="center"/>
          </w:tcPr>
          <w:p w:rsidR="00BC5DEC" w:rsidRDefault="00040F90">
            <w:pPr>
              <w:jc w:val="right"/>
            </w:pPr>
            <w:r>
              <w:rPr>
                <w:color w:val="000000"/>
                <w:sz w:val="24"/>
                <w:szCs w:val="24"/>
              </w:rPr>
              <w:t>9,785,710</w:t>
            </w:r>
          </w:p>
        </w:tc>
        <w:tc>
          <w:tcPr>
            <w:tcW w:w="1924" w:type="dxa"/>
            <w:vAlign w:val="center"/>
          </w:tcPr>
          <w:p w:rsidR="00BC5DEC" w:rsidRDefault="00040F90">
            <w:pPr>
              <w:jc w:val="right"/>
            </w:pPr>
            <w:r>
              <w:rPr>
                <w:color w:val="000000"/>
                <w:sz w:val="24"/>
                <w:szCs w:val="24"/>
              </w:rPr>
              <w:t>273,021,309.00</w:t>
            </w:r>
          </w:p>
        </w:tc>
        <w:tc>
          <w:tcPr>
            <w:tcW w:w="1644" w:type="dxa"/>
            <w:vAlign w:val="center"/>
          </w:tcPr>
          <w:p w:rsidR="00BC5DEC" w:rsidRDefault="00040F90">
            <w:pPr>
              <w:jc w:val="right"/>
            </w:pPr>
            <w:r>
              <w:rPr>
                <w:color w:val="000000"/>
                <w:sz w:val="24"/>
                <w:szCs w:val="24"/>
              </w:rPr>
              <w:t>7.13</w:t>
            </w:r>
          </w:p>
        </w:tc>
      </w:tr>
      <w:tr w:rsidR="00BC5DEC">
        <w:trPr>
          <w:jc w:val="center"/>
        </w:trPr>
        <w:tc>
          <w:tcPr>
            <w:tcW w:w="855" w:type="dxa"/>
            <w:vAlign w:val="center"/>
          </w:tcPr>
          <w:p w:rsidR="00BC5DEC" w:rsidRDefault="00040F90">
            <w:pPr>
              <w:jc w:val="center"/>
            </w:pPr>
            <w:r>
              <w:rPr>
                <w:color w:val="000000"/>
                <w:sz w:val="24"/>
                <w:szCs w:val="24"/>
              </w:rPr>
              <w:t>5</w:t>
            </w:r>
          </w:p>
        </w:tc>
        <w:tc>
          <w:tcPr>
            <w:tcW w:w="1334" w:type="dxa"/>
            <w:vAlign w:val="center"/>
          </w:tcPr>
          <w:p w:rsidR="00BC5DEC" w:rsidRDefault="00040F90">
            <w:pPr>
              <w:jc w:val="center"/>
            </w:pPr>
            <w:r>
              <w:rPr>
                <w:color w:val="000000"/>
                <w:sz w:val="24"/>
                <w:szCs w:val="24"/>
              </w:rPr>
              <w:t>000333</w:t>
            </w:r>
          </w:p>
        </w:tc>
        <w:tc>
          <w:tcPr>
            <w:tcW w:w="1777" w:type="dxa"/>
            <w:vAlign w:val="center"/>
          </w:tcPr>
          <w:p w:rsidR="00BC5DEC" w:rsidRDefault="00040F90">
            <w:pPr>
              <w:jc w:val="center"/>
            </w:pPr>
            <w:r>
              <w:rPr>
                <w:color w:val="000000"/>
                <w:sz w:val="24"/>
                <w:szCs w:val="24"/>
              </w:rPr>
              <w:t>美的集团</w:t>
            </w:r>
          </w:p>
        </w:tc>
        <w:tc>
          <w:tcPr>
            <w:tcW w:w="1334" w:type="dxa"/>
            <w:vAlign w:val="center"/>
          </w:tcPr>
          <w:p w:rsidR="00BC5DEC" w:rsidRDefault="00040F90">
            <w:pPr>
              <w:jc w:val="right"/>
            </w:pPr>
            <w:r>
              <w:rPr>
                <w:color w:val="000000"/>
                <w:sz w:val="24"/>
                <w:szCs w:val="24"/>
              </w:rPr>
              <w:t>4,826,047</w:t>
            </w:r>
          </w:p>
        </w:tc>
        <w:tc>
          <w:tcPr>
            <w:tcW w:w="1924" w:type="dxa"/>
            <w:vAlign w:val="center"/>
          </w:tcPr>
          <w:p w:rsidR="00BC5DEC" w:rsidRDefault="00040F90">
            <w:pPr>
              <w:jc w:val="right"/>
            </w:pPr>
            <w:r>
              <w:rPr>
                <w:color w:val="000000"/>
                <w:sz w:val="24"/>
                <w:szCs w:val="24"/>
              </w:rPr>
              <w:t>252,016,174.34</w:t>
            </w:r>
          </w:p>
        </w:tc>
        <w:tc>
          <w:tcPr>
            <w:tcW w:w="1644" w:type="dxa"/>
            <w:vAlign w:val="center"/>
          </w:tcPr>
          <w:p w:rsidR="00BC5DEC" w:rsidRDefault="00040F90">
            <w:pPr>
              <w:jc w:val="right"/>
            </w:pPr>
            <w:r>
              <w:rPr>
                <w:color w:val="000000"/>
                <w:sz w:val="24"/>
                <w:szCs w:val="24"/>
              </w:rPr>
              <w:t>6.58</w:t>
            </w:r>
          </w:p>
        </w:tc>
      </w:tr>
      <w:tr w:rsidR="00BC5DEC">
        <w:trPr>
          <w:jc w:val="center"/>
        </w:trPr>
        <w:tc>
          <w:tcPr>
            <w:tcW w:w="855" w:type="dxa"/>
            <w:vAlign w:val="center"/>
          </w:tcPr>
          <w:p w:rsidR="00BC5DEC" w:rsidRDefault="00040F90">
            <w:pPr>
              <w:jc w:val="center"/>
            </w:pPr>
            <w:r>
              <w:rPr>
                <w:color w:val="000000"/>
                <w:sz w:val="24"/>
                <w:szCs w:val="24"/>
              </w:rPr>
              <w:t>6</w:t>
            </w:r>
          </w:p>
        </w:tc>
        <w:tc>
          <w:tcPr>
            <w:tcW w:w="1334" w:type="dxa"/>
            <w:vAlign w:val="center"/>
          </w:tcPr>
          <w:p w:rsidR="00BC5DEC" w:rsidRDefault="00040F90">
            <w:pPr>
              <w:jc w:val="center"/>
            </w:pPr>
            <w:r>
              <w:rPr>
                <w:color w:val="000000"/>
                <w:sz w:val="24"/>
                <w:szCs w:val="24"/>
              </w:rPr>
              <w:t>002271</w:t>
            </w:r>
          </w:p>
        </w:tc>
        <w:tc>
          <w:tcPr>
            <w:tcW w:w="1777" w:type="dxa"/>
            <w:vAlign w:val="center"/>
          </w:tcPr>
          <w:p w:rsidR="00BC5DEC" w:rsidRDefault="00040F90">
            <w:pPr>
              <w:jc w:val="center"/>
            </w:pPr>
            <w:r>
              <w:rPr>
                <w:color w:val="000000"/>
                <w:sz w:val="24"/>
                <w:szCs w:val="24"/>
              </w:rPr>
              <w:t>东方雨虹</w:t>
            </w:r>
          </w:p>
        </w:tc>
        <w:tc>
          <w:tcPr>
            <w:tcW w:w="1334" w:type="dxa"/>
            <w:vAlign w:val="center"/>
          </w:tcPr>
          <w:p w:rsidR="00BC5DEC" w:rsidRDefault="00040F90">
            <w:pPr>
              <w:jc w:val="right"/>
            </w:pPr>
            <w:r>
              <w:rPr>
                <w:color w:val="000000"/>
                <w:sz w:val="24"/>
                <w:szCs w:val="24"/>
              </w:rPr>
              <w:t>14,771,413</w:t>
            </w:r>
          </w:p>
        </w:tc>
        <w:tc>
          <w:tcPr>
            <w:tcW w:w="1924" w:type="dxa"/>
            <w:vAlign w:val="center"/>
          </w:tcPr>
          <w:p w:rsidR="00BC5DEC" w:rsidRDefault="00040F90">
            <w:pPr>
              <w:jc w:val="right"/>
            </w:pPr>
            <w:r>
              <w:rPr>
                <w:color w:val="000000"/>
                <w:sz w:val="24"/>
                <w:szCs w:val="24"/>
              </w:rPr>
              <w:t>251,261,735.13</w:t>
            </w:r>
          </w:p>
        </w:tc>
        <w:tc>
          <w:tcPr>
            <w:tcW w:w="1644" w:type="dxa"/>
            <w:vAlign w:val="center"/>
          </w:tcPr>
          <w:p w:rsidR="00BC5DEC" w:rsidRDefault="00040F90">
            <w:pPr>
              <w:jc w:val="right"/>
            </w:pPr>
            <w:r>
              <w:rPr>
                <w:color w:val="000000"/>
                <w:sz w:val="24"/>
                <w:szCs w:val="24"/>
              </w:rPr>
              <w:t>6.56</w:t>
            </w:r>
          </w:p>
        </w:tc>
      </w:tr>
      <w:tr w:rsidR="00BC5DEC">
        <w:trPr>
          <w:jc w:val="center"/>
        </w:trPr>
        <w:tc>
          <w:tcPr>
            <w:tcW w:w="855" w:type="dxa"/>
            <w:vAlign w:val="center"/>
          </w:tcPr>
          <w:p w:rsidR="00BC5DEC" w:rsidRDefault="00040F90">
            <w:pPr>
              <w:jc w:val="center"/>
            </w:pPr>
            <w:r>
              <w:rPr>
                <w:color w:val="000000"/>
                <w:sz w:val="24"/>
                <w:szCs w:val="24"/>
              </w:rPr>
              <w:t>7</w:t>
            </w:r>
          </w:p>
        </w:tc>
        <w:tc>
          <w:tcPr>
            <w:tcW w:w="1334" w:type="dxa"/>
            <w:vAlign w:val="center"/>
          </w:tcPr>
          <w:p w:rsidR="00BC5DEC" w:rsidRDefault="00040F90">
            <w:pPr>
              <w:jc w:val="center"/>
            </w:pPr>
            <w:r>
              <w:rPr>
                <w:color w:val="000000"/>
                <w:sz w:val="24"/>
                <w:szCs w:val="24"/>
              </w:rPr>
              <w:t>600690</w:t>
            </w:r>
          </w:p>
        </w:tc>
        <w:tc>
          <w:tcPr>
            <w:tcW w:w="1777" w:type="dxa"/>
            <w:vAlign w:val="center"/>
          </w:tcPr>
          <w:p w:rsidR="00BC5DEC" w:rsidRDefault="00040F90">
            <w:pPr>
              <w:jc w:val="center"/>
            </w:pPr>
            <w:r>
              <w:rPr>
                <w:color w:val="000000"/>
                <w:sz w:val="24"/>
                <w:szCs w:val="24"/>
              </w:rPr>
              <w:t>青岛海尔</w:t>
            </w:r>
          </w:p>
        </w:tc>
        <w:tc>
          <w:tcPr>
            <w:tcW w:w="1334" w:type="dxa"/>
            <w:vAlign w:val="center"/>
          </w:tcPr>
          <w:p w:rsidR="00BC5DEC" w:rsidRDefault="00040F90">
            <w:pPr>
              <w:jc w:val="right"/>
            </w:pPr>
            <w:r>
              <w:rPr>
                <w:color w:val="000000"/>
                <w:sz w:val="24"/>
                <w:szCs w:val="24"/>
              </w:rPr>
              <w:t>12,538,240</w:t>
            </w:r>
          </w:p>
        </w:tc>
        <w:tc>
          <w:tcPr>
            <w:tcW w:w="1924" w:type="dxa"/>
            <w:vAlign w:val="center"/>
          </w:tcPr>
          <w:p w:rsidR="00BC5DEC" w:rsidRDefault="00040F90">
            <w:pPr>
              <w:jc w:val="right"/>
            </w:pPr>
            <w:r>
              <w:rPr>
                <w:color w:val="000000"/>
                <w:sz w:val="24"/>
                <w:szCs w:val="24"/>
              </w:rPr>
              <w:t>241,486,502.40</w:t>
            </w:r>
          </w:p>
        </w:tc>
        <w:tc>
          <w:tcPr>
            <w:tcW w:w="1644" w:type="dxa"/>
            <w:vAlign w:val="center"/>
          </w:tcPr>
          <w:p w:rsidR="00BC5DEC" w:rsidRDefault="00040F90">
            <w:pPr>
              <w:jc w:val="right"/>
            </w:pPr>
            <w:r>
              <w:rPr>
                <w:color w:val="000000"/>
                <w:sz w:val="24"/>
                <w:szCs w:val="24"/>
              </w:rPr>
              <w:t>6.30</w:t>
            </w:r>
          </w:p>
        </w:tc>
      </w:tr>
      <w:tr w:rsidR="00BC5DEC">
        <w:trPr>
          <w:jc w:val="center"/>
        </w:trPr>
        <w:tc>
          <w:tcPr>
            <w:tcW w:w="855" w:type="dxa"/>
            <w:vAlign w:val="center"/>
          </w:tcPr>
          <w:p w:rsidR="00BC5DEC" w:rsidRDefault="00040F90">
            <w:pPr>
              <w:jc w:val="center"/>
            </w:pPr>
            <w:r>
              <w:rPr>
                <w:color w:val="000000"/>
                <w:sz w:val="24"/>
                <w:szCs w:val="24"/>
              </w:rPr>
              <w:t>8</w:t>
            </w:r>
          </w:p>
        </w:tc>
        <w:tc>
          <w:tcPr>
            <w:tcW w:w="1334" w:type="dxa"/>
            <w:vAlign w:val="center"/>
          </w:tcPr>
          <w:p w:rsidR="00BC5DEC" w:rsidRDefault="00040F90">
            <w:pPr>
              <w:jc w:val="center"/>
            </w:pPr>
            <w:r>
              <w:rPr>
                <w:color w:val="000000"/>
                <w:sz w:val="24"/>
                <w:szCs w:val="24"/>
              </w:rPr>
              <w:t>002475</w:t>
            </w:r>
          </w:p>
        </w:tc>
        <w:tc>
          <w:tcPr>
            <w:tcW w:w="1777" w:type="dxa"/>
            <w:vAlign w:val="center"/>
          </w:tcPr>
          <w:p w:rsidR="00BC5DEC" w:rsidRDefault="00040F90">
            <w:pPr>
              <w:jc w:val="center"/>
            </w:pPr>
            <w:r>
              <w:rPr>
                <w:color w:val="000000"/>
                <w:sz w:val="24"/>
                <w:szCs w:val="24"/>
              </w:rPr>
              <w:t>立讯精密</w:t>
            </w:r>
          </w:p>
        </w:tc>
        <w:tc>
          <w:tcPr>
            <w:tcW w:w="1334" w:type="dxa"/>
            <w:vAlign w:val="center"/>
          </w:tcPr>
          <w:p w:rsidR="00BC5DEC" w:rsidRDefault="00040F90">
            <w:pPr>
              <w:jc w:val="right"/>
            </w:pPr>
            <w:r>
              <w:rPr>
                <w:color w:val="000000"/>
                <w:sz w:val="24"/>
                <w:szCs w:val="24"/>
              </w:rPr>
              <w:t>10,089,427</w:t>
            </w:r>
          </w:p>
        </w:tc>
        <w:tc>
          <w:tcPr>
            <w:tcW w:w="1924" w:type="dxa"/>
            <w:vAlign w:val="center"/>
          </w:tcPr>
          <w:p w:rsidR="00BC5DEC" w:rsidRDefault="00040F90">
            <w:pPr>
              <w:jc w:val="right"/>
            </w:pPr>
            <w:r>
              <w:rPr>
                <w:color w:val="000000"/>
                <w:sz w:val="24"/>
                <w:szCs w:val="24"/>
              </w:rPr>
              <w:t>227,415,684.58</w:t>
            </w:r>
          </w:p>
        </w:tc>
        <w:tc>
          <w:tcPr>
            <w:tcW w:w="1644" w:type="dxa"/>
            <w:vAlign w:val="center"/>
          </w:tcPr>
          <w:p w:rsidR="00BC5DEC" w:rsidRDefault="00040F90">
            <w:pPr>
              <w:jc w:val="right"/>
            </w:pPr>
            <w:r>
              <w:rPr>
                <w:color w:val="000000"/>
                <w:sz w:val="24"/>
                <w:szCs w:val="24"/>
              </w:rPr>
              <w:t>5.94</w:t>
            </w:r>
          </w:p>
        </w:tc>
      </w:tr>
      <w:tr w:rsidR="00BC5DEC">
        <w:trPr>
          <w:jc w:val="center"/>
        </w:trPr>
        <w:tc>
          <w:tcPr>
            <w:tcW w:w="855" w:type="dxa"/>
            <w:vAlign w:val="center"/>
          </w:tcPr>
          <w:p w:rsidR="00BC5DEC" w:rsidRDefault="00040F90">
            <w:pPr>
              <w:jc w:val="center"/>
            </w:pPr>
            <w:r>
              <w:rPr>
                <w:color w:val="000000"/>
                <w:sz w:val="24"/>
                <w:szCs w:val="24"/>
              </w:rPr>
              <w:t>9</w:t>
            </w:r>
          </w:p>
        </w:tc>
        <w:tc>
          <w:tcPr>
            <w:tcW w:w="1334" w:type="dxa"/>
            <w:vAlign w:val="center"/>
          </w:tcPr>
          <w:p w:rsidR="00BC5DEC" w:rsidRDefault="00040F90">
            <w:pPr>
              <w:jc w:val="center"/>
            </w:pPr>
            <w:r>
              <w:rPr>
                <w:color w:val="000000"/>
                <w:sz w:val="24"/>
                <w:szCs w:val="24"/>
              </w:rPr>
              <w:t>601012</w:t>
            </w:r>
          </w:p>
        </w:tc>
        <w:tc>
          <w:tcPr>
            <w:tcW w:w="1777" w:type="dxa"/>
            <w:vAlign w:val="center"/>
          </w:tcPr>
          <w:p w:rsidR="00BC5DEC" w:rsidRDefault="00040F90">
            <w:pPr>
              <w:jc w:val="center"/>
            </w:pPr>
            <w:r>
              <w:rPr>
                <w:color w:val="000000"/>
                <w:sz w:val="24"/>
                <w:szCs w:val="24"/>
              </w:rPr>
              <w:t>隆基股份</w:t>
            </w:r>
          </w:p>
        </w:tc>
        <w:tc>
          <w:tcPr>
            <w:tcW w:w="1334" w:type="dxa"/>
            <w:vAlign w:val="center"/>
          </w:tcPr>
          <w:p w:rsidR="00BC5DEC" w:rsidRDefault="00040F90">
            <w:pPr>
              <w:jc w:val="right"/>
            </w:pPr>
            <w:r>
              <w:rPr>
                <w:color w:val="000000"/>
                <w:sz w:val="24"/>
                <w:szCs w:val="24"/>
              </w:rPr>
              <w:t>12,946,892</w:t>
            </w:r>
          </w:p>
        </w:tc>
        <w:tc>
          <w:tcPr>
            <w:tcW w:w="1924" w:type="dxa"/>
            <w:vAlign w:val="center"/>
          </w:tcPr>
          <w:p w:rsidR="00BC5DEC" w:rsidRDefault="00040F90">
            <w:pPr>
              <w:jc w:val="right"/>
            </w:pPr>
            <w:r>
              <w:rPr>
                <w:color w:val="000000"/>
                <w:sz w:val="24"/>
                <w:szCs w:val="24"/>
              </w:rPr>
              <w:t>216,083,627.48</w:t>
            </w:r>
          </w:p>
        </w:tc>
        <w:tc>
          <w:tcPr>
            <w:tcW w:w="1644" w:type="dxa"/>
            <w:vAlign w:val="center"/>
          </w:tcPr>
          <w:p w:rsidR="00BC5DEC" w:rsidRDefault="00040F90">
            <w:pPr>
              <w:jc w:val="right"/>
            </w:pPr>
            <w:r>
              <w:rPr>
                <w:color w:val="000000"/>
                <w:sz w:val="24"/>
                <w:szCs w:val="24"/>
              </w:rPr>
              <w:t>5.64</w:t>
            </w:r>
          </w:p>
        </w:tc>
      </w:tr>
      <w:tr w:rsidR="00BC5DEC">
        <w:trPr>
          <w:jc w:val="center"/>
        </w:trPr>
        <w:tc>
          <w:tcPr>
            <w:tcW w:w="855" w:type="dxa"/>
            <w:vAlign w:val="center"/>
          </w:tcPr>
          <w:p w:rsidR="00BC5DEC" w:rsidRDefault="00040F90">
            <w:pPr>
              <w:jc w:val="center"/>
            </w:pPr>
            <w:r>
              <w:rPr>
                <w:color w:val="000000"/>
                <w:sz w:val="24"/>
                <w:szCs w:val="24"/>
              </w:rPr>
              <w:t>10</w:t>
            </w:r>
          </w:p>
        </w:tc>
        <w:tc>
          <w:tcPr>
            <w:tcW w:w="1334" w:type="dxa"/>
            <w:vAlign w:val="center"/>
          </w:tcPr>
          <w:p w:rsidR="00BC5DEC" w:rsidRDefault="00040F90">
            <w:pPr>
              <w:jc w:val="center"/>
            </w:pPr>
            <w:r>
              <w:rPr>
                <w:color w:val="000000"/>
                <w:sz w:val="24"/>
                <w:szCs w:val="24"/>
              </w:rPr>
              <w:t>600066</w:t>
            </w:r>
          </w:p>
        </w:tc>
        <w:tc>
          <w:tcPr>
            <w:tcW w:w="1777" w:type="dxa"/>
            <w:vAlign w:val="center"/>
          </w:tcPr>
          <w:p w:rsidR="00BC5DEC" w:rsidRDefault="00040F90">
            <w:pPr>
              <w:jc w:val="center"/>
            </w:pPr>
            <w:r>
              <w:rPr>
                <w:color w:val="000000"/>
                <w:sz w:val="24"/>
                <w:szCs w:val="24"/>
              </w:rPr>
              <w:t>宇通客车</w:t>
            </w:r>
          </w:p>
        </w:tc>
        <w:tc>
          <w:tcPr>
            <w:tcW w:w="1334" w:type="dxa"/>
            <w:vAlign w:val="center"/>
          </w:tcPr>
          <w:p w:rsidR="00BC5DEC" w:rsidRDefault="00040F90">
            <w:pPr>
              <w:jc w:val="right"/>
            </w:pPr>
            <w:r>
              <w:rPr>
                <w:color w:val="000000"/>
                <w:sz w:val="24"/>
                <w:szCs w:val="24"/>
              </w:rPr>
              <w:t>9,462,147</w:t>
            </w:r>
          </w:p>
        </w:tc>
        <w:tc>
          <w:tcPr>
            <w:tcW w:w="1924" w:type="dxa"/>
            <w:vAlign w:val="center"/>
          </w:tcPr>
          <w:p w:rsidR="00BC5DEC" w:rsidRDefault="00040F90">
            <w:pPr>
              <w:jc w:val="right"/>
            </w:pPr>
            <w:r>
              <w:rPr>
                <w:color w:val="000000"/>
                <w:sz w:val="24"/>
                <w:szCs w:val="24"/>
              </w:rPr>
              <w:t>181,578,600.93</w:t>
            </w:r>
          </w:p>
        </w:tc>
        <w:tc>
          <w:tcPr>
            <w:tcW w:w="1644" w:type="dxa"/>
            <w:vAlign w:val="center"/>
          </w:tcPr>
          <w:p w:rsidR="00BC5DEC" w:rsidRDefault="00040F90">
            <w:pPr>
              <w:jc w:val="right"/>
            </w:pPr>
            <w:r>
              <w:rPr>
                <w:color w:val="000000"/>
                <w:sz w:val="24"/>
                <w:szCs w:val="24"/>
              </w:rPr>
              <w:t>4.74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4,000,400.00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125,225,000.00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125,225,000.00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3,620,070.50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0.09</w:t>
            </w:r>
          </w:p>
        </w:tc>
      </w:tr>
      <w:tr w:rsidR="00F323FF" w:rsidRPr="00414345" w:rsidTr="00040F90">
        <w:trPr>
          <w:jc w:val="center"/>
        </w:trPr>
        <w:tc>
          <w:tcPr>
            <w:tcW w:w="828" w:type="dxa"/>
            <w:vAlign w:val="center"/>
          </w:tcPr>
          <w:p w:rsidR="00F323FF" w:rsidRPr="007A70C2" w:rsidRDefault="00F323FF" w:rsidP="00040F90">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40F90">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40F90">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40F90">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132,845,470.50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BC5DEC">
        <w:trPr>
          <w:jc w:val="center"/>
        </w:trPr>
        <w:tc>
          <w:tcPr>
            <w:tcW w:w="850" w:type="dxa"/>
            <w:vAlign w:val="center"/>
          </w:tcPr>
          <w:p w:rsidR="00BC5DEC" w:rsidRDefault="00040F90">
            <w:pPr>
              <w:jc w:val="center"/>
            </w:pPr>
            <w:r>
              <w:rPr>
                <w:color w:val="000000"/>
                <w:sz w:val="24"/>
                <w:szCs w:val="24"/>
              </w:rPr>
              <w:t>1</w:t>
            </w:r>
          </w:p>
        </w:tc>
        <w:tc>
          <w:tcPr>
            <w:tcW w:w="1475" w:type="dxa"/>
            <w:vAlign w:val="center"/>
          </w:tcPr>
          <w:p w:rsidR="00BC5DEC" w:rsidRDefault="00040F90">
            <w:pPr>
              <w:jc w:val="center"/>
            </w:pPr>
            <w:r>
              <w:rPr>
                <w:color w:val="000000"/>
                <w:sz w:val="24"/>
                <w:szCs w:val="24"/>
              </w:rPr>
              <w:t>130238</w:t>
            </w:r>
          </w:p>
        </w:tc>
        <w:tc>
          <w:tcPr>
            <w:tcW w:w="1769" w:type="dxa"/>
            <w:vAlign w:val="center"/>
          </w:tcPr>
          <w:p w:rsidR="00BC5DEC" w:rsidRDefault="00040F90">
            <w:pPr>
              <w:jc w:val="center"/>
            </w:pPr>
            <w:r>
              <w:rPr>
                <w:color w:val="000000"/>
                <w:sz w:val="24"/>
                <w:szCs w:val="24"/>
              </w:rPr>
              <w:t>13</w:t>
            </w:r>
            <w:r>
              <w:rPr>
                <w:color w:val="000000"/>
                <w:sz w:val="24"/>
                <w:szCs w:val="24"/>
              </w:rPr>
              <w:t>国开</w:t>
            </w:r>
            <w:r>
              <w:rPr>
                <w:color w:val="000000"/>
                <w:sz w:val="24"/>
                <w:szCs w:val="24"/>
              </w:rPr>
              <w:t>38</w:t>
            </w:r>
          </w:p>
        </w:tc>
        <w:tc>
          <w:tcPr>
            <w:tcW w:w="1387" w:type="dxa"/>
            <w:vAlign w:val="center"/>
          </w:tcPr>
          <w:p w:rsidR="00BC5DEC" w:rsidRDefault="00040F90">
            <w:pPr>
              <w:jc w:val="right"/>
            </w:pPr>
            <w:r>
              <w:rPr>
                <w:color w:val="000000"/>
                <w:sz w:val="24"/>
                <w:szCs w:val="24"/>
              </w:rPr>
              <w:t>1,000,000</w:t>
            </w:r>
          </w:p>
        </w:tc>
        <w:tc>
          <w:tcPr>
            <w:tcW w:w="2150" w:type="dxa"/>
            <w:vAlign w:val="center"/>
          </w:tcPr>
          <w:p w:rsidR="00BC5DEC" w:rsidRDefault="00040F90">
            <w:pPr>
              <w:jc w:val="right"/>
            </w:pPr>
            <w:r>
              <w:rPr>
                <w:color w:val="000000"/>
                <w:sz w:val="24"/>
                <w:szCs w:val="24"/>
              </w:rPr>
              <w:t>100,220,000.00</w:t>
            </w:r>
          </w:p>
        </w:tc>
        <w:tc>
          <w:tcPr>
            <w:tcW w:w="1237" w:type="dxa"/>
            <w:vAlign w:val="center"/>
          </w:tcPr>
          <w:p w:rsidR="00BC5DEC" w:rsidRDefault="00040F90">
            <w:pPr>
              <w:jc w:val="right"/>
            </w:pPr>
            <w:r>
              <w:rPr>
                <w:color w:val="000000"/>
                <w:sz w:val="24"/>
                <w:szCs w:val="24"/>
              </w:rPr>
              <w:t>2.62</w:t>
            </w:r>
          </w:p>
        </w:tc>
      </w:tr>
      <w:tr w:rsidR="00BC5DEC">
        <w:trPr>
          <w:jc w:val="center"/>
        </w:trPr>
        <w:tc>
          <w:tcPr>
            <w:tcW w:w="850" w:type="dxa"/>
            <w:vAlign w:val="center"/>
          </w:tcPr>
          <w:p w:rsidR="00BC5DEC" w:rsidRDefault="00040F90">
            <w:pPr>
              <w:jc w:val="center"/>
            </w:pPr>
            <w:r>
              <w:rPr>
                <w:color w:val="000000"/>
                <w:sz w:val="24"/>
                <w:szCs w:val="24"/>
              </w:rPr>
              <w:t>2</w:t>
            </w:r>
          </w:p>
        </w:tc>
        <w:tc>
          <w:tcPr>
            <w:tcW w:w="1475" w:type="dxa"/>
            <w:vAlign w:val="center"/>
          </w:tcPr>
          <w:p w:rsidR="00BC5DEC" w:rsidRDefault="00040F90">
            <w:pPr>
              <w:jc w:val="center"/>
            </w:pPr>
            <w:r>
              <w:rPr>
                <w:color w:val="000000"/>
                <w:sz w:val="24"/>
                <w:szCs w:val="24"/>
              </w:rPr>
              <w:t>180207</w:t>
            </w:r>
          </w:p>
        </w:tc>
        <w:tc>
          <w:tcPr>
            <w:tcW w:w="1769" w:type="dxa"/>
            <w:vAlign w:val="center"/>
          </w:tcPr>
          <w:p w:rsidR="00BC5DEC" w:rsidRDefault="00040F90">
            <w:pPr>
              <w:jc w:val="center"/>
            </w:pPr>
            <w:r>
              <w:rPr>
                <w:color w:val="000000"/>
                <w:sz w:val="24"/>
                <w:szCs w:val="24"/>
              </w:rPr>
              <w:t>18</w:t>
            </w:r>
            <w:r>
              <w:rPr>
                <w:color w:val="000000"/>
                <w:sz w:val="24"/>
                <w:szCs w:val="24"/>
              </w:rPr>
              <w:t>国开</w:t>
            </w:r>
            <w:r>
              <w:rPr>
                <w:color w:val="000000"/>
                <w:sz w:val="24"/>
                <w:szCs w:val="24"/>
              </w:rPr>
              <w:t>07</w:t>
            </w:r>
          </w:p>
        </w:tc>
        <w:tc>
          <w:tcPr>
            <w:tcW w:w="1387" w:type="dxa"/>
            <w:vAlign w:val="center"/>
          </w:tcPr>
          <w:p w:rsidR="00BC5DEC" w:rsidRDefault="00040F90">
            <w:pPr>
              <w:jc w:val="right"/>
            </w:pPr>
            <w:r>
              <w:rPr>
                <w:color w:val="000000"/>
                <w:sz w:val="24"/>
                <w:szCs w:val="24"/>
              </w:rPr>
              <w:t>200,000</w:t>
            </w:r>
          </w:p>
        </w:tc>
        <w:tc>
          <w:tcPr>
            <w:tcW w:w="2150" w:type="dxa"/>
            <w:vAlign w:val="center"/>
          </w:tcPr>
          <w:p w:rsidR="00BC5DEC" w:rsidRDefault="00040F90">
            <w:pPr>
              <w:jc w:val="right"/>
            </w:pPr>
            <w:r>
              <w:rPr>
                <w:color w:val="000000"/>
                <w:sz w:val="24"/>
                <w:szCs w:val="24"/>
              </w:rPr>
              <w:t>19,986,000.00</w:t>
            </w:r>
          </w:p>
        </w:tc>
        <w:tc>
          <w:tcPr>
            <w:tcW w:w="1237" w:type="dxa"/>
            <w:vAlign w:val="center"/>
          </w:tcPr>
          <w:p w:rsidR="00BC5DEC" w:rsidRDefault="00040F90">
            <w:pPr>
              <w:jc w:val="right"/>
            </w:pPr>
            <w:r>
              <w:rPr>
                <w:color w:val="000000"/>
                <w:sz w:val="24"/>
                <w:szCs w:val="24"/>
              </w:rPr>
              <w:t>0.52</w:t>
            </w:r>
          </w:p>
        </w:tc>
      </w:tr>
      <w:tr w:rsidR="00BC5DEC">
        <w:trPr>
          <w:jc w:val="center"/>
        </w:trPr>
        <w:tc>
          <w:tcPr>
            <w:tcW w:w="850" w:type="dxa"/>
            <w:vAlign w:val="center"/>
          </w:tcPr>
          <w:p w:rsidR="00BC5DEC" w:rsidRDefault="00040F90">
            <w:pPr>
              <w:jc w:val="center"/>
            </w:pPr>
            <w:r>
              <w:rPr>
                <w:color w:val="000000"/>
                <w:sz w:val="24"/>
                <w:szCs w:val="24"/>
              </w:rPr>
              <w:t>3</w:t>
            </w:r>
          </w:p>
        </w:tc>
        <w:tc>
          <w:tcPr>
            <w:tcW w:w="1475" w:type="dxa"/>
            <w:vAlign w:val="center"/>
          </w:tcPr>
          <w:p w:rsidR="00BC5DEC" w:rsidRDefault="00040F90">
            <w:pPr>
              <w:jc w:val="center"/>
            </w:pPr>
            <w:r>
              <w:rPr>
                <w:color w:val="000000"/>
                <w:sz w:val="24"/>
                <w:szCs w:val="24"/>
              </w:rPr>
              <w:t>018005</w:t>
            </w:r>
          </w:p>
        </w:tc>
        <w:tc>
          <w:tcPr>
            <w:tcW w:w="1769" w:type="dxa"/>
            <w:vAlign w:val="center"/>
          </w:tcPr>
          <w:p w:rsidR="00BC5DEC" w:rsidRDefault="00040F90">
            <w:pPr>
              <w:jc w:val="center"/>
            </w:pPr>
            <w:r>
              <w:rPr>
                <w:color w:val="000000"/>
                <w:sz w:val="24"/>
                <w:szCs w:val="24"/>
              </w:rPr>
              <w:t>国开</w:t>
            </w:r>
            <w:r>
              <w:rPr>
                <w:color w:val="000000"/>
                <w:sz w:val="24"/>
                <w:szCs w:val="24"/>
              </w:rPr>
              <w:t>1701</w:t>
            </w:r>
          </w:p>
        </w:tc>
        <w:tc>
          <w:tcPr>
            <w:tcW w:w="1387" w:type="dxa"/>
            <w:vAlign w:val="center"/>
          </w:tcPr>
          <w:p w:rsidR="00BC5DEC" w:rsidRDefault="00040F90">
            <w:pPr>
              <w:jc w:val="right"/>
            </w:pPr>
            <w:r>
              <w:rPr>
                <w:color w:val="000000"/>
                <w:sz w:val="24"/>
                <w:szCs w:val="24"/>
              </w:rPr>
              <w:t>50,000</w:t>
            </w:r>
          </w:p>
        </w:tc>
        <w:tc>
          <w:tcPr>
            <w:tcW w:w="2150" w:type="dxa"/>
            <w:vAlign w:val="center"/>
          </w:tcPr>
          <w:p w:rsidR="00BC5DEC" w:rsidRDefault="00040F90">
            <w:pPr>
              <w:jc w:val="right"/>
            </w:pPr>
            <w:r>
              <w:rPr>
                <w:color w:val="000000"/>
                <w:sz w:val="24"/>
                <w:szCs w:val="24"/>
              </w:rPr>
              <w:t>5,019,000.00</w:t>
            </w:r>
          </w:p>
        </w:tc>
        <w:tc>
          <w:tcPr>
            <w:tcW w:w="1237" w:type="dxa"/>
            <w:vAlign w:val="center"/>
          </w:tcPr>
          <w:p w:rsidR="00BC5DEC" w:rsidRDefault="00040F90">
            <w:pPr>
              <w:jc w:val="right"/>
            </w:pPr>
            <w:r>
              <w:rPr>
                <w:color w:val="000000"/>
                <w:sz w:val="24"/>
                <w:szCs w:val="24"/>
              </w:rPr>
              <w:t>0.13</w:t>
            </w:r>
          </w:p>
        </w:tc>
      </w:tr>
      <w:tr w:rsidR="00BC5DEC">
        <w:trPr>
          <w:jc w:val="center"/>
        </w:trPr>
        <w:tc>
          <w:tcPr>
            <w:tcW w:w="850" w:type="dxa"/>
            <w:vAlign w:val="center"/>
          </w:tcPr>
          <w:p w:rsidR="00BC5DEC" w:rsidRDefault="00040F90">
            <w:pPr>
              <w:jc w:val="center"/>
            </w:pPr>
            <w:r>
              <w:rPr>
                <w:color w:val="000000"/>
                <w:sz w:val="24"/>
                <w:szCs w:val="24"/>
              </w:rPr>
              <w:t>4</w:t>
            </w:r>
          </w:p>
        </w:tc>
        <w:tc>
          <w:tcPr>
            <w:tcW w:w="1475" w:type="dxa"/>
            <w:vAlign w:val="center"/>
          </w:tcPr>
          <w:p w:rsidR="00BC5DEC" w:rsidRDefault="00040F90">
            <w:pPr>
              <w:jc w:val="center"/>
            </w:pPr>
            <w:r>
              <w:rPr>
                <w:color w:val="000000"/>
                <w:sz w:val="24"/>
                <w:szCs w:val="24"/>
              </w:rPr>
              <w:t>019571</w:t>
            </w:r>
          </w:p>
        </w:tc>
        <w:tc>
          <w:tcPr>
            <w:tcW w:w="1769" w:type="dxa"/>
            <w:vAlign w:val="center"/>
          </w:tcPr>
          <w:p w:rsidR="00BC5DEC" w:rsidRDefault="00040F90">
            <w:pPr>
              <w:jc w:val="center"/>
            </w:pPr>
            <w:r>
              <w:rPr>
                <w:color w:val="000000"/>
                <w:sz w:val="24"/>
                <w:szCs w:val="24"/>
              </w:rPr>
              <w:t>17</w:t>
            </w:r>
            <w:r>
              <w:rPr>
                <w:color w:val="000000"/>
                <w:sz w:val="24"/>
                <w:szCs w:val="24"/>
              </w:rPr>
              <w:t>国债</w:t>
            </w:r>
            <w:r>
              <w:rPr>
                <w:color w:val="000000"/>
                <w:sz w:val="24"/>
                <w:szCs w:val="24"/>
              </w:rPr>
              <w:t>17</w:t>
            </w:r>
          </w:p>
        </w:tc>
        <w:tc>
          <w:tcPr>
            <w:tcW w:w="1387" w:type="dxa"/>
            <w:vAlign w:val="center"/>
          </w:tcPr>
          <w:p w:rsidR="00BC5DEC" w:rsidRDefault="00040F90">
            <w:pPr>
              <w:jc w:val="right"/>
            </w:pPr>
            <w:r>
              <w:rPr>
                <w:color w:val="000000"/>
                <w:sz w:val="24"/>
                <w:szCs w:val="24"/>
              </w:rPr>
              <w:t>40,000</w:t>
            </w:r>
          </w:p>
        </w:tc>
        <w:tc>
          <w:tcPr>
            <w:tcW w:w="2150" w:type="dxa"/>
            <w:vAlign w:val="center"/>
          </w:tcPr>
          <w:p w:rsidR="00BC5DEC" w:rsidRDefault="00040F90">
            <w:pPr>
              <w:jc w:val="right"/>
            </w:pPr>
            <w:r>
              <w:rPr>
                <w:color w:val="000000"/>
                <w:sz w:val="24"/>
                <w:szCs w:val="24"/>
              </w:rPr>
              <w:t>4,000,400.00</w:t>
            </w:r>
          </w:p>
        </w:tc>
        <w:tc>
          <w:tcPr>
            <w:tcW w:w="1237" w:type="dxa"/>
            <w:vAlign w:val="center"/>
          </w:tcPr>
          <w:p w:rsidR="00BC5DEC" w:rsidRDefault="00040F90">
            <w:pPr>
              <w:jc w:val="right"/>
            </w:pPr>
            <w:r>
              <w:rPr>
                <w:color w:val="000000"/>
                <w:sz w:val="24"/>
                <w:szCs w:val="24"/>
              </w:rPr>
              <w:t>0.10</w:t>
            </w:r>
          </w:p>
        </w:tc>
      </w:tr>
      <w:tr w:rsidR="00BC5DEC">
        <w:trPr>
          <w:jc w:val="center"/>
        </w:trPr>
        <w:tc>
          <w:tcPr>
            <w:tcW w:w="850" w:type="dxa"/>
            <w:vAlign w:val="center"/>
          </w:tcPr>
          <w:p w:rsidR="00BC5DEC" w:rsidRDefault="00040F90">
            <w:pPr>
              <w:jc w:val="center"/>
            </w:pPr>
            <w:r>
              <w:rPr>
                <w:color w:val="000000"/>
                <w:sz w:val="24"/>
                <w:szCs w:val="24"/>
              </w:rPr>
              <w:t>5</w:t>
            </w:r>
          </w:p>
        </w:tc>
        <w:tc>
          <w:tcPr>
            <w:tcW w:w="1475" w:type="dxa"/>
            <w:vAlign w:val="center"/>
          </w:tcPr>
          <w:p w:rsidR="00BC5DEC" w:rsidRDefault="00040F90">
            <w:pPr>
              <w:jc w:val="center"/>
            </w:pPr>
            <w:r>
              <w:rPr>
                <w:color w:val="000000"/>
                <w:sz w:val="24"/>
                <w:szCs w:val="24"/>
              </w:rPr>
              <w:t>128035</w:t>
            </w:r>
          </w:p>
        </w:tc>
        <w:tc>
          <w:tcPr>
            <w:tcW w:w="1769" w:type="dxa"/>
            <w:vAlign w:val="center"/>
          </w:tcPr>
          <w:p w:rsidR="00BC5DEC" w:rsidRDefault="00040F90">
            <w:pPr>
              <w:jc w:val="center"/>
            </w:pPr>
            <w:r>
              <w:rPr>
                <w:color w:val="000000"/>
                <w:sz w:val="24"/>
                <w:szCs w:val="24"/>
              </w:rPr>
              <w:t>大族转债</w:t>
            </w:r>
          </w:p>
        </w:tc>
        <w:tc>
          <w:tcPr>
            <w:tcW w:w="1387" w:type="dxa"/>
            <w:vAlign w:val="center"/>
          </w:tcPr>
          <w:p w:rsidR="00BC5DEC" w:rsidRDefault="00040F90">
            <w:pPr>
              <w:jc w:val="right"/>
            </w:pPr>
            <w:r>
              <w:rPr>
                <w:color w:val="000000"/>
                <w:sz w:val="24"/>
                <w:szCs w:val="24"/>
              </w:rPr>
              <w:t>31,514</w:t>
            </w:r>
          </w:p>
        </w:tc>
        <w:tc>
          <w:tcPr>
            <w:tcW w:w="2150" w:type="dxa"/>
            <w:vAlign w:val="center"/>
          </w:tcPr>
          <w:p w:rsidR="00BC5DEC" w:rsidRDefault="00040F90">
            <w:pPr>
              <w:jc w:val="right"/>
            </w:pPr>
            <w:r>
              <w:rPr>
                <w:color w:val="000000"/>
                <w:sz w:val="24"/>
                <w:szCs w:val="24"/>
              </w:rPr>
              <w:t>3,617,807.20</w:t>
            </w:r>
          </w:p>
        </w:tc>
        <w:tc>
          <w:tcPr>
            <w:tcW w:w="1237" w:type="dxa"/>
            <w:vAlign w:val="center"/>
          </w:tcPr>
          <w:p w:rsidR="00BC5DEC" w:rsidRDefault="00040F90">
            <w:pPr>
              <w:jc w:val="right"/>
            </w:pPr>
            <w:r>
              <w:rPr>
                <w:color w:val="000000"/>
                <w:sz w:val="24"/>
                <w:szCs w:val="24"/>
              </w:rPr>
              <w:t>0.09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624,036.29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4,179,343.08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4,657,380.03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9,460,759.40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BC5DEC">
        <w:trPr>
          <w:jc w:val="center"/>
        </w:trPr>
        <w:tc>
          <w:tcPr>
            <w:tcW w:w="1883" w:type="dxa"/>
            <w:vAlign w:val="center"/>
          </w:tcPr>
          <w:p w:rsidR="00BC5DEC" w:rsidRDefault="00040F90">
            <w:pPr>
              <w:jc w:val="center"/>
            </w:pPr>
            <w:r>
              <w:rPr>
                <w:color w:val="000000"/>
                <w:sz w:val="24"/>
                <w:szCs w:val="24"/>
              </w:rPr>
              <w:t>1</w:t>
            </w:r>
          </w:p>
        </w:tc>
        <w:tc>
          <w:tcPr>
            <w:tcW w:w="1801" w:type="dxa"/>
            <w:vAlign w:val="center"/>
          </w:tcPr>
          <w:p w:rsidR="00BC5DEC" w:rsidRDefault="00040F90">
            <w:pPr>
              <w:jc w:val="center"/>
            </w:pPr>
            <w:r>
              <w:rPr>
                <w:color w:val="000000"/>
                <w:sz w:val="24"/>
                <w:szCs w:val="24"/>
              </w:rPr>
              <w:t>128023</w:t>
            </w:r>
          </w:p>
        </w:tc>
        <w:tc>
          <w:tcPr>
            <w:tcW w:w="1727" w:type="dxa"/>
            <w:vAlign w:val="center"/>
          </w:tcPr>
          <w:p w:rsidR="00BC5DEC" w:rsidRDefault="00040F90">
            <w:pPr>
              <w:jc w:val="center"/>
            </w:pPr>
            <w:r>
              <w:rPr>
                <w:color w:val="000000"/>
                <w:sz w:val="24"/>
                <w:szCs w:val="24"/>
              </w:rPr>
              <w:t>亚太转债</w:t>
            </w:r>
          </w:p>
        </w:tc>
        <w:tc>
          <w:tcPr>
            <w:tcW w:w="1768" w:type="dxa"/>
            <w:vAlign w:val="center"/>
          </w:tcPr>
          <w:p w:rsidR="00BC5DEC" w:rsidRDefault="00040F90">
            <w:pPr>
              <w:jc w:val="right"/>
            </w:pPr>
            <w:r>
              <w:rPr>
                <w:color w:val="000000"/>
                <w:sz w:val="24"/>
                <w:szCs w:val="24"/>
              </w:rPr>
              <w:t>2,263.30</w:t>
            </w:r>
          </w:p>
        </w:tc>
        <w:tc>
          <w:tcPr>
            <w:tcW w:w="1689" w:type="dxa"/>
            <w:vAlign w:val="center"/>
          </w:tcPr>
          <w:p w:rsidR="00BC5DEC" w:rsidRDefault="00040F90">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Default="001F3E2A" w:rsidP="00C15CAC">
      <w:pPr>
        <w:spacing w:before="29" w:line="288" w:lineRule="auto"/>
        <w:ind w:firstLineChars="200" w:firstLine="480"/>
        <w:rPr>
          <w:rFonts w:hint="eastAsia"/>
          <w:color w:val="000000"/>
          <w:sz w:val="24"/>
          <w:szCs w:val="24"/>
        </w:rPr>
      </w:pPr>
      <w:bookmarkStart w:id="0" w:name="_GoBack"/>
      <w:bookmarkEnd w:id="0"/>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p w:rsidR="001F3E2A" w:rsidRPr="00583F8E" w:rsidRDefault="00583F8E" w:rsidP="00C15CAC">
      <w:pPr>
        <w:spacing w:before="29" w:line="288" w:lineRule="auto"/>
        <w:ind w:firstLineChars="200" w:firstLine="480"/>
        <w:rPr>
          <w:color w:val="000000"/>
          <w:sz w:val="24"/>
          <w:szCs w:val="24"/>
        </w:rPr>
      </w:pPr>
      <w:r>
        <w:rPr>
          <w:rFonts w:hint="eastAsia"/>
          <w:color w:val="000000"/>
          <w:sz w:val="24"/>
          <w:szCs w:val="24"/>
        </w:rPr>
        <w:t>无。</w:t>
      </w: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3,180,438,245.76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164,776,006.41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519,707,443.76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2,825,506,808.41</w:t>
            </w:r>
          </w:p>
        </w:tc>
      </w:tr>
    </w:tbl>
    <w:p w:rsidR="00BC5DEC" w:rsidRDefault="00040F90">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437D3">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BC5DEC" w:rsidRDefault="00040F90">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BC5DEC" w:rsidRDefault="00040F90">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BC5DEC" w:rsidRDefault="00040F90">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BC5DEC" w:rsidRDefault="00040F90">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BC5DEC" w:rsidRDefault="00040F90">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BC5DEC" w:rsidRDefault="00040F90">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BC5DEC" w:rsidRDefault="00040F90">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BC5DEC" w:rsidRDefault="00040F90">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AE0" w:rsidRDefault="00DB0AE0" w:rsidP="00876D65">
      <w:r>
        <w:separator/>
      </w:r>
    </w:p>
  </w:endnote>
  <w:endnote w:type="continuationSeparator" w:id="0">
    <w:p w:rsidR="00DB0AE0" w:rsidRDefault="00DB0AE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90" w:rsidRPr="001D0DB0" w:rsidRDefault="00040F90" w:rsidP="004D340C">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90B3C">
      <w:rPr>
        <w:noProof/>
        <w:kern w:val="0"/>
        <w:szCs w:val="21"/>
      </w:rPr>
      <w:t>12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90B3C">
      <w:rPr>
        <w:noProof/>
        <w:kern w:val="0"/>
        <w:szCs w:val="21"/>
      </w:rPr>
      <w:t>12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AE0" w:rsidRDefault="00DB0AE0" w:rsidP="00876D65">
      <w:r>
        <w:separator/>
      </w:r>
    </w:p>
  </w:footnote>
  <w:footnote w:type="continuationSeparator" w:id="0">
    <w:p w:rsidR="00DB0AE0" w:rsidRDefault="00DB0AE0"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F90" w:rsidRPr="00DC456F" w:rsidRDefault="00040F90" w:rsidP="00090A26">
    <w:pPr>
      <w:pStyle w:val="a9"/>
      <w:pBdr>
        <w:bottom w:val="single" w:sz="6" w:space="0" w:color="auto"/>
      </w:pBdr>
      <w:jc w:val="right"/>
      <w:rPr>
        <w:sz w:val="24"/>
        <w:szCs w:val="24"/>
      </w:rPr>
    </w:pPr>
    <w:r w:rsidRPr="003E676C">
      <w:rPr>
        <w:sz w:val="24"/>
        <w:szCs w:val="24"/>
      </w:rPr>
      <w:t>交银施罗德稳健配置混合型证券投资基金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0F90"/>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3F8E"/>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0B3C"/>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383B"/>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5DEC"/>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37D3"/>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B0AE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36555-A2EB-4D9A-9B74-65FDDA220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12</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579</cp:revision>
  <dcterms:created xsi:type="dcterms:W3CDTF">2012-10-16T06:07:00Z</dcterms:created>
  <dcterms:modified xsi:type="dcterms:W3CDTF">2018-07-16T08:26:00Z</dcterms:modified>
</cp:coreProperties>
</file>