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74583" w:rsidRDefault="005735D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5,445,282,819.73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735D4" w:rsidRPr="00414345" w:rsidTr="005735D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735D4" w:rsidRPr="00414345" w:rsidTr="005735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55,593,619.91</w:t>
            </w:r>
          </w:p>
        </w:tc>
      </w:tr>
      <w:tr w:rsidR="005735D4" w:rsidRPr="00414345" w:rsidTr="005735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-215,219,655.94</w:t>
            </w:r>
          </w:p>
        </w:tc>
      </w:tr>
      <w:tr w:rsidR="005735D4" w:rsidRPr="00414345" w:rsidTr="005735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-0.0412</w:t>
            </w:r>
          </w:p>
        </w:tc>
      </w:tr>
      <w:tr w:rsidR="005735D4" w:rsidRPr="00414345" w:rsidTr="005735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3,401,456,427.39</w:t>
            </w:r>
          </w:p>
        </w:tc>
      </w:tr>
      <w:tr w:rsidR="005735D4" w:rsidRPr="00414345" w:rsidTr="005735D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0.6247</w:t>
            </w:r>
          </w:p>
        </w:tc>
      </w:tr>
    </w:tbl>
    <w:p w:rsidR="00A74583" w:rsidRDefault="005735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74583">
        <w:trPr>
          <w:jc w:val="center"/>
        </w:trPr>
        <w:tc>
          <w:tcPr>
            <w:tcW w:w="1701" w:type="dxa"/>
            <w:vAlign w:val="center"/>
          </w:tcPr>
          <w:p w:rsidR="00A74583" w:rsidRDefault="005735D4">
            <w:pPr>
              <w:jc w:val="left"/>
            </w:pPr>
            <w:r>
              <w:rPr>
                <w:color w:val="000000"/>
                <w:sz w:val="24"/>
                <w:szCs w:val="24"/>
              </w:rPr>
              <w:t>过去三个月</w:t>
            </w:r>
          </w:p>
        </w:tc>
        <w:tc>
          <w:tcPr>
            <w:tcW w:w="1045" w:type="dxa"/>
            <w:vAlign w:val="center"/>
          </w:tcPr>
          <w:p w:rsidR="00A74583" w:rsidRDefault="005735D4">
            <w:pPr>
              <w:jc w:val="center"/>
            </w:pPr>
            <w:r>
              <w:rPr>
                <w:color w:val="000000"/>
                <w:sz w:val="24"/>
                <w:szCs w:val="24"/>
              </w:rPr>
              <w:t>-6.14%</w:t>
            </w:r>
          </w:p>
        </w:tc>
        <w:tc>
          <w:tcPr>
            <w:tcW w:w="1344" w:type="dxa"/>
            <w:vAlign w:val="center"/>
          </w:tcPr>
          <w:p w:rsidR="00A74583" w:rsidRDefault="005735D4">
            <w:pPr>
              <w:jc w:val="center"/>
            </w:pPr>
            <w:r>
              <w:rPr>
                <w:color w:val="000000"/>
                <w:sz w:val="24"/>
                <w:szCs w:val="24"/>
              </w:rPr>
              <w:t>1.45%</w:t>
            </w:r>
          </w:p>
        </w:tc>
        <w:tc>
          <w:tcPr>
            <w:tcW w:w="1194" w:type="dxa"/>
            <w:vAlign w:val="center"/>
          </w:tcPr>
          <w:p w:rsidR="00A74583" w:rsidRDefault="005735D4">
            <w:pPr>
              <w:jc w:val="center"/>
            </w:pPr>
            <w:r>
              <w:rPr>
                <w:color w:val="000000"/>
                <w:sz w:val="24"/>
                <w:szCs w:val="24"/>
              </w:rPr>
              <w:t>-7.03%</w:t>
            </w:r>
          </w:p>
        </w:tc>
        <w:tc>
          <w:tcPr>
            <w:tcW w:w="1492" w:type="dxa"/>
            <w:vAlign w:val="center"/>
          </w:tcPr>
          <w:p w:rsidR="00A74583" w:rsidRDefault="005735D4">
            <w:pPr>
              <w:jc w:val="center"/>
            </w:pPr>
            <w:r>
              <w:rPr>
                <w:color w:val="000000"/>
                <w:sz w:val="24"/>
                <w:szCs w:val="24"/>
              </w:rPr>
              <w:t>0.85%</w:t>
            </w:r>
          </w:p>
        </w:tc>
        <w:tc>
          <w:tcPr>
            <w:tcW w:w="1194" w:type="dxa"/>
            <w:vAlign w:val="center"/>
          </w:tcPr>
          <w:p w:rsidR="00A74583" w:rsidRDefault="005735D4">
            <w:pPr>
              <w:jc w:val="center"/>
            </w:pPr>
            <w:r>
              <w:rPr>
                <w:color w:val="000000"/>
                <w:sz w:val="24"/>
                <w:szCs w:val="24"/>
              </w:rPr>
              <w:t>0.89%</w:t>
            </w:r>
          </w:p>
        </w:tc>
        <w:tc>
          <w:tcPr>
            <w:tcW w:w="898" w:type="dxa"/>
            <w:vAlign w:val="center"/>
          </w:tcPr>
          <w:p w:rsidR="00A74583" w:rsidRDefault="005735D4">
            <w:pPr>
              <w:jc w:val="center"/>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74583">
        <w:trPr>
          <w:jc w:val="center"/>
        </w:trPr>
        <w:tc>
          <w:tcPr>
            <w:tcW w:w="846" w:type="dxa"/>
            <w:vAlign w:val="center"/>
          </w:tcPr>
          <w:p w:rsidR="00A74583" w:rsidRDefault="005735D4">
            <w:pPr>
              <w:jc w:val="center"/>
            </w:pPr>
            <w:r>
              <w:rPr>
                <w:color w:val="000000"/>
                <w:sz w:val="24"/>
                <w:szCs w:val="24"/>
              </w:rPr>
              <w:t>王崇</w:t>
            </w:r>
          </w:p>
        </w:tc>
        <w:tc>
          <w:tcPr>
            <w:tcW w:w="845" w:type="dxa"/>
            <w:vAlign w:val="center"/>
          </w:tcPr>
          <w:p w:rsidR="00A74583" w:rsidRDefault="005735D4">
            <w:pPr>
              <w:jc w:val="center"/>
            </w:pPr>
            <w:r>
              <w:rPr>
                <w:color w:val="000000"/>
                <w:sz w:val="24"/>
                <w:szCs w:val="24"/>
              </w:rPr>
              <w:t>交银精选混合、交银新成长混合的基金经理</w:t>
            </w:r>
          </w:p>
        </w:tc>
        <w:tc>
          <w:tcPr>
            <w:tcW w:w="1549" w:type="dxa"/>
            <w:vAlign w:val="center"/>
          </w:tcPr>
          <w:p w:rsidR="00A74583" w:rsidRDefault="005735D4">
            <w:pPr>
              <w:jc w:val="center"/>
            </w:pPr>
            <w:r>
              <w:rPr>
                <w:color w:val="000000"/>
                <w:sz w:val="24"/>
                <w:szCs w:val="24"/>
              </w:rPr>
              <w:t>2017-06-03</w:t>
            </w:r>
          </w:p>
        </w:tc>
        <w:tc>
          <w:tcPr>
            <w:tcW w:w="1548" w:type="dxa"/>
            <w:vAlign w:val="center"/>
          </w:tcPr>
          <w:p w:rsidR="00A74583" w:rsidRDefault="005735D4">
            <w:pPr>
              <w:jc w:val="center"/>
            </w:pPr>
            <w:r>
              <w:rPr>
                <w:color w:val="000000"/>
                <w:sz w:val="24"/>
                <w:szCs w:val="24"/>
              </w:rPr>
              <w:t>-</w:t>
            </w:r>
          </w:p>
        </w:tc>
        <w:tc>
          <w:tcPr>
            <w:tcW w:w="1407" w:type="dxa"/>
            <w:vAlign w:val="center"/>
          </w:tcPr>
          <w:p w:rsidR="00A74583" w:rsidRDefault="005735D4">
            <w:pPr>
              <w:jc w:val="center"/>
            </w:pPr>
            <w:r>
              <w:rPr>
                <w:color w:val="000000"/>
                <w:sz w:val="24"/>
                <w:szCs w:val="24"/>
              </w:rPr>
              <w:t>10</w:t>
            </w:r>
            <w:r>
              <w:rPr>
                <w:color w:val="000000"/>
                <w:sz w:val="24"/>
                <w:szCs w:val="24"/>
              </w:rPr>
              <w:t>年</w:t>
            </w:r>
          </w:p>
        </w:tc>
        <w:tc>
          <w:tcPr>
            <w:tcW w:w="2673" w:type="dxa"/>
            <w:vAlign w:val="center"/>
          </w:tcPr>
          <w:p w:rsidR="00A74583" w:rsidRDefault="005735D4">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74583" w:rsidRDefault="005735D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74583" w:rsidRDefault="005735D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74583" w:rsidRDefault="005735D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74583" w:rsidRDefault="005735D4">
      <w:pPr>
        <w:spacing w:before="29" w:line="288" w:lineRule="auto"/>
        <w:ind w:firstLineChars="200" w:firstLine="480"/>
        <w:rPr>
          <w:color w:val="000000"/>
          <w:sz w:val="24"/>
          <w:szCs w:val="24"/>
        </w:rPr>
      </w:pPr>
      <w:r>
        <w:rPr>
          <w:color w:val="000000"/>
          <w:sz w:val="24"/>
          <w:szCs w:val="24"/>
        </w:rPr>
        <w:t>2018</w:t>
      </w:r>
      <w:r>
        <w:rPr>
          <w:color w:val="000000"/>
          <w:sz w:val="24"/>
          <w:szCs w:val="24"/>
        </w:rPr>
        <w:t>年二季度国内经济增长稳中趋缓，通胀回落，同时中美贸易冲突有所升级，人民币对美元贬值压力加大。受信用风险发酵，中美贸易冲突加剧以及人民币贬值因素影响，</w:t>
      </w:r>
      <w:r>
        <w:rPr>
          <w:color w:val="000000"/>
          <w:sz w:val="24"/>
          <w:szCs w:val="24"/>
        </w:rPr>
        <w:t>A</w:t>
      </w:r>
      <w:r>
        <w:rPr>
          <w:color w:val="000000"/>
          <w:sz w:val="24"/>
          <w:szCs w:val="24"/>
        </w:rPr>
        <w:t>股市场二季度下跌幅度较大。市场风险偏好下降，资金追求确定性溢价，涌向大消费板块抱团取暖，行业层面表现为医药和食品饮料涨幅居前，通信、电力设备新能源、有色、机械、房地产、建筑装饰、电子、传媒等板块跌幅居前。</w:t>
      </w:r>
    </w:p>
    <w:p w:rsidR="00A74583" w:rsidRDefault="005735D4">
      <w:pPr>
        <w:spacing w:before="29" w:line="288" w:lineRule="auto"/>
        <w:ind w:firstLineChars="200" w:firstLine="480"/>
        <w:rPr>
          <w:color w:val="000000"/>
          <w:sz w:val="24"/>
          <w:szCs w:val="24"/>
        </w:rPr>
      </w:pPr>
      <w:r>
        <w:rPr>
          <w:color w:val="000000"/>
          <w:sz w:val="24"/>
          <w:szCs w:val="24"/>
        </w:rPr>
        <w:t>2018</w:t>
      </w:r>
      <w:r>
        <w:rPr>
          <w:color w:val="000000"/>
          <w:sz w:val="24"/>
          <w:szCs w:val="24"/>
        </w:rPr>
        <w:t>年二季度本基金采取积极投资策略，在六月中下旬市场大幅下跌后逐步提高仓位，我们判断沪深</w:t>
      </w:r>
      <w:r>
        <w:rPr>
          <w:color w:val="000000"/>
          <w:sz w:val="24"/>
          <w:szCs w:val="24"/>
        </w:rPr>
        <w:t>300</w:t>
      </w:r>
      <w:r>
        <w:rPr>
          <w:color w:val="000000"/>
          <w:sz w:val="24"/>
          <w:szCs w:val="24"/>
        </w:rPr>
        <w:t>指数</w:t>
      </w:r>
      <w:r>
        <w:rPr>
          <w:color w:val="000000"/>
          <w:sz w:val="24"/>
          <w:szCs w:val="24"/>
        </w:rPr>
        <w:t>3500</w:t>
      </w:r>
      <w:r>
        <w:rPr>
          <w:color w:val="000000"/>
          <w:sz w:val="24"/>
          <w:szCs w:val="24"/>
        </w:rPr>
        <w:t>点以下从中期而言风险收益比较好。行业配置增配传媒、地产、计算机、公共事业，减持电力设备、金融、汽车、电子和食品饮料。二季度受市场下跌影响本基金下跌幅度较大，但跑赢业绩比较基准。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年下半年，我们对</w:t>
      </w:r>
      <w:r w:rsidRPr="00414345">
        <w:rPr>
          <w:color w:val="000000"/>
          <w:sz w:val="24"/>
          <w:szCs w:val="24"/>
        </w:rPr>
        <w:t>A</w:t>
      </w:r>
      <w:r w:rsidRPr="00414345">
        <w:rPr>
          <w:color w:val="000000"/>
          <w:sz w:val="24"/>
          <w:szCs w:val="24"/>
        </w:rPr>
        <w:t>股市场谨慎乐观。一方面，我们时刻警惕中美贸易摩擦、以及金融去杠杆进程深化再次对市场造成打击。另一方面，货币政策可能已经出现微调，流动性最紧张的时刻已经过去，而</w:t>
      </w:r>
      <w:r w:rsidRPr="00414345">
        <w:rPr>
          <w:color w:val="000000"/>
          <w:sz w:val="24"/>
          <w:szCs w:val="24"/>
        </w:rPr>
        <w:t>A</w:t>
      </w:r>
      <w:r w:rsidRPr="00414345">
        <w:rPr>
          <w:color w:val="000000"/>
          <w:sz w:val="24"/>
          <w:szCs w:val="24"/>
        </w:rPr>
        <w:t>股行业除了大消费以外，各子行业接近甚至低于</w:t>
      </w:r>
      <w:r w:rsidRPr="00414345">
        <w:rPr>
          <w:color w:val="000000"/>
          <w:sz w:val="24"/>
          <w:szCs w:val="24"/>
        </w:rPr>
        <w:t>2016</w:t>
      </w:r>
      <w:r w:rsidRPr="00414345">
        <w:rPr>
          <w:color w:val="000000"/>
          <w:sz w:val="24"/>
          <w:szCs w:val="24"/>
        </w:rPr>
        <w:t>年一月底的估值水平，我们相信价值风格只会迟来而不会缺席，下半年权益类资产配置时机已逐步到来。下半年本基金将维持较高仓位，看好传媒、医药、计算机、房地产等行业投资机会，精选优质成长股票，恪守安全边际，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0.6247</w:t>
      </w:r>
      <w:r w:rsidRPr="00414345">
        <w:rPr>
          <w:color w:val="000000"/>
          <w:sz w:val="24"/>
          <w:szCs w:val="24"/>
        </w:rPr>
        <w:t>元，本报告期份额净值增长率为</w:t>
      </w:r>
      <w:r w:rsidRPr="00414345">
        <w:rPr>
          <w:color w:val="000000"/>
          <w:sz w:val="24"/>
          <w:szCs w:val="24"/>
        </w:rPr>
        <w:t>-6.14%</w:t>
      </w:r>
      <w:r w:rsidRPr="00414345">
        <w:rPr>
          <w:color w:val="000000"/>
          <w:sz w:val="24"/>
          <w:szCs w:val="24"/>
        </w:rPr>
        <w:t>，同期业绩比较基准增长率为</w:t>
      </w:r>
      <w:r w:rsidRPr="00414345">
        <w:rPr>
          <w:color w:val="000000"/>
          <w:sz w:val="24"/>
          <w:szCs w:val="24"/>
        </w:rPr>
        <w:t>-7.03%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3,116,830,856.78</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91.36</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3,116,830,856.78</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91.36</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110,363,000.00</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3.23</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110,363,000.00</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3.23</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5735D4">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5735D4">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141,117,750.57</w:t>
            </w:r>
          </w:p>
        </w:tc>
        <w:tc>
          <w:tcPr>
            <w:tcW w:w="2801" w:type="dxa"/>
            <w:vAlign w:val="center"/>
          </w:tcPr>
          <w:p w:rsidR="00BF0019" w:rsidRPr="007B5F21" w:rsidRDefault="00BF0019" w:rsidP="005735D4">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4.14</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5735D4">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5735D4">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43,333,698.21</w:t>
            </w:r>
          </w:p>
        </w:tc>
        <w:tc>
          <w:tcPr>
            <w:tcW w:w="2801" w:type="dxa"/>
            <w:vAlign w:val="center"/>
          </w:tcPr>
          <w:p w:rsidR="00BF0019" w:rsidRPr="007B5F21" w:rsidRDefault="00BF0019" w:rsidP="005735D4">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1.27</w:t>
            </w:r>
          </w:p>
        </w:tc>
      </w:tr>
      <w:tr w:rsidR="00BF0019" w:rsidRPr="007B5F21" w:rsidTr="005735D4">
        <w:tc>
          <w:tcPr>
            <w:tcW w:w="720" w:type="dxa"/>
            <w:vAlign w:val="center"/>
          </w:tcPr>
          <w:p w:rsidR="00BF0019" w:rsidRPr="007B5F21" w:rsidRDefault="00BF0019" w:rsidP="005735D4">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5735D4">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5735D4">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3,411,645,305.56</w:t>
            </w:r>
          </w:p>
        </w:tc>
        <w:tc>
          <w:tcPr>
            <w:tcW w:w="2801" w:type="dxa"/>
            <w:vAlign w:val="center"/>
          </w:tcPr>
          <w:p w:rsidR="00BF0019" w:rsidRPr="007B5F21" w:rsidRDefault="00BF0019" w:rsidP="005735D4">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33,794,128.07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957,989,721.11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60,209,004.00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112,893,950.28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501,578,320.56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270,814,392.40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485,624,029.92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267,482,079.72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137,929,502.20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187,697,792.88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100,736,709.50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3,116,830,856.78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74583">
        <w:trPr>
          <w:jc w:val="center"/>
        </w:trPr>
        <w:tc>
          <w:tcPr>
            <w:tcW w:w="855" w:type="dxa"/>
            <w:vAlign w:val="center"/>
          </w:tcPr>
          <w:p w:rsidR="00A74583" w:rsidRDefault="005735D4">
            <w:pPr>
              <w:jc w:val="center"/>
            </w:pPr>
            <w:r>
              <w:rPr>
                <w:color w:val="000000"/>
                <w:sz w:val="24"/>
                <w:szCs w:val="24"/>
              </w:rPr>
              <w:t>1</w:t>
            </w:r>
          </w:p>
        </w:tc>
        <w:tc>
          <w:tcPr>
            <w:tcW w:w="1334" w:type="dxa"/>
            <w:vAlign w:val="center"/>
          </w:tcPr>
          <w:p w:rsidR="00A74583" w:rsidRDefault="005735D4">
            <w:pPr>
              <w:jc w:val="center"/>
            </w:pPr>
            <w:r>
              <w:rPr>
                <w:color w:val="000000"/>
                <w:sz w:val="24"/>
                <w:szCs w:val="24"/>
              </w:rPr>
              <w:t>600048</w:t>
            </w:r>
          </w:p>
        </w:tc>
        <w:tc>
          <w:tcPr>
            <w:tcW w:w="1777" w:type="dxa"/>
            <w:vAlign w:val="center"/>
          </w:tcPr>
          <w:p w:rsidR="00A74583" w:rsidRDefault="005735D4">
            <w:pPr>
              <w:jc w:val="center"/>
            </w:pPr>
            <w:r>
              <w:rPr>
                <w:color w:val="000000"/>
                <w:sz w:val="24"/>
                <w:szCs w:val="24"/>
              </w:rPr>
              <w:t>保利地产</w:t>
            </w:r>
          </w:p>
        </w:tc>
        <w:tc>
          <w:tcPr>
            <w:tcW w:w="1334" w:type="dxa"/>
            <w:vAlign w:val="center"/>
          </w:tcPr>
          <w:p w:rsidR="00A74583" w:rsidRDefault="005735D4">
            <w:pPr>
              <w:jc w:val="right"/>
            </w:pPr>
            <w:r>
              <w:rPr>
                <w:color w:val="000000"/>
                <w:sz w:val="24"/>
                <w:szCs w:val="24"/>
              </w:rPr>
              <w:t>24,172,821</w:t>
            </w:r>
          </w:p>
        </w:tc>
        <w:tc>
          <w:tcPr>
            <w:tcW w:w="1924" w:type="dxa"/>
            <w:vAlign w:val="center"/>
          </w:tcPr>
          <w:p w:rsidR="00A74583" w:rsidRDefault="005735D4">
            <w:pPr>
              <w:jc w:val="right"/>
            </w:pPr>
            <w:r>
              <w:rPr>
                <w:color w:val="000000"/>
                <w:sz w:val="24"/>
                <w:szCs w:val="24"/>
              </w:rPr>
              <w:t>294,908,416.20</w:t>
            </w:r>
          </w:p>
        </w:tc>
        <w:tc>
          <w:tcPr>
            <w:tcW w:w="1644" w:type="dxa"/>
            <w:vAlign w:val="center"/>
          </w:tcPr>
          <w:p w:rsidR="00A74583" w:rsidRDefault="005735D4">
            <w:pPr>
              <w:jc w:val="right"/>
            </w:pPr>
            <w:r>
              <w:rPr>
                <w:color w:val="000000"/>
                <w:sz w:val="24"/>
                <w:szCs w:val="24"/>
              </w:rPr>
              <w:t>8.67</w:t>
            </w:r>
          </w:p>
        </w:tc>
      </w:tr>
      <w:tr w:rsidR="00A74583">
        <w:trPr>
          <w:jc w:val="center"/>
        </w:trPr>
        <w:tc>
          <w:tcPr>
            <w:tcW w:w="855" w:type="dxa"/>
            <w:vAlign w:val="center"/>
          </w:tcPr>
          <w:p w:rsidR="00A74583" w:rsidRDefault="005735D4">
            <w:pPr>
              <w:jc w:val="center"/>
            </w:pPr>
            <w:r>
              <w:rPr>
                <w:color w:val="000000"/>
                <w:sz w:val="24"/>
                <w:szCs w:val="24"/>
              </w:rPr>
              <w:t>2</w:t>
            </w:r>
          </w:p>
        </w:tc>
        <w:tc>
          <w:tcPr>
            <w:tcW w:w="1334" w:type="dxa"/>
            <w:vAlign w:val="center"/>
          </w:tcPr>
          <w:p w:rsidR="00A74583" w:rsidRDefault="005735D4">
            <w:pPr>
              <w:jc w:val="center"/>
            </w:pPr>
            <w:r>
              <w:rPr>
                <w:color w:val="000000"/>
                <w:sz w:val="24"/>
                <w:szCs w:val="24"/>
              </w:rPr>
              <w:t>002027</w:t>
            </w:r>
          </w:p>
        </w:tc>
        <w:tc>
          <w:tcPr>
            <w:tcW w:w="1777" w:type="dxa"/>
            <w:vAlign w:val="center"/>
          </w:tcPr>
          <w:p w:rsidR="00A74583" w:rsidRDefault="005735D4">
            <w:pPr>
              <w:jc w:val="center"/>
            </w:pPr>
            <w:r>
              <w:rPr>
                <w:color w:val="000000"/>
                <w:sz w:val="24"/>
                <w:szCs w:val="24"/>
              </w:rPr>
              <w:t>分众传媒</w:t>
            </w:r>
          </w:p>
        </w:tc>
        <w:tc>
          <w:tcPr>
            <w:tcW w:w="1334" w:type="dxa"/>
            <w:vAlign w:val="center"/>
          </w:tcPr>
          <w:p w:rsidR="00A74583" w:rsidRDefault="005735D4">
            <w:pPr>
              <w:jc w:val="right"/>
            </w:pPr>
            <w:r>
              <w:rPr>
                <w:color w:val="000000"/>
                <w:sz w:val="24"/>
                <w:szCs w:val="24"/>
              </w:rPr>
              <w:t>28,097,396</w:t>
            </w:r>
          </w:p>
        </w:tc>
        <w:tc>
          <w:tcPr>
            <w:tcW w:w="1924" w:type="dxa"/>
            <w:vAlign w:val="center"/>
          </w:tcPr>
          <w:p w:rsidR="00A74583" w:rsidRDefault="005735D4">
            <w:pPr>
              <w:jc w:val="right"/>
            </w:pPr>
            <w:r>
              <w:rPr>
                <w:color w:val="000000"/>
                <w:sz w:val="24"/>
                <w:szCs w:val="24"/>
              </w:rPr>
              <w:t>267,482,079.72</w:t>
            </w:r>
          </w:p>
        </w:tc>
        <w:tc>
          <w:tcPr>
            <w:tcW w:w="1644" w:type="dxa"/>
            <w:vAlign w:val="center"/>
          </w:tcPr>
          <w:p w:rsidR="00A74583" w:rsidRDefault="005735D4">
            <w:pPr>
              <w:jc w:val="right"/>
            </w:pPr>
            <w:r>
              <w:rPr>
                <w:color w:val="000000"/>
                <w:sz w:val="24"/>
                <w:szCs w:val="24"/>
              </w:rPr>
              <w:t>7.86</w:t>
            </w:r>
          </w:p>
        </w:tc>
      </w:tr>
      <w:tr w:rsidR="00A74583">
        <w:trPr>
          <w:jc w:val="center"/>
        </w:trPr>
        <w:tc>
          <w:tcPr>
            <w:tcW w:w="855" w:type="dxa"/>
            <w:vAlign w:val="center"/>
          </w:tcPr>
          <w:p w:rsidR="00A74583" w:rsidRDefault="005735D4">
            <w:pPr>
              <w:jc w:val="center"/>
            </w:pPr>
            <w:r>
              <w:rPr>
                <w:color w:val="000000"/>
                <w:sz w:val="24"/>
                <w:szCs w:val="24"/>
              </w:rPr>
              <w:t>3</w:t>
            </w:r>
          </w:p>
        </w:tc>
        <w:tc>
          <w:tcPr>
            <w:tcW w:w="1334" w:type="dxa"/>
            <w:vAlign w:val="center"/>
          </w:tcPr>
          <w:p w:rsidR="00A74583" w:rsidRDefault="005735D4">
            <w:pPr>
              <w:jc w:val="center"/>
            </w:pPr>
            <w:r>
              <w:rPr>
                <w:color w:val="000000"/>
                <w:sz w:val="24"/>
                <w:szCs w:val="24"/>
              </w:rPr>
              <w:t>601100</w:t>
            </w:r>
          </w:p>
        </w:tc>
        <w:tc>
          <w:tcPr>
            <w:tcW w:w="1777" w:type="dxa"/>
            <w:vAlign w:val="center"/>
          </w:tcPr>
          <w:p w:rsidR="00A74583" w:rsidRDefault="005735D4">
            <w:pPr>
              <w:jc w:val="center"/>
            </w:pPr>
            <w:r>
              <w:rPr>
                <w:color w:val="000000"/>
                <w:sz w:val="24"/>
                <w:szCs w:val="24"/>
              </w:rPr>
              <w:t>恒立液压</w:t>
            </w:r>
          </w:p>
        </w:tc>
        <w:tc>
          <w:tcPr>
            <w:tcW w:w="1334" w:type="dxa"/>
            <w:vAlign w:val="center"/>
          </w:tcPr>
          <w:p w:rsidR="00A74583" w:rsidRDefault="005735D4">
            <w:pPr>
              <w:jc w:val="right"/>
            </w:pPr>
            <w:r>
              <w:rPr>
                <w:color w:val="000000"/>
                <w:sz w:val="24"/>
                <w:szCs w:val="24"/>
              </w:rPr>
              <w:t>9,398,806</w:t>
            </w:r>
          </w:p>
        </w:tc>
        <w:tc>
          <w:tcPr>
            <w:tcW w:w="1924" w:type="dxa"/>
            <w:vAlign w:val="center"/>
          </w:tcPr>
          <w:p w:rsidR="00A74583" w:rsidRDefault="005735D4">
            <w:pPr>
              <w:jc w:val="right"/>
            </w:pPr>
            <w:r>
              <w:rPr>
                <w:color w:val="000000"/>
                <w:sz w:val="24"/>
                <w:szCs w:val="24"/>
              </w:rPr>
              <w:t>196,247,069.28</w:t>
            </w:r>
          </w:p>
        </w:tc>
        <w:tc>
          <w:tcPr>
            <w:tcW w:w="1644" w:type="dxa"/>
            <w:vAlign w:val="center"/>
          </w:tcPr>
          <w:p w:rsidR="00A74583" w:rsidRDefault="005735D4">
            <w:pPr>
              <w:jc w:val="right"/>
            </w:pPr>
            <w:r>
              <w:rPr>
                <w:color w:val="000000"/>
                <w:sz w:val="24"/>
                <w:szCs w:val="24"/>
              </w:rPr>
              <w:t>5.77</w:t>
            </w:r>
          </w:p>
        </w:tc>
      </w:tr>
      <w:tr w:rsidR="00A74583">
        <w:trPr>
          <w:jc w:val="center"/>
        </w:trPr>
        <w:tc>
          <w:tcPr>
            <w:tcW w:w="855" w:type="dxa"/>
            <w:vAlign w:val="center"/>
          </w:tcPr>
          <w:p w:rsidR="00A74583" w:rsidRDefault="005735D4">
            <w:pPr>
              <w:jc w:val="center"/>
            </w:pPr>
            <w:r>
              <w:rPr>
                <w:color w:val="000000"/>
                <w:sz w:val="24"/>
                <w:szCs w:val="24"/>
              </w:rPr>
              <w:t>4</w:t>
            </w:r>
          </w:p>
        </w:tc>
        <w:tc>
          <w:tcPr>
            <w:tcW w:w="1334" w:type="dxa"/>
            <w:vAlign w:val="center"/>
          </w:tcPr>
          <w:p w:rsidR="00A74583" w:rsidRDefault="005735D4">
            <w:pPr>
              <w:jc w:val="center"/>
            </w:pPr>
            <w:r>
              <w:rPr>
                <w:color w:val="000000"/>
                <w:sz w:val="24"/>
                <w:szCs w:val="24"/>
              </w:rPr>
              <w:t>601155</w:t>
            </w:r>
          </w:p>
        </w:tc>
        <w:tc>
          <w:tcPr>
            <w:tcW w:w="1777" w:type="dxa"/>
            <w:vAlign w:val="center"/>
          </w:tcPr>
          <w:p w:rsidR="00A74583" w:rsidRDefault="005735D4">
            <w:pPr>
              <w:jc w:val="center"/>
            </w:pPr>
            <w:r>
              <w:rPr>
                <w:color w:val="000000"/>
                <w:sz w:val="24"/>
                <w:szCs w:val="24"/>
              </w:rPr>
              <w:t>新城控股</w:t>
            </w:r>
          </w:p>
        </w:tc>
        <w:tc>
          <w:tcPr>
            <w:tcW w:w="1334" w:type="dxa"/>
            <w:vAlign w:val="center"/>
          </w:tcPr>
          <w:p w:rsidR="00A74583" w:rsidRDefault="005735D4">
            <w:pPr>
              <w:jc w:val="right"/>
            </w:pPr>
            <w:r>
              <w:rPr>
                <w:color w:val="000000"/>
                <w:sz w:val="24"/>
                <w:szCs w:val="24"/>
              </w:rPr>
              <w:t>6,158,076</w:t>
            </w:r>
          </w:p>
        </w:tc>
        <w:tc>
          <w:tcPr>
            <w:tcW w:w="1924" w:type="dxa"/>
            <w:vAlign w:val="center"/>
          </w:tcPr>
          <w:p w:rsidR="00A74583" w:rsidRDefault="005735D4">
            <w:pPr>
              <w:jc w:val="right"/>
            </w:pPr>
            <w:r>
              <w:rPr>
                <w:color w:val="000000"/>
                <w:sz w:val="24"/>
                <w:szCs w:val="24"/>
              </w:rPr>
              <w:t>190,715,613.72</w:t>
            </w:r>
          </w:p>
        </w:tc>
        <w:tc>
          <w:tcPr>
            <w:tcW w:w="1644" w:type="dxa"/>
            <w:vAlign w:val="center"/>
          </w:tcPr>
          <w:p w:rsidR="00A74583" w:rsidRDefault="005735D4">
            <w:pPr>
              <w:jc w:val="right"/>
            </w:pPr>
            <w:r>
              <w:rPr>
                <w:color w:val="000000"/>
                <w:sz w:val="24"/>
                <w:szCs w:val="24"/>
              </w:rPr>
              <w:t>5.61</w:t>
            </w:r>
          </w:p>
        </w:tc>
      </w:tr>
      <w:tr w:rsidR="00A74583">
        <w:trPr>
          <w:jc w:val="center"/>
        </w:trPr>
        <w:tc>
          <w:tcPr>
            <w:tcW w:w="855" w:type="dxa"/>
            <w:vAlign w:val="center"/>
          </w:tcPr>
          <w:p w:rsidR="00A74583" w:rsidRDefault="005735D4">
            <w:pPr>
              <w:jc w:val="center"/>
            </w:pPr>
            <w:r>
              <w:rPr>
                <w:color w:val="000000"/>
                <w:sz w:val="24"/>
                <w:szCs w:val="24"/>
              </w:rPr>
              <w:t>5</w:t>
            </w:r>
          </w:p>
        </w:tc>
        <w:tc>
          <w:tcPr>
            <w:tcW w:w="1334" w:type="dxa"/>
            <w:vAlign w:val="center"/>
          </w:tcPr>
          <w:p w:rsidR="00A74583" w:rsidRDefault="005735D4">
            <w:pPr>
              <w:jc w:val="center"/>
            </w:pPr>
            <w:r>
              <w:rPr>
                <w:color w:val="000000"/>
                <w:sz w:val="24"/>
                <w:szCs w:val="24"/>
              </w:rPr>
              <w:t>601877</w:t>
            </w:r>
          </w:p>
        </w:tc>
        <w:tc>
          <w:tcPr>
            <w:tcW w:w="1777" w:type="dxa"/>
            <w:vAlign w:val="center"/>
          </w:tcPr>
          <w:p w:rsidR="00A74583" w:rsidRDefault="005735D4">
            <w:pPr>
              <w:jc w:val="center"/>
            </w:pPr>
            <w:r>
              <w:rPr>
                <w:color w:val="000000"/>
                <w:sz w:val="24"/>
                <w:szCs w:val="24"/>
              </w:rPr>
              <w:t>正泰电器</w:t>
            </w:r>
          </w:p>
        </w:tc>
        <w:tc>
          <w:tcPr>
            <w:tcW w:w="1334" w:type="dxa"/>
            <w:vAlign w:val="center"/>
          </w:tcPr>
          <w:p w:rsidR="00A74583" w:rsidRDefault="005735D4">
            <w:pPr>
              <w:jc w:val="right"/>
            </w:pPr>
            <w:r>
              <w:rPr>
                <w:color w:val="000000"/>
                <w:sz w:val="24"/>
                <w:szCs w:val="24"/>
              </w:rPr>
              <w:t>8,432,578</w:t>
            </w:r>
          </w:p>
        </w:tc>
        <w:tc>
          <w:tcPr>
            <w:tcW w:w="1924" w:type="dxa"/>
            <w:vAlign w:val="center"/>
          </w:tcPr>
          <w:p w:rsidR="00A74583" w:rsidRDefault="005735D4">
            <w:pPr>
              <w:jc w:val="right"/>
            </w:pPr>
            <w:r>
              <w:rPr>
                <w:color w:val="000000"/>
                <w:sz w:val="24"/>
                <w:szCs w:val="24"/>
              </w:rPr>
              <w:t>187,748,940.96</w:t>
            </w:r>
          </w:p>
        </w:tc>
        <w:tc>
          <w:tcPr>
            <w:tcW w:w="1644" w:type="dxa"/>
            <w:vAlign w:val="center"/>
          </w:tcPr>
          <w:p w:rsidR="00A74583" w:rsidRDefault="005735D4">
            <w:pPr>
              <w:jc w:val="right"/>
            </w:pPr>
            <w:r>
              <w:rPr>
                <w:color w:val="000000"/>
                <w:sz w:val="24"/>
                <w:szCs w:val="24"/>
              </w:rPr>
              <w:t>5.52</w:t>
            </w:r>
          </w:p>
        </w:tc>
      </w:tr>
      <w:tr w:rsidR="00A74583">
        <w:trPr>
          <w:jc w:val="center"/>
        </w:trPr>
        <w:tc>
          <w:tcPr>
            <w:tcW w:w="855" w:type="dxa"/>
            <w:vAlign w:val="center"/>
          </w:tcPr>
          <w:p w:rsidR="00A74583" w:rsidRDefault="005735D4">
            <w:pPr>
              <w:jc w:val="center"/>
            </w:pPr>
            <w:r>
              <w:rPr>
                <w:color w:val="000000"/>
                <w:sz w:val="24"/>
                <w:szCs w:val="24"/>
              </w:rPr>
              <w:t>6</w:t>
            </w:r>
          </w:p>
        </w:tc>
        <w:tc>
          <w:tcPr>
            <w:tcW w:w="1334" w:type="dxa"/>
            <w:vAlign w:val="center"/>
          </w:tcPr>
          <w:p w:rsidR="00A74583" w:rsidRDefault="005735D4">
            <w:pPr>
              <w:jc w:val="center"/>
            </w:pPr>
            <w:r>
              <w:rPr>
                <w:color w:val="000000"/>
                <w:sz w:val="24"/>
                <w:szCs w:val="24"/>
              </w:rPr>
              <w:t>601009</w:t>
            </w:r>
          </w:p>
        </w:tc>
        <w:tc>
          <w:tcPr>
            <w:tcW w:w="1777" w:type="dxa"/>
            <w:vAlign w:val="center"/>
          </w:tcPr>
          <w:p w:rsidR="00A74583" w:rsidRDefault="005735D4">
            <w:pPr>
              <w:jc w:val="center"/>
            </w:pPr>
            <w:r>
              <w:rPr>
                <w:color w:val="000000"/>
                <w:sz w:val="24"/>
                <w:szCs w:val="24"/>
              </w:rPr>
              <w:t>南京银行</w:t>
            </w:r>
          </w:p>
        </w:tc>
        <w:tc>
          <w:tcPr>
            <w:tcW w:w="1334" w:type="dxa"/>
            <w:vAlign w:val="center"/>
          </w:tcPr>
          <w:p w:rsidR="00A74583" w:rsidRDefault="005735D4">
            <w:pPr>
              <w:jc w:val="right"/>
            </w:pPr>
            <w:r>
              <w:rPr>
                <w:color w:val="000000"/>
                <w:sz w:val="24"/>
                <w:szCs w:val="24"/>
              </w:rPr>
              <w:t>21,938,971</w:t>
            </w:r>
          </w:p>
        </w:tc>
        <w:tc>
          <w:tcPr>
            <w:tcW w:w="1924" w:type="dxa"/>
            <w:vAlign w:val="center"/>
          </w:tcPr>
          <w:p w:rsidR="00A74583" w:rsidRDefault="005735D4">
            <w:pPr>
              <w:jc w:val="right"/>
            </w:pPr>
            <w:r>
              <w:rPr>
                <w:color w:val="000000"/>
                <w:sz w:val="24"/>
                <w:szCs w:val="24"/>
              </w:rPr>
              <w:t>169,588,245.83</w:t>
            </w:r>
          </w:p>
        </w:tc>
        <w:tc>
          <w:tcPr>
            <w:tcW w:w="1644" w:type="dxa"/>
            <w:vAlign w:val="center"/>
          </w:tcPr>
          <w:p w:rsidR="00A74583" w:rsidRDefault="005735D4">
            <w:pPr>
              <w:jc w:val="right"/>
            </w:pPr>
            <w:r>
              <w:rPr>
                <w:color w:val="000000"/>
                <w:sz w:val="24"/>
                <w:szCs w:val="24"/>
              </w:rPr>
              <w:t>4.99</w:t>
            </w:r>
          </w:p>
        </w:tc>
      </w:tr>
      <w:tr w:rsidR="00A74583">
        <w:trPr>
          <w:jc w:val="center"/>
        </w:trPr>
        <w:tc>
          <w:tcPr>
            <w:tcW w:w="855" w:type="dxa"/>
            <w:vAlign w:val="center"/>
          </w:tcPr>
          <w:p w:rsidR="00A74583" w:rsidRDefault="005735D4">
            <w:pPr>
              <w:jc w:val="center"/>
            </w:pPr>
            <w:r>
              <w:rPr>
                <w:color w:val="000000"/>
                <w:sz w:val="24"/>
                <w:szCs w:val="24"/>
              </w:rPr>
              <w:t>7</w:t>
            </w:r>
          </w:p>
        </w:tc>
        <w:tc>
          <w:tcPr>
            <w:tcW w:w="1334" w:type="dxa"/>
            <w:vAlign w:val="center"/>
          </w:tcPr>
          <w:p w:rsidR="00A74583" w:rsidRDefault="005735D4">
            <w:pPr>
              <w:jc w:val="center"/>
            </w:pPr>
            <w:r>
              <w:rPr>
                <w:color w:val="000000"/>
                <w:sz w:val="24"/>
                <w:szCs w:val="24"/>
              </w:rPr>
              <w:t>300059</w:t>
            </w:r>
          </w:p>
        </w:tc>
        <w:tc>
          <w:tcPr>
            <w:tcW w:w="1777" w:type="dxa"/>
            <w:vAlign w:val="center"/>
          </w:tcPr>
          <w:p w:rsidR="00A74583" w:rsidRDefault="005735D4">
            <w:pPr>
              <w:jc w:val="center"/>
            </w:pPr>
            <w:r>
              <w:rPr>
                <w:color w:val="000000"/>
                <w:sz w:val="24"/>
                <w:szCs w:val="24"/>
              </w:rPr>
              <w:t>东方财富</w:t>
            </w:r>
          </w:p>
        </w:tc>
        <w:tc>
          <w:tcPr>
            <w:tcW w:w="1334" w:type="dxa"/>
            <w:vAlign w:val="center"/>
          </w:tcPr>
          <w:p w:rsidR="00A74583" w:rsidRDefault="005735D4">
            <w:pPr>
              <w:jc w:val="right"/>
            </w:pPr>
            <w:r>
              <w:rPr>
                <w:color w:val="000000"/>
                <w:sz w:val="24"/>
                <w:szCs w:val="24"/>
              </w:rPr>
              <w:t>12,726,675</w:t>
            </w:r>
          </w:p>
        </w:tc>
        <w:tc>
          <w:tcPr>
            <w:tcW w:w="1924" w:type="dxa"/>
            <w:vAlign w:val="center"/>
          </w:tcPr>
          <w:p w:rsidR="00A74583" w:rsidRDefault="005735D4">
            <w:pPr>
              <w:jc w:val="right"/>
            </w:pPr>
            <w:r>
              <w:rPr>
                <w:color w:val="000000"/>
                <w:sz w:val="24"/>
                <w:szCs w:val="24"/>
              </w:rPr>
              <w:t>167,737,576.50</w:t>
            </w:r>
          </w:p>
        </w:tc>
        <w:tc>
          <w:tcPr>
            <w:tcW w:w="1644" w:type="dxa"/>
            <w:vAlign w:val="center"/>
          </w:tcPr>
          <w:p w:rsidR="00A74583" w:rsidRDefault="005735D4">
            <w:pPr>
              <w:jc w:val="right"/>
            </w:pPr>
            <w:r>
              <w:rPr>
                <w:color w:val="000000"/>
                <w:sz w:val="24"/>
                <w:szCs w:val="24"/>
              </w:rPr>
              <w:t>4.93</w:t>
            </w:r>
          </w:p>
        </w:tc>
      </w:tr>
      <w:tr w:rsidR="00A74583">
        <w:trPr>
          <w:jc w:val="center"/>
        </w:trPr>
        <w:tc>
          <w:tcPr>
            <w:tcW w:w="855" w:type="dxa"/>
            <w:vAlign w:val="center"/>
          </w:tcPr>
          <w:p w:rsidR="00A74583" w:rsidRDefault="005735D4">
            <w:pPr>
              <w:jc w:val="center"/>
            </w:pPr>
            <w:r>
              <w:rPr>
                <w:color w:val="000000"/>
                <w:sz w:val="24"/>
                <w:szCs w:val="24"/>
              </w:rPr>
              <w:t>8</w:t>
            </w:r>
          </w:p>
        </w:tc>
        <w:tc>
          <w:tcPr>
            <w:tcW w:w="1334" w:type="dxa"/>
            <w:vAlign w:val="center"/>
          </w:tcPr>
          <w:p w:rsidR="00A74583" w:rsidRDefault="005735D4">
            <w:pPr>
              <w:jc w:val="center"/>
            </w:pPr>
            <w:r>
              <w:rPr>
                <w:color w:val="000000"/>
                <w:sz w:val="24"/>
                <w:szCs w:val="24"/>
              </w:rPr>
              <w:t>002456</w:t>
            </w:r>
          </w:p>
        </w:tc>
        <w:tc>
          <w:tcPr>
            <w:tcW w:w="1777" w:type="dxa"/>
            <w:vAlign w:val="center"/>
          </w:tcPr>
          <w:p w:rsidR="00A74583" w:rsidRDefault="005735D4">
            <w:pPr>
              <w:jc w:val="center"/>
            </w:pPr>
            <w:r>
              <w:rPr>
                <w:color w:val="000000"/>
                <w:sz w:val="24"/>
                <w:szCs w:val="24"/>
              </w:rPr>
              <w:t>欧菲科技</w:t>
            </w:r>
          </w:p>
        </w:tc>
        <w:tc>
          <w:tcPr>
            <w:tcW w:w="1334" w:type="dxa"/>
            <w:vAlign w:val="center"/>
          </w:tcPr>
          <w:p w:rsidR="00A74583" w:rsidRDefault="005735D4">
            <w:pPr>
              <w:jc w:val="right"/>
            </w:pPr>
            <w:r>
              <w:rPr>
                <w:color w:val="000000"/>
                <w:sz w:val="24"/>
                <w:szCs w:val="24"/>
              </w:rPr>
              <w:t>9,991,820</w:t>
            </w:r>
          </w:p>
        </w:tc>
        <w:tc>
          <w:tcPr>
            <w:tcW w:w="1924" w:type="dxa"/>
            <w:vAlign w:val="center"/>
          </w:tcPr>
          <w:p w:rsidR="00A74583" w:rsidRDefault="005735D4">
            <w:pPr>
              <w:jc w:val="right"/>
            </w:pPr>
            <w:r>
              <w:rPr>
                <w:color w:val="000000"/>
                <w:sz w:val="24"/>
                <w:szCs w:val="24"/>
              </w:rPr>
              <w:t>161,168,056.60</w:t>
            </w:r>
          </w:p>
        </w:tc>
        <w:tc>
          <w:tcPr>
            <w:tcW w:w="1644" w:type="dxa"/>
            <w:vAlign w:val="center"/>
          </w:tcPr>
          <w:p w:rsidR="00A74583" w:rsidRDefault="005735D4">
            <w:pPr>
              <w:jc w:val="right"/>
            </w:pPr>
            <w:r>
              <w:rPr>
                <w:color w:val="000000"/>
                <w:sz w:val="24"/>
                <w:szCs w:val="24"/>
              </w:rPr>
              <w:t>4.74</w:t>
            </w:r>
          </w:p>
        </w:tc>
      </w:tr>
      <w:tr w:rsidR="00A74583">
        <w:trPr>
          <w:jc w:val="center"/>
        </w:trPr>
        <w:tc>
          <w:tcPr>
            <w:tcW w:w="855" w:type="dxa"/>
            <w:vAlign w:val="center"/>
          </w:tcPr>
          <w:p w:rsidR="00A74583" w:rsidRDefault="005735D4">
            <w:pPr>
              <w:jc w:val="center"/>
            </w:pPr>
            <w:r>
              <w:rPr>
                <w:color w:val="000000"/>
                <w:sz w:val="24"/>
                <w:szCs w:val="24"/>
              </w:rPr>
              <w:t>9</w:t>
            </w:r>
          </w:p>
        </w:tc>
        <w:tc>
          <w:tcPr>
            <w:tcW w:w="1334" w:type="dxa"/>
            <w:vAlign w:val="center"/>
          </w:tcPr>
          <w:p w:rsidR="00A74583" w:rsidRDefault="005735D4">
            <w:pPr>
              <w:jc w:val="center"/>
            </w:pPr>
            <w:r>
              <w:rPr>
                <w:color w:val="000000"/>
                <w:sz w:val="24"/>
                <w:szCs w:val="24"/>
              </w:rPr>
              <w:t>300012</w:t>
            </w:r>
          </w:p>
        </w:tc>
        <w:tc>
          <w:tcPr>
            <w:tcW w:w="1777" w:type="dxa"/>
            <w:vAlign w:val="center"/>
          </w:tcPr>
          <w:p w:rsidR="00A74583" w:rsidRDefault="005735D4">
            <w:pPr>
              <w:jc w:val="center"/>
            </w:pPr>
            <w:r>
              <w:rPr>
                <w:color w:val="000000"/>
                <w:sz w:val="24"/>
                <w:szCs w:val="24"/>
              </w:rPr>
              <w:t>华测检测</w:t>
            </w:r>
          </w:p>
        </w:tc>
        <w:tc>
          <w:tcPr>
            <w:tcW w:w="1334" w:type="dxa"/>
            <w:vAlign w:val="center"/>
          </w:tcPr>
          <w:p w:rsidR="00A74583" w:rsidRDefault="005735D4">
            <w:pPr>
              <w:jc w:val="right"/>
            </w:pPr>
            <w:r>
              <w:rPr>
                <w:color w:val="000000"/>
                <w:sz w:val="24"/>
                <w:szCs w:val="24"/>
              </w:rPr>
              <w:t>24,029,530</w:t>
            </w:r>
          </w:p>
        </w:tc>
        <w:tc>
          <w:tcPr>
            <w:tcW w:w="1924" w:type="dxa"/>
            <w:vAlign w:val="center"/>
          </w:tcPr>
          <w:p w:rsidR="00A74583" w:rsidRDefault="005735D4">
            <w:pPr>
              <w:jc w:val="right"/>
            </w:pPr>
            <w:r>
              <w:rPr>
                <w:color w:val="000000"/>
                <w:sz w:val="24"/>
                <w:szCs w:val="24"/>
              </w:rPr>
              <w:t>137,929,502.20</w:t>
            </w:r>
          </w:p>
        </w:tc>
        <w:tc>
          <w:tcPr>
            <w:tcW w:w="1644" w:type="dxa"/>
            <w:vAlign w:val="center"/>
          </w:tcPr>
          <w:p w:rsidR="00A74583" w:rsidRDefault="005735D4">
            <w:pPr>
              <w:jc w:val="right"/>
            </w:pPr>
            <w:r>
              <w:rPr>
                <w:color w:val="000000"/>
                <w:sz w:val="24"/>
                <w:szCs w:val="24"/>
              </w:rPr>
              <w:t>4.06</w:t>
            </w:r>
          </w:p>
        </w:tc>
      </w:tr>
      <w:tr w:rsidR="00A74583">
        <w:trPr>
          <w:jc w:val="center"/>
        </w:trPr>
        <w:tc>
          <w:tcPr>
            <w:tcW w:w="855" w:type="dxa"/>
            <w:vAlign w:val="center"/>
          </w:tcPr>
          <w:p w:rsidR="00A74583" w:rsidRDefault="005735D4">
            <w:pPr>
              <w:jc w:val="center"/>
            </w:pPr>
            <w:r>
              <w:rPr>
                <w:color w:val="000000"/>
                <w:sz w:val="24"/>
                <w:szCs w:val="24"/>
              </w:rPr>
              <w:t>10</w:t>
            </w:r>
          </w:p>
        </w:tc>
        <w:tc>
          <w:tcPr>
            <w:tcW w:w="1334" w:type="dxa"/>
            <w:vAlign w:val="center"/>
          </w:tcPr>
          <w:p w:rsidR="00A74583" w:rsidRDefault="005735D4">
            <w:pPr>
              <w:jc w:val="center"/>
            </w:pPr>
            <w:r>
              <w:rPr>
                <w:color w:val="000000"/>
                <w:sz w:val="24"/>
                <w:szCs w:val="24"/>
              </w:rPr>
              <w:t>300170</w:t>
            </w:r>
          </w:p>
        </w:tc>
        <w:tc>
          <w:tcPr>
            <w:tcW w:w="1777" w:type="dxa"/>
            <w:vAlign w:val="center"/>
          </w:tcPr>
          <w:p w:rsidR="00A74583" w:rsidRDefault="005735D4">
            <w:pPr>
              <w:jc w:val="center"/>
            </w:pPr>
            <w:r>
              <w:rPr>
                <w:color w:val="000000"/>
                <w:sz w:val="24"/>
                <w:szCs w:val="24"/>
              </w:rPr>
              <w:t>汉得信息</w:t>
            </w:r>
          </w:p>
        </w:tc>
        <w:tc>
          <w:tcPr>
            <w:tcW w:w="1334" w:type="dxa"/>
            <w:vAlign w:val="center"/>
          </w:tcPr>
          <w:p w:rsidR="00A74583" w:rsidRDefault="005735D4">
            <w:pPr>
              <w:jc w:val="right"/>
            </w:pPr>
            <w:r>
              <w:rPr>
                <w:color w:val="000000"/>
                <w:sz w:val="24"/>
                <w:szCs w:val="24"/>
              </w:rPr>
              <w:t>7,516,962</w:t>
            </w:r>
          </w:p>
        </w:tc>
        <w:tc>
          <w:tcPr>
            <w:tcW w:w="1924" w:type="dxa"/>
            <w:vAlign w:val="center"/>
          </w:tcPr>
          <w:p w:rsidR="00A74583" w:rsidRDefault="005735D4">
            <w:pPr>
              <w:jc w:val="right"/>
            </w:pPr>
            <w:r>
              <w:rPr>
                <w:color w:val="000000"/>
                <w:sz w:val="24"/>
                <w:szCs w:val="24"/>
              </w:rPr>
              <w:t>122,075,462.88</w:t>
            </w:r>
          </w:p>
        </w:tc>
        <w:tc>
          <w:tcPr>
            <w:tcW w:w="1644" w:type="dxa"/>
            <w:vAlign w:val="center"/>
          </w:tcPr>
          <w:p w:rsidR="00A74583" w:rsidRDefault="005735D4">
            <w:pPr>
              <w:jc w:val="right"/>
            </w:pPr>
            <w:r>
              <w:rPr>
                <w:color w:val="000000"/>
                <w:sz w:val="24"/>
                <w:szCs w:val="24"/>
              </w:rPr>
              <w:t>3.59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60,348,000.00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1.77</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5735D4">
        <w:trPr>
          <w:jc w:val="center"/>
        </w:trPr>
        <w:tc>
          <w:tcPr>
            <w:tcW w:w="828" w:type="dxa"/>
            <w:vAlign w:val="center"/>
          </w:tcPr>
          <w:p w:rsidR="00F323FF" w:rsidRPr="007A70C2" w:rsidRDefault="00F323FF" w:rsidP="005735D4">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5735D4">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5735D4">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5735D4">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110,363,000.00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74583">
        <w:trPr>
          <w:jc w:val="center"/>
        </w:trPr>
        <w:tc>
          <w:tcPr>
            <w:tcW w:w="850" w:type="dxa"/>
            <w:vAlign w:val="center"/>
          </w:tcPr>
          <w:p w:rsidR="00A74583" w:rsidRDefault="005735D4">
            <w:pPr>
              <w:jc w:val="center"/>
            </w:pPr>
            <w:r>
              <w:rPr>
                <w:color w:val="000000"/>
                <w:sz w:val="24"/>
                <w:szCs w:val="24"/>
              </w:rPr>
              <w:t>1</w:t>
            </w:r>
          </w:p>
        </w:tc>
        <w:tc>
          <w:tcPr>
            <w:tcW w:w="1475" w:type="dxa"/>
            <w:vAlign w:val="center"/>
          </w:tcPr>
          <w:p w:rsidR="00A74583" w:rsidRDefault="005735D4">
            <w:pPr>
              <w:jc w:val="center"/>
            </w:pPr>
            <w:r>
              <w:rPr>
                <w:color w:val="000000"/>
                <w:sz w:val="24"/>
                <w:szCs w:val="24"/>
              </w:rPr>
              <w:t>150418</w:t>
            </w:r>
          </w:p>
        </w:tc>
        <w:tc>
          <w:tcPr>
            <w:tcW w:w="1769" w:type="dxa"/>
            <w:vAlign w:val="center"/>
          </w:tcPr>
          <w:p w:rsidR="00A74583" w:rsidRDefault="005735D4">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A74583" w:rsidRDefault="005735D4">
            <w:pPr>
              <w:jc w:val="right"/>
            </w:pPr>
            <w:r>
              <w:rPr>
                <w:color w:val="000000"/>
                <w:sz w:val="24"/>
                <w:szCs w:val="24"/>
              </w:rPr>
              <w:t>500,000</w:t>
            </w:r>
          </w:p>
        </w:tc>
        <w:tc>
          <w:tcPr>
            <w:tcW w:w="2150" w:type="dxa"/>
            <w:vAlign w:val="center"/>
          </w:tcPr>
          <w:p w:rsidR="00A74583" w:rsidRDefault="005735D4">
            <w:pPr>
              <w:jc w:val="right"/>
            </w:pPr>
            <w:r>
              <w:rPr>
                <w:color w:val="000000"/>
                <w:sz w:val="24"/>
                <w:szCs w:val="24"/>
              </w:rPr>
              <w:t>50,015,000.00</w:t>
            </w:r>
          </w:p>
        </w:tc>
        <w:tc>
          <w:tcPr>
            <w:tcW w:w="1237" w:type="dxa"/>
            <w:vAlign w:val="center"/>
          </w:tcPr>
          <w:p w:rsidR="00A74583" w:rsidRDefault="005735D4">
            <w:pPr>
              <w:jc w:val="right"/>
            </w:pPr>
            <w:r>
              <w:rPr>
                <w:color w:val="000000"/>
                <w:sz w:val="24"/>
                <w:szCs w:val="24"/>
              </w:rPr>
              <w:t>1.47</w:t>
            </w:r>
          </w:p>
        </w:tc>
      </w:tr>
      <w:tr w:rsidR="00A74583">
        <w:trPr>
          <w:jc w:val="center"/>
        </w:trPr>
        <w:tc>
          <w:tcPr>
            <w:tcW w:w="850" w:type="dxa"/>
            <w:vAlign w:val="center"/>
          </w:tcPr>
          <w:p w:rsidR="00A74583" w:rsidRDefault="005735D4">
            <w:pPr>
              <w:jc w:val="center"/>
            </w:pPr>
            <w:r>
              <w:rPr>
                <w:color w:val="000000"/>
                <w:sz w:val="24"/>
                <w:szCs w:val="24"/>
              </w:rPr>
              <w:t>2</w:t>
            </w:r>
          </w:p>
        </w:tc>
        <w:tc>
          <w:tcPr>
            <w:tcW w:w="1475" w:type="dxa"/>
            <w:vAlign w:val="center"/>
          </w:tcPr>
          <w:p w:rsidR="00A74583" w:rsidRDefault="005735D4">
            <w:pPr>
              <w:jc w:val="center"/>
            </w:pPr>
            <w:r>
              <w:rPr>
                <w:color w:val="000000"/>
                <w:sz w:val="24"/>
                <w:szCs w:val="24"/>
              </w:rPr>
              <w:t>011758117</w:t>
            </w:r>
          </w:p>
        </w:tc>
        <w:tc>
          <w:tcPr>
            <w:tcW w:w="1769" w:type="dxa"/>
            <w:vAlign w:val="center"/>
          </w:tcPr>
          <w:p w:rsidR="00A74583" w:rsidRDefault="005735D4">
            <w:pPr>
              <w:jc w:val="center"/>
            </w:pPr>
            <w:r>
              <w:rPr>
                <w:color w:val="000000"/>
                <w:sz w:val="24"/>
                <w:szCs w:val="24"/>
              </w:rPr>
              <w:t>17</w:t>
            </w:r>
            <w:r>
              <w:rPr>
                <w:color w:val="000000"/>
                <w:sz w:val="24"/>
                <w:szCs w:val="24"/>
              </w:rPr>
              <w:t>粤广业</w:t>
            </w:r>
            <w:r>
              <w:rPr>
                <w:color w:val="000000"/>
                <w:sz w:val="24"/>
                <w:szCs w:val="24"/>
              </w:rPr>
              <w:t>SCP006</w:t>
            </w:r>
          </w:p>
        </w:tc>
        <w:tc>
          <w:tcPr>
            <w:tcW w:w="1387" w:type="dxa"/>
            <w:vAlign w:val="center"/>
          </w:tcPr>
          <w:p w:rsidR="00A74583" w:rsidRDefault="005735D4">
            <w:pPr>
              <w:jc w:val="right"/>
            </w:pPr>
            <w:r>
              <w:rPr>
                <w:color w:val="000000"/>
                <w:sz w:val="24"/>
                <w:szCs w:val="24"/>
              </w:rPr>
              <w:t>300,000</w:t>
            </w:r>
          </w:p>
        </w:tc>
        <w:tc>
          <w:tcPr>
            <w:tcW w:w="2150" w:type="dxa"/>
            <w:vAlign w:val="center"/>
          </w:tcPr>
          <w:p w:rsidR="00A74583" w:rsidRDefault="005735D4">
            <w:pPr>
              <w:jc w:val="right"/>
            </w:pPr>
            <w:r>
              <w:rPr>
                <w:color w:val="000000"/>
                <w:sz w:val="24"/>
                <w:szCs w:val="24"/>
              </w:rPr>
              <w:t>30,204,000.00</w:t>
            </w:r>
          </w:p>
        </w:tc>
        <w:tc>
          <w:tcPr>
            <w:tcW w:w="1237" w:type="dxa"/>
            <w:vAlign w:val="center"/>
          </w:tcPr>
          <w:p w:rsidR="00A74583" w:rsidRDefault="005735D4">
            <w:pPr>
              <w:jc w:val="right"/>
            </w:pPr>
            <w:r>
              <w:rPr>
                <w:color w:val="000000"/>
                <w:sz w:val="24"/>
                <w:szCs w:val="24"/>
              </w:rPr>
              <w:t>0.89</w:t>
            </w:r>
          </w:p>
        </w:tc>
      </w:tr>
      <w:tr w:rsidR="00A74583">
        <w:trPr>
          <w:jc w:val="center"/>
        </w:trPr>
        <w:tc>
          <w:tcPr>
            <w:tcW w:w="850" w:type="dxa"/>
            <w:vAlign w:val="center"/>
          </w:tcPr>
          <w:p w:rsidR="00A74583" w:rsidRDefault="005735D4">
            <w:pPr>
              <w:jc w:val="center"/>
            </w:pPr>
            <w:r>
              <w:rPr>
                <w:color w:val="000000"/>
                <w:sz w:val="24"/>
                <w:szCs w:val="24"/>
              </w:rPr>
              <w:t>3</w:t>
            </w:r>
          </w:p>
        </w:tc>
        <w:tc>
          <w:tcPr>
            <w:tcW w:w="1475" w:type="dxa"/>
            <w:vAlign w:val="center"/>
          </w:tcPr>
          <w:p w:rsidR="00A74583" w:rsidRDefault="005735D4">
            <w:pPr>
              <w:jc w:val="center"/>
            </w:pPr>
            <w:r>
              <w:rPr>
                <w:color w:val="000000"/>
                <w:sz w:val="24"/>
                <w:szCs w:val="24"/>
              </w:rPr>
              <w:t>011800164</w:t>
            </w:r>
          </w:p>
        </w:tc>
        <w:tc>
          <w:tcPr>
            <w:tcW w:w="1769" w:type="dxa"/>
            <w:vAlign w:val="center"/>
          </w:tcPr>
          <w:p w:rsidR="00A74583" w:rsidRDefault="005735D4">
            <w:pPr>
              <w:jc w:val="center"/>
            </w:pPr>
            <w:r>
              <w:rPr>
                <w:color w:val="000000"/>
                <w:sz w:val="24"/>
                <w:szCs w:val="24"/>
              </w:rPr>
              <w:t>18</w:t>
            </w:r>
            <w:r>
              <w:rPr>
                <w:color w:val="000000"/>
                <w:sz w:val="24"/>
                <w:szCs w:val="24"/>
              </w:rPr>
              <w:t>粤珠江</w:t>
            </w:r>
            <w:r>
              <w:rPr>
                <w:color w:val="000000"/>
                <w:sz w:val="24"/>
                <w:szCs w:val="24"/>
              </w:rPr>
              <w:t>SCP001</w:t>
            </w:r>
          </w:p>
        </w:tc>
        <w:tc>
          <w:tcPr>
            <w:tcW w:w="1387" w:type="dxa"/>
            <w:vAlign w:val="center"/>
          </w:tcPr>
          <w:p w:rsidR="00A74583" w:rsidRDefault="005735D4">
            <w:pPr>
              <w:jc w:val="right"/>
            </w:pPr>
            <w:r>
              <w:rPr>
                <w:color w:val="000000"/>
                <w:sz w:val="24"/>
                <w:szCs w:val="24"/>
              </w:rPr>
              <w:t>300,000</w:t>
            </w:r>
          </w:p>
        </w:tc>
        <w:tc>
          <w:tcPr>
            <w:tcW w:w="2150" w:type="dxa"/>
            <w:vAlign w:val="center"/>
          </w:tcPr>
          <w:p w:rsidR="00A74583" w:rsidRDefault="005735D4">
            <w:pPr>
              <w:jc w:val="right"/>
            </w:pPr>
            <w:r>
              <w:rPr>
                <w:color w:val="000000"/>
                <w:sz w:val="24"/>
                <w:szCs w:val="24"/>
              </w:rPr>
              <w:t>30,144,000.00</w:t>
            </w:r>
          </w:p>
        </w:tc>
        <w:tc>
          <w:tcPr>
            <w:tcW w:w="1237" w:type="dxa"/>
            <w:vAlign w:val="center"/>
          </w:tcPr>
          <w:p w:rsidR="00A74583" w:rsidRDefault="005735D4">
            <w:pPr>
              <w:jc w:val="right"/>
            </w:pPr>
            <w:r>
              <w:rPr>
                <w:color w:val="000000"/>
                <w:sz w:val="24"/>
                <w:szCs w:val="24"/>
              </w:rPr>
              <w:t>0.89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）外，未出现被监管部门立案调查，或在报告编制日前一年内受到公开谴责、处罚的情形。</w:t>
      </w:r>
    </w:p>
    <w:p w:rsidR="00A74583" w:rsidRDefault="005735D4">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A74583" w:rsidRDefault="005735D4">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1,993,610.04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32,089,895.86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3,050,918.57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6,199,273.74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43,333,698.21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74583">
        <w:trPr>
          <w:jc w:val="center"/>
        </w:trPr>
        <w:tc>
          <w:tcPr>
            <w:tcW w:w="1129" w:type="dxa"/>
            <w:vAlign w:val="center"/>
          </w:tcPr>
          <w:p w:rsidR="00A74583" w:rsidRDefault="005735D4">
            <w:pPr>
              <w:jc w:val="center"/>
            </w:pPr>
            <w:r>
              <w:rPr>
                <w:color w:val="000000"/>
                <w:sz w:val="24"/>
                <w:szCs w:val="24"/>
              </w:rPr>
              <w:t>1</w:t>
            </w:r>
          </w:p>
        </w:tc>
        <w:tc>
          <w:tcPr>
            <w:tcW w:w="1356" w:type="dxa"/>
            <w:vAlign w:val="center"/>
          </w:tcPr>
          <w:p w:rsidR="00A74583" w:rsidRDefault="005735D4">
            <w:pPr>
              <w:jc w:val="center"/>
            </w:pPr>
            <w:r>
              <w:rPr>
                <w:color w:val="000000"/>
                <w:sz w:val="24"/>
                <w:szCs w:val="24"/>
              </w:rPr>
              <w:t>002027</w:t>
            </w:r>
          </w:p>
        </w:tc>
        <w:tc>
          <w:tcPr>
            <w:tcW w:w="1355" w:type="dxa"/>
            <w:vAlign w:val="center"/>
          </w:tcPr>
          <w:p w:rsidR="00A74583" w:rsidRDefault="005735D4">
            <w:pPr>
              <w:jc w:val="center"/>
            </w:pPr>
            <w:r>
              <w:rPr>
                <w:color w:val="000000"/>
                <w:sz w:val="24"/>
                <w:szCs w:val="24"/>
              </w:rPr>
              <w:t>分众传媒</w:t>
            </w:r>
          </w:p>
        </w:tc>
        <w:tc>
          <w:tcPr>
            <w:tcW w:w="1880" w:type="dxa"/>
            <w:vAlign w:val="center"/>
          </w:tcPr>
          <w:p w:rsidR="00A74583" w:rsidRDefault="005735D4">
            <w:pPr>
              <w:jc w:val="right"/>
            </w:pPr>
            <w:r>
              <w:rPr>
                <w:color w:val="000000"/>
                <w:sz w:val="24"/>
                <w:szCs w:val="24"/>
              </w:rPr>
              <w:t>27,300,000.00</w:t>
            </w:r>
          </w:p>
        </w:tc>
        <w:tc>
          <w:tcPr>
            <w:tcW w:w="1724" w:type="dxa"/>
            <w:vAlign w:val="center"/>
          </w:tcPr>
          <w:p w:rsidR="00A74583" w:rsidRDefault="005735D4">
            <w:pPr>
              <w:jc w:val="right"/>
            </w:pPr>
            <w:r>
              <w:rPr>
                <w:color w:val="000000"/>
                <w:sz w:val="24"/>
                <w:szCs w:val="24"/>
              </w:rPr>
              <w:t>0.80</w:t>
            </w:r>
          </w:p>
        </w:tc>
        <w:tc>
          <w:tcPr>
            <w:tcW w:w="1424" w:type="dxa"/>
            <w:vAlign w:val="center"/>
          </w:tcPr>
          <w:p w:rsidR="00A74583" w:rsidRDefault="005735D4">
            <w:pPr>
              <w:jc w:val="right"/>
            </w:pPr>
            <w:r>
              <w:rPr>
                <w:color w:val="000000"/>
                <w:sz w:val="24"/>
                <w:szCs w:val="24"/>
              </w:rPr>
              <w:t>限售股</w:t>
            </w:r>
          </w:p>
        </w:tc>
      </w:tr>
      <w:tr w:rsidR="00A74583">
        <w:trPr>
          <w:jc w:val="center"/>
        </w:trPr>
        <w:tc>
          <w:tcPr>
            <w:tcW w:w="1129" w:type="dxa"/>
            <w:vAlign w:val="center"/>
          </w:tcPr>
          <w:p w:rsidR="00A74583" w:rsidRDefault="005735D4">
            <w:pPr>
              <w:jc w:val="center"/>
            </w:pPr>
            <w:r>
              <w:rPr>
                <w:color w:val="000000"/>
                <w:sz w:val="24"/>
                <w:szCs w:val="24"/>
              </w:rPr>
              <w:t>2</w:t>
            </w:r>
          </w:p>
        </w:tc>
        <w:tc>
          <w:tcPr>
            <w:tcW w:w="1356" w:type="dxa"/>
            <w:vAlign w:val="center"/>
          </w:tcPr>
          <w:p w:rsidR="00A74583" w:rsidRDefault="005735D4">
            <w:pPr>
              <w:jc w:val="center"/>
            </w:pPr>
            <w:r>
              <w:rPr>
                <w:color w:val="000000"/>
                <w:sz w:val="24"/>
                <w:szCs w:val="24"/>
              </w:rPr>
              <w:t>601877</w:t>
            </w:r>
          </w:p>
        </w:tc>
        <w:tc>
          <w:tcPr>
            <w:tcW w:w="1355" w:type="dxa"/>
            <w:vAlign w:val="center"/>
          </w:tcPr>
          <w:p w:rsidR="00A74583" w:rsidRDefault="005735D4">
            <w:pPr>
              <w:jc w:val="center"/>
            </w:pPr>
            <w:r>
              <w:rPr>
                <w:color w:val="000000"/>
                <w:sz w:val="24"/>
                <w:szCs w:val="24"/>
              </w:rPr>
              <w:t>正泰电器</w:t>
            </w:r>
          </w:p>
        </w:tc>
        <w:tc>
          <w:tcPr>
            <w:tcW w:w="1880" w:type="dxa"/>
            <w:vAlign w:val="center"/>
          </w:tcPr>
          <w:p w:rsidR="00A74583" w:rsidRDefault="005735D4">
            <w:pPr>
              <w:jc w:val="right"/>
            </w:pPr>
            <w:r>
              <w:rPr>
                <w:color w:val="000000"/>
                <w:sz w:val="24"/>
                <w:szCs w:val="24"/>
              </w:rPr>
              <w:t>7,792,200.00</w:t>
            </w:r>
          </w:p>
        </w:tc>
        <w:tc>
          <w:tcPr>
            <w:tcW w:w="1724" w:type="dxa"/>
            <w:vAlign w:val="center"/>
          </w:tcPr>
          <w:p w:rsidR="00A74583" w:rsidRDefault="005735D4">
            <w:pPr>
              <w:jc w:val="right"/>
            </w:pPr>
            <w:r>
              <w:rPr>
                <w:color w:val="000000"/>
                <w:sz w:val="24"/>
                <w:szCs w:val="24"/>
              </w:rPr>
              <w:t>0.23</w:t>
            </w:r>
          </w:p>
        </w:tc>
        <w:tc>
          <w:tcPr>
            <w:tcW w:w="1424" w:type="dxa"/>
            <w:vAlign w:val="center"/>
          </w:tcPr>
          <w:p w:rsidR="00A74583" w:rsidRDefault="005735D4">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Default="005735D4" w:rsidP="00C15CAC">
      <w:pPr>
        <w:spacing w:before="29" w:line="288" w:lineRule="auto"/>
        <w:ind w:firstLineChars="200" w:firstLine="480"/>
        <w:rPr>
          <w:color w:val="000000"/>
          <w:sz w:val="24"/>
          <w:szCs w:val="24"/>
        </w:rPr>
      </w:pPr>
      <w:r>
        <w:rPr>
          <w:rFonts w:hint="eastAsia"/>
          <w:color w:val="000000"/>
          <w:sz w:val="24"/>
          <w:szCs w:val="24"/>
        </w:rPr>
        <w:t>无</w:t>
      </w:r>
      <w:r w:rsidR="00623C8D">
        <w:rPr>
          <w:rFonts w:hint="eastAsia"/>
          <w:color w:val="000000"/>
          <w:sz w:val="24"/>
          <w:szCs w:val="24"/>
        </w:rPr>
        <w:t>。</w:t>
      </w:r>
      <w:bookmarkStart w:id="0" w:name="_GoBack"/>
      <w:bookmarkEnd w:id="0"/>
    </w:p>
    <w:p w:rsidR="001062AB" w:rsidRPr="001062AB" w:rsidRDefault="001062AB"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4,881,844,880.48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725,652,226.64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162,214,287.39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5,445,282,819.73</w:t>
            </w:r>
          </w:p>
        </w:tc>
      </w:tr>
    </w:tbl>
    <w:p w:rsidR="00A74583" w:rsidRDefault="005735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74583" w:rsidRDefault="005735D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74583" w:rsidRDefault="005735D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74583" w:rsidRDefault="005735D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159" w:rsidRDefault="00B92159" w:rsidP="00876D65">
      <w:r>
        <w:separator/>
      </w:r>
    </w:p>
  </w:endnote>
  <w:endnote w:type="continuationSeparator" w:id="0">
    <w:p w:rsidR="00B92159" w:rsidRDefault="00B9215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D4" w:rsidRPr="001D0DB0" w:rsidRDefault="005735D4"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23C8D">
      <w:rPr>
        <w:noProof/>
        <w:kern w:val="0"/>
        <w:szCs w:val="21"/>
      </w:rPr>
      <w:t>10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23C8D">
      <w:rPr>
        <w:noProof/>
        <w:kern w:val="0"/>
        <w:szCs w:val="21"/>
      </w:rPr>
      <w:t>12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159" w:rsidRDefault="00B92159" w:rsidP="00876D65">
      <w:r>
        <w:separator/>
      </w:r>
    </w:p>
  </w:footnote>
  <w:footnote w:type="continuationSeparator" w:id="0">
    <w:p w:rsidR="00B92159" w:rsidRDefault="00B9215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D4" w:rsidRPr="00DC456F" w:rsidRDefault="005735D4" w:rsidP="00090A26">
    <w:pPr>
      <w:pStyle w:val="a9"/>
      <w:pBdr>
        <w:bottom w:val="single" w:sz="6" w:space="0" w:color="auto"/>
      </w:pBdr>
      <w:jc w:val="right"/>
      <w:rPr>
        <w:sz w:val="24"/>
        <w:szCs w:val="24"/>
      </w:rPr>
    </w:pPr>
    <w:r w:rsidRPr="003E676C">
      <w:rPr>
        <w:sz w:val="24"/>
        <w:szCs w:val="24"/>
      </w:rPr>
      <w:t>交银施罗德精选混合型证券投资基金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62AB"/>
    <w:rsid w:val="00111261"/>
    <w:rsid w:val="00133015"/>
    <w:rsid w:val="00137452"/>
    <w:rsid w:val="00137B31"/>
    <w:rsid w:val="00144F93"/>
    <w:rsid w:val="00147376"/>
    <w:rsid w:val="00150637"/>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35D4"/>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3C8D"/>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4583"/>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159"/>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60D6"/>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526B-2368-4998-B65F-C6DA53DB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12</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2018-07-16T09:43:00Z</dcterms:modified>
</cp:coreProperties>
</file>