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二〇一八年七月十八日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default" r:id="rId7"/>
          <w:footerReference w:type="default" r:id="rId8"/>
          <w:pgSz w:w="11926" w:h="15840"/>
          <w:pgMar w:top="1418" w:right="1440" w:bottom="851" w:left="1440" w:header="851" w:footer="992" w:gutter="0"/>
          <w:cols w:space="720"/>
          <w:noEndnote/>
          <w:titlePg/>
          <w:docGrid w:linePitch="286"/>
        </w:sectPr>
      </w:pPr>
    </w:p>
    <w:p w:rsidR="0076518F" w:rsidRPr="008640AE" w:rsidRDefault="0076518F" w:rsidP="00C6069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F37C8D" w:rsidRDefault="004E28F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42,324,468.40</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E28F5" w:rsidRPr="008640AE" w:rsidTr="004E28F5">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4E28F5" w:rsidRPr="008640AE" w:rsidTr="004E28F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1,601,858.18</w:t>
            </w:r>
          </w:p>
        </w:tc>
      </w:tr>
      <w:tr w:rsidR="004E28F5" w:rsidRPr="008640AE" w:rsidTr="004E28F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3,686,075.95</w:t>
            </w:r>
          </w:p>
        </w:tc>
      </w:tr>
      <w:tr w:rsidR="004E28F5" w:rsidRPr="008640AE" w:rsidTr="004E28F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0.1206</w:t>
            </w:r>
          </w:p>
        </w:tc>
      </w:tr>
      <w:tr w:rsidR="004E28F5" w:rsidRPr="008640AE" w:rsidTr="004E28F5">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72,967,411.96</w:t>
            </w:r>
          </w:p>
        </w:tc>
      </w:tr>
      <w:tr w:rsidR="004E28F5" w:rsidRPr="008640AE" w:rsidTr="004E28F5">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1.724</w:t>
            </w:r>
          </w:p>
        </w:tc>
      </w:tr>
    </w:tbl>
    <w:p w:rsidR="00F37C8D" w:rsidRDefault="004E28F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F37C8D">
        <w:trPr>
          <w:jc w:val="center"/>
        </w:trPr>
        <w:tc>
          <w:tcPr>
            <w:tcW w:w="1701" w:type="dxa"/>
            <w:vAlign w:val="center"/>
          </w:tcPr>
          <w:p w:rsidR="00F37C8D" w:rsidRDefault="004E28F5">
            <w:pPr>
              <w:jc w:val="left"/>
            </w:pPr>
            <w:r>
              <w:rPr>
                <w:color w:val="000000"/>
                <w:sz w:val="24"/>
              </w:rPr>
              <w:t>过去三个月</w:t>
            </w:r>
          </w:p>
        </w:tc>
        <w:tc>
          <w:tcPr>
            <w:tcW w:w="1194" w:type="dxa"/>
            <w:vAlign w:val="center"/>
          </w:tcPr>
          <w:p w:rsidR="00F37C8D" w:rsidRDefault="004E28F5">
            <w:pPr>
              <w:jc w:val="right"/>
            </w:pPr>
            <w:r>
              <w:rPr>
                <w:color w:val="000000"/>
                <w:sz w:val="24"/>
              </w:rPr>
              <w:t>9.81%</w:t>
            </w:r>
          </w:p>
        </w:tc>
        <w:tc>
          <w:tcPr>
            <w:tcW w:w="1194" w:type="dxa"/>
            <w:vAlign w:val="center"/>
          </w:tcPr>
          <w:p w:rsidR="00F37C8D" w:rsidRDefault="004E28F5">
            <w:pPr>
              <w:jc w:val="right"/>
            </w:pPr>
            <w:r>
              <w:rPr>
                <w:color w:val="000000"/>
                <w:sz w:val="24"/>
              </w:rPr>
              <w:t>1.39%</w:t>
            </w:r>
          </w:p>
        </w:tc>
        <w:tc>
          <w:tcPr>
            <w:tcW w:w="1194" w:type="dxa"/>
            <w:vAlign w:val="center"/>
          </w:tcPr>
          <w:p w:rsidR="00F37C8D" w:rsidRDefault="004E28F5">
            <w:pPr>
              <w:jc w:val="right"/>
            </w:pPr>
            <w:r>
              <w:rPr>
                <w:color w:val="000000"/>
                <w:sz w:val="24"/>
              </w:rPr>
              <w:t>4.68%</w:t>
            </w:r>
          </w:p>
        </w:tc>
        <w:tc>
          <w:tcPr>
            <w:tcW w:w="1343" w:type="dxa"/>
            <w:vAlign w:val="center"/>
          </w:tcPr>
          <w:p w:rsidR="00F37C8D" w:rsidRDefault="004E28F5">
            <w:pPr>
              <w:jc w:val="right"/>
            </w:pPr>
            <w:r>
              <w:rPr>
                <w:color w:val="000000"/>
                <w:sz w:val="24"/>
              </w:rPr>
              <w:t>0.84%</w:t>
            </w:r>
          </w:p>
        </w:tc>
        <w:tc>
          <w:tcPr>
            <w:tcW w:w="1194" w:type="dxa"/>
            <w:vAlign w:val="center"/>
          </w:tcPr>
          <w:p w:rsidR="00F37C8D" w:rsidRDefault="004E28F5">
            <w:pPr>
              <w:jc w:val="right"/>
            </w:pPr>
            <w:r>
              <w:rPr>
                <w:color w:val="000000"/>
                <w:sz w:val="24"/>
              </w:rPr>
              <w:t>5.13%</w:t>
            </w:r>
          </w:p>
        </w:tc>
        <w:tc>
          <w:tcPr>
            <w:tcW w:w="1048" w:type="dxa"/>
            <w:vAlign w:val="center"/>
          </w:tcPr>
          <w:p w:rsidR="00F37C8D" w:rsidRDefault="004E28F5">
            <w:pPr>
              <w:jc w:val="right"/>
            </w:pPr>
            <w:r>
              <w:rPr>
                <w:color w:val="000000"/>
                <w:sz w:val="24"/>
              </w:rPr>
              <w:t>0.55%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F37C8D">
        <w:trPr>
          <w:jc w:val="center"/>
        </w:trPr>
        <w:tc>
          <w:tcPr>
            <w:tcW w:w="846" w:type="dxa"/>
            <w:vAlign w:val="center"/>
          </w:tcPr>
          <w:p w:rsidR="00F37C8D" w:rsidRDefault="004E28F5">
            <w:pPr>
              <w:jc w:val="center"/>
            </w:pPr>
            <w:r>
              <w:rPr>
                <w:color w:val="000000"/>
                <w:sz w:val="24"/>
              </w:rPr>
              <w:t>陈俊华</w:t>
            </w:r>
          </w:p>
        </w:tc>
        <w:tc>
          <w:tcPr>
            <w:tcW w:w="845" w:type="dxa"/>
            <w:vAlign w:val="center"/>
          </w:tcPr>
          <w:p w:rsidR="00F37C8D" w:rsidRDefault="004E28F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F37C8D" w:rsidRDefault="004E28F5">
            <w:pPr>
              <w:jc w:val="center"/>
            </w:pPr>
            <w:r>
              <w:rPr>
                <w:color w:val="000000"/>
                <w:sz w:val="24"/>
              </w:rPr>
              <w:t>2015-11-21</w:t>
            </w:r>
          </w:p>
        </w:tc>
        <w:tc>
          <w:tcPr>
            <w:tcW w:w="1548" w:type="dxa"/>
            <w:vAlign w:val="center"/>
          </w:tcPr>
          <w:p w:rsidR="00F37C8D" w:rsidRDefault="004E28F5">
            <w:pPr>
              <w:jc w:val="center"/>
            </w:pPr>
            <w:r>
              <w:rPr>
                <w:color w:val="000000"/>
                <w:sz w:val="24"/>
              </w:rPr>
              <w:t>-</w:t>
            </w:r>
          </w:p>
        </w:tc>
        <w:tc>
          <w:tcPr>
            <w:tcW w:w="1407" w:type="dxa"/>
            <w:vAlign w:val="center"/>
          </w:tcPr>
          <w:p w:rsidR="00F37C8D" w:rsidRDefault="004E28F5">
            <w:pPr>
              <w:jc w:val="center"/>
            </w:pPr>
            <w:r>
              <w:rPr>
                <w:color w:val="000000"/>
                <w:sz w:val="24"/>
              </w:rPr>
              <w:t>13</w:t>
            </w:r>
            <w:r>
              <w:rPr>
                <w:color w:val="000000"/>
                <w:sz w:val="24"/>
              </w:rPr>
              <w:t>年</w:t>
            </w:r>
          </w:p>
        </w:tc>
        <w:tc>
          <w:tcPr>
            <w:tcW w:w="2673" w:type="dxa"/>
            <w:vAlign w:val="center"/>
          </w:tcPr>
          <w:p w:rsidR="00F37C8D" w:rsidRDefault="004E28F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F37C8D">
        <w:trPr>
          <w:jc w:val="center"/>
        </w:trPr>
        <w:tc>
          <w:tcPr>
            <w:tcW w:w="846" w:type="dxa"/>
            <w:vAlign w:val="center"/>
          </w:tcPr>
          <w:p w:rsidR="00F37C8D" w:rsidRDefault="004E28F5">
            <w:pPr>
              <w:jc w:val="center"/>
            </w:pPr>
            <w:r>
              <w:rPr>
                <w:color w:val="000000"/>
                <w:sz w:val="24"/>
              </w:rPr>
              <w:t>周中</w:t>
            </w:r>
          </w:p>
        </w:tc>
        <w:tc>
          <w:tcPr>
            <w:tcW w:w="845" w:type="dxa"/>
            <w:vAlign w:val="center"/>
          </w:tcPr>
          <w:p w:rsidR="00F37C8D" w:rsidRDefault="004E28F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F37C8D" w:rsidRDefault="004E28F5">
            <w:pPr>
              <w:jc w:val="center"/>
            </w:pPr>
            <w:r>
              <w:rPr>
                <w:color w:val="000000"/>
                <w:sz w:val="24"/>
              </w:rPr>
              <w:t>2015-12-12</w:t>
            </w:r>
          </w:p>
        </w:tc>
        <w:tc>
          <w:tcPr>
            <w:tcW w:w="1548" w:type="dxa"/>
            <w:vAlign w:val="center"/>
          </w:tcPr>
          <w:p w:rsidR="00F37C8D" w:rsidRDefault="004E28F5">
            <w:pPr>
              <w:jc w:val="center"/>
            </w:pPr>
            <w:r>
              <w:rPr>
                <w:color w:val="000000"/>
                <w:sz w:val="24"/>
              </w:rPr>
              <w:t>-</w:t>
            </w:r>
          </w:p>
        </w:tc>
        <w:tc>
          <w:tcPr>
            <w:tcW w:w="1407" w:type="dxa"/>
            <w:vAlign w:val="center"/>
          </w:tcPr>
          <w:p w:rsidR="00F37C8D" w:rsidRDefault="004E28F5">
            <w:pPr>
              <w:jc w:val="center"/>
            </w:pPr>
            <w:r>
              <w:rPr>
                <w:color w:val="000000"/>
                <w:sz w:val="24"/>
              </w:rPr>
              <w:t>9</w:t>
            </w:r>
            <w:r>
              <w:rPr>
                <w:color w:val="000000"/>
                <w:sz w:val="24"/>
              </w:rPr>
              <w:t>年</w:t>
            </w:r>
          </w:p>
        </w:tc>
        <w:tc>
          <w:tcPr>
            <w:tcW w:w="2673" w:type="dxa"/>
            <w:vAlign w:val="center"/>
          </w:tcPr>
          <w:p w:rsidR="00F37C8D" w:rsidRDefault="004E28F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F37C8D">
        <w:trPr>
          <w:jc w:val="center"/>
        </w:trPr>
        <w:tc>
          <w:tcPr>
            <w:tcW w:w="2070" w:type="dxa"/>
            <w:vAlign w:val="center"/>
          </w:tcPr>
          <w:p w:rsidR="00F37C8D" w:rsidRDefault="004E28F5">
            <w:pPr>
              <w:jc w:val="center"/>
            </w:pPr>
            <w:r>
              <w:rPr>
                <w:color w:val="000000"/>
                <w:sz w:val="24"/>
              </w:rPr>
              <w:t>Simon Webber</w:t>
            </w:r>
          </w:p>
        </w:tc>
        <w:tc>
          <w:tcPr>
            <w:tcW w:w="2465" w:type="dxa"/>
            <w:vAlign w:val="center"/>
          </w:tcPr>
          <w:p w:rsidR="00F37C8D" w:rsidRDefault="004E28F5">
            <w:pPr>
              <w:jc w:val="center"/>
            </w:pPr>
            <w:r>
              <w:rPr>
                <w:color w:val="000000"/>
                <w:sz w:val="24"/>
              </w:rPr>
              <w:t>施罗德集团多区域（全球及国际）股票投资主管、全球和国际股票基金经理、全球气候变化股票基金经理</w:t>
            </w:r>
          </w:p>
        </w:tc>
        <w:tc>
          <w:tcPr>
            <w:tcW w:w="2116" w:type="dxa"/>
            <w:vAlign w:val="center"/>
          </w:tcPr>
          <w:p w:rsidR="00F37C8D" w:rsidRDefault="004E28F5">
            <w:pPr>
              <w:jc w:val="center"/>
            </w:pPr>
            <w:r>
              <w:rPr>
                <w:color w:val="000000"/>
                <w:sz w:val="24"/>
              </w:rPr>
              <w:t>19</w:t>
            </w:r>
            <w:r>
              <w:rPr>
                <w:color w:val="000000"/>
                <w:sz w:val="24"/>
              </w:rPr>
              <w:t>年</w:t>
            </w:r>
          </w:p>
        </w:tc>
        <w:tc>
          <w:tcPr>
            <w:tcW w:w="2217" w:type="dxa"/>
            <w:vAlign w:val="center"/>
          </w:tcPr>
          <w:p w:rsidR="00F37C8D" w:rsidRDefault="004E28F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F37C8D" w:rsidRDefault="004E28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7C8D" w:rsidRDefault="004E28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7C8D" w:rsidRDefault="004E28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w:t>
      </w:r>
      <w:r w:rsidRPr="008640AE">
        <w:rPr>
          <w:color w:val="000000"/>
          <w:sz w:val="24"/>
        </w:rPr>
        <w:lastRenderedPageBreak/>
        <w:t>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F37C8D" w:rsidRDefault="004E28F5">
      <w:pPr>
        <w:spacing w:before="29" w:line="288" w:lineRule="auto"/>
        <w:ind w:firstLineChars="200" w:firstLine="480"/>
        <w:rPr>
          <w:color w:val="000000"/>
          <w:sz w:val="24"/>
        </w:rPr>
      </w:pPr>
      <w:r>
        <w:rPr>
          <w:color w:val="000000"/>
          <w:sz w:val="24"/>
        </w:rPr>
        <w:t>2018</w:t>
      </w:r>
      <w:r>
        <w:rPr>
          <w:color w:val="000000"/>
          <w:sz w:val="24"/>
        </w:rPr>
        <w:t>年二季度，港股作为新兴市场受到了较大的压力。一方面，中美贸易摩擦因素频发、悬而未决，并逐步扩张到其他国家之间贸易纷争，与此同时，美国如期加息，这些都增加了新兴市场的不确定性，带动资金回流发达国家市场。另一方面，国内经济结构调整、去杠杆政策的推行，有利于经济的长期健康发展，但在短期内，带动提升投资者对于流动性的关注度，南下资金也多有减弱。这两方面因素带动港股市场交易量阶段性回落，股指下跌。</w:t>
      </w:r>
    </w:p>
    <w:p w:rsidR="00F37C8D" w:rsidRDefault="004E28F5">
      <w:pPr>
        <w:spacing w:before="29" w:line="288" w:lineRule="auto"/>
        <w:ind w:firstLineChars="200" w:firstLine="480"/>
        <w:rPr>
          <w:color w:val="000000"/>
          <w:sz w:val="24"/>
        </w:rPr>
      </w:pPr>
      <w:r>
        <w:rPr>
          <w:color w:val="000000"/>
          <w:sz w:val="24"/>
        </w:rPr>
        <w:t>二季度，我们总体</w:t>
      </w:r>
      <w:r w:rsidR="0044501F">
        <w:rPr>
          <w:rFonts w:hint="eastAsia"/>
          <w:color w:val="000000"/>
          <w:sz w:val="24"/>
        </w:rPr>
        <w:t>调整</w:t>
      </w:r>
      <w:r>
        <w:rPr>
          <w:color w:val="000000"/>
          <w:sz w:val="24"/>
        </w:rPr>
        <w:t>了仓位。在行业配置方面，我们增加了对超跌的资源板块的配置，适当减少了消费和医疗板块的配置，总体持仓更加均衡。</w:t>
      </w:r>
    </w:p>
    <w:p w:rsidR="00B0116D" w:rsidRPr="008640AE" w:rsidRDefault="00B0116D" w:rsidP="005546C0">
      <w:pPr>
        <w:spacing w:before="29" w:line="288" w:lineRule="auto"/>
        <w:ind w:firstLineChars="200" w:firstLine="480"/>
        <w:rPr>
          <w:color w:val="000000"/>
          <w:sz w:val="24"/>
        </w:rPr>
      </w:pPr>
      <w:r w:rsidRPr="008640AE">
        <w:rPr>
          <w:color w:val="000000"/>
          <w:sz w:val="24"/>
        </w:rPr>
        <w:t>展望三季度及下半年：我们认为全球流动性收紧仍是首要需要考虑的大前提，加之美国市场已持续上涨多个季度，投资者的获利了结的需求在不断积聚。我们预计欧美市场的短期波动仍将加大。着重关注香港市场的结构性机会。作为新兴市场，香港市场受外围市场的影响较大，投资者避险情绪在上半年已经反映一部分，目前估值已回到历史较低水平，未来进一步下跌的空间预计已经不大。而在基本面方面，许多香港的上市公司业务在国内，受益于国内的消费升级和产业升级趋势，对于基本面稳健的标的，适当的市场波动有可能给我们提供好的买入时机。此外，在医疗和科技板块，</w:t>
      </w:r>
      <w:r w:rsidRPr="008640AE">
        <w:rPr>
          <w:color w:val="000000"/>
          <w:sz w:val="24"/>
        </w:rPr>
        <w:t>2018</w:t>
      </w:r>
      <w:r w:rsidRPr="008640AE">
        <w:rPr>
          <w:color w:val="000000"/>
          <w:sz w:val="24"/>
        </w:rPr>
        <w:t>年有多家细分行业龙头在香港上市，亦为我们增加了可选投资范围。我们将继续奉行长期投资、价值投资的理念，力争为投资者实现长期稳健的投资回报。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2018</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1.724</w:t>
      </w:r>
      <w:r w:rsidRPr="008640AE">
        <w:rPr>
          <w:color w:val="000000"/>
          <w:sz w:val="24"/>
        </w:rPr>
        <w:t>元，本报告期份额净值增长率为</w:t>
      </w:r>
      <w:r w:rsidRPr="008640AE">
        <w:rPr>
          <w:color w:val="000000"/>
          <w:sz w:val="24"/>
        </w:rPr>
        <w:t>9.81%</w:t>
      </w:r>
      <w:r w:rsidRPr="008640AE">
        <w:rPr>
          <w:color w:val="000000"/>
          <w:sz w:val="24"/>
        </w:rPr>
        <w:t>，同期业绩比较基准增长率为</w:t>
      </w:r>
      <w:r w:rsidRPr="008640AE">
        <w:rPr>
          <w:color w:val="000000"/>
          <w:sz w:val="24"/>
        </w:rPr>
        <w:t>4.68%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万元的情形，截至本报告期末，本基金基金资产净值已高于</w:t>
      </w:r>
      <w:r w:rsidRPr="002070B4">
        <w:rPr>
          <w:color w:val="000000"/>
          <w:sz w:val="24"/>
        </w:rPr>
        <w:t>5000</w:t>
      </w:r>
      <w:r w:rsidRPr="002070B4">
        <w:rPr>
          <w:color w:val="000000"/>
          <w:sz w:val="24"/>
        </w:rPr>
        <w:t>万元。</w:t>
      </w:r>
    </w:p>
    <w:p w:rsidR="00EA3F21" w:rsidRPr="008640AE" w:rsidRDefault="00EA3F21"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60,339,450.87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79.02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60,339,450.87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79.02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14,472,802.72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18.95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1,543,923.41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2.02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76,356,177.00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F37C8D">
        <w:trPr>
          <w:jc w:val="center"/>
        </w:trPr>
        <w:tc>
          <w:tcPr>
            <w:tcW w:w="2484" w:type="dxa"/>
            <w:vAlign w:val="center"/>
          </w:tcPr>
          <w:p w:rsidR="00F37C8D" w:rsidRDefault="004E28F5">
            <w:pPr>
              <w:jc w:val="left"/>
            </w:pPr>
            <w:r>
              <w:rPr>
                <w:color w:val="000000"/>
                <w:sz w:val="24"/>
              </w:rPr>
              <w:t>香港</w:t>
            </w:r>
          </w:p>
        </w:tc>
        <w:tc>
          <w:tcPr>
            <w:tcW w:w="3214" w:type="dxa"/>
            <w:vAlign w:val="center"/>
          </w:tcPr>
          <w:p w:rsidR="00F37C8D" w:rsidRDefault="004E28F5">
            <w:pPr>
              <w:jc w:val="right"/>
            </w:pPr>
            <w:r>
              <w:rPr>
                <w:color w:val="000000"/>
                <w:sz w:val="24"/>
              </w:rPr>
              <w:t>60,339,450.87</w:t>
            </w:r>
          </w:p>
        </w:tc>
        <w:tc>
          <w:tcPr>
            <w:tcW w:w="3170" w:type="dxa"/>
            <w:vAlign w:val="center"/>
          </w:tcPr>
          <w:p w:rsidR="00F37C8D" w:rsidRDefault="004E28F5">
            <w:pPr>
              <w:jc w:val="right"/>
            </w:pPr>
            <w:r>
              <w:rPr>
                <w:color w:val="000000"/>
                <w:sz w:val="24"/>
              </w:rPr>
              <w:t>82.69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60,339,450.87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82.69</w:t>
            </w:r>
          </w:p>
        </w:tc>
      </w:tr>
    </w:tbl>
    <w:p w:rsidR="00F37C8D" w:rsidRDefault="004E28F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F37C8D">
        <w:trPr>
          <w:jc w:val="center"/>
        </w:trPr>
        <w:tc>
          <w:tcPr>
            <w:tcW w:w="2904" w:type="dxa"/>
            <w:vAlign w:val="center"/>
          </w:tcPr>
          <w:p w:rsidR="00F37C8D" w:rsidRDefault="004E28F5">
            <w:pPr>
              <w:jc w:val="left"/>
            </w:pPr>
            <w:r>
              <w:rPr>
                <w:color w:val="000000"/>
                <w:sz w:val="24"/>
              </w:rPr>
              <w:t>金融</w:t>
            </w:r>
          </w:p>
        </w:tc>
        <w:tc>
          <w:tcPr>
            <w:tcW w:w="2657" w:type="dxa"/>
            <w:vAlign w:val="center"/>
          </w:tcPr>
          <w:p w:rsidR="00F37C8D" w:rsidRDefault="004E28F5">
            <w:pPr>
              <w:jc w:val="right"/>
            </w:pPr>
            <w:r>
              <w:rPr>
                <w:color w:val="000000"/>
                <w:sz w:val="24"/>
              </w:rPr>
              <w:t>1,791,138.76</w:t>
            </w:r>
          </w:p>
        </w:tc>
        <w:tc>
          <w:tcPr>
            <w:tcW w:w="3307" w:type="dxa"/>
            <w:vAlign w:val="center"/>
          </w:tcPr>
          <w:p w:rsidR="00F37C8D" w:rsidRDefault="004E28F5">
            <w:pPr>
              <w:jc w:val="right"/>
            </w:pPr>
            <w:r>
              <w:rPr>
                <w:color w:val="000000"/>
                <w:sz w:val="24"/>
              </w:rPr>
              <w:t>2.45</w:t>
            </w:r>
          </w:p>
        </w:tc>
      </w:tr>
      <w:tr w:rsidR="00F37C8D">
        <w:trPr>
          <w:jc w:val="center"/>
        </w:trPr>
        <w:tc>
          <w:tcPr>
            <w:tcW w:w="2904" w:type="dxa"/>
            <w:vAlign w:val="center"/>
          </w:tcPr>
          <w:p w:rsidR="00F37C8D" w:rsidRDefault="004E28F5">
            <w:pPr>
              <w:jc w:val="left"/>
            </w:pPr>
            <w:r>
              <w:rPr>
                <w:color w:val="000000"/>
                <w:sz w:val="24"/>
              </w:rPr>
              <w:lastRenderedPageBreak/>
              <w:t>保健</w:t>
            </w:r>
          </w:p>
        </w:tc>
        <w:tc>
          <w:tcPr>
            <w:tcW w:w="2657" w:type="dxa"/>
            <w:vAlign w:val="center"/>
          </w:tcPr>
          <w:p w:rsidR="00F37C8D" w:rsidRDefault="004E28F5">
            <w:pPr>
              <w:jc w:val="right"/>
            </w:pPr>
            <w:r>
              <w:rPr>
                <w:color w:val="000000"/>
                <w:sz w:val="24"/>
              </w:rPr>
              <w:t>13,843,377.56</w:t>
            </w:r>
          </w:p>
        </w:tc>
        <w:tc>
          <w:tcPr>
            <w:tcW w:w="3307" w:type="dxa"/>
            <w:vAlign w:val="center"/>
          </w:tcPr>
          <w:p w:rsidR="00F37C8D" w:rsidRDefault="004E28F5">
            <w:pPr>
              <w:jc w:val="right"/>
            </w:pPr>
            <w:r>
              <w:rPr>
                <w:color w:val="000000"/>
                <w:sz w:val="24"/>
              </w:rPr>
              <w:t>18.97</w:t>
            </w:r>
          </w:p>
        </w:tc>
      </w:tr>
      <w:tr w:rsidR="00F37C8D">
        <w:trPr>
          <w:jc w:val="center"/>
        </w:trPr>
        <w:tc>
          <w:tcPr>
            <w:tcW w:w="2904" w:type="dxa"/>
            <w:vAlign w:val="center"/>
          </w:tcPr>
          <w:p w:rsidR="00F37C8D" w:rsidRDefault="004E28F5">
            <w:pPr>
              <w:jc w:val="left"/>
            </w:pPr>
            <w:r>
              <w:rPr>
                <w:color w:val="000000"/>
                <w:sz w:val="24"/>
              </w:rPr>
              <w:t>材料</w:t>
            </w:r>
          </w:p>
        </w:tc>
        <w:tc>
          <w:tcPr>
            <w:tcW w:w="2657" w:type="dxa"/>
            <w:vAlign w:val="center"/>
          </w:tcPr>
          <w:p w:rsidR="00F37C8D" w:rsidRDefault="004E28F5">
            <w:pPr>
              <w:jc w:val="right"/>
            </w:pPr>
            <w:r>
              <w:rPr>
                <w:color w:val="000000"/>
                <w:sz w:val="24"/>
              </w:rPr>
              <w:t>9,015,567.08</w:t>
            </w:r>
          </w:p>
        </w:tc>
        <w:tc>
          <w:tcPr>
            <w:tcW w:w="3307" w:type="dxa"/>
            <w:vAlign w:val="center"/>
          </w:tcPr>
          <w:p w:rsidR="00F37C8D" w:rsidRDefault="004E28F5">
            <w:pPr>
              <w:jc w:val="right"/>
            </w:pPr>
            <w:r>
              <w:rPr>
                <w:color w:val="000000"/>
                <w:sz w:val="24"/>
              </w:rPr>
              <w:t>12.36</w:t>
            </w:r>
          </w:p>
        </w:tc>
      </w:tr>
      <w:tr w:rsidR="00F37C8D">
        <w:trPr>
          <w:jc w:val="center"/>
        </w:trPr>
        <w:tc>
          <w:tcPr>
            <w:tcW w:w="2904" w:type="dxa"/>
            <w:vAlign w:val="center"/>
          </w:tcPr>
          <w:p w:rsidR="00F37C8D" w:rsidRDefault="004E28F5">
            <w:pPr>
              <w:jc w:val="left"/>
            </w:pPr>
            <w:r>
              <w:rPr>
                <w:color w:val="000000"/>
                <w:sz w:val="24"/>
              </w:rPr>
              <w:t>能源</w:t>
            </w:r>
          </w:p>
        </w:tc>
        <w:tc>
          <w:tcPr>
            <w:tcW w:w="2657" w:type="dxa"/>
            <w:vAlign w:val="center"/>
          </w:tcPr>
          <w:p w:rsidR="00F37C8D" w:rsidRDefault="004E28F5">
            <w:pPr>
              <w:jc w:val="right"/>
            </w:pPr>
            <w:r>
              <w:rPr>
                <w:color w:val="000000"/>
                <w:sz w:val="24"/>
              </w:rPr>
              <w:t>10,509,869.31</w:t>
            </w:r>
          </w:p>
        </w:tc>
        <w:tc>
          <w:tcPr>
            <w:tcW w:w="3307" w:type="dxa"/>
            <w:vAlign w:val="center"/>
          </w:tcPr>
          <w:p w:rsidR="00F37C8D" w:rsidRDefault="004E28F5">
            <w:pPr>
              <w:jc w:val="right"/>
            </w:pPr>
            <w:r>
              <w:rPr>
                <w:color w:val="000000"/>
                <w:sz w:val="24"/>
              </w:rPr>
              <w:t>14.40</w:t>
            </w:r>
          </w:p>
        </w:tc>
      </w:tr>
      <w:tr w:rsidR="00F37C8D">
        <w:trPr>
          <w:jc w:val="center"/>
        </w:trPr>
        <w:tc>
          <w:tcPr>
            <w:tcW w:w="2904" w:type="dxa"/>
            <w:vAlign w:val="center"/>
          </w:tcPr>
          <w:p w:rsidR="00F37C8D" w:rsidRDefault="004E28F5">
            <w:pPr>
              <w:jc w:val="left"/>
            </w:pPr>
            <w:r>
              <w:rPr>
                <w:color w:val="000000"/>
                <w:sz w:val="24"/>
              </w:rPr>
              <w:t>信息技术</w:t>
            </w:r>
          </w:p>
        </w:tc>
        <w:tc>
          <w:tcPr>
            <w:tcW w:w="2657" w:type="dxa"/>
            <w:vAlign w:val="center"/>
          </w:tcPr>
          <w:p w:rsidR="00F37C8D" w:rsidRDefault="004E28F5">
            <w:pPr>
              <w:jc w:val="right"/>
            </w:pPr>
            <w:r>
              <w:rPr>
                <w:color w:val="000000"/>
                <w:sz w:val="24"/>
              </w:rPr>
              <w:t>6,178,416.79</w:t>
            </w:r>
          </w:p>
        </w:tc>
        <w:tc>
          <w:tcPr>
            <w:tcW w:w="3307" w:type="dxa"/>
            <w:vAlign w:val="center"/>
          </w:tcPr>
          <w:p w:rsidR="00F37C8D" w:rsidRDefault="004E28F5">
            <w:pPr>
              <w:jc w:val="right"/>
            </w:pPr>
            <w:r>
              <w:rPr>
                <w:color w:val="000000"/>
                <w:sz w:val="24"/>
              </w:rPr>
              <w:t>8.47</w:t>
            </w:r>
          </w:p>
        </w:tc>
      </w:tr>
      <w:tr w:rsidR="00F37C8D">
        <w:trPr>
          <w:jc w:val="center"/>
        </w:trPr>
        <w:tc>
          <w:tcPr>
            <w:tcW w:w="2904" w:type="dxa"/>
            <w:vAlign w:val="center"/>
          </w:tcPr>
          <w:p w:rsidR="00F37C8D" w:rsidRDefault="004E28F5">
            <w:pPr>
              <w:jc w:val="left"/>
            </w:pPr>
            <w:r>
              <w:rPr>
                <w:color w:val="000000"/>
                <w:sz w:val="24"/>
              </w:rPr>
              <w:t>非必需消费品</w:t>
            </w:r>
          </w:p>
        </w:tc>
        <w:tc>
          <w:tcPr>
            <w:tcW w:w="2657" w:type="dxa"/>
            <w:vAlign w:val="center"/>
          </w:tcPr>
          <w:p w:rsidR="00F37C8D" w:rsidRDefault="004E28F5">
            <w:pPr>
              <w:jc w:val="right"/>
            </w:pPr>
            <w:r>
              <w:rPr>
                <w:color w:val="000000"/>
                <w:sz w:val="24"/>
              </w:rPr>
              <w:t>4,296,540.48</w:t>
            </w:r>
          </w:p>
        </w:tc>
        <w:tc>
          <w:tcPr>
            <w:tcW w:w="3307" w:type="dxa"/>
            <w:vAlign w:val="center"/>
          </w:tcPr>
          <w:p w:rsidR="00F37C8D" w:rsidRDefault="004E28F5">
            <w:pPr>
              <w:jc w:val="right"/>
            </w:pPr>
            <w:r>
              <w:rPr>
                <w:color w:val="000000"/>
                <w:sz w:val="24"/>
              </w:rPr>
              <w:t>5.89</w:t>
            </w:r>
          </w:p>
        </w:tc>
      </w:tr>
      <w:tr w:rsidR="00F37C8D">
        <w:trPr>
          <w:jc w:val="center"/>
        </w:trPr>
        <w:tc>
          <w:tcPr>
            <w:tcW w:w="2904" w:type="dxa"/>
            <w:vAlign w:val="center"/>
          </w:tcPr>
          <w:p w:rsidR="00F37C8D" w:rsidRDefault="004E28F5">
            <w:pPr>
              <w:jc w:val="left"/>
            </w:pPr>
            <w:r>
              <w:rPr>
                <w:color w:val="000000"/>
                <w:sz w:val="24"/>
              </w:rPr>
              <w:t>其他</w:t>
            </w:r>
          </w:p>
        </w:tc>
        <w:tc>
          <w:tcPr>
            <w:tcW w:w="2657" w:type="dxa"/>
            <w:vAlign w:val="center"/>
          </w:tcPr>
          <w:p w:rsidR="00F37C8D" w:rsidRDefault="004E28F5">
            <w:pPr>
              <w:jc w:val="right"/>
            </w:pPr>
            <w:r>
              <w:rPr>
                <w:color w:val="000000"/>
                <w:sz w:val="24"/>
              </w:rPr>
              <w:t>2,912,708.71</w:t>
            </w:r>
          </w:p>
        </w:tc>
        <w:tc>
          <w:tcPr>
            <w:tcW w:w="3307" w:type="dxa"/>
            <w:vAlign w:val="center"/>
          </w:tcPr>
          <w:p w:rsidR="00F37C8D" w:rsidRDefault="004E28F5">
            <w:pPr>
              <w:jc w:val="right"/>
            </w:pPr>
            <w:r>
              <w:rPr>
                <w:color w:val="000000"/>
                <w:sz w:val="24"/>
              </w:rPr>
              <w:t>3.99</w:t>
            </w:r>
          </w:p>
        </w:tc>
      </w:tr>
      <w:tr w:rsidR="00F37C8D">
        <w:trPr>
          <w:jc w:val="center"/>
        </w:trPr>
        <w:tc>
          <w:tcPr>
            <w:tcW w:w="2904" w:type="dxa"/>
            <w:vAlign w:val="center"/>
          </w:tcPr>
          <w:p w:rsidR="00F37C8D" w:rsidRDefault="004E28F5">
            <w:pPr>
              <w:jc w:val="left"/>
            </w:pPr>
            <w:r>
              <w:rPr>
                <w:color w:val="000000"/>
                <w:sz w:val="24"/>
              </w:rPr>
              <w:t>必需消费品</w:t>
            </w:r>
          </w:p>
        </w:tc>
        <w:tc>
          <w:tcPr>
            <w:tcW w:w="2657" w:type="dxa"/>
            <w:vAlign w:val="center"/>
          </w:tcPr>
          <w:p w:rsidR="00F37C8D" w:rsidRDefault="004E28F5">
            <w:pPr>
              <w:jc w:val="right"/>
            </w:pPr>
            <w:r>
              <w:rPr>
                <w:color w:val="000000"/>
                <w:sz w:val="24"/>
              </w:rPr>
              <w:t>5,511,715.14</w:t>
            </w:r>
          </w:p>
        </w:tc>
        <w:tc>
          <w:tcPr>
            <w:tcW w:w="3307" w:type="dxa"/>
            <w:vAlign w:val="center"/>
          </w:tcPr>
          <w:p w:rsidR="00F37C8D" w:rsidRDefault="004E28F5">
            <w:pPr>
              <w:jc w:val="right"/>
            </w:pPr>
            <w:r>
              <w:rPr>
                <w:color w:val="000000"/>
                <w:sz w:val="24"/>
              </w:rPr>
              <w:t>7.55</w:t>
            </w:r>
          </w:p>
        </w:tc>
      </w:tr>
      <w:tr w:rsidR="00F37C8D">
        <w:trPr>
          <w:jc w:val="center"/>
        </w:trPr>
        <w:tc>
          <w:tcPr>
            <w:tcW w:w="2904" w:type="dxa"/>
            <w:vAlign w:val="center"/>
          </w:tcPr>
          <w:p w:rsidR="00F37C8D" w:rsidRDefault="004E28F5">
            <w:pPr>
              <w:jc w:val="left"/>
            </w:pPr>
            <w:r>
              <w:rPr>
                <w:color w:val="000000"/>
                <w:sz w:val="24"/>
              </w:rPr>
              <w:t>工业</w:t>
            </w:r>
          </w:p>
        </w:tc>
        <w:tc>
          <w:tcPr>
            <w:tcW w:w="2657" w:type="dxa"/>
            <w:vAlign w:val="center"/>
          </w:tcPr>
          <w:p w:rsidR="00F37C8D" w:rsidRDefault="004E28F5">
            <w:pPr>
              <w:jc w:val="right"/>
            </w:pPr>
            <w:r>
              <w:rPr>
                <w:color w:val="000000"/>
                <w:sz w:val="24"/>
              </w:rPr>
              <w:t>3,780,871.30</w:t>
            </w:r>
          </w:p>
        </w:tc>
        <w:tc>
          <w:tcPr>
            <w:tcW w:w="3307" w:type="dxa"/>
            <w:vAlign w:val="center"/>
          </w:tcPr>
          <w:p w:rsidR="00F37C8D" w:rsidRDefault="004E28F5">
            <w:pPr>
              <w:jc w:val="right"/>
            </w:pPr>
            <w:r>
              <w:rPr>
                <w:color w:val="000000"/>
                <w:sz w:val="24"/>
              </w:rPr>
              <w:t>5.18</w:t>
            </w:r>
          </w:p>
        </w:tc>
      </w:tr>
      <w:tr w:rsidR="000946E1">
        <w:trPr>
          <w:jc w:val="center"/>
        </w:trPr>
        <w:tc>
          <w:tcPr>
            <w:tcW w:w="2904" w:type="dxa"/>
            <w:vAlign w:val="center"/>
          </w:tcPr>
          <w:p w:rsidR="000946E1" w:rsidRDefault="000946E1">
            <w:pPr>
              <w:jc w:val="left"/>
              <w:rPr>
                <w:color w:val="000000"/>
                <w:sz w:val="24"/>
              </w:rPr>
            </w:pPr>
            <w:r>
              <w:rPr>
                <w:rFonts w:hint="eastAsia"/>
                <w:color w:val="000000"/>
                <w:sz w:val="24"/>
              </w:rPr>
              <w:t>公共</w:t>
            </w:r>
            <w:r>
              <w:rPr>
                <w:color w:val="000000"/>
                <w:sz w:val="24"/>
              </w:rPr>
              <w:t>事业</w:t>
            </w:r>
          </w:p>
        </w:tc>
        <w:tc>
          <w:tcPr>
            <w:tcW w:w="2657" w:type="dxa"/>
            <w:vAlign w:val="center"/>
          </w:tcPr>
          <w:p w:rsidR="000946E1" w:rsidRDefault="000946E1">
            <w:pPr>
              <w:jc w:val="right"/>
              <w:rPr>
                <w:color w:val="000000"/>
                <w:sz w:val="24"/>
              </w:rPr>
            </w:pPr>
            <w:r w:rsidRPr="000946E1">
              <w:rPr>
                <w:color w:val="000000"/>
                <w:sz w:val="24"/>
              </w:rPr>
              <w:t>2</w:t>
            </w:r>
            <w:r>
              <w:rPr>
                <w:color w:val="000000"/>
                <w:sz w:val="24"/>
              </w:rPr>
              <w:t>,</w:t>
            </w:r>
            <w:r w:rsidRPr="000946E1">
              <w:rPr>
                <w:color w:val="000000"/>
                <w:sz w:val="24"/>
              </w:rPr>
              <w:t>499</w:t>
            </w:r>
            <w:r>
              <w:rPr>
                <w:color w:val="000000"/>
                <w:sz w:val="24"/>
              </w:rPr>
              <w:t>,</w:t>
            </w:r>
            <w:r w:rsidRPr="000946E1">
              <w:rPr>
                <w:color w:val="000000"/>
                <w:sz w:val="24"/>
              </w:rPr>
              <w:t>245.74</w:t>
            </w:r>
          </w:p>
        </w:tc>
        <w:tc>
          <w:tcPr>
            <w:tcW w:w="3307" w:type="dxa"/>
            <w:vAlign w:val="center"/>
          </w:tcPr>
          <w:p w:rsidR="000946E1" w:rsidRDefault="000946E1">
            <w:pPr>
              <w:jc w:val="right"/>
              <w:rPr>
                <w:color w:val="000000"/>
                <w:sz w:val="24"/>
              </w:rPr>
            </w:pPr>
            <w:r>
              <w:rPr>
                <w:rFonts w:hint="eastAsia"/>
                <w:color w:val="000000"/>
                <w:sz w:val="24"/>
              </w:rPr>
              <w:t>3.43</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60,339,450.87</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82.69</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1002"/>
        <w:gridCol w:w="962"/>
        <w:gridCol w:w="725"/>
        <w:gridCol w:w="747"/>
        <w:gridCol w:w="975"/>
        <w:gridCol w:w="1175"/>
        <w:gridCol w:w="975"/>
        <w:gridCol w:w="1175"/>
      </w:tblGrid>
      <w:tr w:rsidR="001C7D5D" w:rsidRPr="00293A87" w:rsidTr="00502F4D">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1002"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62"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4E28F5" w:rsidTr="00502F4D">
        <w:trPr>
          <w:jc w:val="center"/>
        </w:trPr>
        <w:tc>
          <w:tcPr>
            <w:tcW w:w="1243" w:type="dxa"/>
            <w:vAlign w:val="center"/>
          </w:tcPr>
          <w:p w:rsidR="004E28F5" w:rsidRDefault="004E28F5" w:rsidP="004E28F5">
            <w:pPr>
              <w:jc w:val="center"/>
            </w:pPr>
            <w:r>
              <w:rPr>
                <w:color w:val="000000"/>
                <w:sz w:val="24"/>
              </w:rPr>
              <w:t>1</w:t>
            </w:r>
          </w:p>
        </w:tc>
        <w:tc>
          <w:tcPr>
            <w:tcW w:w="1002" w:type="dxa"/>
          </w:tcPr>
          <w:p w:rsidR="004E28F5" w:rsidRPr="004E28F5" w:rsidRDefault="004E28F5" w:rsidP="004E28F5">
            <w:pPr>
              <w:jc w:val="center"/>
              <w:rPr>
                <w:sz w:val="24"/>
              </w:rPr>
            </w:pPr>
            <w:r w:rsidRPr="004E28F5">
              <w:rPr>
                <w:sz w:val="24"/>
              </w:rPr>
              <w:t>Yanzhou Coal Mining Company Limited</w:t>
            </w:r>
          </w:p>
        </w:tc>
        <w:tc>
          <w:tcPr>
            <w:tcW w:w="962" w:type="dxa"/>
          </w:tcPr>
          <w:p w:rsidR="004E28F5" w:rsidRPr="004E28F5" w:rsidRDefault="004E28F5" w:rsidP="004E28F5">
            <w:pPr>
              <w:jc w:val="center"/>
              <w:rPr>
                <w:sz w:val="24"/>
              </w:rPr>
            </w:pPr>
            <w:r w:rsidRPr="004E28F5">
              <w:rPr>
                <w:rFonts w:hint="eastAsia"/>
                <w:sz w:val="24"/>
              </w:rPr>
              <w:t>兖州煤业股份有限公司</w:t>
            </w:r>
          </w:p>
        </w:tc>
        <w:tc>
          <w:tcPr>
            <w:tcW w:w="725" w:type="dxa"/>
            <w:vAlign w:val="center"/>
          </w:tcPr>
          <w:p w:rsidR="004E28F5" w:rsidRDefault="004E28F5" w:rsidP="004E28F5">
            <w:pPr>
              <w:jc w:val="center"/>
            </w:pPr>
            <w:r>
              <w:rPr>
                <w:color w:val="000000"/>
                <w:sz w:val="24"/>
              </w:rPr>
              <w:t>1171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400,000</w:t>
            </w:r>
          </w:p>
        </w:tc>
        <w:tc>
          <w:tcPr>
            <w:tcW w:w="975" w:type="dxa"/>
            <w:vAlign w:val="center"/>
          </w:tcPr>
          <w:p w:rsidR="004E28F5" w:rsidRDefault="004E28F5" w:rsidP="004E28F5">
            <w:pPr>
              <w:jc w:val="right"/>
            </w:pPr>
            <w:r>
              <w:rPr>
                <w:color w:val="000000"/>
                <w:sz w:val="24"/>
              </w:rPr>
              <w:t>3,460,844.39</w:t>
            </w:r>
          </w:p>
        </w:tc>
        <w:tc>
          <w:tcPr>
            <w:tcW w:w="1175" w:type="dxa"/>
            <w:vAlign w:val="center"/>
          </w:tcPr>
          <w:p w:rsidR="004E28F5" w:rsidRDefault="004E28F5" w:rsidP="004E28F5">
            <w:pPr>
              <w:jc w:val="right"/>
            </w:pPr>
            <w:r>
              <w:rPr>
                <w:color w:val="000000"/>
                <w:sz w:val="24"/>
              </w:rPr>
              <w:t>4.74</w:t>
            </w:r>
          </w:p>
        </w:tc>
      </w:tr>
      <w:tr w:rsidR="004E28F5" w:rsidTr="00502F4D">
        <w:trPr>
          <w:jc w:val="center"/>
        </w:trPr>
        <w:tc>
          <w:tcPr>
            <w:tcW w:w="1243" w:type="dxa"/>
            <w:vAlign w:val="center"/>
          </w:tcPr>
          <w:p w:rsidR="004E28F5" w:rsidRDefault="004E28F5" w:rsidP="004E28F5">
            <w:pPr>
              <w:jc w:val="center"/>
            </w:pPr>
            <w:r>
              <w:rPr>
                <w:color w:val="000000"/>
                <w:sz w:val="24"/>
              </w:rPr>
              <w:t>2</w:t>
            </w:r>
          </w:p>
        </w:tc>
        <w:tc>
          <w:tcPr>
            <w:tcW w:w="1002" w:type="dxa"/>
          </w:tcPr>
          <w:p w:rsidR="004E28F5" w:rsidRPr="004E28F5" w:rsidRDefault="004E28F5" w:rsidP="004E28F5">
            <w:pPr>
              <w:jc w:val="center"/>
              <w:rPr>
                <w:sz w:val="24"/>
              </w:rPr>
            </w:pPr>
            <w:r w:rsidRPr="004E28F5">
              <w:rPr>
                <w:sz w:val="24"/>
              </w:rPr>
              <w:t>China Conch Venture Holdings Limited</w:t>
            </w:r>
          </w:p>
        </w:tc>
        <w:tc>
          <w:tcPr>
            <w:tcW w:w="962" w:type="dxa"/>
          </w:tcPr>
          <w:p w:rsidR="004E28F5" w:rsidRPr="004E28F5" w:rsidRDefault="004E28F5" w:rsidP="004E28F5">
            <w:pPr>
              <w:jc w:val="center"/>
              <w:rPr>
                <w:sz w:val="24"/>
              </w:rPr>
            </w:pPr>
            <w:r w:rsidRPr="004E28F5">
              <w:rPr>
                <w:rFonts w:hint="eastAsia"/>
                <w:sz w:val="24"/>
              </w:rPr>
              <w:t>中国海螺创业控股有限公司</w:t>
            </w:r>
          </w:p>
        </w:tc>
        <w:tc>
          <w:tcPr>
            <w:tcW w:w="725" w:type="dxa"/>
            <w:vAlign w:val="center"/>
          </w:tcPr>
          <w:p w:rsidR="004E28F5" w:rsidRDefault="004E28F5" w:rsidP="004E28F5">
            <w:pPr>
              <w:jc w:val="center"/>
            </w:pPr>
            <w:r>
              <w:rPr>
                <w:color w:val="000000"/>
                <w:sz w:val="24"/>
              </w:rPr>
              <w:t>586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140,000</w:t>
            </w:r>
          </w:p>
        </w:tc>
        <w:tc>
          <w:tcPr>
            <w:tcW w:w="975" w:type="dxa"/>
            <w:vAlign w:val="center"/>
          </w:tcPr>
          <w:p w:rsidR="004E28F5" w:rsidRDefault="004E28F5" w:rsidP="004E28F5">
            <w:pPr>
              <w:jc w:val="right"/>
            </w:pPr>
            <w:r>
              <w:rPr>
                <w:color w:val="000000"/>
                <w:sz w:val="24"/>
              </w:rPr>
              <w:t>3,388,321.82</w:t>
            </w:r>
          </w:p>
        </w:tc>
        <w:tc>
          <w:tcPr>
            <w:tcW w:w="1175" w:type="dxa"/>
            <w:vAlign w:val="center"/>
          </w:tcPr>
          <w:p w:rsidR="004E28F5" w:rsidRDefault="004E28F5" w:rsidP="004E28F5">
            <w:pPr>
              <w:jc w:val="right"/>
            </w:pPr>
            <w:r>
              <w:rPr>
                <w:color w:val="000000"/>
                <w:sz w:val="24"/>
              </w:rPr>
              <w:t>4.64</w:t>
            </w:r>
          </w:p>
        </w:tc>
      </w:tr>
      <w:tr w:rsidR="004E28F5" w:rsidTr="00502F4D">
        <w:trPr>
          <w:jc w:val="center"/>
        </w:trPr>
        <w:tc>
          <w:tcPr>
            <w:tcW w:w="1243" w:type="dxa"/>
            <w:vAlign w:val="center"/>
          </w:tcPr>
          <w:p w:rsidR="004E28F5" w:rsidRDefault="004E28F5" w:rsidP="004E28F5">
            <w:pPr>
              <w:jc w:val="center"/>
            </w:pPr>
            <w:r>
              <w:rPr>
                <w:color w:val="000000"/>
                <w:sz w:val="24"/>
              </w:rPr>
              <w:t>3</w:t>
            </w:r>
          </w:p>
        </w:tc>
        <w:tc>
          <w:tcPr>
            <w:tcW w:w="1002" w:type="dxa"/>
          </w:tcPr>
          <w:p w:rsidR="004E28F5" w:rsidRPr="004E28F5" w:rsidRDefault="004E28F5" w:rsidP="004E28F5">
            <w:pPr>
              <w:jc w:val="center"/>
              <w:rPr>
                <w:sz w:val="24"/>
              </w:rPr>
            </w:pPr>
            <w:r w:rsidRPr="004E28F5">
              <w:rPr>
                <w:sz w:val="24"/>
              </w:rPr>
              <w:t xml:space="preserve">YiChang HEC ChangJiang Pharmaceutical </w:t>
            </w:r>
            <w:r w:rsidRPr="004E28F5">
              <w:rPr>
                <w:sz w:val="24"/>
              </w:rPr>
              <w:lastRenderedPageBreak/>
              <w:t>Co., Ltd.</w:t>
            </w:r>
          </w:p>
        </w:tc>
        <w:tc>
          <w:tcPr>
            <w:tcW w:w="962" w:type="dxa"/>
          </w:tcPr>
          <w:p w:rsidR="004E28F5" w:rsidRPr="004E28F5" w:rsidRDefault="004E28F5" w:rsidP="004E28F5">
            <w:pPr>
              <w:jc w:val="center"/>
              <w:rPr>
                <w:sz w:val="24"/>
              </w:rPr>
            </w:pPr>
            <w:r w:rsidRPr="004E28F5">
              <w:rPr>
                <w:rFonts w:hint="eastAsia"/>
                <w:sz w:val="24"/>
              </w:rPr>
              <w:lastRenderedPageBreak/>
              <w:t>宜昌东阳光长江药业股份有限公司</w:t>
            </w:r>
          </w:p>
        </w:tc>
        <w:tc>
          <w:tcPr>
            <w:tcW w:w="725" w:type="dxa"/>
            <w:vAlign w:val="center"/>
          </w:tcPr>
          <w:p w:rsidR="004E28F5" w:rsidRDefault="004E28F5" w:rsidP="004E28F5">
            <w:pPr>
              <w:jc w:val="center"/>
            </w:pPr>
            <w:r>
              <w:rPr>
                <w:color w:val="000000"/>
                <w:sz w:val="24"/>
              </w:rPr>
              <w:t>1558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100,000</w:t>
            </w:r>
          </w:p>
        </w:tc>
        <w:tc>
          <w:tcPr>
            <w:tcW w:w="975" w:type="dxa"/>
            <w:vAlign w:val="center"/>
          </w:tcPr>
          <w:p w:rsidR="004E28F5" w:rsidRDefault="004E28F5" w:rsidP="004E28F5">
            <w:pPr>
              <w:jc w:val="right"/>
            </w:pPr>
            <w:r>
              <w:rPr>
                <w:color w:val="000000"/>
                <w:sz w:val="24"/>
              </w:rPr>
              <w:t>3,364,709.82</w:t>
            </w:r>
          </w:p>
        </w:tc>
        <w:tc>
          <w:tcPr>
            <w:tcW w:w="1175" w:type="dxa"/>
            <w:vAlign w:val="center"/>
          </w:tcPr>
          <w:p w:rsidR="004E28F5" w:rsidRDefault="004E28F5" w:rsidP="004E28F5">
            <w:pPr>
              <w:jc w:val="right"/>
            </w:pPr>
            <w:r>
              <w:rPr>
                <w:color w:val="000000"/>
                <w:sz w:val="24"/>
              </w:rPr>
              <w:t>4.61</w:t>
            </w:r>
          </w:p>
        </w:tc>
      </w:tr>
      <w:tr w:rsidR="004E28F5" w:rsidTr="00502F4D">
        <w:trPr>
          <w:jc w:val="center"/>
        </w:trPr>
        <w:tc>
          <w:tcPr>
            <w:tcW w:w="1243" w:type="dxa"/>
            <w:vAlign w:val="center"/>
          </w:tcPr>
          <w:p w:rsidR="004E28F5" w:rsidRDefault="004E28F5" w:rsidP="004E28F5">
            <w:pPr>
              <w:jc w:val="center"/>
            </w:pPr>
            <w:r>
              <w:rPr>
                <w:color w:val="000000"/>
                <w:sz w:val="24"/>
              </w:rPr>
              <w:t>4</w:t>
            </w:r>
          </w:p>
        </w:tc>
        <w:tc>
          <w:tcPr>
            <w:tcW w:w="1002" w:type="dxa"/>
          </w:tcPr>
          <w:p w:rsidR="004E28F5" w:rsidRPr="004E28F5" w:rsidRDefault="004E28F5" w:rsidP="004E28F5">
            <w:pPr>
              <w:jc w:val="center"/>
              <w:rPr>
                <w:sz w:val="24"/>
              </w:rPr>
            </w:pPr>
            <w:r w:rsidRPr="004E28F5">
              <w:rPr>
                <w:sz w:val="24"/>
              </w:rPr>
              <w:t>China Shenhua Energy Company Limited</w:t>
            </w:r>
          </w:p>
        </w:tc>
        <w:tc>
          <w:tcPr>
            <w:tcW w:w="962" w:type="dxa"/>
          </w:tcPr>
          <w:p w:rsidR="004E28F5" w:rsidRPr="004E28F5" w:rsidRDefault="004E28F5" w:rsidP="004E28F5">
            <w:pPr>
              <w:jc w:val="center"/>
              <w:rPr>
                <w:sz w:val="24"/>
              </w:rPr>
            </w:pPr>
            <w:r w:rsidRPr="004E28F5">
              <w:rPr>
                <w:rFonts w:hint="eastAsia"/>
                <w:sz w:val="24"/>
              </w:rPr>
              <w:t>中国神华能源股份有限公司</w:t>
            </w:r>
          </w:p>
        </w:tc>
        <w:tc>
          <w:tcPr>
            <w:tcW w:w="725" w:type="dxa"/>
            <w:vAlign w:val="center"/>
          </w:tcPr>
          <w:p w:rsidR="004E28F5" w:rsidRDefault="004E28F5" w:rsidP="004E28F5">
            <w:pPr>
              <w:jc w:val="center"/>
            </w:pPr>
            <w:r>
              <w:rPr>
                <w:color w:val="000000"/>
                <w:sz w:val="24"/>
              </w:rPr>
              <w:t>1088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200,000</w:t>
            </w:r>
          </w:p>
        </w:tc>
        <w:tc>
          <w:tcPr>
            <w:tcW w:w="975" w:type="dxa"/>
            <w:vAlign w:val="center"/>
          </w:tcPr>
          <w:p w:rsidR="004E28F5" w:rsidRDefault="004E28F5" w:rsidP="004E28F5">
            <w:pPr>
              <w:jc w:val="right"/>
            </w:pPr>
            <w:r>
              <w:rPr>
                <w:color w:val="000000"/>
                <w:sz w:val="24"/>
              </w:rPr>
              <w:t>3,140,395.84</w:t>
            </w:r>
          </w:p>
        </w:tc>
        <w:tc>
          <w:tcPr>
            <w:tcW w:w="1175" w:type="dxa"/>
            <w:vAlign w:val="center"/>
          </w:tcPr>
          <w:p w:rsidR="004E28F5" w:rsidRDefault="004E28F5" w:rsidP="004E28F5">
            <w:pPr>
              <w:jc w:val="right"/>
            </w:pPr>
            <w:r>
              <w:rPr>
                <w:color w:val="000000"/>
                <w:sz w:val="24"/>
              </w:rPr>
              <w:t>4.30</w:t>
            </w:r>
          </w:p>
        </w:tc>
      </w:tr>
      <w:tr w:rsidR="004E28F5" w:rsidTr="00502F4D">
        <w:trPr>
          <w:jc w:val="center"/>
        </w:trPr>
        <w:tc>
          <w:tcPr>
            <w:tcW w:w="1243" w:type="dxa"/>
            <w:vAlign w:val="center"/>
          </w:tcPr>
          <w:p w:rsidR="004E28F5" w:rsidRDefault="004E28F5" w:rsidP="004E28F5">
            <w:pPr>
              <w:jc w:val="center"/>
            </w:pPr>
            <w:r>
              <w:rPr>
                <w:color w:val="000000"/>
                <w:sz w:val="24"/>
              </w:rPr>
              <w:t>5</w:t>
            </w:r>
          </w:p>
        </w:tc>
        <w:tc>
          <w:tcPr>
            <w:tcW w:w="1002" w:type="dxa"/>
          </w:tcPr>
          <w:p w:rsidR="004E28F5" w:rsidRPr="004E28F5" w:rsidRDefault="004E28F5" w:rsidP="004E28F5">
            <w:pPr>
              <w:jc w:val="center"/>
              <w:rPr>
                <w:sz w:val="24"/>
              </w:rPr>
            </w:pPr>
            <w:r w:rsidRPr="004E28F5">
              <w:rPr>
                <w:sz w:val="24"/>
              </w:rPr>
              <w:t>CSPC Pharmaceutical Group Limited</w:t>
            </w:r>
          </w:p>
        </w:tc>
        <w:tc>
          <w:tcPr>
            <w:tcW w:w="962" w:type="dxa"/>
          </w:tcPr>
          <w:p w:rsidR="004E28F5" w:rsidRPr="004E28F5" w:rsidRDefault="004E28F5" w:rsidP="004E28F5">
            <w:pPr>
              <w:jc w:val="center"/>
              <w:rPr>
                <w:sz w:val="24"/>
              </w:rPr>
            </w:pPr>
            <w:r w:rsidRPr="004E28F5">
              <w:rPr>
                <w:rFonts w:hint="eastAsia"/>
                <w:sz w:val="24"/>
              </w:rPr>
              <w:t>石药集团有限公司</w:t>
            </w:r>
          </w:p>
        </w:tc>
        <w:tc>
          <w:tcPr>
            <w:tcW w:w="725" w:type="dxa"/>
            <w:vAlign w:val="center"/>
          </w:tcPr>
          <w:p w:rsidR="004E28F5" w:rsidRDefault="004E28F5" w:rsidP="004E28F5">
            <w:pPr>
              <w:jc w:val="center"/>
            </w:pPr>
            <w:r>
              <w:rPr>
                <w:color w:val="000000"/>
                <w:sz w:val="24"/>
              </w:rPr>
              <w:t>1093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150,000</w:t>
            </w:r>
          </w:p>
        </w:tc>
        <w:tc>
          <w:tcPr>
            <w:tcW w:w="975" w:type="dxa"/>
            <w:vAlign w:val="center"/>
          </w:tcPr>
          <w:p w:rsidR="004E28F5" w:rsidRDefault="004E28F5" w:rsidP="004E28F5">
            <w:pPr>
              <w:jc w:val="right"/>
            </w:pPr>
            <w:r>
              <w:rPr>
                <w:color w:val="000000"/>
                <w:sz w:val="24"/>
              </w:rPr>
              <w:t>2,997,880.56</w:t>
            </w:r>
          </w:p>
        </w:tc>
        <w:tc>
          <w:tcPr>
            <w:tcW w:w="1175" w:type="dxa"/>
            <w:vAlign w:val="center"/>
          </w:tcPr>
          <w:p w:rsidR="004E28F5" w:rsidRDefault="004E28F5" w:rsidP="004E28F5">
            <w:pPr>
              <w:jc w:val="right"/>
            </w:pPr>
            <w:r>
              <w:rPr>
                <w:color w:val="000000"/>
                <w:sz w:val="24"/>
              </w:rPr>
              <w:t>4.11</w:t>
            </w:r>
          </w:p>
        </w:tc>
      </w:tr>
      <w:tr w:rsidR="004E28F5" w:rsidTr="00502F4D">
        <w:trPr>
          <w:jc w:val="center"/>
        </w:trPr>
        <w:tc>
          <w:tcPr>
            <w:tcW w:w="1243" w:type="dxa"/>
            <w:vAlign w:val="center"/>
          </w:tcPr>
          <w:p w:rsidR="004E28F5" w:rsidRDefault="004E28F5" w:rsidP="004E28F5">
            <w:pPr>
              <w:jc w:val="center"/>
            </w:pPr>
            <w:r>
              <w:rPr>
                <w:color w:val="000000"/>
                <w:sz w:val="24"/>
              </w:rPr>
              <w:t>6</w:t>
            </w:r>
          </w:p>
        </w:tc>
        <w:tc>
          <w:tcPr>
            <w:tcW w:w="1002" w:type="dxa"/>
          </w:tcPr>
          <w:p w:rsidR="004E28F5" w:rsidRPr="004E28F5" w:rsidRDefault="004E28F5" w:rsidP="004E28F5">
            <w:pPr>
              <w:jc w:val="center"/>
              <w:rPr>
                <w:sz w:val="24"/>
              </w:rPr>
            </w:pPr>
            <w:r w:rsidRPr="004E28F5">
              <w:rPr>
                <w:sz w:val="24"/>
              </w:rPr>
              <w:t>China Petroleum &amp; Chemical Corporation</w:t>
            </w:r>
          </w:p>
        </w:tc>
        <w:tc>
          <w:tcPr>
            <w:tcW w:w="962" w:type="dxa"/>
          </w:tcPr>
          <w:p w:rsidR="004E28F5" w:rsidRPr="004E28F5" w:rsidRDefault="004E28F5" w:rsidP="004E28F5">
            <w:pPr>
              <w:jc w:val="center"/>
              <w:rPr>
                <w:sz w:val="24"/>
              </w:rPr>
            </w:pPr>
            <w:r w:rsidRPr="004E28F5">
              <w:rPr>
                <w:rFonts w:hint="eastAsia"/>
                <w:sz w:val="24"/>
              </w:rPr>
              <w:t>中国石油化工股份有限公司</w:t>
            </w:r>
          </w:p>
        </w:tc>
        <w:tc>
          <w:tcPr>
            <w:tcW w:w="725" w:type="dxa"/>
            <w:vAlign w:val="center"/>
          </w:tcPr>
          <w:p w:rsidR="004E28F5" w:rsidRDefault="004E28F5" w:rsidP="004E28F5">
            <w:pPr>
              <w:jc w:val="center"/>
            </w:pPr>
            <w:r>
              <w:rPr>
                <w:color w:val="000000"/>
                <w:sz w:val="24"/>
              </w:rPr>
              <w:t>386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500,000</w:t>
            </w:r>
          </w:p>
        </w:tc>
        <w:tc>
          <w:tcPr>
            <w:tcW w:w="975" w:type="dxa"/>
            <w:vAlign w:val="center"/>
          </w:tcPr>
          <w:p w:rsidR="004E28F5" w:rsidRDefault="004E28F5" w:rsidP="004E28F5">
            <w:pPr>
              <w:jc w:val="right"/>
            </w:pPr>
            <w:r>
              <w:rPr>
                <w:color w:val="000000"/>
                <w:sz w:val="24"/>
              </w:rPr>
              <w:t>2,955,716.27</w:t>
            </w:r>
          </w:p>
        </w:tc>
        <w:tc>
          <w:tcPr>
            <w:tcW w:w="1175" w:type="dxa"/>
            <w:vAlign w:val="center"/>
          </w:tcPr>
          <w:p w:rsidR="004E28F5" w:rsidRDefault="004E28F5" w:rsidP="004E28F5">
            <w:pPr>
              <w:jc w:val="right"/>
            </w:pPr>
            <w:r>
              <w:rPr>
                <w:color w:val="000000"/>
                <w:sz w:val="24"/>
              </w:rPr>
              <w:t>4.05</w:t>
            </w:r>
          </w:p>
        </w:tc>
      </w:tr>
      <w:tr w:rsidR="004E28F5" w:rsidTr="00502F4D">
        <w:trPr>
          <w:jc w:val="center"/>
        </w:trPr>
        <w:tc>
          <w:tcPr>
            <w:tcW w:w="1243" w:type="dxa"/>
            <w:vAlign w:val="center"/>
          </w:tcPr>
          <w:p w:rsidR="004E28F5" w:rsidRDefault="004E28F5" w:rsidP="004E28F5">
            <w:pPr>
              <w:jc w:val="center"/>
            </w:pPr>
            <w:r>
              <w:rPr>
                <w:color w:val="000000"/>
                <w:sz w:val="24"/>
              </w:rPr>
              <w:t>7</w:t>
            </w:r>
          </w:p>
        </w:tc>
        <w:tc>
          <w:tcPr>
            <w:tcW w:w="1002" w:type="dxa"/>
          </w:tcPr>
          <w:p w:rsidR="004E28F5" w:rsidRPr="004E28F5" w:rsidRDefault="004E28F5" w:rsidP="004E28F5">
            <w:pPr>
              <w:jc w:val="center"/>
              <w:rPr>
                <w:sz w:val="24"/>
              </w:rPr>
            </w:pPr>
            <w:r w:rsidRPr="004E28F5">
              <w:rPr>
                <w:sz w:val="24"/>
              </w:rPr>
              <w:t>China Mengniu Dairy Company Limited</w:t>
            </w:r>
          </w:p>
        </w:tc>
        <w:tc>
          <w:tcPr>
            <w:tcW w:w="962" w:type="dxa"/>
          </w:tcPr>
          <w:p w:rsidR="004E28F5" w:rsidRPr="004E28F5" w:rsidRDefault="004E28F5" w:rsidP="004E28F5">
            <w:pPr>
              <w:jc w:val="center"/>
              <w:rPr>
                <w:sz w:val="24"/>
              </w:rPr>
            </w:pPr>
            <w:r w:rsidRPr="004E28F5">
              <w:rPr>
                <w:rFonts w:hint="eastAsia"/>
                <w:sz w:val="24"/>
              </w:rPr>
              <w:t>中国蒙牛乳业有限公司</w:t>
            </w:r>
          </w:p>
        </w:tc>
        <w:tc>
          <w:tcPr>
            <w:tcW w:w="725" w:type="dxa"/>
            <w:vAlign w:val="center"/>
          </w:tcPr>
          <w:p w:rsidR="004E28F5" w:rsidRDefault="004E28F5" w:rsidP="004E28F5">
            <w:pPr>
              <w:jc w:val="center"/>
            </w:pPr>
            <w:r>
              <w:rPr>
                <w:color w:val="000000"/>
                <w:sz w:val="24"/>
              </w:rPr>
              <w:t>2319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120,000</w:t>
            </w:r>
          </w:p>
        </w:tc>
        <w:tc>
          <w:tcPr>
            <w:tcW w:w="975" w:type="dxa"/>
            <w:vAlign w:val="center"/>
          </w:tcPr>
          <w:p w:rsidR="004E28F5" w:rsidRDefault="004E28F5" w:rsidP="004E28F5">
            <w:pPr>
              <w:jc w:val="right"/>
            </w:pPr>
            <w:r>
              <w:rPr>
                <w:color w:val="000000"/>
                <w:sz w:val="24"/>
              </w:rPr>
              <w:t>2,691,767.86</w:t>
            </w:r>
          </w:p>
        </w:tc>
        <w:tc>
          <w:tcPr>
            <w:tcW w:w="1175" w:type="dxa"/>
            <w:vAlign w:val="center"/>
          </w:tcPr>
          <w:p w:rsidR="004E28F5" w:rsidRDefault="004E28F5" w:rsidP="004E28F5">
            <w:pPr>
              <w:jc w:val="right"/>
            </w:pPr>
            <w:r>
              <w:rPr>
                <w:color w:val="000000"/>
                <w:sz w:val="24"/>
              </w:rPr>
              <w:t>3.69</w:t>
            </w:r>
          </w:p>
        </w:tc>
      </w:tr>
      <w:tr w:rsidR="004E28F5" w:rsidTr="00502F4D">
        <w:trPr>
          <w:jc w:val="center"/>
        </w:trPr>
        <w:tc>
          <w:tcPr>
            <w:tcW w:w="1243" w:type="dxa"/>
            <w:vAlign w:val="center"/>
          </w:tcPr>
          <w:p w:rsidR="004E28F5" w:rsidRDefault="004E28F5" w:rsidP="004E28F5">
            <w:pPr>
              <w:jc w:val="center"/>
            </w:pPr>
            <w:r>
              <w:rPr>
                <w:color w:val="000000"/>
                <w:sz w:val="24"/>
              </w:rPr>
              <w:t>8</w:t>
            </w:r>
          </w:p>
        </w:tc>
        <w:tc>
          <w:tcPr>
            <w:tcW w:w="1002" w:type="dxa"/>
          </w:tcPr>
          <w:p w:rsidR="004E28F5" w:rsidRPr="004E28F5" w:rsidRDefault="004E28F5" w:rsidP="004E28F5">
            <w:pPr>
              <w:jc w:val="center"/>
              <w:rPr>
                <w:sz w:val="24"/>
              </w:rPr>
            </w:pPr>
            <w:r w:rsidRPr="004E28F5">
              <w:rPr>
                <w:sz w:val="24"/>
              </w:rPr>
              <w:t>AK Medical Holdings Limited</w:t>
            </w:r>
          </w:p>
        </w:tc>
        <w:tc>
          <w:tcPr>
            <w:tcW w:w="962" w:type="dxa"/>
          </w:tcPr>
          <w:p w:rsidR="004E28F5" w:rsidRPr="004E28F5" w:rsidRDefault="004E28F5" w:rsidP="004E28F5">
            <w:pPr>
              <w:jc w:val="center"/>
              <w:rPr>
                <w:sz w:val="24"/>
              </w:rPr>
            </w:pPr>
            <w:r w:rsidRPr="004E28F5">
              <w:rPr>
                <w:rFonts w:hint="eastAsia"/>
                <w:sz w:val="24"/>
              </w:rPr>
              <w:t>爱康医疗控股有限公司</w:t>
            </w:r>
          </w:p>
        </w:tc>
        <w:tc>
          <w:tcPr>
            <w:tcW w:w="725" w:type="dxa"/>
            <w:vAlign w:val="center"/>
          </w:tcPr>
          <w:p w:rsidR="004E28F5" w:rsidRDefault="004E28F5" w:rsidP="004E28F5">
            <w:pPr>
              <w:jc w:val="center"/>
            </w:pPr>
            <w:r>
              <w:rPr>
                <w:color w:val="000000"/>
                <w:sz w:val="24"/>
              </w:rPr>
              <w:t>1789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590,000</w:t>
            </w:r>
          </w:p>
        </w:tc>
        <w:tc>
          <w:tcPr>
            <w:tcW w:w="975" w:type="dxa"/>
            <w:vAlign w:val="center"/>
          </w:tcPr>
          <w:p w:rsidR="004E28F5" w:rsidRDefault="004E28F5" w:rsidP="004E28F5">
            <w:pPr>
              <w:jc w:val="right"/>
            </w:pPr>
            <w:r>
              <w:rPr>
                <w:color w:val="000000"/>
                <w:sz w:val="24"/>
              </w:rPr>
              <w:t>2,636,954.29</w:t>
            </w:r>
          </w:p>
        </w:tc>
        <w:tc>
          <w:tcPr>
            <w:tcW w:w="1175" w:type="dxa"/>
            <w:vAlign w:val="center"/>
          </w:tcPr>
          <w:p w:rsidR="004E28F5" w:rsidRDefault="004E28F5" w:rsidP="004E28F5">
            <w:pPr>
              <w:jc w:val="right"/>
            </w:pPr>
            <w:r>
              <w:rPr>
                <w:color w:val="000000"/>
                <w:sz w:val="24"/>
              </w:rPr>
              <w:t>3.61</w:t>
            </w:r>
          </w:p>
        </w:tc>
      </w:tr>
      <w:tr w:rsidR="004E28F5" w:rsidTr="00502F4D">
        <w:trPr>
          <w:jc w:val="center"/>
        </w:trPr>
        <w:tc>
          <w:tcPr>
            <w:tcW w:w="1243" w:type="dxa"/>
            <w:vAlign w:val="center"/>
          </w:tcPr>
          <w:p w:rsidR="004E28F5" w:rsidRDefault="004E28F5" w:rsidP="004E28F5">
            <w:pPr>
              <w:jc w:val="center"/>
            </w:pPr>
            <w:r>
              <w:rPr>
                <w:color w:val="000000"/>
                <w:sz w:val="24"/>
              </w:rPr>
              <w:t>9</w:t>
            </w:r>
          </w:p>
        </w:tc>
        <w:tc>
          <w:tcPr>
            <w:tcW w:w="1002" w:type="dxa"/>
          </w:tcPr>
          <w:p w:rsidR="004E28F5" w:rsidRPr="004E28F5" w:rsidRDefault="004E28F5" w:rsidP="004E28F5">
            <w:pPr>
              <w:jc w:val="center"/>
              <w:rPr>
                <w:sz w:val="24"/>
              </w:rPr>
            </w:pPr>
            <w:r w:rsidRPr="004E28F5">
              <w:rPr>
                <w:sz w:val="24"/>
              </w:rPr>
              <w:t>China National Building Material Compa</w:t>
            </w:r>
            <w:r w:rsidRPr="004E28F5">
              <w:rPr>
                <w:sz w:val="24"/>
              </w:rPr>
              <w:lastRenderedPageBreak/>
              <w:t>ny Limited</w:t>
            </w:r>
          </w:p>
        </w:tc>
        <w:tc>
          <w:tcPr>
            <w:tcW w:w="962" w:type="dxa"/>
          </w:tcPr>
          <w:p w:rsidR="004E28F5" w:rsidRPr="004E28F5" w:rsidRDefault="004E28F5" w:rsidP="004E28F5">
            <w:pPr>
              <w:jc w:val="center"/>
              <w:rPr>
                <w:sz w:val="24"/>
              </w:rPr>
            </w:pPr>
            <w:r w:rsidRPr="004E28F5">
              <w:rPr>
                <w:rFonts w:hint="eastAsia"/>
                <w:sz w:val="24"/>
              </w:rPr>
              <w:lastRenderedPageBreak/>
              <w:t>中国建材股份有限公司</w:t>
            </w:r>
          </w:p>
        </w:tc>
        <w:tc>
          <w:tcPr>
            <w:tcW w:w="725" w:type="dxa"/>
            <w:vAlign w:val="center"/>
          </w:tcPr>
          <w:p w:rsidR="004E28F5" w:rsidRDefault="004E28F5" w:rsidP="004E28F5">
            <w:pPr>
              <w:jc w:val="center"/>
            </w:pPr>
            <w:r>
              <w:rPr>
                <w:color w:val="000000"/>
                <w:sz w:val="24"/>
              </w:rPr>
              <w:t>3323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400,000</w:t>
            </w:r>
          </w:p>
        </w:tc>
        <w:tc>
          <w:tcPr>
            <w:tcW w:w="975" w:type="dxa"/>
            <w:vAlign w:val="center"/>
          </w:tcPr>
          <w:p w:rsidR="004E28F5" w:rsidRDefault="004E28F5" w:rsidP="004E28F5">
            <w:pPr>
              <w:jc w:val="right"/>
            </w:pPr>
            <w:r>
              <w:rPr>
                <w:color w:val="000000"/>
                <w:sz w:val="24"/>
              </w:rPr>
              <w:t>2,620,931.86</w:t>
            </w:r>
          </w:p>
        </w:tc>
        <w:tc>
          <w:tcPr>
            <w:tcW w:w="1175" w:type="dxa"/>
            <w:vAlign w:val="center"/>
          </w:tcPr>
          <w:p w:rsidR="004E28F5" w:rsidRDefault="004E28F5" w:rsidP="004E28F5">
            <w:pPr>
              <w:jc w:val="right"/>
            </w:pPr>
            <w:r>
              <w:rPr>
                <w:color w:val="000000"/>
                <w:sz w:val="24"/>
              </w:rPr>
              <w:t>3.59</w:t>
            </w:r>
          </w:p>
        </w:tc>
      </w:tr>
      <w:tr w:rsidR="004E28F5" w:rsidTr="00502F4D">
        <w:trPr>
          <w:jc w:val="center"/>
        </w:trPr>
        <w:tc>
          <w:tcPr>
            <w:tcW w:w="1243" w:type="dxa"/>
            <w:vAlign w:val="center"/>
          </w:tcPr>
          <w:p w:rsidR="004E28F5" w:rsidRDefault="004E28F5" w:rsidP="004E28F5">
            <w:pPr>
              <w:jc w:val="center"/>
            </w:pPr>
            <w:r>
              <w:rPr>
                <w:color w:val="000000"/>
                <w:sz w:val="24"/>
              </w:rPr>
              <w:t>10</w:t>
            </w:r>
          </w:p>
        </w:tc>
        <w:tc>
          <w:tcPr>
            <w:tcW w:w="1002" w:type="dxa"/>
          </w:tcPr>
          <w:p w:rsidR="004E28F5" w:rsidRPr="004E28F5" w:rsidRDefault="004E28F5" w:rsidP="004E28F5">
            <w:pPr>
              <w:jc w:val="center"/>
              <w:rPr>
                <w:sz w:val="24"/>
              </w:rPr>
            </w:pPr>
            <w:r w:rsidRPr="004E28F5">
              <w:rPr>
                <w:sz w:val="24"/>
              </w:rPr>
              <w:t>China Tian Lun Gas Holdings Limited</w:t>
            </w:r>
          </w:p>
        </w:tc>
        <w:tc>
          <w:tcPr>
            <w:tcW w:w="962" w:type="dxa"/>
          </w:tcPr>
          <w:p w:rsidR="004E28F5" w:rsidRPr="004E28F5" w:rsidRDefault="004E28F5" w:rsidP="004E28F5">
            <w:pPr>
              <w:jc w:val="center"/>
              <w:rPr>
                <w:sz w:val="24"/>
              </w:rPr>
            </w:pPr>
            <w:r w:rsidRPr="004E28F5">
              <w:rPr>
                <w:rFonts w:hint="eastAsia"/>
                <w:sz w:val="24"/>
              </w:rPr>
              <w:t>中国天伦燃气控股有限公司</w:t>
            </w:r>
          </w:p>
        </w:tc>
        <w:tc>
          <w:tcPr>
            <w:tcW w:w="725" w:type="dxa"/>
            <w:vAlign w:val="center"/>
          </w:tcPr>
          <w:p w:rsidR="004E28F5" w:rsidRDefault="004E28F5" w:rsidP="004E28F5">
            <w:pPr>
              <w:jc w:val="center"/>
            </w:pPr>
            <w:r>
              <w:rPr>
                <w:color w:val="000000"/>
                <w:sz w:val="24"/>
              </w:rPr>
              <w:t>1600 HK</w:t>
            </w:r>
          </w:p>
        </w:tc>
        <w:tc>
          <w:tcPr>
            <w:tcW w:w="747" w:type="dxa"/>
            <w:vAlign w:val="center"/>
          </w:tcPr>
          <w:p w:rsidR="004E28F5" w:rsidRDefault="004E28F5" w:rsidP="004E28F5">
            <w:pPr>
              <w:jc w:val="center"/>
            </w:pPr>
            <w:r>
              <w:rPr>
                <w:color w:val="000000"/>
                <w:sz w:val="24"/>
              </w:rPr>
              <w:t>香港证券交易所</w:t>
            </w:r>
          </w:p>
        </w:tc>
        <w:tc>
          <w:tcPr>
            <w:tcW w:w="975" w:type="dxa"/>
            <w:vAlign w:val="center"/>
          </w:tcPr>
          <w:p w:rsidR="004E28F5" w:rsidRDefault="004E28F5" w:rsidP="004E28F5">
            <w:pPr>
              <w:jc w:val="center"/>
            </w:pPr>
            <w:r>
              <w:rPr>
                <w:color w:val="000000"/>
                <w:sz w:val="24"/>
              </w:rPr>
              <w:t>香港</w:t>
            </w:r>
          </w:p>
        </w:tc>
        <w:tc>
          <w:tcPr>
            <w:tcW w:w="1175" w:type="dxa"/>
            <w:vAlign w:val="center"/>
          </w:tcPr>
          <w:p w:rsidR="004E28F5" w:rsidRDefault="004E28F5" w:rsidP="004E28F5">
            <w:pPr>
              <w:jc w:val="right"/>
            </w:pPr>
            <w:r>
              <w:rPr>
                <w:color w:val="000000"/>
                <w:sz w:val="24"/>
              </w:rPr>
              <w:t>400,500</w:t>
            </w:r>
          </w:p>
        </w:tc>
        <w:tc>
          <w:tcPr>
            <w:tcW w:w="975" w:type="dxa"/>
            <w:vAlign w:val="center"/>
          </w:tcPr>
          <w:p w:rsidR="004E28F5" w:rsidRDefault="004E28F5" w:rsidP="004E28F5">
            <w:pPr>
              <w:jc w:val="right"/>
            </w:pPr>
            <w:r>
              <w:rPr>
                <w:color w:val="000000"/>
                <w:sz w:val="24"/>
              </w:rPr>
              <w:t>2,499,245.74</w:t>
            </w:r>
          </w:p>
        </w:tc>
        <w:tc>
          <w:tcPr>
            <w:tcW w:w="1175" w:type="dxa"/>
            <w:vAlign w:val="center"/>
          </w:tcPr>
          <w:p w:rsidR="004E28F5" w:rsidRDefault="004E28F5" w:rsidP="004E28F5">
            <w:pPr>
              <w:jc w:val="right"/>
            </w:pPr>
            <w:r>
              <w:rPr>
                <w:color w:val="000000"/>
                <w:sz w:val="24"/>
              </w:rPr>
              <w:t>3.43</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473,860.29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2,552.76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1,067,510.36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1,543,923.41</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28,276,000.81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22,118,625.03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8,070,157.44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42,324,468.40</w:t>
            </w:r>
          </w:p>
        </w:tc>
      </w:tr>
    </w:tbl>
    <w:p w:rsidR="00F37C8D" w:rsidRDefault="004E28F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F37C8D" w:rsidRDefault="004E28F5">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F37C8D" w:rsidRDefault="004E28F5">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F37C8D" w:rsidRDefault="004E28F5">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F37C8D" w:rsidRDefault="004E28F5">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F37C8D" w:rsidRDefault="004E28F5">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F37C8D" w:rsidRDefault="004E28F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5E" w:rsidRDefault="0000255E">
      <w:r>
        <w:separator/>
      </w:r>
    </w:p>
  </w:endnote>
  <w:endnote w:type="continuationSeparator" w:id="0">
    <w:p w:rsidR="0000255E" w:rsidRDefault="0000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133C6D">
      <w:rPr>
        <w:kern w:val="0"/>
        <w:szCs w:val="21"/>
      </w:rPr>
      <w:fldChar w:fldCharType="begin"/>
    </w:r>
    <w:r>
      <w:rPr>
        <w:kern w:val="0"/>
        <w:szCs w:val="21"/>
      </w:rPr>
      <w:instrText xml:space="preserve"> PAGE </w:instrText>
    </w:r>
    <w:r w:rsidR="00133C6D">
      <w:rPr>
        <w:kern w:val="0"/>
        <w:szCs w:val="21"/>
      </w:rPr>
      <w:fldChar w:fldCharType="separate"/>
    </w:r>
    <w:r w:rsidR="00502F4D">
      <w:rPr>
        <w:noProof/>
        <w:kern w:val="0"/>
        <w:szCs w:val="21"/>
      </w:rPr>
      <w:t>10</w:t>
    </w:r>
    <w:r w:rsidR="00133C6D">
      <w:rPr>
        <w:kern w:val="0"/>
        <w:szCs w:val="21"/>
      </w:rPr>
      <w:fldChar w:fldCharType="end"/>
    </w:r>
    <w:r>
      <w:rPr>
        <w:rFonts w:hint="eastAsia"/>
        <w:kern w:val="0"/>
        <w:szCs w:val="21"/>
      </w:rPr>
      <w:t>页共</w:t>
    </w:r>
    <w:r w:rsidR="00133C6D">
      <w:rPr>
        <w:kern w:val="0"/>
        <w:szCs w:val="21"/>
      </w:rPr>
      <w:fldChar w:fldCharType="begin"/>
    </w:r>
    <w:r>
      <w:rPr>
        <w:kern w:val="0"/>
        <w:szCs w:val="21"/>
      </w:rPr>
      <w:instrText xml:space="preserve"> NUMPAGES </w:instrText>
    </w:r>
    <w:r w:rsidR="00133C6D">
      <w:rPr>
        <w:kern w:val="0"/>
        <w:szCs w:val="21"/>
      </w:rPr>
      <w:fldChar w:fldCharType="separate"/>
    </w:r>
    <w:r w:rsidR="00502F4D">
      <w:rPr>
        <w:noProof/>
        <w:kern w:val="0"/>
        <w:szCs w:val="21"/>
      </w:rPr>
      <w:t>13</w:t>
    </w:r>
    <w:r w:rsidR="00133C6D">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133C6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5E" w:rsidRDefault="0000255E">
      <w:r>
        <w:separator/>
      </w:r>
    </w:p>
  </w:footnote>
  <w:footnote w:type="continuationSeparator" w:id="0">
    <w:p w:rsidR="0000255E" w:rsidRDefault="00002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交银施罗德全球自然资源证券投资基金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255E"/>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6E1"/>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4501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28F5"/>
    <w:rsid w:val="004E3D41"/>
    <w:rsid w:val="004E60FB"/>
    <w:rsid w:val="004F6565"/>
    <w:rsid w:val="004F779C"/>
    <w:rsid w:val="004F7846"/>
    <w:rsid w:val="005000D4"/>
    <w:rsid w:val="00501BB1"/>
    <w:rsid w:val="00502F4D"/>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37BF9"/>
    <w:rsid w:val="00F37C8D"/>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57C0AD0-828A-42DA-8D8A-00DF85CE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127</TotalTime>
  <Pages>13</Pages>
  <Words>1144</Words>
  <Characters>6526</Characters>
  <Application>Microsoft Office Word</Application>
  <DocSecurity>0</DocSecurity>
  <Lines>54</Lines>
  <Paragraphs>15</Paragraphs>
  <ScaleCrop>false</ScaleCrop>
  <Company>TRT. Ltd. Co.</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243</cp:revision>
  <cp:lastPrinted>2007-07-19T00:46:00Z</cp:lastPrinted>
  <dcterms:created xsi:type="dcterms:W3CDTF">2013-08-01T05:26:00Z</dcterms:created>
  <dcterms:modified xsi:type="dcterms:W3CDTF">2018-07-16T08:24:00Z</dcterms:modified>
</cp:coreProperties>
</file>