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C8693F">
        <w:rPr>
          <w:rFonts w:ascii="Times New Roman" w:eastAsiaTheme="majorEastAsia" w:hAnsi="Times New Roman" w:cs="Times New Roman"/>
          <w:b/>
          <w:sz w:val="30"/>
          <w:szCs w:val="30"/>
        </w:rPr>
        <w:t>交银施罗德丰润收益债券型证券投资基金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的</w:t>
      </w:r>
      <w:r w:rsidR="00C8693F">
        <w:rPr>
          <w:rFonts w:ascii="Times New Roman" w:eastAsiaTheme="majorEastAsia" w:hAnsi="Times New Roman" w:cs="Times New Roman"/>
          <w:b/>
          <w:sz w:val="30"/>
          <w:szCs w:val="30"/>
        </w:rPr>
        <w:t>基金份额净值计算小数点后保留位数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771C26" w:rsidRPr="00771C26">
        <w:rPr>
          <w:rFonts w:ascii="Times New Roman" w:eastAsiaTheme="majorEastAsia" w:hAnsi="Times New Roman" w:cs="Times New Roman" w:hint="eastAsia"/>
          <w:b/>
          <w:sz w:val="30"/>
          <w:szCs w:val="30"/>
        </w:rPr>
        <w:t>、托管协议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:rsidR="00F72B4C" w:rsidRPr="008F71CF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3640C">
        <w:rPr>
          <w:rFonts w:ascii="Times New Roman" w:eastAsiaTheme="majorEastAsia" w:hAnsi="Times New Roman" w:cs="Times New Roman" w:hint="eastAsia"/>
          <w:bCs/>
          <w:sz w:val="24"/>
          <w:szCs w:val="20"/>
        </w:rPr>
        <w:t>维护基金</w:t>
      </w:r>
      <w:r w:rsidR="00C3640C">
        <w:rPr>
          <w:rFonts w:ascii="Times New Roman" w:eastAsiaTheme="majorEastAsia" w:hAnsi="Times New Roman" w:cs="Times New Roman"/>
          <w:bCs/>
          <w:sz w:val="24"/>
          <w:szCs w:val="20"/>
        </w:rPr>
        <w:t>份额持有人的利益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C3640C">
        <w:rPr>
          <w:rFonts w:ascii="Times New Roman" w:eastAsiaTheme="majorEastAsia" w:hAnsi="Times New Roman" w:cs="Times New Roman" w:hint="eastAsia"/>
          <w:bCs/>
          <w:sz w:val="24"/>
          <w:szCs w:val="20"/>
        </w:rPr>
        <w:t>提高</w:t>
      </w:r>
      <w:r w:rsidR="00C3640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="00C3640C">
        <w:rPr>
          <w:rFonts w:ascii="Times New Roman" w:eastAsiaTheme="majorEastAsia" w:hAnsi="Times New Roman" w:cs="Times New Roman"/>
          <w:bCs/>
          <w:sz w:val="24"/>
          <w:szCs w:val="20"/>
        </w:rPr>
        <w:t>丰润收益债券型</w:t>
      </w:r>
      <w:r w:rsidR="00C3640C" w:rsidRPr="008F71CF">
        <w:rPr>
          <w:rFonts w:ascii="Times New Roman" w:eastAsiaTheme="majorEastAsia" w:hAnsi="Times New Roman" w:cs="Times New Roman"/>
          <w:bCs/>
          <w:sz w:val="24"/>
          <w:szCs w:val="20"/>
        </w:rPr>
        <w:t>证券投资基金（以下简称</w:t>
      </w:r>
      <w:r w:rsidR="00C3640C"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3640C"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本基金</w:t>
      </w:r>
      <w:r w:rsidR="00C3640C"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3640C"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C3640C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基金份额</w:t>
      </w:r>
      <w:r w:rsidR="00C3640C">
        <w:rPr>
          <w:rFonts w:ascii="Times New Roman" w:eastAsiaTheme="majorEastAsia" w:hAnsi="Times New Roman" w:cs="Times New Roman"/>
          <w:bCs/>
          <w:sz w:val="24"/>
          <w:szCs w:val="20"/>
        </w:rPr>
        <w:t>净值的精确度，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1D68B5">
        <w:rPr>
          <w:rFonts w:ascii="Times New Roman" w:eastAsiaTheme="majorEastAsia" w:hAnsi="Times New Roman" w:cs="Times New Roman"/>
          <w:bCs/>
          <w:sz w:val="24"/>
          <w:szCs w:val="20"/>
        </w:rPr>
        <w:t>中信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银行股份有限公司协商一致</w:t>
      </w:r>
      <w:r w:rsidR="00C3640C">
        <w:rPr>
          <w:rFonts w:ascii="Times New Roman" w:eastAsiaTheme="majorEastAsia" w:hAnsi="Times New Roman" w:cs="Times New Roman" w:hint="eastAsia"/>
          <w:bCs/>
          <w:sz w:val="24"/>
          <w:szCs w:val="20"/>
        </w:rPr>
        <w:t>，</w:t>
      </w:r>
      <w:r w:rsidR="00771C26" w:rsidRPr="0067424D">
        <w:rPr>
          <w:rFonts w:ascii="宋体" w:hAnsi="宋体" w:hint="eastAsia"/>
          <w:color w:val="000000"/>
          <w:sz w:val="24"/>
          <w:szCs w:val="24"/>
        </w:rPr>
        <w:t>并报中国证券监督管理委员会备案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2018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AA55D1">
        <w:rPr>
          <w:rFonts w:ascii="Times New Roman" w:eastAsiaTheme="majorEastAsia" w:hAnsi="Times New Roman" w:cs="Times New Roman"/>
          <w:bCs/>
          <w:sz w:val="24"/>
          <w:szCs w:val="20"/>
        </w:rPr>
        <w:t>7</w:t>
      </w:r>
      <w:r w:rsidR="00AA55D1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AA55D1">
        <w:rPr>
          <w:rFonts w:ascii="Times New Roman" w:eastAsiaTheme="majorEastAsia" w:hAnsi="Times New Roman" w:cs="Times New Roman"/>
          <w:bCs/>
          <w:sz w:val="24"/>
          <w:szCs w:val="20"/>
        </w:rPr>
        <w:t>19</w:t>
      </w:r>
      <w:r w:rsidR="00AA55D1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调整本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基金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基金份额净值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计算小数点后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保留位数</w:t>
      </w:r>
      <w:r w:rsidR="001D6BA1">
        <w:rPr>
          <w:rFonts w:ascii="Times New Roman" w:eastAsiaTheme="majorEastAsia" w:hAnsi="Times New Roman" w:cs="Times New Roman" w:hint="eastAsia"/>
          <w:bCs/>
          <w:sz w:val="24"/>
          <w:szCs w:val="20"/>
        </w:rPr>
        <w:t>，</w:t>
      </w:r>
      <w:r w:rsidR="005876E1" w:rsidRPr="005876E1">
        <w:rPr>
          <w:rFonts w:ascii="Times New Roman" w:eastAsiaTheme="majorEastAsia" w:hAnsi="Times New Roman" w:cs="Times New Roman" w:hint="eastAsia"/>
          <w:bCs/>
          <w:sz w:val="24"/>
          <w:szCs w:val="20"/>
        </w:rPr>
        <w:t>由保留</w:t>
      </w:r>
      <w:r w:rsidR="001E0DBC">
        <w:rPr>
          <w:rFonts w:ascii="Times New Roman" w:eastAsiaTheme="majorEastAsia" w:hAnsi="Times New Roman" w:cs="Times New Roman" w:hint="eastAsia"/>
          <w:bCs/>
          <w:sz w:val="24"/>
          <w:szCs w:val="20"/>
        </w:rPr>
        <w:t>到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小数点后</w:t>
      </w:r>
      <w:r w:rsidR="005876E1" w:rsidRPr="005876E1">
        <w:rPr>
          <w:rFonts w:ascii="Times New Roman" w:eastAsiaTheme="majorEastAsia" w:hAnsi="Times New Roman" w:cs="Times New Roman" w:hint="eastAsia"/>
          <w:bCs/>
          <w:sz w:val="24"/>
          <w:szCs w:val="20"/>
        </w:rPr>
        <w:t>3</w:t>
      </w:r>
      <w:r w:rsidR="005876E1" w:rsidRPr="005876E1">
        <w:rPr>
          <w:rFonts w:ascii="Times New Roman" w:eastAsiaTheme="majorEastAsia" w:hAnsi="Times New Roman" w:cs="Times New Roman" w:hint="eastAsia"/>
          <w:bCs/>
          <w:sz w:val="24"/>
          <w:szCs w:val="20"/>
        </w:rPr>
        <w:t>位</w:t>
      </w:r>
      <w:r w:rsidR="001E0DBC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5876E1" w:rsidRPr="005876E1">
        <w:rPr>
          <w:rFonts w:ascii="Times New Roman" w:eastAsiaTheme="majorEastAsia" w:hAnsi="Times New Roman" w:cs="Times New Roman" w:hint="eastAsia"/>
          <w:bCs/>
          <w:sz w:val="24"/>
          <w:szCs w:val="20"/>
        </w:rPr>
        <w:t>为</w:t>
      </w:r>
      <w:r w:rsidR="005876E1">
        <w:rPr>
          <w:rFonts w:ascii="Times New Roman" w:eastAsiaTheme="majorEastAsia" w:hAnsi="Times New Roman" w:cs="Times New Roman" w:hint="eastAsia"/>
          <w:bCs/>
          <w:sz w:val="24"/>
          <w:szCs w:val="20"/>
        </w:rPr>
        <w:t>小数点后</w:t>
      </w:r>
      <w:r w:rsidR="005876E1" w:rsidRPr="005876E1">
        <w:rPr>
          <w:rFonts w:ascii="Times New Roman" w:eastAsiaTheme="majorEastAsia" w:hAnsi="Times New Roman" w:cs="Times New Roman" w:hint="eastAsia"/>
          <w:bCs/>
          <w:sz w:val="24"/>
          <w:szCs w:val="20"/>
        </w:rPr>
        <w:t>4</w:t>
      </w:r>
      <w:r w:rsidR="005876E1" w:rsidRPr="005876E1">
        <w:rPr>
          <w:rFonts w:ascii="Times New Roman" w:eastAsiaTheme="majorEastAsia" w:hAnsi="Times New Roman" w:cs="Times New Roman" w:hint="eastAsia"/>
          <w:bCs/>
          <w:sz w:val="24"/>
          <w:szCs w:val="20"/>
        </w:rPr>
        <w:t>位</w:t>
      </w:r>
      <w:r w:rsidR="005876E1">
        <w:rPr>
          <w:rFonts w:ascii="Times New Roman" w:eastAsiaTheme="majorEastAsia" w:hAnsi="Times New Roman" w:cs="Times New Roman" w:hint="eastAsia"/>
          <w:bCs/>
          <w:sz w:val="24"/>
          <w:szCs w:val="20"/>
        </w:rPr>
        <w:t>，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小数点后第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5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位</w:t>
      </w:r>
      <w:r w:rsidR="005876E1">
        <w:rPr>
          <w:rFonts w:ascii="Times New Roman" w:eastAsiaTheme="majorEastAsia" w:hAnsi="Times New Roman" w:cs="Times New Roman" w:hint="eastAsia"/>
          <w:bCs/>
          <w:sz w:val="24"/>
          <w:szCs w:val="20"/>
        </w:rPr>
        <w:t>四舍五入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</w:t>
      </w:r>
      <w:r w:rsidR="00771C26">
        <w:rPr>
          <w:rFonts w:ascii="宋体" w:hAnsi="宋体" w:hint="eastAsia"/>
          <w:bCs/>
          <w:sz w:val="24"/>
          <w:szCs w:val="20"/>
        </w:rPr>
        <w:t>、托管协议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</w:p>
    <w:p w:rsidR="005876E1" w:rsidRDefault="005876E1" w:rsidP="005876E1">
      <w:pPr>
        <w:pStyle w:val="Default"/>
      </w:pPr>
    </w:p>
    <w:p w:rsidR="005876E1" w:rsidRPr="001E0DBC" w:rsidRDefault="005876E1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、《基金合同》的修订内容</w:t>
      </w:r>
    </w:p>
    <w:p w:rsidR="00D17B52" w:rsidRDefault="00C8693F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1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116A95"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第六部分</w:t>
      </w:r>
      <w:r w:rsidR="00116A95"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 w:rsidR="00116A95"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基金份额的申购与赎回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116A95"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七、申购和赎回的价格、费用及其用途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:rsidR="00116A95" w:rsidRDefault="001E0DBC" w:rsidP="009E3192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、本基金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A/B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类基金份额和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C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类基金份额的份额净值的计算，保留到小数点后</w:t>
      </w:r>
      <w:r w:rsidR="00116A95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位，小数点后第</w:t>
      </w:r>
      <w:r w:rsidR="00116A95">
        <w:rPr>
          <w:rFonts w:ascii="Times New Roman" w:hAnsi="Times New Roman" w:cs="Times New Roman" w:hint="eastAsia"/>
          <w:bCs/>
          <w:sz w:val="24"/>
          <w:szCs w:val="24"/>
        </w:rPr>
        <w:t>4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位四舍五入，由此产生的收益或损失由基金财产承担。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T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日的基金份额净值在当天收市后计算，并在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T+1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日（包括该日）内公告。遇特殊情况，经中国证监会同意，可以适当延迟计算或公告。</w:t>
      </w:r>
      <w:r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:rsidR="00116A95" w:rsidRDefault="001E0DBC" w:rsidP="009E3192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、本基金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A/B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类基金份额和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C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类基金份额的份额净值的计算，保留到小数点后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4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位，小数点后第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5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位四舍五入，由此产生的收益或损失由基金财产承担。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T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日的基金份额净值在当天收市后计算，并在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T+1</w:t>
      </w:r>
      <w:r w:rsidR="00116A95" w:rsidRPr="00116A95">
        <w:rPr>
          <w:rFonts w:ascii="Times New Roman" w:hAnsi="Times New Roman" w:cs="Times New Roman" w:hint="eastAsia"/>
          <w:bCs/>
          <w:sz w:val="24"/>
          <w:szCs w:val="24"/>
        </w:rPr>
        <w:t>日（包括该日）内公告。遇特殊情况，经中国证监会同意，可以适当延迟计算或公告。</w:t>
      </w:r>
      <w:r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:rsid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2</w:t>
      </w: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Pr="008867E3" w:rsidDel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第十四部分</w:t>
      </w:r>
      <w:r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基金资产估值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四、估值程序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:rsid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表述：</w:t>
      </w:r>
    </w:p>
    <w:p w:rsidR="00116A95" w:rsidRPr="00116A95" w:rsidRDefault="001E0DBC" w:rsidP="00116A9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1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、基金份额净值是按照每个工作日闭市后，基金资产净值除以当日基金份额的余额数量计算，精确到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0.001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元，小数点后第四位四舍五入。国家另有规定的，从其规定。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:rsid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lastRenderedPageBreak/>
        <w:t>修改为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：</w:t>
      </w:r>
    </w:p>
    <w:p w:rsidR="00116A95" w:rsidRPr="00116A95" w:rsidRDefault="001E0DBC" w:rsidP="00116A9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1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、基金份额净值是按照每个工作日闭市后，基金资产净值除以当日基金份额的余额数量计算，精确到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0.0001</w:t>
      </w:r>
      <w:r w:rsid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元，小数点后第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五位四舍五入。国家另有规定的，从其规定。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:rsid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3</w:t>
      </w: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Pr="008867E3" w:rsidDel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第十四部分</w:t>
      </w:r>
      <w:r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基金资产估值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P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五、估值错误的处理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:rsid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表述：</w:t>
      </w:r>
    </w:p>
    <w:p w:rsidR="00116A95" w:rsidRDefault="001E0DBC" w:rsidP="00116A9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基金管理人和基金托管人将采取必要、适当、合理的措施确保基金资产估值的准确性、及时性。当基金份额净值小数点后第</w:t>
      </w:r>
      <w:r w:rsid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3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位以内（含第</w:t>
      </w:r>
      <w:r w:rsidR="00116A95">
        <w:rPr>
          <w:rFonts w:ascii="Times New Roman" w:eastAsiaTheme="majorEastAsia" w:hAnsi="Times New Roman" w:cs="Times New Roman"/>
          <w:color w:val="000000"/>
          <w:kern w:val="0"/>
          <w:sz w:val="24"/>
        </w:rPr>
        <w:t>3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位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 xml:space="preserve">) 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发生估值错误时，视为基金份额净值错误。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:rsid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修改为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：</w:t>
      </w:r>
    </w:p>
    <w:p w:rsidR="00116A95" w:rsidRPr="00116A95" w:rsidRDefault="001E0DBC" w:rsidP="009E3192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基金管理人和基金托管人将采取必要、适当、合理的措施确保基金资产估值的准确性、及时性。当基金份额净值小数点后第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4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位以内（含第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4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位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 xml:space="preserve">) 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发生估值错误时，视为基金份额净值错误。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:rsidR="00D17B52" w:rsidRDefault="00116A95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4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第二十四部分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 xml:space="preserve"> 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基金合同内容摘要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中对上述修订内容进行修订。</w:t>
      </w:r>
    </w:p>
    <w:p w:rsidR="00116A95" w:rsidRPr="00116A95" w:rsidRDefault="00116A95" w:rsidP="001E0DBC">
      <w:pPr>
        <w:widowControl/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:rsidR="00116A95" w:rsidRP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托管协议</w:t>
      </w:r>
      <w:r w:rsidRPr="00CB591B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》的修订内容</w:t>
      </w:r>
    </w:p>
    <w:p w:rsidR="005234EC" w:rsidRDefault="005234EC" w:rsidP="005234E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1</w:t>
      </w: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Pr="008867E3" w:rsidDel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Pr="005234E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八、基金资产净值计算和会计核算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1E0DBC"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（一）基金资产净值的计算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:rsidR="00116A95" w:rsidRPr="001E0DBC" w:rsidRDefault="001E0DBC" w:rsidP="001E0DB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:rsidR="00116A95" w:rsidRPr="00116A95" w:rsidRDefault="001E0DBC" w:rsidP="00116A9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1</w:t>
      </w:r>
      <w:r w:rsidR="00116A95"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．基金资产净值的计算、复核的时间和程序</w:t>
      </w:r>
    </w:p>
    <w:p w:rsidR="00116A95" w:rsidRDefault="00116A95" w:rsidP="00116A95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基金资产净值是指基金资产总值减去负债后的价值。基金份额净值是指每个工作日闭市后，基金份额的基金资产净值除以当日基金份额的数值。基金份额净值的计算保留到小数点后</w:t>
      </w:r>
      <w:r w:rsidR="001E0DBC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3</w:t>
      </w: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位，小数点后第</w:t>
      </w:r>
      <w:r w:rsidR="001E0DBC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4</w:t>
      </w: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位四舍五入，由此产生的误差计入基金财产。</w:t>
      </w:r>
      <w:r w:rsidR="001E0DBC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:rsidR="001E0DBC" w:rsidRDefault="001E0DBC" w:rsidP="001E0DB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修改为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：</w:t>
      </w:r>
    </w:p>
    <w:p w:rsidR="001E0DBC" w:rsidRPr="00116A95" w:rsidRDefault="001E0DBC" w:rsidP="001E0DBC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1</w:t>
      </w: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．基金资产净值的计算、复核的时间和程序</w:t>
      </w:r>
    </w:p>
    <w:p w:rsidR="001E0DBC" w:rsidRPr="001E0DBC" w:rsidRDefault="001E0DBC" w:rsidP="001E0DBC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基金资产净值是指基金资产总值减去负债后的价值。基金份额净值是指每个工作日闭市后，基金份额的基金资产净值除以当日基金份额的数值。基金份额净值的计算保留到小数点后</w:t>
      </w: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4</w:t>
      </w: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位，小数点后第</w:t>
      </w: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5</w:t>
      </w:r>
      <w:r w:rsidRPr="00116A95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位四舍五入，由此产生的误差计入基金财产。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:rsidR="00653BDA" w:rsidRPr="008F71CF" w:rsidRDefault="00653BDA" w:rsidP="001E0DBC">
      <w:pPr>
        <w:pStyle w:val="a5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:rsidR="00D17B52" w:rsidRDefault="008867E3" w:rsidP="009E3192">
      <w:pPr>
        <w:pStyle w:val="a5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、上述修改对基金份额持有人利益无实质性不利影响，可不经基金份额持有人大会</w:t>
      </w:r>
      <w:r w:rsidR="008E510E">
        <w:rPr>
          <w:rFonts w:ascii="Times New Roman" w:eastAsiaTheme="majorEastAsia" w:hAnsi="Times New Roman" w:cs="Times New Roman" w:hint="eastAsia"/>
          <w:color w:val="000000"/>
        </w:rPr>
        <w:t>审议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</w:p>
    <w:p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BB4E10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="00C3640C">
        <w:rPr>
          <w:rFonts w:ascii="Times New Roman" w:eastAsiaTheme="majorEastAsia" w:hAnsi="Times New Roman" w:cs="Times New Roman"/>
          <w:color w:val="000000"/>
        </w:rPr>
        <w:t>丰润收益债券型</w:t>
      </w:r>
      <w:r w:rsidR="00BB4E10" w:rsidRPr="008F71CF">
        <w:rPr>
          <w:rFonts w:ascii="Times New Roman" w:eastAsiaTheme="majorEastAsia" w:hAnsi="Times New Roman" w:cs="Times New Roman"/>
          <w:color w:val="000000"/>
        </w:rPr>
        <w:t>证券投资基金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基金合同</w:t>
      </w:r>
      <w:r w:rsidR="00AB713A">
        <w:rPr>
          <w:rFonts w:ascii="Times New Roman" w:eastAsiaTheme="majorEastAsia" w:hAnsi="Times New Roman" w:cs="Times New Roman" w:hint="eastAsia"/>
          <w:color w:val="000000"/>
        </w:rPr>
        <w:t>和托管协议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本基金管理人将据此在更新基金招募说明书时，对上述相关内容进行相应修订。</w:t>
      </w:r>
    </w:p>
    <w:p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Pr="008F71CF">
        <w:rPr>
          <w:rFonts w:ascii="Times New Roman" w:eastAsiaTheme="majorEastAsia" w:hAnsi="Times New Roman" w:cs="Times New Roman"/>
          <w:color w:val="000000"/>
        </w:rPr>
        <w:t>www.fund001.com</w:t>
      </w:r>
      <w:r w:rsidRPr="008F71CF">
        <w:rPr>
          <w:rFonts w:ascii="Times New Roman" w:eastAsiaTheme="majorEastAsia" w:hAnsi="Times New Roman" w:cs="Times New Roman"/>
          <w:color w:val="000000"/>
        </w:rPr>
        <w:t>）或拨打本基金管理人的客户服务电话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:rsidR="009E6919" w:rsidRPr="008F71CF" w:rsidRDefault="009E6919" w:rsidP="009E6919">
      <w:pPr>
        <w:pStyle w:val="a5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:rsidR="009E6919" w:rsidRPr="008F71CF" w:rsidRDefault="009E6919" w:rsidP="008E55B0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:rsidR="00C24746" w:rsidRPr="008F71CF" w:rsidRDefault="00C24746" w:rsidP="009E6919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:rsidR="00C24746" w:rsidRPr="008F71CF" w:rsidRDefault="00C24746" w:rsidP="00D60C56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5876E1" w:rsidRPr="008F71CF">
        <w:rPr>
          <w:rFonts w:ascii="Times New Roman" w:eastAsiaTheme="majorEastAsia" w:hAnsi="Times New Roman" w:cs="Times New Roman"/>
          <w:color w:val="000000"/>
        </w:rPr>
        <w:t>二〇一</w:t>
      </w:r>
      <w:r w:rsidR="005876E1">
        <w:rPr>
          <w:rFonts w:ascii="Times New Roman" w:eastAsiaTheme="majorEastAsia" w:hAnsi="Times New Roman" w:cs="Times New Roman" w:hint="eastAsia"/>
          <w:color w:val="000000"/>
        </w:rPr>
        <w:t>八</w:t>
      </w:r>
      <w:r w:rsidR="005876E1" w:rsidRPr="008F71CF">
        <w:rPr>
          <w:rFonts w:ascii="Times New Roman" w:eastAsiaTheme="majorEastAsia" w:hAnsi="Times New Roman" w:cs="Times New Roman"/>
          <w:color w:val="000000"/>
        </w:rPr>
        <w:t>年</w:t>
      </w:r>
      <w:bookmarkStart w:id="0" w:name="_GoBack"/>
      <w:bookmarkEnd w:id="0"/>
      <w:r w:rsidR="00AA55D1">
        <w:rPr>
          <w:rFonts w:ascii="Times New Roman" w:eastAsiaTheme="majorEastAsia" w:hAnsi="Times New Roman" w:cs="Times New Roman" w:hint="eastAsia"/>
          <w:color w:val="000000"/>
        </w:rPr>
        <w:t>七</w:t>
      </w:r>
      <w:r w:rsidR="005876E1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AA55D1">
        <w:rPr>
          <w:rFonts w:ascii="Times New Roman" w:eastAsiaTheme="majorEastAsia" w:hAnsi="Times New Roman" w:cs="Times New Roman" w:hint="eastAsia"/>
          <w:color w:val="000000"/>
        </w:rPr>
        <w:t>十七</w:t>
      </w:r>
      <w:r w:rsidR="005876E1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F6" w:rsidRDefault="009153F6" w:rsidP="00C24746">
      <w:r>
        <w:separator/>
      </w:r>
    </w:p>
  </w:endnote>
  <w:endnote w:type="continuationSeparator" w:id="0">
    <w:p w:rsidR="009153F6" w:rsidRDefault="009153F6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618663"/>
      <w:docPartObj>
        <w:docPartGallery w:val="Page Numbers (Bottom of Page)"/>
        <w:docPartUnique/>
      </w:docPartObj>
    </w:sdtPr>
    <w:sdtEndPr/>
    <w:sdtContent>
      <w:p w:rsidR="00CA01C6" w:rsidRDefault="00CA01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E4E" w:rsidRPr="004D4E4E">
          <w:rPr>
            <w:noProof/>
            <w:lang w:val="zh-CN"/>
          </w:rPr>
          <w:t>1</w:t>
        </w:r>
        <w:r>
          <w:fldChar w:fldCharType="end"/>
        </w:r>
      </w:p>
    </w:sdtContent>
  </w:sdt>
  <w:p w:rsidR="00CA01C6" w:rsidRDefault="00CA0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F6" w:rsidRDefault="009153F6" w:rsidP="00C24746">
      <w:r>
        <w:separator/>
      </w:r>
    </w:p>
  </w:footnote>
  <w:footnote w:type="continuationSeparator" w:id="0">
    <w:p w:rsidR="009153F6" w:rsidRDefault="009153F6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746"/>
    <w:rsid w:val="000036BE"/>
    <w:rsid w:val="000068D4"/>
    <w:rsid w:val="00012BFD"/>
    <w:rsid w:val="000277DA"/>
    <w:rsid w:val="00031078"/>
    <w:rsid w:val="00034218"/>
    <w:rsid w:val="000458A4"/>
    <w:rsid w:val="00055F04"/>
    <w:rsid w:val="0005794E"/>
    <w:rsid w:val="0006140E"/>
    <w:rsid w:val="00061F8F"/>
    <w:rsid w:val="00063809"/>
    <w:rsid w:val="00064928"/>
    <w:rsid w:val="0006726F"/>
    <w:rsid w:val="000708CC"/>
    <w:rsid w:val="00072602"/>
    <w:rsid w:val="000748A9"/>
    <w:rsid w:val="000873ED"/>
    <w:rsid w:val="000910C2"/>
    <w:rsid w:val="00092EB2"/>
    <w:rsid w:val="00097C70"/>
    <w:rsid w:val="000A3905"/>
    <w:rsid w:val="000B30E8"/>
    <w:rsid w:val="000B4BB5"/>
    <w:rsid w:val="000C453D"/>
    <w:rsid w:val="000D00C7"/>
    <w:rsid w:val="000D0917"/>
    <w:rsid w:val="000D284F"/>
    <w:rsid w:val="000D4906"/>
    <w:rsid w:val="000D77E7"/>
    <w:rsid w:val="000D7BDD"/>
    <w:rsid w:val="000E0655"/>
    <w:rsid w:val="000E7512"/>
    <w:rsid w:val="000E77C6"/>
    <w:rsid w:val="000F5D4F"/>
    <w:rsid w:val="000F7AFD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54213"/>
    <w:rsid w:val="001618F5"/>
    <w:rsid w:val="00171CB5"/>
    <w:rsid w:val="00180E03"/>
    <w:rsid w:val="00184885"/>
    <w:rsid w:val="0018656D"/>
    <w:rsid w:val="00191075"/>
    <w:rsid w:val="00194AF7"/>
    <w:rsid w:val="001A017E"/>
    <w:rsid w:val="001A1AD5"/>
    <w:rsid w:val="001A46D6"/>
    <w:rsid w:val="001A4E85"/>
    <w:rsid w:val="001B3BB5"/>
    <w:rsid w:val="001B40BA"/>
    <w:rsid w:val="001B52BD"/>
    <w:rsid w:val="001B54B6"/>
    <w:rsid w:val="001C2429"/>
    <w:rsid w:val="001C5444"/>
    <w:rsid w:val="001D5BEF"/>
    <w:rsid w:val="001D68B5"/>
    <w:rsid w:val="001D6BA1"/>
    <w:rsid w:val="001E0DBC"/>
    <w:rsid w:val="001E1FE3"/>
    <w:rsid w:val="001E735D"/>
    <w:rsid w:val="001F78B4"/>
    <w:rsid w:val="00215388"/>
    <w:rsid w:val="002226B9"/>
    <w:rsid w:val="00227080"/>
    <w:rsid w:val="00230266"/>
    <w:rsid w:val="002308FC"/>
    <w:rsid w:val="00236CAB"/>
    <w:rsid w:val="002375A7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7C2A"/>
    <w:rsid w:val="002C2715"/>
    <w:rsid w:val="002C29FF"/>
    <w:rsid w:val="002D289C"/>
    <w:rsid w:val="002D35CA"/>
    <w:rsid w:val="002F09AC"/>
    <w:rsid w:val="002F1720"/>
    <w:rsid w:val="003068EE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401E"/>
    <w:rsid w:val="0035120B"/>
    <w:rsid w:val="00352F5F"/>
    <w:rsid w:val="0035725F"/>
    <w:rsid w:val="00357B02"/>
    <w:rsid w:val="00370D0A"/>
    <w:rsid w:val="00374829"/>
    <w:rsid w:val="00377E18"/>
    <w:rsid w:val="00380DDF"/>
    <w:rsid w:val="0038243B"/>
    <w:rsid w:val="00387972"/>
    <w:rsid w:val="0039059A"/>
    <w:rsid w:val="003919E2"/>
    <w:rsid w:val="003A3CAD"/>
    <w:rsid w:val="003B19AF"/>
    <w:rsid w:val="003B4E5B"/>
    <w:rsid w:val="003D0ABE"/>
    <w:rsid w:val="003E08D2"/>
    <w:rsid w:val="004000FD"/>
    <w:rsid w:val="00416BF0"/>
    <w:rsid w:val="0043285A"/>
    <w:rsid w:val="0043744B"/>
    <w:rsid w:val="00441ADF"/>
    <w:rsid w:val="0044463C"/>
    <w:rsid w:val="00451B45"/>
    <w:rsid w:val="00457ADE"/>
    <w:rsid w:val="004621C1"/>
    <w:rsid w:val="0047240A"/>
    <w:rsid w:val="0047420B"/>
    <w:rsid w:val="0047470B"/>
    <w:rsid w:val="00480A4D"/>
    <w:rsid w:val="00480D08"/>
    <w:rsid w:val="004920EA"/>
    <w:rsid w:val="00495473"/>
    <w:rsid w:val="00496E28"/>
    <w:rsid w:val="004A3EB7"/>
    <w:rsid w:val="004B134F"/>
    <w:rsid w:val="004B1FED"/>
    <w:rsid w:val="004B6E26"/>
    <w:rsid w:val="004D05DD"/>
    <w:rsid w:val="004D11AD"/>
    <w:rsid w:val="004D4E4E"/>
    <w:rsid w:val="004D756A"/>
    <w:rsid w:val="004E2AF7"/>
    <w:rsid w:val="004E6EC2"/>
    <w:rsid w:val="004F2B6D"/>
    <w:rsid w:val="004F4396"/>
    <w:rsid w:val="004F6469"/>
    <w:rsid w:val="00506E2C"/>
    <w:rsid w:val="0051110A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51CE4"/>
    <w:rsid w:val="00552487"/>
    <w:rsid w:val="0055311F"/>
    <w:rsid w:val="00561449"/>
    <w:rsid w:val="0056521B"/>
    <w:rsid w:val="00565CEB"/>
    <w:rsid w:val="00566B1C"/>
    <w:rsid w:val="0057774E"/>
    <w:rsid w:val="005828E6"/>
    <w:rsid w:val="00583B5E"/>
    <w:rsid w:val="00587071"/>
    <w:rsid w:val="005876E1"/>
    <w:rsid w:val="00590980"/>
    <w:rsid w:val="005926A3"/>
    <w:rsid w:val="00592E50"/>
    <w:rsid w:val="005A1702"/>
    <w:rsid w:val="005A1D7A"/>
    <w:rsid w:val="005A4570"/>
    <w:rsid w:val="005A7965"/>
    <w:rsid w:val="005B0E95"/>
    <w:rsid w:val="005B5654"/>
    <w:rsid w:val="005C34D0"/>
    <w:rsid w:val="005C4CDB"/>
    <w:rsid w:val="005D1CBA"/>
    <w:rsid w:val="005D2876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3583"/>
    <w:rsid w:val="00653BDA"/>
    <w:rsid w:val="00660E52"/>
    <w:rsid w:val="006627D1"/>
    <w:rsid w:val="00662937"/>
    <w:rsid w:val="00667F9F"/>
    <w:rsid w:val="00671D42"/>
    <w:rsid w:val="0068381E"/>
    <w:rsid w:val="006878E4"/>
    <w:rsid w:val="00692C89"/>
    <w:rsid w:val="00696384"/>
    <w:rsid w:val="00696762"/>
    <w:rsid w:val="00696AC2"/>
    <w:rsid w:val="006A012B"/>
    <w:rsid w:val="006A1BCB"/>
    <w:rsid w:val="006A3C1D"/>
    <w:rsid w:val="006A7BC8"/>
    <w:rsid w:val="006B429D"/>
    <w:rsid w:val="006B62F0"/>
    <w:rsid w:val="006C2149"/>
    <w:rsid w:val="006C64C9"/>
    <w:rsid w:val="006D5D9E"/>
    <w:rsid w:val="00701CBF"/>
    <w:rsid w:val="00703B67"/>
    <w:rsid w:val="00712D98"/>
    <w:rsid w:val="00713CC8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603A"/>
    <w:rsid w:val="00770880"/>
    <w:rsid w:val="00771C26"/>
    <w:rsid w:val="00772AEA"/>
    <w:rsid w:val="007767F0"/>
    <w:rsid w:val="00783A06"/>
    <w:rsid w:val="00793B59"/>
    <w:rsid w:val="007A340D"/>
    <w:rsid w:val="007A57D1"/>
    <w:rsid w:val="007B138F"/>
    <w:rsid w:val="007C0CC2"/>
    <w:rsid w:val="007C234F"/>
    <w:rsid w:val="007E0BE6"/>
    <w:rsid w:val="007E3956"/>
    <w:rsid w:val="007E5DAC"/>
    <w:rsid w:val="007F2052"/>
    <w:rsid w:val="007F32D7"/>
    <w:rsid w:val="007F4A23"/>
    <w:rsid w:val="00825504"/>
    <w:rsid w:val="0083006A"/>
    <w:rsid w:val="0083208A"/>
    <w:rsid w:val="008345DC"/>
    <w:rsid w:val="00843C9D"/>
    <w:rsid w:val="00853791"/>
    <w:rsid w:val="008539B9"/>
    <w:rsid w:val="00856C32"/>
    <w:rsid w:val="0086018E"/>
    <w:rsid w:val="0086045F"/>
    <w:rsid w:val="0087001C"/>
    <w:rsid w:val="008756B2"/>
    <w:rsid w:val="008777F8"/>
    <w:rsid w:val="0088314E"/>
    <w:rsid w:val="008867E3"/>
    <w:rsid w:val="00893F10"/>
    <w:rsid w:val="0089532B"/>
    <w:rsid w:val="008A3596"/>
    <w:rsid w:val="008B09A3"/>
    <w:rsid w:val="008C1BA3"/>
    <w:rsid w:val="008C3678"/>
    <w:rsid w:val="008D08F5"/>
    <w:rsid w:val="008D3272"/>
    <w:rsid w:val="008D33B8"/>
    <w:rsid w:val="008E3B48"/>
    <w:rsid w:val="008E4757"/>
    <w:rsid w:val="008E510E"/>
    <w:rsid w:val="008E55B0"/>
    <w:rsid w:val="008E798C"/>
    <w:rsid w:val="008F71CF"/>
    <w:rsid w:val="00902C56"/>
    <w:rsid w:val="00911785"/>
    <w:rsid w:val="0091518A"/>
    <w:rsid w:val="009153F6"/>
    <w:rsid w:val="00924724"/>
    <w:rsid w:val="009260BE"/>
    <w:rsid w:val="009269AF"/>
    <w:rsid w:val="009518D0"/>
    <w:rsid w:val="00952868"/>
    <w:rsid w:val="00970432"/>
    <w:rsid w:val="00970875"/>
    <w:rsid w:val="00970BC0"/>
    <w:rsid w:val="009762B9"/>
    <w:rsid w:val="00986C22"/>
    <w:rsid w:val="0098777C"/>
    <w:rsid w:val="009A7AEE"/>
    <w:rsid w:val="009B0DC3"/>
    <w:rsid w:val="009C18D0"/>
    <w:rsid w:val="009D07E4"/>
    <w:rsid w:val="009E3192"/>
    <w:rsid w:val="009E6919"/>
    <w:rsid w:val="009E7DA1"/>
    <w:rsid w:val="00A03552"/>
    <w:rsid w:val="00A07DA5"/>
    <w:rsid w:val="00A127CC"/>
    <w:rsid w:val="00A207AF"/>
    <w:rsid w:val="00A21B18"/>
    <w:rsid w:val="00A247EA"/>
    <w:rsid w:val="00A27A85"/>
    <w:rsid w:val="00A27BCC"/>
    <w:rsid w:val="00A338E7"/>
    <w:rsid w:val="00A40AA4"/>
    <w:rsid w:val="00A40C80"/>
    <w:rsid w:val="00A4149A"/>
    <w:rsid w:val="00A42A8E"/>
    <w:rsid w:val="00A43C8D"/>
    <w:rsid w:val="00A477F0"/>
    <w:rsid w:val="00A50C6D"/>
    <w:rsid w:val="00A548DA"/>
    <w:rsid w:val="00A55FAE"/>
    <w:rsid w:val="00A560F2"/>
    <w:rsid w:val="00A57543"/>
    <w:rsid w:val="00A61226"/>
    <w:rsid w:val="00A65DE7"/>
    <w:rsid w:val="00A76382"/>
    <w:rsid w:val="00A7643A"/>
    <w:rsid w:val="00A95A4B"/>
    <w:rsid w:val="00AA55D1"/>
    <w:rsid w:val="00AB2F05"/>
    <w:rsid w:val="00AB713A"/>
    <w:rsid w:val="00AC4346"/>
    <w:rsid w:val="00B00B8E"/>
    <w:rsid w:val="00B04921"/>
    <w:rsid w:val="00B063E7"/>
    <w:rsid w:val="00B11669"/>
    <w:rsid w:val="00B128C1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74D0"/>
    <w:rsid w:val="00B7286B"/>
    <w:rsid w:val="00B73E48"/>
    <w:rsid w:val="00B8047E"/>
    <w:rsid w:val="00B84BC8"/>
    <w:rsid w:val="00B90092"/>
    <w:rsid w:val="00B97E46"/>
    <w:rsid w:val="00BB1BA5"/>
    <w:rsid w:val="00BB2067"/>
    <w:rsid w:val="00BB4E10"/>
    <w:rsid w:val="00BC535A"/>
    <w:rsid w:val="00BD208B"/>
    <w:rsid w:val="00BD63CF"/>
    <w:rsid w:val="00BE1BED"/>
    <w:rsid w:val="00BE67A5"/>
    <w:rsid w:val="00BF1D0F"/>
    <w:rsid w:val="00BF35FB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3640C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A01C6"/>
    <w:rsid w:val="00CA1758"/>
    <w:rsid w:val="00CA211E"/>
    <w:rsid w:val="00CA2797"/>
    <w:rsid w:val="00CB0D8B"/>
    <w:rsid w:val="00CC0FF4"/>
    <w:rsid w:val="00CC103C"/>
    <w:rsid w:val="00CC77B2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75A"/>
    <w:rsid w:val="00D66E36"/>
    <w:rsid w:val="00D73B93"/>
    <w:rsid w:val="00D75630"/>
    <w:rsid w:val="00D8101D"/>
    <w:rsid w:val="00D82225"/>
    <w:rsid w:val="00D859A0"/>
    <w:rsid w:val="00D85A41"/>
    <w:rsid w:val="00D85E06"/>
    <w:rsid w:val="00D90AED"/>
    <w:rsid w:val="00D90F47"/>
    <w:rsid w:val="00D93410"/>
    <w:rsid w:val="00DA1170"/>
    <w:rsid w:val="00DA163D"/>
    <w:rsid w:val="00DB077C"/>
    <w:rsid w:val="00DC058F"/>
    <w:rsid w:val="00DC314F"/>
    <w:rsid w:val="00DC6C35"/>
    <w:rsid w:val="00DD104D"/>
    <w:rsid w:val="00DD5A3F"/>
    <w:rsid w:val="00DE3CC6"/>
    <w:rsid w:val="00DF0AC7"/>
    <w:rsid w:val="00E0547E"/>
    <w:rsid w:val="00E06E33"/>
    <w:rsid w:val="00E07E77"/>
    <w:rsid w:val="00E14AAF"/>
    <w:rsid w:val="00E16769"/>
    <w:rsid w:val="00E172ED"/>
    <w:rsid w:val="00E21C02"/>
    <w:rsid w:val="00E26CCF"/>
    <w:rsid w:val="00E307C8"/>
    <w:rsid w:val="00E33314"/>
    <w:rsid w:val="00E359EA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E049E"/>
    <w:rsid w:val="00EE2F36"/>
    <w:rsid w:val="00EE6F50"/>
    <w:rsid w:val="00EF4017"/>
    <w:rsid w:val="00F02245"/>
    <w:rsid w:val="00F03DEE"/>
    <w:rsid w:val="00F07E60"/>
    <w:rsid w:val="00F10752"/>
    <w:rsid w:val="00F2465A"/>
    <w:rsid w:val="00F26475"/>
    <w:rsid w:val="00F2798C"/>
    <w:rsid w:val="00F332E6"/>
    <w:rsid w:val="00F4620B"/>
    <w:rsid w:val="00F55003"/>
    <w:rsid w:val="00F57D67"/>
    <w:rsid w:val="00F65073"/>
    <w:rsid w:val="00F72B4C"/>
    <w:rsid w:val="00F74533"/>
    <w:rsid w:val="00F7540C"/>
    <w:rsid w:val="00F7740E"/>
    <w:rsid w:val="00F77714"/>
    <w:rsid w:val="00F81507"/>
    <w:rsid w:val="00F85C7B"/>
    <w:rsid w:val="00FA1839"/>
    <w:rsid w:val="00FB280B"/>
    <w:rsid w:val="00FB3110"/>
    <w:rsid w:val="00FB4613"/>
    <w:rsid w:val="00FC3A51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5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93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3C94"/>
    <w:rPr>
      <w:sz w:val="18"/>
      <w:szCs w:val="18"/>
    </w:rPr>
  </w:style>
  <w:style w:type="character" w:styleId="a7">
    <w:name w:val="annotation reference"/>
    <w:basedOn w:val="a0"/>
    <w:unhideWhenUsed/>
    <w:rsid w:val="00C93C94"/>
    <w:rPr>
      <w:sz w:val="21"/>
      <w:szCs w:val="21"/>
    </w:rPr>
  </w:style>
  <w:style w:type="paragraph" w:styleId="a8">
    <w:name w:val="annotation text"/>
    <w:basedOn w:val="a"/>
    <w:link w:val="Char2"/>
    <w:unhideWhenUsed/>
    <w:rsid w:val="00C93C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93C9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93C9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93C94"/>
    <w:rPr>
      <w:b/>
      <w:bCs/>
    </w:rPr>
  </w:style>
  <w:style w:type="paragraph" w:styleId="aa">
    <w:name w:val="Revision"/>
    <w:hidden/>
    <w:uiPriority w:val="99"/>
    <w:semiHidden/>
    <w:rsid w:val="00C93C94"/>
  </w:style>
  <w:style w:type="paragraph" w:styleId="ab">
    <w:name w:val="Document Map"/>
    <w:basedOn w:val="a"/>
    <w:link w:val="Char4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5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c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e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B77C-4C34-4E73-A2DA-DE5C1403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264</Words>
  <Characters>1507</Characters>
  <Application>Microsoft Office Word</Application>
  <DocSecurity>0</DocSecurity>
  <Lines>12</Lines>
  <Paragraphs>3</Paragraphs>
  <ScaleCrop>false</ScaleCrop>
  <Company>wind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yfjiang.may</dc:creator>
  <cp:lastModifiedBy>喻秋燕</cp:lastModifiedBy>
  <cp:revision>38</cp:revision>
  <cp:lastPrinted>2018-06-27T05:58:00Z</cp:lastPrinted>
  <dcterms:created xsi:type="dcterms:W3CDTF">2016-01-19T01:47:00Z</dcterms:created>
  <dcterms:modified xsi:type="dcterms:W3CDTF">2018-07-15T08:04:00Z</dcterms:modified>
</cp:coreProperties>
</file>