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交银施罗德基金管理有限公司关于交银施罗德经济新动力混合型证券投资基金基金经理变更的公告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2018年6月23日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交银施罗德经济新动力混合型证券投资基金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交银经济新动力混合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郭斐</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任相栋</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任相栋</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2018年6月23日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412A37"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任相栋先生不再担任交银施罗德经济新动力混合型证券投资基金的基金经理。自本公告日起，交银施罗德经济新动力混合型证券投资基金由郭斐先生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