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交银施罗德基金管理有限公司关于增聘郭斐先生担任交银施罗德经济新动力混合型证券投资基金基金经理的公告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2018年6月2日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交银施罗德经济新动力混合型证券投资基金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交银经济新动力混合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郭斐</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任相栋</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郭斐</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2018年6月2日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8月至2014年3月于高盛（亚洲）有限责任公司/高华证券公司任职。2014年加入交银施罗德基金管理有限公司，担任行业分析师。2016年1月1日至2017年9月22日任交银施罗德稳健配置混合型证券投资基金基金经理助理，2017年9月26日起任交银施罗德成长30混合型证券投资基金基金经理至今。</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519727</w:t>
            </w:r>
          </w:p>
        </w:tc>
        <w:tc>
          <w:tcPr>
            <w:vAlign w:val="center"/>
          </w:tcPr>
          <w:p>
            <w:pPr>
              <w:jc w:val="center"/>
            </w:pPr>
            <w:r>
              <w:rPr>
                <w:rFonts w:asciiTheme="minorEastAsia" w:eastAsiaTheme="minorEastAsia" w:hAnsiTheme="minorEastAsia"/>
                <w:color w:val="000000"/>
                <w:sz w:val="24"/>
                <w:szCs w:val="24"/>
              </w:rPr>
              <w:t>交银施罗德成长30混合型证券投资基金</w:t>
            </w:r>
          </w:p>
        </w:tc>
        <w:tc>
          <w:tcPr>
            <w:vAlign w:val="center"/>
          </w:tcPr>
          <w:p>
            <w:pPr>
              <w:jc w:val="center"/>
            </w:pPr>
            <w:r>
              <w:rPr>
                <w:rFonts w:asciiTheme="minorEastAsia" w:eastAsiaTheme="minorEastAsia" w:hAnsiTheme="minorEastAsia"/>
                <w:color w:val="000000"/>
                <w:sz w:val="24"/>
                <w:szCs w:val="24"/>
              </w:rPr>
              <w:t>2017-09-26</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本科、学士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决定增聘郭斐先生担任交银施罗德经济新动力混合型证券投资基金基金经理。自本公告日起，交银施罗德经济新动力混合型证券投资基金由任相栋先生和郭斐先生共同管理。上述事项已在中国证券投资基金业协会完成变更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