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812D99" w14:textId="77777777" w:rsidR="00CF57A4" w:rsidRDefault="00CF57A4">
      <w:pPr>
        <w:spacing w:line="360" w:lineRule="auto"/>
        <w:rPr>
          <w:color w:val="000000"/>
          <w:sz w:val="32"/>
          <w:szCs w:val="32"/>
        </w:rPr>
      </w:pPr>
    </w:p>
    <w:p w14:paraId="3DBF3387" w14:textId="77777777" w:rsidR="00CF57A4" w:rsidRDefault="00CF57A4">
      <w:pPr>
        <w:spacing w:line="360" w:lineRule="auto"/>
        <w:rPr>
          <w:color w:val="000000"/>
          <w:sz w:val="32"/>
          <w:szCs w:val="32"/>
        </w:rPr>
      </w:pPr>
    </w:p>
    <w:p w14:paraId="6B28A013" w14:textId="77777777" w:rsidR="00CF57A4" w:rsidRDefault="00CF57A4">
      <w:pPr>
        <w:spacing w:line="360" w:lineRule="auto"/>
        <w:rPr>
          <w:color w:val="000000"/>
          <w:sz w:val="32"/>
          <w:szCs w:val="32"/>
        </w:rPr>
      </w:pPr>
    </w:p>
    <w:p w14:paraId="1091F789" w14:textId="77777777" w:rsidR="00CF57A4" w:rsidRDefault="00CF57A4">
      <w:pPr>
        <w:spacing w:line="360" w:lineRule="auto"/>
        <w:rPr>
          <w:color w:val="000000"/>
          <w:sz w:val="32"/>
          <w:szCs w:val="32"/>
        </w:rPr>
      </w:pPr>
    </w:p>
    <w:p w14:paraId="4AD1F559" w14:textId="77777777" w:rsidR="00CF57A4" w:rsidRDefault="00B13D46">
      <w:pPr>
        <w:spacing w:line="360" w:lineRule="auto"/>
        <w:jc w:val="center"/>
        <w:rPr>
          <w:color w:val="000000"/>
          <w:sz w:val="32"/>
          <w:szCs w:val="32"/>
        </w:rPr>
      </w:pPr>
      <w:r>
        <w:rPr>
          <w:noProof/>
          <w:color w:val="000000"/>
        </w:rPr>
        <w:drawing>
          <wp:inline distT="0" distB="0" distL="0" distR="0" wp14:anchorId="3F9CCE12" wp14:editId="7D9A5809">
            <wp:extent cx="4391025" cy="552450"/>
            <wp:effectExtent l="0" t="0" r="9525" b="0"/>
            <wp:docPr id="4" name="图片框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框 102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91025" cy="552450"/>
                    </a:xfrm>
                    <a:prstGeom prst="rect">
                      <a:avLst/>
                    </a:prstGeom>
                    <a:noFill/>
                    <a:ln>
                      <a:noFill/>
                    </a:ln>
                  </pic:spPr>
                </pic:pic>
              </a:graphicData>
            </a:graphic>
          </wp:inline>
        </w:drawing>
      </w:r>
    </w:p>
    <w:p w14:paraId="73BE221C" w14:textId="77777777" w:rsidR="00CF57A4" w:rsidRDefault="00CF57A4">
      <w:pPr>
        <w:spacing w:line="360" w:lineRule="auto"/>
        <w:jc w:val="center"/>
        <w:rPr>
          <w:rFonts w:ascii="黑体" w:eastAsia="黑体" w:hAnsi="宋体"/>
          <w:b/>
          <w:color w:val="000000"/>
          <w:sz w:val="32"/>
          <w:szCs w:val="32"/>
        </w:rPr>
      </w:pPr>
    </w:p>
    <w:p w14:paraId="602F70A6" w14:textId="77777777" w:rsidR="00CF57A4" w:rsidRDefault="00CF57A4">
      <w:pPr>
        <w:spacing w:line="360" w:lineRule="auto"/>
        <w:jc w:val="center"/>
        <w:rPr>
          <w:rFonts w:ascii="黑体" w:eastAsia="黑体" w:hAnsi="宋体"/>
          <w:b/>
          <w:color w:val="000000"/>
          <w:sz w:val="44"/>
          <w:szCs w:val="44"/>
        </w:rPr>
      </w:pPr>
    </w:p>
    <w:p w14:paraId="1701807A" w14:textId="77777777" w:rsidR="00CF57A4" w:rsidRDefault="00CF57A4">
      <w:pPr>
        <w:spacing w:line="360" w:lineRule="auto"/>
        <w:jc w:val="center"/>
        <w:rPr>
          <w:rFonts w:ascii="黑体" w:eastAsia="黑体" w:hAnsi="宋体"/>
          <w:b/>
          <w:color w:val="000000"/>
          <w:sz w:val="44"/>
          <w:szCs w:val="44"/>
        </w:rPr>
      </w:pPr>
    </w:p>
    <w:p w14:paraId="2FAA7893" w14:textId="77777777" w:rsidR="00CF57A4" w:rsidRDefault="00B13D46">
      <w:pPr>
        <w:spacing w:line="360" w:lineRule="auto"/>
        <w:jc w:val="center"/>
        <w:rPr>
          <w:rFonts w:ascii="黑体" w:eastAsia="黑体" w:hAnsi="宋体"/>
          <w:b/>
          <w:color w:val="000000"/>
          <w:sz w:val="44"/>
          <w:szCs w:val="44"/>
        </w:rPr>
      </w:pPr>
      <w:r>
        <w:rPr>
          <w:rFonts w:ascii="黑体" w:eastAsia="黑体" w:hAnsi="宋体" w:hint="eastAsia"/>
          <w:b/>
          <w:color w:val="000000"/>
          <w:sz w:val="44"/>
          <w:szCs w:val="44"/>
        </w:rPr>
        <w:t>深证300价值交易型开放式指数</w:t>
      </w:r>
    </w:p>
    <w:p w14:paraId="39E07858" w14:textId="77777777" w:rsidR="00CF57A4" w:rsidRDefault="00B13D46">
      <w:pPr>
        <w:spacing w:line="360" w:lineRule="auto"/>
        <w:jc w:val="center"/>
        <w:rPr>
          <w:rFonts w:ascii="黑体" w:eastAsia="黑体" w:hAnsi="宋体"/>
          <w:b/>
          <w:color w:val="000000"/>
          <w:sz w:val="44"/>
          <w:szCs w:val="44"/>
        </w:rPr>
      </w:pPr>
      <w:r>
        <w:rPr>
          <w:rFonts w:ascii="黑体" w:eastAsia="黑体" w:hAnsi="宋体" w:hint="eastAsia"/>
          <w:b/>
          <w:color w:val="000000"/>
          <w:sz w:val="44"/>
          <w:szCs w:val="44"/>
        </w:rPr>
        <w:t>证券投资基金（更新）招募说明书</w:t>
      </w:r>
    </w:p>
    <w:p w14:paraId="737592BF" w14:textId="77777777" w:rsidR="00CF57A4" w:rsidRDefault="00CF57A4">
      <w:pPr>
        <w:spacing w:line="360" w:lineRule="auto"/>
        <w:rPr>
          <w:rFonts w:ascii="宋体" w:hAnsi="宋体"/>
          <w:color w:val="000000"/>
          <w:sz w:val="24"/>
        </w:rPr>
      </w:pPr>
    </w:p>
    <w:p w14:paraId="008B8DDF" w14:textId="77777777" w:rsidR="00CF57A4" w:rsidRDefault="00CF57A4">
      <w:pPr>
        <w:spacing w:line="360" w:lineRule="auto"/>
        <w:ind w:leftChars="942" w:left="1978"/>
        <w:rPr>
          <w:rFonts w:ascii="黑体" w:eastAsia="黑体" w:hAnsi="宋体"/>
          <w:b/>
          <w:color w:val="000000"/>
          <w:sz w:val="24"/>
          <w:szCs w:val="28"/>
        </w:rPr>
      </w:pPr>
    </w:p>
    <w:p w14:paraId="04CE4775" w14:textId="77777777" w:rsidR="00CF57A4" w:rsidRDefault="00CF57A4">
      <w:pPr>
        <w:spacing w:line="360" w:lineRule="auto"/>
        <w:ind w:leftChars="942" w:left="1978"/>
        <w:rPr>
          <w:rFonts w:ascii="黑体" w:eastAsia="黑体" w:hAnsi="宋体"/>
          <w:b/>
          <w:color w:val="000000"/>
          <w:sz w:val="28"/>
          <w:szCs w:val="28"/>
        </w:rPr>
      </w:pPr>
    </w:p>
    <w:p w14:paraId="789803C1" w14:textId="733B8922" w:rsidR="00CF57A4" w:rsidRDefault="00B13D46">
      <w:pPr>
        <w:spacing w:line="360" w:lineRule="auto"/>
        <w:jc w:val="center"/>
        <w:rPr>
          <w:rFonts w:ascii="黑体" w:eastAsia="黑体" w:hAnsi="宋体"/>
          <w:b/>
          <w:color w:val="000000"/>
          <w:sz w:val="28"/>
          <w:szCs w:val="28"/>
        </w:rPr>
      </w:pPr>
      <w:r>
        <w:rPr>
          <w:rFonts w:ascii="黑体" w:eastAsia="黑体" w:hAnsi="宋体" w:hint="eastAsia"/>
          <w:b/>
          <w:sz w:val="32"/>
          <w:szCs w:val="32"/>
        </w:rPr>
        <w:t>（</w:t>
      </w:r>
      <w:r w:rsidR="00D562FE">
        <w:rPr>
          <w:rFonts w:ascii="黑体" w:eastAsia="黑体" w:hAnsi="宋体"/>
          <w:b/>
          <w:sz w:val="32"/>
          <w:szCs w:val="32"/>
        </w:rPr>
        <w:t>2018</w:t>
      </w:r>
      <w:r>
        <w:rPr>
          <w:rFonts w:ascii="黑体" w:eastAsia="黑体" w:hAnsi="宋体" w:hint="eastAsia"/>
          <w:b/>
          <w:sz w:val="32"/>
          <w:szCs w:val="32"/>
        </w:rPr>
        <w:t>年</w:t>
      </w:r>
      <w:r w:rsidR="00D562FE">
        <w:rPr>
          <w:rFonts w:ascii="黑体" w:eastAsia="黑体" w:hAnsi="宋体" w:hint="eastAsia"/>
          <w:b/>
          <w:sz w:val="32"/>
          <w:szCs w:val="32"/>
        </w:rPr>
        <w:t>第</w:t>
      </w:r>
      <w:r w:rsidR="00D562FE">
        <w:rPr>
          <w:rFonts w:ascii="黑体" w:eastAsia="黑体" w:hAnsi="宋体"/>
          <w:b/>
          <w:sz w:val="32"/>
          <w:szCs w:val="32"/>
        </w:rPr>
        <w:t>1</w:t>
      </w:r>
      <w:r>
        <w:rPr>
          <w:rFonts w:ascii="黑体" w:eastAsia="黑体" w:hAnsi="宋体" w:hint="eastAsia"/>
          <w:b/>
          <w:sz w:val="32"/>
          <w:szCs w:val="32"/>
        </w:rPr>
        <w:t>号）</w:t>
      </w:r>
    </w:p>
    <w:p w14:paraId="7AD50DE9" w14:textId="77777777" w:rsidR="00CF57A4" w:rsidRDefault="00CF57A4">
      <w:pPr>
        <w:spacing w:line="360" w:lineRule="auto"/>
        <w:ind w:leftChars="942" w:left="1978"/>
        <w:rPr>
          <w:rFonts w:ascii="黑体" w:eastAsia="黑体" w:hAnsi="宋体"/>
          <w:b/>
          <w:color w:val="000000"/>
          <w:sz w:val="28"/>
          <w:szCs w:val="28"/>
        </w:rPr>
      </w:pPr>
    </w:p>
    <w:p w14:paraId="5A839BE7" w14:textId="77777777" w:rsidR="00CF57A4" w:rsidRDefault="00CF57A4">
      <w:pPr>
        <w:spacing w:line="360" w:lineRule="auto"/>
        <w:ind w:leftChars="942" w:left="1978"/>
        <w:rPr>
          <w:rFonts w:ascii="黑体" w:eastAsia="黑体" w:hAnsi="宋体"/>
          <w:b/>
          <w:color w:val="000000"/>
          <w:sz w:val="28"/>
          <w:szCs w:val="28"/>
        </w:rPr>
      </w:pPr>
    </w:p>
    <w:p w14:paraId="0600DB4B" w14:textId="77777777" w:rsidR="00CF57A4" w:rsidRDefault="00B13D46">
      <w:pPr>
        <w:spacing w:line="360" w:lineRule="auto"/>
        <w:ind w:leftChars="942" w:left="1978"/>
        <w:rPr>
          <w:rFonts w:ascii="黑体" w:eastAsia="黑体" w:hAnsi="宋体"/>
          <w:b/>
          <w:color w:val="000000"/>
          <w:sz w:val="28"/>
          <w:szCs w:val="28"/>
        </w:rPr>
      </w:pPr>
      <w:r>
        <w:rPr>
          <w:rFonts w:ascii="黑体" w:eastAsia="黑体" w:hAnsi="宋体" w:hint="eastAsia"/>
          <w:b/>
          <w:color w:val="000000"/>
          <w:sz w:val="28"/>
          <w:szCs w:val="28"/>
        </w:rPr>
        <w:t>基金管理人：交银施罗德基金管理有限公司</w:t>
      </w:r>
    </w:p>
    <w:p w14:paraId="69E96EB6" w14:textId="77777777" w:rsidR="00CF57A4" w:rsidRDefault="00B13D46">
      <w:pPr>
        <w:spacing w:line="360" w:lineRule="auto"/>
        <w:ind w:leftChars="942" w:left="1978"/>
        <w:rPr>
          <w:rFonts w:ascii="黑体" w:eastAsia="黑体" w:hAnsi="宋体"/>
          <w:b/>
          <w:color w:val="000000"/>
          <w:sz w:val="28"/>
          <w:szCs w:val="28"/>
        </w:rPr>
      </w:pPr>
      <w:r>
        <w:rPr>
          <w:rFonts w:ascii="黑体" w:eastAsia="黑体" w:hAnsi="宋体" w:hint="eastAsia"/>
          <w:b/>
          <w:color w:val="000000"/>
          <w:sz w:val="28"/>
          <w:szCs w:val="28"/>
        </w:rPr>
        <w:t>基金托管人：中国农业银行股份有限公司</w:t>
      </w:r>
    </w:p>
    <w:p w14:paraId="3B492B3D" w14:textId="77777777" w:rsidR="00CF57A4" w:rsidRDefault="00CF57A4">
      <w:pPr>
        <w:widowControl/>
        <w:spacing w:line="360" w:lineRule="auto"/>
        <w:ind w:firstLineChars="200" w:firstLine="420"/>
        <w:rPr>
          <w:rFonts w:ascii="宋体" w:hAnsi="宋体" w:cs="宋体"/>
          <w:color w:val="000000"/>
          <w:kern w:val="0"/>
        </w:rPr>
      </w:pPr>
    </w:p>
    <w:p w14:paraId="010C84F4" w14:textId="719EE25B" w:rsidR="00CF57A4" w:rsidRDefault="00D562FE">
      <w:pPr>
        <w:autoSpaceDE w:val="0"/>
        <w:autoSpaceDN w:val="0"/>
        <w:spacing w:line="360" w:lineRule="auto"/>
        <w:ind w:left="2996" w:hanging="2996"/>
        <w:jc w:val="center"/>
        <w:textAlignment w:val="bottom"/>
        <w:rPr>
          <w:rFonts w:ascii="黑体" w:eastAsia="黑体" w:hAnsi="宋体"/>
          <w:b/>
          <w:color w:val="000000"/>
          <w:sz w:val="24"/>
          <w:szCs w:val="28"/>
        </w:rPr>
      </w:pPr>
      <w:r>
        <w:rPr>
          <w:rFonts w:ascii="黑体" w:eastAsia="黑体" w:hAnsi="宋体" w:hint="eastAsia"/>
          <w:b/>
          <w:color w:val="000000"/>
          <w:sz w:val="28"/>
          <w:szCs w:val="28"/>
        </w:rPr>
        <w:t>二</w:t>
      </w:r>
      <w:r>
        <w:rPr>
          <w:rFonts w:ascii="黑体" w:eastAsia="黑体" w:hAnsi="宋体" w:hint="eastAsia"/>
          <w:b/>
          <w:sz w:val="28"/>
        </w:rPr>
        <w:t>〇一八年三月</w:t>
      </w:r>
    </w:p>
    <w:p w14:paraId="5855242F" w14:textId="77777777" w:rsidR="00CF57A4" w:rsidRDefault="00B13D46">
      <w:pPr>
        <w:spacing w:line="360" w:lineRule="auto"/>
        <w:rPr>
          <w:rFonts w:ascii="楷体_GB2312" w:eastAsia="楷体_GB2312" w:hAnsi="宋体" w:cs="宋体"/>
          <w:color w:val="000000"/>
          <w:kern w:val="0"/>
          <w:szCs w:val="21"/>
        </w:rPr>
      </w:pPr>
      <w:r>
        <w:rPr>
          <w:rFonts w:ascii="宋体" w:hAnsi="宋体" w:cs="宋体"/>
          <w:color w:val="000000"/>
          <w:kern w:val="0"/>
          <w:szCs w:val="21"/>
        </w:rPr>
        <w:t>基金招募说明书自基金合同生效日起，每</w:t>
      </w:r>
      <w:r>
        <w:rPr>
          <w:rFonts w:ascii="宋体" w:hAnsi="宋体" w:cs="宋体" w:hint="eastAsia"/>
          <w:color w:val="000000"/>
          <w:kern w:val="0"/>
          <w:szCs w:val="21"/>
        </w:rPr>
        <w:t>6</w:t>
      </w:r>
      <w:r>
        <w:rPr>
          <w:rFonts w:ascii="宋体" w:hAnsi="宋体" w:cs="宋体"/>
          <w:color w:val="000000"/>
          <w:kern w:val="0"/>
          <w:szCs w:val="21"/>
        </w:rPr>
        <w:t>个月更新一次，并于每</w:t>
      </w:r>
      <w:r>
        <w:rPr>
          <w:rFonts w:ascii="宋体" w:hAnsi="宋体" w:cs="宋体" w:hint="eastAsia"/>
          <w:color w:val="000000"/>
          <w:kern w:val="0"/>
          <w:szCs w:val="21"/>
        </w:rPr>
        <w:t>6</w:t>
      </w:r>
      <w:r>
        <w:rPr>
          <w:rFonts w:ascii="宋体" w:hAnsi="宋体" w:cs="宋体"/>
          <w:color w:val="000000"/>
          <w:kern w:val="0"/>
          <w:szCs w:val="21"/>
        </w:rPr>
        <w:t>个月结束之日后的45日内公告，更新内容截至每</w:t>
      </w:r>
      <w:r>
        <w:rPr>
          <w:rFonts w:ascii="宋体" w:hAnsi="宋体" w:cs="宋体" w:hint="eastAsia"/>
          <w:color w:val="000000"/>
          <w:kern w:val="0"/>
          <w:szCs w:val="21"/>
        </w:rPr>
        <w:t>6</w:t>
      </w:r>
      <w:r>
        <w:rPr>
          <w:rFonts w:ascii="宋体" w:hAnsi="宋体" w:cs="宋体"/>
          <w:color w:val="000000"/>
          <w:kern w:val="0"/>
          <w:szCs w:val="21"/>
        </w:rPr>
        <w:t xml:space="preserve">个月的最后1日。 </w:t>
      </w:r>
    </w:p>
    <w:p w14:paraId="555A0AF9" w14:textId="77777777" w:rsidR="00CF57A4" w:rsidRDefault="00CF57A4">
      <w:pPr>
        <w:widowControl/>
        <w:spacing w:line="360" w:lineRule="auto"/>
        <w:jc w:val="center"/>
        <w:rPr>
          <w:rFonts w:ascii="黑体" w:eastAsia="黑体" w:hAnsi="宋体" w:cs="宋体"/>
          <w:b/>
          <w:color w:val="000000"/>
          <w:kern w:val="0"/>
          <w:sz w:val="30"/>
          <w:szCs w:val="30"/>
        </w:rPr>
        <w:sectPr w:rsidR="00CF57A4">
          <w:headerReference w:type="default" r:id="rId10"/>
          <w:footerReference w:type="even" r:id="rId11"/>
          <w:footerReference w:type="default" r:id="rId12"/>
          <w:footerReference w:type="first" r:id="rId13"/>
          <w:type w:val="continuous"/>
          <w:pgSz w:w="11906" w:h="16838"/>
          <w:pgMar w:top="1703" w:right="1826" w:bottom="1440" w:left="1620" w:header="851" w:footer="992" w:gutter="0"/>
          <w:cols w:space="720"/>
          <w:docGrid w:type="lines" w:linePitch="312"/>
        </w:sectPr>
      </w:pPr>
    </w:p>
    <w:p w14:paraId="7A63C6F9" w14:textId="77777777" w:rsidR="00CF57A4" w:rsidRDefault="00B13D46">
      <w:pPr>
        <w:widowControl/>
        <w:spacing w:line="360" w:lineRule="auto"/>
        <w:jc w:val="center"/>
        <w:rPr>
          <w:rFonts w:ascii="黑体" w:eastAsia="黑体" w:hAnsi="宋体" w:cs="宋体"/>
          <w:b/>
          <w:color w:val="000000"/>
          <w:kern w:val="0"/>
          <w:sz w:val="30"/>
          <w:szCs w:val="30"/>
        </w:rPr>
      </w:pPr>
      <w:r>
        <w:rPr>
          <w:rFonts w:ascii="黑体" w:eastAsia="黑体" w:hAnsi="宋体" w:cs="宋体" w:hint="eastAsia"/>
          <w:b/>
          <w:color w:val="000000"/>
          <w:kern w:val="0"/>
          <w:sz w:val="30"/>
          <w:szCs w:val="30"/>
        </w:rPr>
        <w:lastRenderedPageBreak/>
        <w:t>【</w:t>
      </w:r>
      <w:r>
        <w:rPr>
          <w:rFonts w:ascii="黑体" w:eastAsia="黑体" w:hAnsi="宋体" w:cs="宋体"/>
          <w:b/>
          <w:color w:val="000000"/>
          <w:kern w:val="0"/>
          <w:sz w:val="30"/>
          <w:szCs w:val="30"/>
        </w:rPr>
        <w:t>重要提示】</w:t>
      </w:r>
    </w:p>
    <w:p w14:paraId="60D53A76" w14:textId="77777777" w:rsidR="00CF57A4" w:rsidRDefault="00B13D46">
      <w:pPr>
        <w:widowControl/>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t>深证300价值交易型开放式指数证券投资基金（以下简称“本基金”）经2011</w:t>
      </w:r>
      <w:r>
        <w:rPr>
          <w:rFonts w:ascii="宋体" w:hAnsi="宋体" w:cs="宋体"/>
          <w:color w:val="000000"/>
          <w:kern w:val="0"/>
          <w:sz w:val="24"/>
        </w:rPr>
        <w:t>年</w:t>
      </w:r>
      <w:r>
        <w:rPr>
          <w:rFonts w:ascii="宋体" w:hAnsi="宋体" w:cs="宋体" w:hint="eastAsia"/>
          <w:color w:val="000000"/>
          <w:kern w:val="0"/>
          <w:sz w:val="24"/>
        </w:rPr>
        <w:t>6</w:t>
      </w:r>
      <w:r>
        <w:rPr>
          <w:rFonts w:ascii="宋体" w:hAnsi="宋体" w:cs="宋体"/>
          <w:color w:val="000000"/>
          <w:kern w:val="0"/>
          <w:sz w:val="24"/>
        </w:rPr>
        <w:t>月</w:t>
      </w:r>
      <w:r>
        <w:rPr>
          <w:rFonts w:ascii="宋体" w:hAnsi="宋体" w:cs="宋体" w:hint="eastAsia"/>
          <w:color w:val="000000"/>
          <w:kern w:val="0"/>
          <w:sz w:val="24"/>
        </w:rPr>
        <w:t>20</w:t>
      </w:r>
      <w:r>
        <w:rPr>
          <w:rFonts w:ascii="宋体" w:hAnsi="宋体" w:cs="宋体"/>
          <w:color w:val="000000"/>
          <w:kern w:val="0"/>
          <w:sz w:val="24"/>
        </w:rPr>
        <w:t>日中国证券监督管理委员会</w:t>
      </w:r>
      <w:r>
        <w:rPr>
          <w:rFonts w:ascii="宋体" w:hAnsi="宋体" w:cs="宋体" w:hint="eastAsia"/>
          <w:color w:val="000000"/>
          <w:kern w:val="0"/>
          <w:sz w:val="24"/>
        </w:rPr>
        <w:t>（以下简称“</w:t>
      </w:r>
      <w:r>
        <w:rPr>
          <w:rFonts w:ascii="宋体" w:hAnsi="宋体" w:cs="宋体"/>
          <w:color w:val="000000"/>
          <w:kern w:val="0"/>
          <w:sz w:val="24"/>
        </w:rPr>
        <w:t>中国证监会</w:t>
      </w:r>
      <w:r>
        <w:rPr>
          <w:rFonts w:ascii="宋体" w:hAnsi="宋体" w:cs="宋体" w:hint="eastAsia"/>
          <w:color w:val="000000"/>
          <w:kern w:val="0"/>
          <w:sz w:val="24"/>
        </w:rPr>
        <w:t>”）</w:t>
      </w:r>
      <w:r>
        <w:rPr>
          <w:rFonts w:ascii="宋体" w:hAnsi="宋体" w:cs="宋体"/>
          <w:color w:val="000000"/>
          <w:kern w:val="0"/>
          <w:sz w:val="24"/>
        </w:rPr>
        <w:t>证监</w:t>
      </w:r>
      <w:r>
        <w:rPr>
          <w:rFonts w:ascii="宋体" w:hAnsi="宋体" w:cs="宋体" w:hint="eastAsia"/>
          <w:color w:val="000000"/>
          <w:kern w:val="0"/>
          <w:sz w:val="24"/>
        </w:rPr>
        <w:t>许可【2011</w:t>
      </w:r>
      <w:r>
        <w:rPr>
          <w:rFonts w:ascii="宋体" w:hAnsi="宋体" w:cs="宋体"/>
          <w:color w:val="000000"/>
          <w:kern w:val="0"/>
          <w:sz w:val="24"/>
        </w:rPr>
        <w:t>】</w:t>
      </w:r>
      <w:r>
        <w:rPr>
          <w:rFonts w:ascii="宋体" w:hAnsi="宋体" w:cs="宋体" w:hint="eastAsia"/>
          <w:color w:val="000000"/>
          <w:kern w:val="0"/>
          <w:sz w:val="24"/>
        </w:rPr>
        <w:t>967</w:t>
      </w:r>
      <w:r>
        <w:rPr>
          <w:rFonts w:ascii="宋体" w:hAnsi="宋体" w:cs="宋体"/>
          <w:color w:val="000000"/>
          <w:kern w:val="0"/>
          <w:sz w:val="24"/>
        </w:rPr>
        <w:t>号文核准募集。</w:t>
      </w:r>
      <w:r>
        <w:rPr>
          <w:rFonts w:ascii="宋体" w:hAnsi="宋体" w:cs="宋体" w:hint="eastAsia"/>
          <w:kern w:val="0"/>
          <w:sz w:val="24"/>
        </w:rPr>
        <w:t>本</w:t>
      </w:r>
      <w:proofErr w:type="gramStart"/>
      <w:r>
        <w:rPr>
          <w:rFonts w:ascii="宋体" w:hAnsi="宋体" w:cs="宋体" w:hint="eastAsia"/>
          <w:kern w:val="0"/>
          <w:sz w:val="24"/>
        </w:rPr>
        <w:t>基金基金</w:t>
      </w:r>
      <w:proofErr w:type="gramEnd"/>
      <w:r>
        <w:rPr>
          <w:rFonts w:ascii="宋体" w:hAnsi="宋体" w:cs="宋体" w:hint="eastAsia"/>
          <w:kern w:val="0"/>
          <w:sz w:val="24"/>
        </w:rPr>
        <w:t>合同于2011年9月22日正式生效。</w:t>
      </w:r>
    </w:p>
    <w:p w14:paraId="6F30B262" w14:textId="77777777" w:rsidR="00CF57A4" w:rsidRDefault="00B13D46">
      <w:pPr>
        <w:widowControl/>
        <w:spacing w:line="360" w:lineRule="auto"/>
        <w:ind w:firstLineChars="200" w:firstLine="480"/>
        <w:rPr>
          <w:rFonts w:ascii="宋体" w:hAnsi="宋体" w:cs="宋体"/>
          <w:color w:val="000000"/>
          <w:kern w:val="0"/>
          <w:sz w:val="24"/>
        </w:rPr>
      </w:pPr>
      <w:r>
        <w:rPr>
          <w:rFonts w:ascii="宋体" w:hAnsi="宋体" w:cs="宋体"/>
          <w:color w:val="000000"/>
          <w:kern w:val="0"/>
          <w:sz w:val="24"/>
        </w:rPr>
        <w:t>基金管理人保证招募说明书的内容真实、准确、完整。本招募说明书经中国证监会</w:t>
      </w:r>
      <w:r>
        <w:rPr>
          <w:rFonts w:ascii="宋体" w:hAnsi="宋体" w:cs="宋体" w:hint="eastAsia"/>
          <w:color w:val="000000"/>
          <w:kern w:val="0"/>
          <w:sz w:val="24"/>
        </w:rPr>
        <w:t>核准</w:t>
      </w:r>
      <w:r>
        <w:rPr>
          <w:rFonts w:ascii="宋体" w:hAnsi="宋体" w:cs="宋体"/>
          <w:color w:val="000000"/>
          <w:kern w:val="0"/>
          <w:sz w:val="24"/>
        </w:rPr>
        <w:t>，但中国证监会对本基金</w:t>
      </w:r>
      <w:proofErr w:type="gramStart"/>
      <w:r>
        <w:rPr>
          <w:rFonts w:ascii="宋体" w:hAnsi="宋体" w:cs="宋体" w:hint="eastAsia"/>
          <w:color w:val="000000"/>
          <w:kern w:val="0"/>
          <w:sz w:val="24"/>
        </w:rPr>
        <w:t>募</w:t>
      </w:r>
      <w:proofErr w:type="gramEnd"/>
      <w:r>
        <w:rPr>
          <w:rFonts w:ascii="宋体" w:hAnsi="宋体" w:cs="宋体" w:hint="eastAsia"/>
          <w:color w:val="000000"/>
          <w:kern w:val="0"/>
          <w:sz w:val="24"/>
        </w:rPr>
        <w:t>集</w:t>
      </w:r>
      <w:r>
        <w:rPr>
          <w:rFonts w:ascii="宋体" w:hAnsi="宋体" w:cs="宋体"/>
          <w:color w:val="000000"/>
          <w:kern w:val="0"/>
          <w:sz w:val="24"/>
        </w:rPr>
        <w:t>的</w:t>
      </w:r>
      <w:r>
        <w:rPr>
          <w:rFonts w:ascii="宋体" w:hAnsi="宋体" w:cs="宋体" w:hint="eastAsia"/>
          <w:color w:val="000000"/>
          <w:kern w:val="0"/>
          <w:sz w:val="24"/>
        </w:rPr>
        <w:t>核准</w:t>
      </w:r>
      <w:r>
        <w:rPr>
          <w:rFonts w:ascii="宋体" w:hAnsi="宋体" w:cs="宋体"/>
          <w:color w:val="000000"/>
          <w:kern w:val="0"/>
          <w:sz w:val="24"/>
        </w:rPr>
        <w:t>，</w:t>
      </w:r>
      <w:r>
        <w:rPr>
          <w:rFonts w:ascii="宋体" w:hAnsi="宋体" w:cs="宋体" w:hint="eastAsia"/>
          <w:color w:val="000000"/>
          <w:kern w:val="0"/>
          <w:sz w:val="24"/>
        </w:rPr>
        <w:t>并</w:t>
      </w:r>
      <w:r>
        <w:rPr>
          <w:rFonts w:ascii="宋体" w:hAnsi="宋体" w:cs="宋体"/>
          <w:color w:val="000000"/>
          <w:kern w:val="0"/>
          <w:sz w:val="24"/>
        </w:rPr>
        <w:t>不表明其对本基金的价值和收益</w:t>
      </w:r>
      <w:proofErr w:type="gramStart"/>
      <w:r>
        <w:rPr>
          <w:rFonts w:ascii="宋体" w:hAnsi="宋体" w:cs="宋体"/>
          <w:color w:val="000000"/>
          <w:kern w:val="0"/>
          <w:sz w:val="24"/>
        </w:rPr>
        <w:t>作出</w:t>
      </w:r>
      <w:proofErr w:type="gramEnd"/>
      <w:r>
        <w:rPr>
          <w:rFonts w:ascii="宋体" w:hAnsi="宋体" w:cs="宋体"/>
          <w:color w:val="000000"/>
          <w:kern w:val="0"/>
          <w:sz w:val="24"/>
        </w:rPr>
        <w:t xml:space="preserve">实质性判断或保证，也不表明投资于本基金没有风险。 </w:t>
      </w:r>
    </w:p>
    <w:p w14:paraId="3A383A8F" w14:textId="77777777" w:rsidR="00CF57A4" w:rsidRDefault="00B13D46">
      <w:pPr>
        <w:widowControl/>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t>基金管理人依照恪尽职守、诚实信用、勤勉尽责的原则管理和运用基金财产，但不保证投资本基金一定盈利，也不保证基金份额持有人的最低收益；因基金价格可升可跌，亦不保证基金份额持有人能全数取回其原本投资。</w:t>
      </w:r>
    </w:p>
    <w:p w14:paraId="1A2B5B97" w14:textId="6EB10704" w:rsidR="00CF57A4" w:rsidRDefault="00B13D46">
      <w:pPr>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t>本基金投资于证券市场，基金净值会因为证券市场波动等因素产生波动。投资者在投资本基金前，需全面认识本基金产品的风险收益特征和产品特性，充分考虑自身的风险承受能力，理性判断市场，对投资本基金的意愿、时机、数量等投资行为</w:t>
      </w:r>
      <w:proofErr w:type="gramStart"/>
      <w:r>
        <w:rPr>
          <w:rFonts w:ascii="宋体" w:hAnsi="宋体" w:cs="宋体" w:hint="eastAsia"/>
          <w:color w:val="000000"/>
          <w:kern w:val="0"/>
          <w:sz w:val="24"/>
        </w:rPr>
        <w:t>作出</w:t>
      </w:r>
      <w:proofErr w:type="gramEnd"/>
      <w:r>
        <w:rPr>
          <w:rFonts w:ascii="宋体" w:hAnsi="宋体" w:cs="宋体" w:hint="eastAsia"/>
          <w:color w:val="000000"/>
          <w:kern w:val="0"/>
          <w:sz w:val="24"/>
        </w:rPr>
        <w:t>独立决策。投资者根据所持有份额享受基金的收益，但同时也需承担相应的投资风险。投资本基金可能遇到的风险包括：市场风险、标的指数回报与股票市场平均回报偏离的风险、标的指数波动的风险以及基金投资组合回报与标的指数回报偏离的风险，基金份额二级市场交易价格折溢价的风险，基金的退市风险，投资者申购、赎回失败的风险以及基金份额赎回对价的变现风险</w:t>
      </w:r>
      <w:r w:rsidR="00432C1E">
        <w:rPr>
          <w:rFonts w:ascii="宋体" w:hAnsi="宋体" w:cs="宋体" w:hint="eastAsia"/>
          <w:color w:val="000000"/>
          <w:kern w:val="0"/>
          <w:sz w:val="24"/>
        </w:rPr>
        <w:t>、流动性风险</w:t>
      </w:r>
      <w:r>
        <w:rPr>
          <w:rFonts w:ascii="宋体" w:hAnsi="宋体" w:cs="宋体" w:hint="eastAsia"/>
          <w:color w:val="000000"/>
          <w:kern w:val="0"/>
          <w:sz w:val="24"/>
        </w:rPr>
        <w:t>等等。</w:t>
      </w:r>
    </w:p>
    <w:p w14:paraId="0C6568F4"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本基金属于股票基金，风险与收益高于混合基金、债券基金与货币市场基金。同时本基金为指数型基金，具有与标的指数、以及标的指数所代表的股票市场相似的风险收益特征。</w:t>
      </w:r>
    </w:p>
    <w:p w14:paraId="29781BDA" w14:textId="77777777" w:rsidR="00CF57A4" w:rsidRDefault="00B13D46">
      <w:pPr>
        <w:spacing w:line="360" w:lineRule="auto"/>
        <w:ind w:firstLineChars="200" w:firstLine="480"/>
        <w:rPr>
          <w:rFonts w:ascii="宋体" w:hAnsi="宋体" w:cs="宋体"/>
          <w:color w:val="000000"/>
          <w:kern w:val="0"/>
          <w:sz w:val="24"/>
        </w:rPr>
      </w:pPr>
      <w:r>
        <w:rPr>
          <w:rFonts w:ascii="宋体" w:hAnsi="宋体" w:cs="宋体"/>
          <w:color w:val="000000"/>
          <w:kern w:val="0"/>
          <w:sz w:val="24"/>
        </w:rPr>
        <w:t>投资有风险，投资者在</w:t>
      </w:r>
      <w:r>
        <w:rPr>
          <w:rFonts w:ascii="宋体" w:hAnsi="宋体" w:cs="宋体" w:hint="eastAsia"/>
          <w:color w:val="000000"/>
          <w:kern w:val="0"/>
          <w:sz w:val="24"/>
        </w:rPr>
        <w:t>投资</w:t>
      </w:r>
      <w:r>
        <w:rPr>
          <w:rFonts w:ascii="宋体" w:hAnsi="宋体" w:cs="宋体"/>
          <w:color w:val="000000"/>
          <w:kern w:val="0"/>
          <w:sz w:val="24"/>
        </w:rPr>
        <w:t>本基金前应认真阅读本</w:t>
      </w:r>
      <w:r>
        <w:rPr>
          <w:rFonts w:ascii="宋体" w:hAnsi="宋体" w:cs="宋体" w:hint="eastAsia"/>
          <w:color w:val="000000"/>
          <w:kern w:val="0"/>
          <w:sz w:val="24"/>
        </w:rPr>
        <w:t>基金的</w:t>
      </w:r>
      <w:r>
        <w:rPr>
          <w:rFonts w:ascii="宋体" w:hAnsi="宋体" w:cs="宋体"/>
          <w:color w:val="000000"/>
          <w:kern w:val="0"/>
          <w:sz w:val="24"/>
        </w:rPr>
        <w:t>招募说明书</w:t>
      </w:r>
      <w:r>
        <w:rPr>
          <w:rFonts w:ascii="宋体" w:hAnsi="宋体" w:cs="宋体" w:hint="eastAsia"/>
          <w:color w:val="000000"/>
          <w:kern w:val="0"/>
          <w:sz w:val="24"/>
        </w:rPr>
        <w:t>和基金合同</w:t>
      </w:r>
      <w:r>
        <w:rPr>
          <w:rFonts w:ascii="宋体" w:hAnsi="宋体" w:cs="宋体"/>
          <w:color w:val="000000"/>
          <w:kern w:val="0"/>
          <w:sz w:val="24"/>
        </w:rPr>
        <w:t>。</w:t>
      </w:r>
      <w:r>
        <w:rPr>
          <w:rFonts w:ascii="宋体" w:hAnsi="宋体" w:cs="宋体" w:hint="eastAsia"/>
          <w:color w:val="000000"/>
          <w:kern w:val="0"/>
          <w:sz w:val="24"/>
        </w:rPr>
        <w:t>基金的</w:t>
      </w:r>
      <w:r>
        <w:rPr>
          <w:rFonts w:ascii="宋体" w:hAnsi="宋体" w:cs="宋体"/>
          <w:color w:val="000000"/>
          <w:kern w:val="0"/>
          <w:sz w:val="24"/>
        </w:rPr>
        <w:t>过往业绩并不代表</w:t>
      </w:r>
      <w:r>
        <w:rPr>
          <w:rFonts w:ascii="宋体" w:hAnsi="宋体" w:cs="宋体" w:hint="eastAsia"/>
          <w:color w:val="000000"/>
          <w:kern w:val="0"/>
          <w:sz w:val="24"/>
        </w:rPr>
        <w:t>其未来表现</w:t>
      </w:r>
      <w:r>
        <w:rPr>
          <w:rFonts w:ascii="宋体" w:hAnsi="宋体" w:cs="宋体"/>
          <w:color w:val="000000"/>
          <w:kern w:val="0"/>
          <w:sz w:val="24"/>
        </w:rPr>
        <w:t>。基金管理人管理的其他基金的业绩并不构成</w:t>
      </w:r>
      <w:r>
        <w:rPr>
          <w:rFonts w:ascii="宋体" w:hAnsi="宋体" w:cs="宋体" w:hint="eastAsia"/>
          <w:color w:val="000000"/>
          <w:kern w:val="0"/>
          <w:sz w:val="24"/>
        </w:rPr>
        <w:t>对本</w:t>
      </w:r>
      <w:r>
        <w:rPr>
          <w:rFonts w:ascii="宋体" w:hAnsi="宋体" w:cs="宋体"/>
          <w:color w:val="000000"/>
          <w:kern w:val="0"/>
          <w:sz w:val="24"/>
        </w:rPr>
        <w:t>基金业绩表现的保证。</w:t>
      </w:r>
    </w:p>
    <w:p w14:paraId="7FD15169" w14:textId="66E3ED0E" w:rsidR="00CF57A4" w:rsidRDefault="00B13D46">
      <w:pPr>
        <w:spacing w:line="360" w:lineRule="auto"/>
        <w:ind w:firstLineChars="200" w:firstLine="480"/>
        <w:rPr>
          <w:rFonts w:ascii="宋体" w:hAnsi="宋体"/>
          <w:color w:val="000000"/>
          <w:sz w:val="24"/>
        </w:rPr>
      </w:pPr>
      <w:r>
        <w:rPr>
          <w:rFonts w:ascii="宋体" w:hAnsi="宋体" w:cs="宋体" w:hint="eastAsia"/>
          <w:kern w:val="0"/>
          <w:sz w:val="24"/>
        </w:rPr>
        <w:t>本招募说明书所载内容截止</w:t>
      </w:r>
      <w:bookmarkStart w:id="0" w:name="_GoBack"/>
      <w:bookmarkEnd w:id="0"/>
      <w:r>
        <w:rPr>
          <w:rFonts w:ascii="宋体" w:hAnsi="宋体" w:cs="宋体" w:hint="eastAsia"/>
          <w:kern w:val="0"/>
          <w:sz w:val="24"/>
        </w:rPr>
        <w:t>日为</w:t>
      </w:r>
      <w:r w:rsidR="00D562FE">
        <w:rPr>
          <w:rFonts w:ascii="宋体" w:hAnsi="宋体" w:cs="宋体" w:hint="eastAsia"/>
          <w:kern w:val="0"/>
          <w:sz w:val="24"/>
        </w:rPr>
        <w:t>201</w:t>
      </w:r>
      <w:r w:rsidR="00D562FE">
        <w:rPr>
          <w:rFonts w:ascii="宋体" w:hAnsi="宋体" w:cs="宋体"/>
          <w:kern w:val="0"/>
          <w:sz w:val="24"/>
        </w:rPr>
        <w:t>8</w:t>
      </w:r>
      <w:r w:rsidR="00E52BF5">
        <w:rPr>
          <w:rFonts w:ascii="宋体" w:hAnsi="宋体" w:cs="宋体" w:hint="eastAsia"/>
          <w:kern w:val="0"/>
          <w:sz w:val="24"/>
        </w:rPr>
        <w:t>年</w:t>
      </w:r>
      <w:r w:rsidR="00D562FE">
        <w:rPr>
          <w:rFonts w:ascii="宋体" w:hAnsi="宋体" w:cs="宋体"/>
          <w:kern w:val="0"/>
          <w:sz w:val="24"/>
        </w:rPr>
        <w:t>3</w:t>
      </w:r>
      <w:r>
        <w:rPr>
          <w:rFonts w:ascii="宋体" w:hAnsi="宋体" w:cs="宋体" w:hint="eastAsia"/>
          <w:kern w:val="0"/>
          <w:sz w:val="24"/>
        </w:rPr>
        <w:t>月22日，有关财务数据和净值表现截止日为</w:t>
      </w:r>
      <w:r w:rsidR="00D562FE">
        <w:rPr>
          <w:rFonts w:ascii="宋体" w:hAnsi="宋体" w:cs="宋体" w:hint="eastAsia"/>
          <w:kern w:val="0"/>
          <w:sz w:val="24"/>
        </w:rPr>
        <w:t>201</w:t>
      </w:r>
      <w:r w:rsidR="00D562FE">
        <w:rPr>
          <w:rFonts w:ascii="宋体" w:hAnsi="宋体" w:cs="宋体"/>
          <w:kern w:val="0"/>
          <w:sz w:val="24"/>
        </w:rPr>
        <w:t>7</w:t>
      </w:r>
      <w:r w:rsidR="00D562FE">
        <w:rPr>
          <w:rFonts w:ascii="宋体" w:hAnsi="宋体" w:cs="宋体" w:hint="eastAsia"/>
          <w:kern w:val="0"/>
          <w:sz w:val="24"/>
        </w:rPr>
        <w:t>年</w:t>
      </w:r>
      <w:r w:rsidR="00D562FE">
        <w:rPr>
          <w:rFonts w:ascii="宋体" w:hAnsi="宋体" w:cs="宋体"/>
          <w:kern w:val="0"/>
          <w:sz w:val="24"/>
        </w:rPr>
        <w:t>12</w:t>
      </w:r>
      <w:r>
        <w:rPr>
          <w:rFonts w:ascii="宋体" w:hAnsi="宋体" w:cs="宋体" w:hint="eastAsia"/>
          <w:kern w:val="0"/>
          <w:sz w:val="24"/>
        </w:rPr>
        <w:t>月</w:t>
      </w:r>
      <w:r w:rsidR="00D562FE">
        <w:rPr>
          <w:rFonts w:ascii="宋体" w:hAnsi="宋体" w:cs="宋体"/>
          <w:kern w:val="0"/>
          <w:sz w:val="24"/>
        </w:rPr>
        <w:t>31</w:t>
      </w:r>
      <w:r>
        <w:rPr>
          <w:rFonts w:ascii="宋体" w:hAnsi="宋体" w:cs="宋体" w:hint="eastAsia"/>
          <w:kern w:val="0"/>
          <w:sz w:val="24"/>
        </w:rPr>
        <w:t>日。本招募说明书所载的财务数据未经审计。</w:t>
      </w:r>
    </w:p>
    <w:p w14:paraId="1C2D1378" w14:textId="77777777" w:rsidR="00CF57A4" w:rsidRDefault="00B13D46">
      <w:pPr>
        <w:widowControl/>
        <w:spacing w:line="360" w:lineRule="auto"/>
        <w:jc w:val="center"/>
        <w:rPr>
          <w:rFonts w:ascii="黑体" w:eastAsia="黑体" w:hAnsi="宋体" w:cs="宋体"/>
          <w:b/>
          <w:color w:val="000000"/>
          <w:kern w:val="0"/>
          <w:sz w:val="30"/>
        </w:rPr>
      </w:pPr>
      <w:r>
        <w:rPr>
          <w:rFonts w:ascii="黑体" w:eastAsia="黑体" w:hAnsi="宋体" w:cs="宋体"/>
          <w:color w:val="000000"/>
          <w:kern w:val="0"/>
          <w:sz w:val="30"/>
        </w:rPr>
        <w:br w:type="page"/>
      </w:r>
      <w:r>
        <w:rPr>
          <w:rFonts w:ascii="黑体" w:eastAsia="黑体" w:hAnsi="宋体" w:cs="宋体"/>
          <w:b/>
          <w:color w:val="000000"/>
          <w:kern w:val="0"/>
          <w:sz w:val="30"/>
        </w:rPr>
        <w:lastRenderedPageBreak/>
        <w:t>目 录</w:t>
      </w:r>
    </w:p>
    <w:bookmarkStart w:id="1" w:name="_Toc109537379"/>
    <w:p w14:paraId="0850B2D8" w14:textId="77777777" w:rsidR="00CF57A4" w:rsidRDefault="00B13D46">
      <w:pPr>
        <w:pStyle w:val="10"/>
        <w:spacing w:line="360" w:lineRule="auto"/>
        <w:rPr>
          <w:rFonts w:ascii="Calibri" w:eastAsia="宋体" w:hAnsi="Calibri"/>
          <w:noProof/>
          <w:sz w:val="21"/>
          <w:szCs w:val="22"/>
        </w:rPr>
      </w:pPr>
      <w:r>
        <w:rPr>
          <w:rFonts w:cs="宋体" w:hint="eastAsia"/>
          <w:color w:val="000000"/>
          <w:kern w:val="0"/>
        </w:rPr>
        <w:fldChar w:fldCharType="begin"/>
      </w:r>
      <w:r>
        <w:rPr>
          <w:rFonts w:cs="宋体" w:hint="eastAsia"/>
          <w:color w:val="000000"/>
          <w:kern w:val="0"/>
        </w:rPr>
        <w:instrText xml:space="preserve"> TOC \o "1-1" \h \z \u </w:instrText>
      </w:r>
      <w:r>
        <w:rPr>
          <w:rFonts w:cs="宋体" w:hint="eastAsia"/>
          <w:color w:val="000000"/>
          <w:kern w:val="0"/>
        </w:rPr>
        <w:fldChar w:fldCharType="separate"/>
      </w:r>
      <w:hyperlink w:anchor="_Toc322519868" w:history="1">
        <w:r>
          <w:rPr>
            <w:rStyle w:val="af4"/>
            <w:rFonts w:hint="eastAsia"/>
            <w:noProof/>
            <w:kern w:val="0"/>
          </w:rPr>
          <w:t>一、绪言</w:t>
        </w:r>
        <w:r>
          <w:rPr>
            <w:noProof/>
          </w:rPr>
          <w:tab/>
        </w:r>
        <w:r>
          <w:rPr>
            <w:noProof/>
          </w:rPr>
          <w:fldChar w:fldCharType="begin"/>
        </w:r>
        <w:r>
          <w:rPr>
            <w:noProof/>
          </w:rPr>
          <w:instrText xml:space="preserve"> PAGEREF _Toc322519868 \h </w:instrText>
        </w:r>
        <w:r>
          <w:rPr>
            <w:noProof/>
          </w:rPr>
        </w:r>
        <w:r>
          <w:rPr>
            <w:noProof/>
          </w:rPr>
          <w:fldChar w:fldCharType="separate"/>
        </w:r>
        <w:r w:rsidR="00541168">
          <w:rPr>
            <w:noProof/>
          </w:rPr>
          <w:t>3</w:t>
        </w:r>
        <w:r>
          <w:rPr>
            <w:noProof/>
          </w:rPr>
          <w:fldChar w:fldCharType="end"/>
        </w:r>
      </w:hyperlink>
    </w:p>
    <w:p w14:paraId="1AE9D08D" w14:textId="77777777" w:rsidR="00CF57A4" w:rsidRDefault="009C426A">
      <w:pPr>
        <w:pStyle w:val="10"/>
        <w:spacing w:line="360" w:lineRule="auto"/>
        <w:rPr>
          <w:rFonts w:ascii="Calibri" w:eastAsia="宋体" w:hAnsi="Calibri"/>
          <w:noProof/>
          <w:sz w:val="21"/>
          <w:szCs w:val="22"/>
        </w:rPr>
      </w:pPr>
      <w:r>
        <w:rPr>
          <w:noProof/>
        </w:rPr>
        <w:fldChar w:fldCharType="begin"/>
      </w:r>
      <w:r>
        <w:rPr>
          <w:noProof/>
        </w:rPr>
        <w:instrText xml:space="preserve"> HYPERLINK \l "_Toc322519869" </w:instrText>
      </w:r>
      <w:ins w:id="2" w:author="汤程翔" w:date="2018-04-20T15:40:00Z">
        <w:r w:rsidR="00541168">
          <w:rPr>
            <w:noProof/>
          </w:rPr>
        </w:r>
      </w:ins>
      <w:r>
        <w:rPr>
          <w:noProof/>
        </w:rPr>
        <w:fldChar w:fldCharType="separate"/>
      </w:r>
      <w:r w:rsidR="00B13D46">
        <w:rPr>
          <w:rStyle w:val="af4"/>
          <w:rFonts w:hint="eastAsia"/>
          <w:noProof/>
          <w:kern w:val="0"/>
        </w:rPr>
        <w:t>二、释义</w:t>
      </w:r>
      <w:r w:rsidR="00B13D46">
        <w:rPr>
          <w:noProof/>
        </w:rPr>
        <w:tab/>
      </w:r>
      <w:r w:rsidR="00B13D46">
        <w:rPr>
          <w:noProof/>
        </w:rPr>
        <w:fldChar w:fldCharType="begin"/>
      </w:r>
      <w:r w:rsidR="00B13D46">
        <w:rPr>
          <w:noProof/>
        </w:rPr>
        <w:instrText xml:space="preserve"> PAGEREF _Toc322519869 \h </w:instrText>
      </w:r>
      <w:r w:rsidR="00B13D46">
        <w:rPr>
          <w:noProof/>
        </w:rPr>
      </w:r>
      <w:r w:rsidR="00B13D46">
        <w:rPr>
          <w:noProof/>
        </w:rPr>
        <w:fldChar w:fldCharType="separate"/>
      </w:r>
      <w:r w:rsidR="00541168">
        <w:rPr>
          <w:noProof/>
        </w:rPr>
        <w:t>4</w:t>
      </w:r>
      <w:r w:rsidR="00B13D46">
        <w:rPr>
          <w:noProof/>
        </w:rPr>
        <w:fldChar w:fldCharType="end"/>
      </w:r>
      <w:r>
        <w:rPr>
          <w:noProof/>
        </w:rPr>
        <w:fldChar w:fldCharType="end"/>
      </w:r>
    </w:p>
    <w:p w14:paraId="16F28106" w14:textId="77777777" w:rsidR="00CF57A4" w:rsidRDefault="009C426A">
      <w:pPr>
        <w:pStyle w:val="10"/>
        <w:spacing w:line="360" w:lineRule="auto"/>
        <w:rPr>
          <w:rFonts w:ascii="Calibri" w:eastAsia="宋体" w:hAnsi="Calibri"/>
          <w:noProof/>
          <w:sz w:val="21"/>
          <w:szCs w:val="22"/>
        </w:rPr>
      </w:pPr>
      <w:r>
        <w:rPr>
          <w:noProof/>
        </w:rPr>
        <w:fldChar w:fldCharType="begin"/>
      </w:r>
      <w:r>
        <w:rPr>
          <w:noProof/>
        </w:rPr>
        <w:instrText xml:space="preserve"> HYPERLINK \l "_Toc322519870" </w:instrText>
      </w:r>
      <w:ins w:id="3" w:author="汤程翔" w:date="2018-04-20T15:40:00Z">
        <w:r w:rsidR="00541168">
          <w:rPr>
            <w:noProof/>
          </w:rPr>
        </w:r>
      </w:ins>
      <w:r>
        <w:rPr>
          <w:noProof/>
        </w:rPr>
        <w:fldChar w:fldCharType="separate"/>
      </w:r>
      <w:r w:rsidR="00B13D46">
        <w:rPr>
          <w:rStyle w:val="af4"/>
          <w:rFonts w:hint="eastAsia"/>
          <w:noProof/>
          <w:kern w:val="0"/>
        </w:rPr>
        <w:t>三、基金管理人</w:t>
      </w:r>
      <w:r w:rsidR="00B13D46">
        <w:rPr>
          <w:noProof/>
        </w:rPr>
        <w:tab/>
      </w:r>
      <w:r w:rsidR="00B13D46">
        <w:rPr>
          <w:noProof/>
        </w:rPr>
        <w:fldChar w:fldCharType="begin"/>
      </w:r>
      <w:r w:rsidR="00B13D46">
        <w:rPr>
          <w:noProof/>
        </w:rPr>
        <w:instrText xml:space="preserve"> PAGEREF _Toc322519870 \h </w:instrText>
      </w:r>
      <w:r w:rsidR="00B13D46">
        <w:rPr>
          <w:noProof/>
        </w:rPr>
      </w:r>
      <w:r w:rsidR="00B13D46">
        <w:rPr>
          <w:noProof/>
        </w:rPr>
        <w:fldChar w:fldCharType="separate"/>
      </w:r>
      <w:r w:rsidR="00541168">
        <w:rPr>
          <w:noProof/>
        </w:rPr>
        <w:t>10</w:t>
      </w:r>
      <w:r w:rsidR="00B13D46">
        <w:rPr>
          <w:noProof/>
        </w:rPr>
        <w:fldChar w:fldCharType="end"/>
      </w:r>
      <w:r>
        <w:rPr>
          <w:noProof/>
        </w:rPr>
        <w:fldChar w:fldCharType="end"/>
      </w:r>
    </w:p>
    <w:p w14:paraId="704C87D0" w14:textId="27B08B9B" w:rsidR="00CF57A4" w:rsidRDefault="009C426A">
      <w:pPr>
        <w:pStyle w:val="10"/>
        <w:spacing w:line="360" w:lineRule="auto"/>
        <w:rPr>
          <w:rFonts w:ascii="Calibri" w:eastAsia="宋体" w:hAnsi="Calibri"/>
          <w:noProof/>
          <w:sz w:val="21"/>
          <w:szCs w:val="22"/>
        </w:rPr>
      </w:pPr>
      <w:r>
        <w:rPr>
          <w:noProof/>
        </w:rPr>
        <w:fldChar w:fldCharType="begin"/>
      </w:r>
      <w:r>
        <w:rPr>
          <w:noProof/>
        </w:rPr>
        <w:instrText xml:space="preserve"> HYPERLINK \l "_Toc322519871" </w:instrText>
      </w:r>
      <w:ins w:id="4" w:author="汤程翔" w:date="2018-04-20T15:40:00Z">
        <w:r w:rsidR="00541168">
          <w:rPr>
            <w:noProof/>
          </w:rPr>
        </w:r>
      </w:ins>
      <w:r>
        <w:rPr>
          <w:noProof/>
        </w:rPr>
        <w:fldChar w:fldCharType="separate"/>
      </w:r>
      <w:r w:rsidR="00B13D46">
        <w:rPr>
          <w:rStyle w:val="af4"/>
          <w:rFonts w:hint="eastAsia"/>
          <w:noProof/>
          <w:kern w:val="0"/>
        </w:rPr>
        <w:t>四、基金托管人</w:t>
      </w:r>
      <w:r w:rsidR="00B13D46">
        <w:rPr>
          <w:noProof/>
        </w:rPr>
        <w:tab/>
      </w:r>
      <w:r w:rsidR="00B13D46">
        <w:rPr>
          <w:noProof/>
        </w:rPr>
        <w:fldChar w:fldCharType="begin"/>
      </w:r>
      <w:r w:rsidR="00B13D46">
        <w:rPr>
          <w:noProof/>
        </w:rPr>
        <w:instrText xml:space="preserve"> PAGEREF _Toc322519871 \h </w:instrText>
      </w:r>
      <w:r w:rsidR="00B13D46">
        <w:rPr>
          <w:noProof/>
        </w:rPr>
      </w:r>
      <w:r w:rsidR="00B13D46">
        <w:rPr>
          <w:noProof/>
        </w:rPr>
        <w:fldChar w:fldCharType="separate"/>
      </w:r>
      <w:r w:rsidR="00541168">
        <w:rPr>
          <w:noProof/>
        </w:rPr>
        <w:t>19</w:t>
      </w:r>
      <w:r w:rsidR="00B13D46">
        <w:rPr>
          <w:noProof/>
        </w:rPr>
        <w:fldChar w:fldCharType="end"/>
      </w:r>
      <w:r>
        <w:rPr>
          <w:noProof/>
        </w:rPr>
        <w:fldChar w:fldCharType="end"/>
      </w:r>
    </w:p>
    <w:p w14:paraId="43031F16" w14:textId="44A39754" w:rsidR="00CF57A4" w:rsidRDefault="009C426A">
      <w:pPr>
        <w:pStyle w:val="10"/>
        <w:spacing w:line="360" w:lineRule="auto"/>
        <w:rPr>
          <w:rFonts w:ascii="Calibri" w:eastAsia="宋体" w:hAnsi="Calibri"/>
          <w:noProof/>
          <w:sz w:val="21"/>
          <w:szCs w:val="22"/>
        </w:rPr>
      </w:pPr>
      <w:r>
        <w:rPr>
          <w:noProof/>
        </w:rPr>
        <w:fldChar w:fldCharType="begin"/>
      </w:r>
      <w:r>
        <w:rPr>
          <w:noProof/>
        </w:rPr>
        <w:instrText xml:space="preserve"> HYPERLINK \l "_Toc322519872" </w:instrText>
      </w:r>
      <w:ins w:id="5" w:author="汤程翔" w:date="2018-04-20T15:40:00Z">
        <w:r w:rsidR="00541168">
          <w:rPr>
            <w:noProof/>
          </w:rPr>
        </w:r>
      </w:ins>
      <w:r>
        <w:rPr>
          <w:noProof/>
        </w:rPr>
        <w:fldChar w:fldCharType="separate"/>
      </w:r>
      <w:r w:rsidR="00B13D46">
        <w:rPr>
          <w:rStyle w:val="af4"/>
          <w:rFonts w:hint="eastAsia"/>
          <w:noProof/>
          <w:kern w:val="0"/>
        </w:rPr>
        <w:t>五、相关服务机构</w:t>
      </w:r>
      <w:r w:rsidR="00B13D46">
        <w:rPr>
          <w:noProof/>
        </w:rPr>
        <w:tab/>
      </w:r>
      <w:r w:rsidR="00B13D46">
        <w:rPr>
          <w:noProof/>
        </w:rPr>
        <w:fldChar w:fldCharType="begin"/>
      </w:r>
      <w:r w:rsidR="00B13D46">
        <w:rPr>
          <w:noProof/>
        </w:rPr>
        <w:instrText xml:space="preserve"> PAGEREF _Toc322519872 \h </w:instrText>
      </w:r>
      <w:r w:rsidR="00B13D46">
        <w:rPr>
          <w:noProof/>
        </w:rPr>
      </w:r>
      <w:r w:rsidR="00B13D46">
        <w:rPr>
          <w:noProof/>
        </w:rPr>
        <w:fldChar w:fldCharType="separate"/>
      </w:r>
      <w:r w:rsidR="00541168">
        <w:rPr>
          <w:noProof/>
        </w:rPr>
        <w:t>22</w:t>
      </w:r>
      <w:r w:rsidR="00B13D46">
        <w:rPr>
          <w:noProof/>
        </w:rPr>
        <w:fldChar w:fldCharType="end"/>
      </w:r>
      <w:r>
        <w:rPr>
          <w:noProof/>
        </w:rPr>
        <w:fldChar w:fldCharType="end"/>
      </w:r>
    </w:p>
    <w:p w14:paraId="69CC77D1" w14:textId="5B0932B5" w:rsidR="00CF57A4" w:rsidRDefault="009C426A">
      <w:pPr>
        <w:pStyle w:val="10"/>
        <w:spacing w:line="360" w:lineRule="auto"/>
        <w:rPr>
          <w:rFonts w:ascii="Calibri" w:eastAsia="宋体" w:hAnsi="Calibri"/>
          <w:noProof/>
          <w:sz w:val="21"/>
          <w:szCs w:val="22"/>
        </w:rPr>
      </w:pPr>
      <w:r>
        <w:rPr>
          <w:noProof/>
        </w:rPr>
        <w:fldChar w:fldCharType="begin"/>
      </w:r>
      <w:r>
        <w:rPr>
          <w:noProof/>
        </w:rPr>
        <w:instrText xml:space="preserve"> HYPERLINK \l "_Toc322519873" </w:instrText>
      </w:r>
      <w:ins w:id="6" w:author="汤程翔" w:date="2018-04-20T15:40:00Z">
        <w:r w:rsidR="00541168">
          <w:rPr>
            <w:noProof/>
          </w:rPr>
        </w:r>
      </w:ins>
      <w:r>
        <w:rPr>
          <w:noProof/>
        </w:rPr>
        <w:fldChar w:fldCharType="separate"/>
      </w:r>
      <w:r w:rsidR="00B13D46">
        <w:rPr>
          <w:rStyle w:val="af4"/>
          <w:rFonts w:hint="eastAsia"/>
          <w:noProof/>
          <w:kern w:val="0"/>
        </w:rPr>
        <w:t>六、基金的募集</w:t>
      </w:r>
      <w:r w:rsidR="00B13D46">
        <w:rPr>
          <w:noProof/>
        </w:rPr>
        <w:tab/>
      </w:r>
      <w:r w:rsidR="00B13D46">
        <w:rPr>
          <w:noProof/>
        </w:rPr>
        <w:fldChar w:fldCharType="begin"/>
      </w:r>
      <w:r w:rsidR="00B13D46">
        <w:rPr>
          <w:noProof/>
        </w:rPr>
        <w:instrText xml:space="preserve"> PAGEREF _Toc322519873 \h </w:instrText>
      </w:r>
      <w:r w:rsidR="00B13D46">
        <w:rPr>
          <w:noProof/>
        </w:rPr>
      </w:r>
      <w:r w:rsidR="00B13D46">
        <w:rPr>
          <w:noProof/>
        </w:rPr>
        <w:fldChar w:fldCharType="separate"/>
      </w:r>
      <w:r w:rsidR="00541168">
        <w:rPr>
          <w:noProof/>
        </w:rPr>
        <w:t>32</w:t>
      </w:r>
      <w:r w:rsidR="00B13D46">
        <w:rPr>
          <w:noProof/>
        </w:rPr>
        <w:fldChar w:fldCharType="end"/>
      </w:r>
      <w:r>
        <w:rPr>
          <w:noProof/>
        </w:rPr>
        <w:fldChar w:fldCharType="end"/>
      </w:r>
    </w:p>
    <w:p w14:paraId="641D6B2F" w14:textId="0AEB374D" w:rsidR="00CF57A4" w:rsidRDefault="009C426A">
      <w:pPr>
        <w:pStyle w:val="10"/>
        <w:spacing w:line="360" w:lineRule="auto"/>
        <w:rPr>
          <w:rFonts w:ascii="Calibri" w:eastAsia="宋体" w:hAnsi="Calibri"/>
          <w:noProof/>
          <w:sz w:val="21"/>
          <w:szCs w:val="22"/>
        </w:rPr>
      </w:pPr>
      <w:r>
        <w:rPr>
          <w:noProof/>
        </w:rPr>
        <w:fldChar w:fldCharType="begin"/>
      </w:r>
      <w:r>
        <w:rPr>
          <w:noProof/>
        </w:rPr>
        <w:instrText xml:space="preserve"> HYPERLINK \l "_Toc322519874" </w:instrText>
      </w:r>
      <w:ins w:id="7" w:author="汤程翔" w:date="2018-04-20T15:40:00Z">
        <w:r w:rsidR="00541168">
          <w:rPr>
            <w:noProof/>
          </w:rPr>
        </w:r>
      </w:ins>
      <w:r>
        <w:rPr>
          <w:noProof/>
        </w:rPr>
        <w:fldChar w:fldCharType="separate"/>
      </w:r>
      <w:r w:rsidR="00B13D46">
        <w:rPr>
          <w:rStyle w:val="af4"/>
          <w:rFonts w:hint="eastAsia"/>
          <w:noProof/>
          <w:kern w:val="0"/>
        </w:rPr>
        <w:t>七、基金合同的生效</w:t>
      </w:r>
      <w:r w:rsidR="00B13D46">
        <w:rPr>
          <w:noProof/>
        </w:rPr>
        <w:tab/>
      </w:r>
      <w:r w:rsidR="00B13D46">
        <w:rPr>
          <w:noProof/>
        </w:rPr>
        <w:fldChar w:fldCharType="begin"/>
      </w:r>
      <w:r w:rsidR="00B13D46">
        <w:rPr>
          <w:noProof/>
        </w:rPr>
        <w:instrText xml:space="preserve"> PAGEREF _Toc322519874 \h </w:instrText>
      </w:r>
      <w:r w:rsidR="00B13D46">
        <w:rPr>
          <w:noProof/>
        </w:rPr>
      </w:r>
      <w:r w:rsidR="00B13D46">
        <w:rPr>
          <w:noProof/>
        </w:rPr>
        <w:fldChar w:fldCharType="separate"/>
      </w:r>
      <w:r w:rsidR="00541168">
        <w:rPr>
          <w:noProof/>
        </w:rPr>
        <w:t>33</w:t>
      </w:r>
      <w:r w:rsidR="00B13D46">
        <w:rPr>
          <w:noProof/>
        </w:rPr>
        <w:fldChar w:fldCharType="end"/>
      </w:r>
      <w:r>
        <w:rPr>
          <w:noProof/>
        </w:rPr>
        <w:fldChar w:fldCharType="end"/>
      </w:r>
    </w:p>
    <w:p w14:paraId="57A5D73E" w14:textId="7CB54DE0" w:rsidR="00CF57A4" w:rsidRDefault="009C426A">
      <w:pPr>
        <w:pStyle w:val="10"/>
        <w:spacing w:line="360" w:lineRule="auto"/>
        <w:rPr>
          <w:rFonts w:ascii="Calibri" w:eastAsia="宋体" w:hAnsi="Calibri"/>
          <w:noProof/>
          <w:sz w:val="21"/>
          <w:szCs w:val="22"/>
        </w:rPr>
      </w:pPr>
      <w:r>
        <w:rPr>
          <w:noProof/>
        </w:rPr>
        <w:fldChar w:fldCharType="begin"/>
      </w:r>
      <w:r>
        <w:rPr>
          <w:noProof/>
        </w:rPr>
        <w:instrText xml:space="preserve"> HYPERLINK \l "_Toc322519875"</w:instrText>
      </w:r>
      <w:r>
        <w:rPr>
          <w:noProof/>
        </w:rPr>
        <w:instrText xml:space="preserve"> </w:instrText>
      </w:r>
      <w:ins w:id="8" w:author="汤程翔" w:date="2018-04-20T15:40:00Z">
        <w:r w:rsidR="00541168">
          <w:rPr>
            <w:noProof/>
          </w:rPr>
        </w:r>
      </w:ins>
      <w:r>
        <w:rPr>
          <w:noProof/>
        </w:rPr>
        <w:fldChar w:fldCharType="separate"/>
      </w:r>
      <w:r w:rsidR="00B13D46">
        <w:rPr>
          <w:rStyle w:val="af4"/>
          <w:rFonts w:hint="eastAsia"/>
          <w:noProof/>
          <w:kern w:val="0"/>
        </w:rPr>
        <w:t>八、基金份额的上市交易</w:t>
      </w:r>
      <w:r w:rsidR="00B13D46">
        <w:rPr>
          <w:noProof/>
        </w:rPr>
        <w:tab/>
      </w:r>
      <w:r w:rsidR="00B13D46">
        <w:rPr>
          <w:noProof/>
        </w:rPr>
        <w:fldChar w:fldCharType="begin"/>
      </w:r>
      <w:r w:rsidR="00B13D46">
        <w:rPr>
          <w:noProof/>
        </w:rPr>
        <w:instrText xml:space="preserve"> PAGEREF _Toc322519875 \h </w:instrText>
      </w:r>
      <w:r w:rsidR="00B13D46">
        <w:rPr>
          <w:noProof/>
        </w:rPr>
      </w:r>
      <w:r w:rsidR="00B13D46">
        <w:rPr>
          <w:noProof/>
        </w:rPr>
        <w:fldChar w:fldCharType="separate"/>
      </w:r>
      <w:r w:rsidR="00541168">
        <w:rPr>
          <w:noProof/>
        </w:rPr>
        <w:t>34</w:t>
      </w:r>
      <w:r w:rsidR="00B13D46">
        <w:rPr>
          <w:noProof/>
        </w:rPr>
        <w:fldChar w:fldCharType="end"/>
      </w:r>
      <w:r>
        <w:rPr>
          <w:noProof/>
        </w:rPr>
        <w:fldChar w:fldCharType="end"/>
      </w:r>
    </w:p>
    <w:p w14:paraId="103F5851" w14:textId="52798076" w:rsidR="00CF57A4" w:rsidRDefault="009C426A">
      <w:pPr>
        <w:pStyle w:val="10"/>
        <w:spacing w:line="360" w:lineRule="auto"/>
        <w:rPr>
          <w:rFonts w:ascii="Calibri" w:eastAsia="宋体" w:hAnsi="Calibri"/>
          <w:noProof/>
          <w:sz w:val="21"/>
          <w:szCs w:val="22"/>
        </w:rPr>
      </w:pPr>
      <w:r>
        <w:rPr>
          <w:noProof/>
        </w:rPr>
        <w:fldChar w:fldCharType="begin"/>
      </w:r>
      <w:r>
        <w:rPr>
          <w:noProof/>
        </w:rPr>
        <w:instrText xml:space="preserve"> HYPERLINK \l "_Toc322519876" </w:instrText>
      </w:r>
      <w:ins w:id="9" w:author="汤程翔" w:date="2018-04-20T15:40:00Z">
        <w:r w:rsidR="00541168">
          <w:rPr>
            <w:noProof/>
          </w:rPr>
        </w:r>
      </w:ins>
      <w:r>
        <w:rPr>
          <w:noProof/>
        </w:rPr>
        <w:fldChar w:fldCharType="separate"/>
      </w:r>
      <w:r w:rsidR="00B13D46">
        <w:rPr>
          <w:rStyle w:val="af4"/>
          <w:rFonts w:hint="eastAsia"/>
          <w:noProof/>
          <w:kern w:val="0"/>
        </w:rPr>
        <w:t>九、基金份额的申购与赎回</w:t>
      </w:r>
      <w:r w:rsidR="00B13D46">
        <w:rPr>
          <w:noProof/>
        </w:rPr>
        <w:tab/>
      </w:r>
      <w:r w:rsidR="00B13D46">
        <w:rPr>
          <w:noProof/>
        </w:rPr>
        <w:fldChar w:fldCharType="begin"/>
      </w:r>
      <w:r w:rsidR="00B13D46">
        <w:rPr>
          <w:noProof/>
        </w:rPr>
        <w:instrText xml:space="preserve"> PAGEREF _Toc322519876 \h </w:instrText>
      </w:r>
      <w:r w:rsidR="00B13D46">
        <w:rPr>
          <w:noProof/>
        </w:rPr>
      </w:r>
      <w:r w:rsidR="00B13D46">
        <w:rPr>
          <w:noProof/>
        </w:rPr>
        <w:fldChar w:fldCharType="separate"/>
      </w:r>
      <w:r w:rsidR="00541168">
        <w:rPr>
          <w:noProof/>
        </w:rPr>
        <w:t>36</w:t>
      </w:r>
      <w:r w:rsidR="00B13D46">
        <w:rPr>
          <w:noProof/>
        </w:rPr>
        <w:fldChar w:fldCharType="end"/>
      </w:r>
      <w:r>
        <w:rPr>
          <w:noProof/>
        </w:rPr>
        <w:fldChar w:fldCharType="end"/>
      </w:r>
    </w:p>
    <w:p w14:paraId="692BD964" w14:textId="510A2267" w:rsidR="00CF57A4" w:rsidRDefault="009C426A">
      <w:pPr>
        <w:pStyle w:val="10"/>
        <w:spacing w:line="360" w:lineRule="auto"/>
        <w:rPr>
          <w:rFonts w:ascii="Calibri" w:eastAsia="宋体" w:hAnsi="Calibri"/>
          <w:noProof/>
          <w:sz w:val="21"/>
          <w:szCs w:val="22"/>
        </w:rPr>
      </w:pPr>
      <w:r>
        <w:rPr>
          <w:noProof/>
        </w:rPr>
        <w:fldChar w:fldCharType="begin"/>
      </w:r>
      <w:r>
        <w:rPr>
          <w:noProof/>
        </w:rPr>
        <w:instrText xml:space="preserve"> HYPERLINK \l "_Toc322519877" </w:instrText>
      </w:r>
      <w:ins w:id="10" w:author="汤程翔" w:date="2018-04-20T15:40:00Z">
        <w:r w:rsidR="00541168">
          <w:rPr>
            <w:noProof/>
          </w:rPr>
        </w:r>
      </w:ins>
      <w:r>
        <w:rPr>
          <w:noProof/>
        </w:rPr>
        <w:fldChar w:fldCharType="separate"/>
      </w:r>
      <w:r w:rsidR="00B13D46">
        <w:rPr>
          <w:rStyle w:val="af4"/>
          <w:rFonts w:hint="eastAsia"/>
          <w:noProof/>
          <w:kern w:val="0"/>
        </w:rPr>
        <w:t>十、基金的投资</w:t>
      </w:r>
      <w:r w:rsidR="00B13D46">
        <w:rPr>
          <w:noProof/>
        </w:rPr>
        <w:tab/>
      </w:r>
      <w:r w:rsidR="00B13D46">
        <w:rPr>
          <w:noProof/>
        </w:rPr>
        <w:fldChar w:fldCharType="begin"/>
      </w:r>
      <w:r w:rsidR="00B13D46">
        <w:rPr>
          <w:noProof/>
        </w:rPr>
        <w:instrText xml:space="preserve"> PAGEREF _Toc322519877 \h </w:instrText>
      </w:r>
      <w:r w:rsidR="00B13D46">
        <w:rPr>
          <w:noProof/>
        </w:rPr>
      </w:r>
      <w:r w:rsidR="00B13D46">
        <w:rPr>
          <w:noProof/>
        </w:rPr>
        <w:fldChar w:fldCharType="separate"/>
      </w:r>
      <w:r w:rsidR="00541168">
        <w:rPr>
          <w:noProof/>
        </w:rPr>
        <w:t>48</w:t>
      </w:r>
      <w:r w:rsidR="00B13D46">
        <w:rPr>
          <w:noProof/>
        </w:rPr>
        <w:fldChar w:fldCharType="end"/>
      </w:r>
      <w:r>
        <w:rPr>
          <w:noProof/>
        </w:rPr>
        <w:fldChar w:fldCharType="end"/>
      </w:r>
    </w:p>
    <w:p w14:paraId="523FB37C" w14:textId="0CD6ADFA" w:rsidR="00CF57A4" w:rsidRDefault="009C426A">
      <w:pPr>
        <w:pStyle w:val="10"/>
        <w:spacing w:line="360" w:lineRule="auto"/>
        <w:rPr>
          <w:rFonts w:ascii="Calibri" w:eastAsia="宋体" w:hAnsi="Calibri"/>
          <w:noProof/>
          <w:sz w:val="21"/>
          <w:szCs w:val="22"/>
        </w:rPr>
      </w:pPr>
      <w:r>
        <w:rPr>
          <w:noProof/>
        </w:rPr>
        <w:fldChar w:fldCharType="begin"/>
      </w:r>
      <w:r>
        <w:rPr>
          <w:noProof/>
        </w:rPr>
        <w:instrText xml:space="preserve"> HYPERLINK \l "_Toc322519878" </w:instrText>
      </w:r>
      <w:ins w:id="11" w:author="汤程翔" w:date="2018-04-20T15:40:00Z">
        <w:r w:rsidR="00541168">
          <w:rPr>
            <w:noProof/>
          </w:rPr>
        </w:r>
      </w:ins>
      <w:r>
        <w:rPr>
          <w:noProof/>
        </w:rPr>
        <w:fldChar w:fldCharType="separate"/>
      </w:r>
      <w:r w:rsidR="00B13D46">
        <w:rPr>
          <w:rStyle w:val="af4"/>
          <w:rFonts w:hint="eastAsia"/>
          <w:noProof/>
          <w:kern w:val="0"/>
        </w:rPr>
        <w:t>十一、基金的业绩</w:t>
      </w:r>
      <w:r w:rsidR="00B13D46">
        <w:rPr>
          <w:noProof/>
        </w:rPr>
        <w:tab/>
      </w:r>
      <w:r w:rsidR="00B13D46">
        <w:rPr>
          <w:noProof/>
        </w:rPr>
        <w:fldChar w:fldCharType="begin"/>
      </w:r>
      <w:r w:rsidR="00B13D46">
        <w:rPr>
          <w:noProof/>
        </w:rPr>
        <w:instrText xml:space="preserve"> PAGEREF _Toc322519878 \h </w:instrText>
      </w:r>
      <w:r w:rsidR="00B13D46">
        <w:rPr>
          <w:noProof/>
        </w:rPr>
      </w:r>
      <w:r w:rsidR="00B13D46">
        <w:rPr>
          <w:noProof/>
        </w:rPr>
        <w:fldChar w:fldCharType="separate"/>
      </w:r>
      <w:r w:rsidR="00541168">
        <w:rPr>
          <w:noProof/>
        </w:rPr>
        <w:t>59</w:t>
      </w:r>
      <w:r w:rsidR="00B13D46">
        <w:rPr>
          <w:noProof/>
        </w:rPr>
        <w:fldChar w:fldCharType="end"/>
      </w:r>
      <w:r>
        <w:rPr>
          <w:noProof/>
        </w:rPr>
        <w:fldChar w:fldCharType="end"/>
      </w:r>
    </w:p>
    <w:p w14:paraId="70D573EF" w14:textId="22DCFA28" w:rsidR="00CF57A4" w:rsidRDefault="009C426A">
      <w:pPr>
        <w:pStyle w:val="10"/>
        <w:spacing w:line="360" w:lineRule="auto"/>
        <w:rPr>
          <w:rFonts w:ascii="Calibri" w:eastAsia="宋体" w:hAnsi="Calibri"/>
          <w:noProof/>
          <w:sz w:val="21"/>
          <w:szCs w:val="22"/>
        </w:rPr>
      </w:pPr>
      <w:r>
        <w:rPr>
          <w:noProof/>
        </w:rPr>
        <w:fldChar w:fldCharType="begin"/>
      </w:r>
      <w:r>
        <w:rPr>
          <w:noProof/>
        </w:rPr>
        <w:instrText xml:space="preserve"> HYPERLINK \l "_Toc322519879" </w:instrText>
      </w:r>
      <w:ins w:id="12" w:author="汤程翔" w:date="2018-04-20T15:40:00Z">
        <w:r w:rsidR="00541168">
          <w:rPr>
            <w:noProof/>
          </w:rPr>
        </w:r>
      </w:ins>
      <w:r>
        <w:rPr>
          <w:noProof/>
        </w:rPr>
        <w:fldChar w:fldCharType="separate"/>
      </w:r>
      <w:r w:rsidR="00B13D46">
        <w:rPr>
          <w:rStyle w:val="af4"/>
          <w:rFonts w:hint="eastAsia"/>
          <w:noProof/>
          <w:kern w:val="0"/>
        </w:rPr>
        <w:t>十二、基金的财产</w:t>
      </w:r>
      <w:r w:rsidR="00B13D46">
        <w:rPr>
          <w:noProof/>
        </w:rPr>
        <w:tab/>
      </w:r>
      <w:r w:rsidR="00B13D46">
        <w:rPr>
          <w:noProof/>
        </w:rPr>
        <w:fldChar w:fldCharType="begin"/>
      </w:r>
      <w:r w:rsidR="00B13D46">
        <w:rPr>
          <w:noProof/>
        </w:rPr>
        <w:instrText xml:space="preserve"> PAGEREF _Toc322519879 \h </w:instrText>
      </w:r>
      <w:r w:rsidR="00B13D46">
        <w:rPr>
          <w:noProof/>
        </w:rPr>
      </w:r>
      <w:r w:rsidR="00B13D46">
        <w:rPr>
          <w:noProof/>
        </w:rPr>
        <w:fldChar w:fldCharType="separate"/>
      </w:r>
      <w:r w:rsidR="00541168">
        <w:rPr>
          <w:noProof/>
        </w:rPr>
        <w:t>61</w:t>
      </w:r>
      <w:r w:rsidR="00B13D46">
        <w:rPr>
          <w:noProof/>
        </w:rPr>
        <w:fldChar w:fldCharType="end"/>
      </w:r>
      <w:r>
        <w:rPr>
          <w:noProof/>
        </w:rPr>
        <w:fldChar w:fldCharType="end"/>
      </w:r>
    </w:p>
    <w:p w14:paraId="47CD9A80" w14:textId="12759C10" w:rsidR="00CF57A4" w:rsidRDefault="009C426A">
      <w:pPr>
        <w:pStyle w:val="10"/>
        <w:spacing w:line="360" w:lineRule="auto"/>
        <w:rPr>
          <w:rFonts w:ascii="Calibri" w:eastAsia="宋体" w:hAnsi="Calibri"/>
          <w:noProof/>
          <w:sz w:val="21"/>
          <w:szCs w:val="22"/>
        </w:rPr>
      </w:pPr>
      <w:r>
        <w:rPr>
          <w:noProof/>
        </w:rPr>
        <w:fldChar w:fldCharType="begin"/>
      </w:r>
      <w:r>
        <w:rPr>
          <w:noProof/>
        </w:rPr>
        <w:instrText xml:space="preserve"> HYPERLINK \l "_Toc322519880" </w:instrText>
      </w:r>
      <w:ins w:id="13" w:author="汤程翔" w:date="2018-04-20T15:40:00Z">
        <w:r w:rsidR="00541168">
          <w:rPr>
            <w:noProof/>
          </w:rPr>
        </w:r>
      </w:ins>
      <w:r>
        <w:rPr>
          <w:noProof/>
        </w:rPr>
        <w:fldChar w:fldCharType="separate"/>
      </w:r>
      <w:r w:rsidR="00B13D46">
        <w:rPr>
          <w:rStyle w:val="af4"/>
          <w:rFonts w:hint="eastAsia"/>
          <w:noProof/>
          <w:kern w:val="0"/>
        </w:rPr>
        <w:t>十三、基金资产的估值</w:t>
      </w:r>
      <w:r w:rsidR="00B13D46">
        <w:rPr>
          <w:noProof/>
        </w:rPr>
        <w:tab/>
      </w:r>
      <w:r w:rsidR="00B13D46">
        <w:rPr>
          <w:noProof/>
        </w:rPr>
        <w:fldChar w:fldCharType="begin"/>
      </w:r>
      <w:r w:rsidR="00B13D46">
        <w:rPr>
          <w:noProof/>
        </w:rPr>
        <w:instrText xml:space="preserve"> PAGEREF _Toc322519880 \h </w:instrText>
      </w:r>
      <w:r w:rsidR="00B13D46">
        <w:rPr>
          <w:noProof/>
        </w:rPr>
      </w:r>
      <w:r w:rsidR="00B13D46">
        <w:rPr>
          <w:noProof/>
        </w:rPr>
        <w:fldChar w:fldCharType="separate"/>
      </w:r>
      <w:r w:rsidR="00541168">
        <w:rPr>
          <w:noProof/>
        </w:rPr>
        <w:t>62</w:t>
      </w:r>
      <w:r w:rsidR="00B13D46">
        <w:rPr>
          <w:noProof/>
        </w:rPr>
        <w:fldChar w:fldCharType="end"/>
      </w:r>
      <w:r>
        <w:rPr>
          <w:noProof/>
        </w:rPr>
        <w:fldChar w:fldCharType="end"/>
      </w:r>
    </w:p>
    <w:p w14:paraId="35ACF1F3" w14:textId="44F0C8E3" w:rsidR="00CF57A4" w:rsidRDefault="009C426A">
      <w:pPr>
        <w:pStyle w:val="10"/>
        <w:spacing w:line="360" w:lineRule="auto"/>
        <w:rPr>
          <w:rFonts w:ascii="Calibri" w:eastAsia="宋体" w:hAnsi="Calibri"/>
          <w:noProof/>
          <w:sz w:val="21"/>
          <w:szCs w:val="22"/>
        </w:rPr>
      </w:pPr>
      <w:r>
        <w:rPr>
          <w:noProof/>
        </w:rPr>
        <w:fldChar w:fldCharType="begin"/>
      </w:r>
      <w:r>
        <w:rPr>
          <w:noProof/>
        </w:rPr>
        <w:instrText xml:space="preserve"> HYPERLINK \l "_Toc322519881" </w:instrText>
      </w:r>
      <w:ins w:id="14" w:author="汤程翔" w:date="2018-04-20T15:40:00Z">
        <w:r w:rsidR="00541168">
          <w:rPr>
            <w:noProof/>
          </w:rPr>
        </w:r>
      </w:ins>
      <w:r>
        <w:rPr>
          <w:noProof/>
        </w:rPr>
        <w:fldChar w:fldCharType="separate"/>
      </w:r>
      <w:r w:rsidR="00B13D46">
        <w:rPr>
          <w:rStyle w:val="af4"/>
          <w:rFonts w:hint="eastAsia"/>
          <w:noProof/>
          <w:kern w:val="0"/>
        </w:rPr>
        <w:t>十四、基金的收益与分配</w:t>
      </w:r>
      <w:r w:rsidR="00B13D46">
        <w:rPr>
          <w:noProof/>
        </w:rPr>
        <w:tab/>
      </w:r>
      <w:r w:rsidR="00B13D46">
        <w:rPr>
          <w:noProof/>
        </w:rPr>
        <w:fldChar w:fldCharType="begin"/>
      </w:r>
      <w:r w:rsidR="00B13D46">
        <w:rPr>
          <w:noProof/>
        </w:rPr>
        <w:instrText xml:space="preserve"> PAGEREF _Toc322519881 \h </w:instrText>
      </w:r>
      <w:r w:rsidR="00B13D46">
        <w:rPr>
          <w:noProof/>
        </w:rPr>
      </w:r>
      <w:r w:rsidR="00B13D46">
        <w:rPr>
          <w:noProof/>
        </w:rPr>
        <w:fldChar w:fldCharType="separate"/>
      </w:r>
      <w:r w:rsidR="00541168">
        <w:rPr>
          <w:noProof/>
        </w:rPr>
        <w:t>69</w:t>
      </w:r>
      <w:r w:rsidR="00B13D46">
        <w:rPr>
          <w:noProof/>
        </w:rPr>
        <w:fldChar w:fldCharType="end"/>
      </w:r>
      <w:r>
        <w:rPr>
          <w:noProof/>
        </w:rPr>
        <w:fldChar w:fldCharType="end"/>
      </w:r>
    </w:p>
    <w:p w14:paraId="46CABBC3" w14:textId="64577358" w:rsidR="00CF57A4" w:rsidRDefault="009C426A">
      <w:pPr>
        <w:pStyle w:val="10"/>
        <w:spacing w:line="360" w:lineRule="auto"/>
        <w:rPr>
          <w:rFonts w:ascii="Calibri" w:eastAsia="宋体" w:hAnsi="Calibri"/>
          <w:noProof/>
          <w:sz w:val="21"/>
          <w:szCs w:val="22"/>
        </w:rPr>
      </w:pPr>
      <w:r>
        <w:rPr>
          <w:noProof/>
        </w:rPr>
        <w:fldChar w:fldCharType="begin"/>
      </w:r>
      <w:r>
        <w:rPr>
          <w:noProof/>
        </w:rPr>
        <w:instrText xml:space="preserve"> HYPERLINK \l "_Toc322519882" </w:instrText>
      </w:r>
      <w:ins w:id="15" w:author="汤程翔" w:date="2018-04-20T15:40:00Z">
        <w:r w:rsidR="00541168">
          <w:rPr>
            <w:noProof/>
          </w:rPr>
        </w:r>
      </w:ins>
      <w:r>
        <w:rPr>
          <w:noProof/>
        </w:rPr>
        <w:fldChar w:fldCharType="separate"/>
      </w:r>
      <w:r w:rsidR="00B13D46">
        <w:rPr>
          <w:rStyle w:val="af4"/>
          <w:rFonts w:hint="eastAsia"/>
          <w:noProof/>
          <w:kern w:val="0"/>
        </w:rPr>
        <w:t>十五、基金的费用与税收</w:t>
      </w:r>
      <w:r w:rsidR="00B13D46">
        <w:rPr>
          <w:noProof/>
        </w:rPr>
        <w:tab/>
      </w:r>
      <w:r w:rsidR="00B13D46">
        <w:rPr>
          <w:noProof/>
        </w:rPr>
        <w:fldChar w:fldCharType="begin"/>
      </w:r>
      <w:r w:rsidR="00B13D46">
        <w:rPr>
          <w:noProof/>
        </w:rPr>
        <w:instrText xml:space="preserve"> PAGEREF _Toc322519882 \h </w:instrText>
      </w:r>
      <w:r w:rsidR="00B13D46">
        <w:rPr>
          <w:noProof/>
        </w:rPr>
      </w:r>
      <w:r w:rsidR="00B13D46">
        <w:rPr>
          <w:noProof/>
        </w:rPr>
        <w:fldChar w:fldCharType="separate"/>
      </w:r>
      <w:r w:rsidR="00541168">
        <w:rPr>
          <w:noProof/>
        </w:rPr>
        <w:t>71</w:t>
      </w:r>
      <w:r w:rsidR="00B13D46">
        <w:rPr>
          <w:noProof/>
        </w:rPr>
        <w:fldChar w:fldCharType="end"/>
      </w:r>
      <w:r>
        <w:rPr>
          <w:noProof/>
        </w:rPr>
        <w:fldChar w:fldCharType="end"/>
      </w:r>
    </w:p>
    <w:p w14:paraId="6A92026D" w14:textId="09F0F0BB" w:rsidR="00CF57A4" w:rsidRDefault="009C426A">
      <w:pPr>
        <w:pStyle w:val="10"/>
        <w:spacing w:line="360" w:lineRule="auto"/>
        <w:rPr>
          <w:rFonts w:ascii="Calibri" w:eastAsia="宋体" w:hAnsi="Calibri"/>
          <w:noProof/>
          <w:sz w:val="21"/>
          <w:szCs w:val="22"/>
        </w:rPr>
      </w:pPr>
      <w:r>
        <w:rPr>
          <w:noProof/>
        </w:rPr>
        <w:fldChar w:fldCharType="begin"/>
      </w:r>
      <w:r>
        <w:rPr>
          <w:noProof/>
        </w:rPr>
        <w:instrText xml:space="preserve"> HYPERLINK \l "_Toc322519883" </w:instrText>
      </w:r>
      <w:ins w:id="16" w:author="汤程翔" w:date="2018-04-20T15:40:00Z">
        <w:r w:rsidR="00541168">
          <w:rPr>
            <w:noProof/>
          </w:rPr>
        </w:r>
      </w:ins>
      <w:r>
        <w:rPr>
          <w:noProof/>
        </w:rPr>
        <w:fldChar w:fldCharType="separate"/>
      </w:r>
      <w:r w:rsidR="00B13D46">
        <w:rPr>
          <w:rStyle w:val="af4"/>
          <w:rFonts w:hint="eastAsia"/>
          <w:noProof/>
          <w:kern w:val="0"/>
        </w:rPr>
        <w:t>十六、基金的会计与审计</w:t>
      </w:r>
      <w:r w:rsidR="00B13D46">
        <w:rPr>
          <w:noProof/>
        </w:rPr>
        <w:tab/>
      </w:r>
      <w:r w:rsidR="00B13D46">
        <w:rPr>
          <w:noProof/>
        </w:rPr>
        <w:fldChar w:fldCharType="begin"/>
      </w:r>
      <w:r w:rsidR="00B13D46">
        <w:rPr>
          <w:noProof/>
        </w:rPr>
        <w:instrText xml:space="preserve"> PAGEREF _Toc322519883 \h </w:instrText>
      </w:r>
      <w:r w:rsidR="00B13D46">
        <w:rPr>
          <w:noProof/>
        </w:rPr>
      </w:r>
      <w:r w:rsidR="00B13D46">
        <w:rPr>
          <w:noProof/>
        </w:rPr>
        <w:fldChar w:fldCharType="separate"/>
      </w:r>
      <w:r w:rsidR="00541168">
        <w:rPr>
          <w:noProof/>
        </w:rPr>
        <w:t>74</w:t>
      </w:r>
      <w:r w:rsidR="00B13D46">
        <w:rPr>
          <w:noProof/>
        </w:rPr>
        <w:fldChar w:fldCharType="end"/>
      </w:r>
      <w:r>
        <w:rPr>
          <w:noProof/>
        </w:rPr>
        <w:fldChar w:fldCharType="end"/>
      </w:r>
    </w:p>
    <w:p w14:paraId="7E740096" w14:textId="7B4FEFC6" w:rsidR="00CF57A4" w:rsidRDefault="009C426A">
      <w:pPr>
        <w:pStyle w:val="10"/>
        <w:spacing w:line="360" w:lineRule="auto"/>
        <w:rPr>
          <w:rFonts w:ascii="Calibri" w:eastAsia="宋体" w:hAnsi="Calibri"/>
          <w:noProof/>
          <w:sz w:val="21"/>
          <w:szCs w:val="22"/>
        </w:rPr>
      </w:pPr>
      <w:r>
        <w:rPr>
          <w:noProof/>
        </w:rPr>
        <w:fldChar w:fldCharType="begin"/>
      </w:r>
      <w:r>
        <w:rPr>
          <w:noProof/>
        </w:rPr>
        <w:instrText xml:space="preserve"> HYPERLINK \l "_Toc</w:instrText>
      </w:r>
      <w:r>
        <w:rPr>
          <w:noProof/>
        </w:rPr>
        <w:instrText xml:space="preserve">322519884" </w:instrText>
      </w:r>
      <w:ins w:id="17" w:author="汤程翔" w:date="2018-04-20T15:40:00Z">
        <w:r w:rsidR="00541168">
          <w:rPr>
            <w:noProof/>
          </w:rPr>
        </w:r>
      </w:ins>
      <w:r>
        <w:rPr>
          <w:noProof/>
        </w:rPr>
        <w:fldChar w:fldCharType="separate"/>
      </w:r>
      <w:r w:rsidR="00B13D46">
        <w:rPr>
          <w:rStyle w:val="af4"/>
          <w:rFonts w:hint="eastAsia"/>
          <w:noProof/>
          <w:kern w:val="0"/>
        </w:rPr>
        <w:t>十七、基金的信息披露</w:t>
      </w:r>
      <w:r w:rsidR="00B13D46">
        <w:rPr>
          <w:noProof/>
        </w:rPr>
        <w:tab/>
      </w:r>
      <w:r w:rsidR="00B13D46">
        <w:rPr>
          <w:noProof/>
        </w:rPr>
        <w:fldChar w:fldCharType="begin"/>
      </w:r>
      <w:r w:rsidR="00B13D46">
        <w:rPr>
          <w:noProof/>
        </w:rPr>
        <w:instrText xml:space="preserve"> PAGEREF _Toc322519884 \h </w:instrText>
      </w:r>
      <w:r w:rsidR="00B13D46">
        <w:rPr>
          <w:noProof/>
        </w:rPr>
      </w:r>
      <w:r w:rsidR="00B13D46">
        <w:rPr>
          <w:noProof/>
        </w:rPr>
        <w:fldChar w:fldCharType="separate"/>
      </w:r>
      <w:r w:rsidR="00541168">
        <w:rPr>
          <w:noProof/>
        </w:rPr>
        <w:t>75</w:t>
      </w:r>
      <w:r w:rsidR="00B13D46">
        <w:rPr>
          <w:noProof/>
        </w:rPr>
        <w:fldChar w:fldCharType="end"/>
      </w:r>
      <w:r>
        <w:rPr>
          <w:noProof/>
        </w:rPr>
        <w:fldChar w:fldCharType="end"/>
      </w:r>
    </w:p>
    <w:p w14:paraId="43477766" w14:textId="44AE87D3" w:rsidR="00CF57A4" w:rsidRDefault="009C426A">
      <w:pPr>
        <w:pStyle w:val="10"/>
        <w:spacing w:line="360" w:lineRule="auto"/>
        <w:rPr>
          <w:rFonts w:ascii="Calibri" w:eastAsia="宋体" w:hAnsi="Calibri"/>
          <w:noProof/>
          <w:sz w:val="21"/>
          <w:szCs w:val="22"/>
        </w:rPr>
      </w:pPr>
      <w:r>
        <w:rPr>
          <w:noProof/>
        </w:rPr>
        <w:fldChar w:fldCharType="begin"/>
      </w:r>
      <w:r>
        <w:rPr>
          <w:noProof/>
        </w:rPr>
        <w:instrText xml:space="preserve"> HYPERLINK \l "_Toc322519885" </w:instrText>
      </w:r>
      <w:ins w:id="18" w:author="汤程翔" w:date="2018-04-20T15:40:00Z">
        <w:r w:rsidR="00541168">
          <w:rPr>
            <w:noProof/>
          </w:rPr>
        </w:r>
      </w:ins>
      <w:r>
        <w:rPr>
          <w:noProof/>
        </w:rPr>
        <w:fldChar w:fldCharType="separate"/>
      </w:r>
      <w:r w:rsidR="00B13D46">
        <w:rPr>
          <w:rStyle w:val="af4"/>
          <w:rFonts w:hint="eastAsia"/>
          <w:noProof/>
          <w:kern w:val="0"/>
        </w:rPr>
        <w:t>十八、风险揭示</w:t>
      </w:r>
      <w:r w:rsidR="00B13D46">
        <w:rPr>
          <w:noProof/>
        </w:rPr>
        <w:tab/>
      </w:r>
      <w:r w:rsidR="00B13D46">
        <w:rPr>
          <w:noProof/>
        </w:rPr>
        <w:fldChar w:fldCharType="begin"/>
      </w:r>
      <w:r w:rsidR="00B13D46">
        <w:rPr>
          <w:noProof/>
        </w:rPr>
        <w:instrText xml:space="preserve"> PAGEREF _Toc322519885 \h </w:instrText>
      </w:r>
      <w:r w:rsidR="00B13D46">
        <w:rPr>
          <w:noProof/>
        </w:rPr>
      </w:r>
      <w:r w:rsidR="00B13D46">
        <w:rPr>
          <w:noProof/>
        </w:rPr>
        <w:fldChar w:fldCharType="separate"/>
      </w:r>
      <w:r w:rsidR="00541168">
        <w:rPr>
          <w:noProof/>
        </w:rPr>
        <w:t>80</w:t>
      </w:r>
      <w:r w:rsidR="00B13D46">
        <w:rPr>
          <w:noProof/>
        </w:rPr>
        <w:fldChar w:fldCharType="end"/>
      </w:r>
      <w:r>
        <w:rPr>
          <w:noProof/>
        </w:rPr>
        <w:fldChar w:fldCharType="end"/>
      </w:r>
    </w:p>
    <w:p w14:paraId="27BC561A" w14:textId="769D7E18" w:rsidR="00CF57A4" w:rsidRDefault="009C426A">
      <w:pPr>
        <w:pStyle w:val="10"/>
        <w:spacing w:line="360" w:lineRule="auto"/>
        <w:rPr>
          <w:rFonts w:ascii="Calibri" w:eastAsia="宋体" w:hAnsi="Calibri"/>
          <w:noProof/>
          <w:sz w:val="21"/>
          <w:szCs w:val="22"/>
        </w:rPr>
      </w:pPr>
      <w:r>
        <w:rPr>
          <w:noProof/>
        </w:rPr>
        <w:fldChar w:fldCharType="begin"/>
      </w:r>
      <w:r>
        <w:rPr>
          <w:noProof/>
        </w:rPr>
        <w:instrText xml:space="preserve"> HYPERLINK \l "_Toc322519886" </w:instrText>
      </w:r>
      <w:ins w:id="19" w:author="汤程翔" w:date="2018-04-20T15:40:00Z">
        <w:r w:rsidR="00541168">
          <w:rPr>
            <w:noProof/>
          </w:rPr>
        </w:r>
      </w:ins>
      <w:r>
        <w:rPr>
          <w:noProof/>
        </w:rPr>
        <w:fldChar w:fldCharType="separate"/>
      </w:r>
      <w:r w:rsidR="00B13D46">
        <w:rPr>
          <w:rStyle w:val="af4"/>
          <w:rFonts w:hint="eastAsia"/>
          <w:noProof/>
          <w:kern w:val="0"/>
        </w:rPr>
        <w:t>十九、基金合同的终止与基金财产的清算</w:t>
      </w:r>
      <w:r w:rsidR="00B13D46">
        <w:rPr>
          <w:noProof/>
        </w:rPr>
        <w:tab/>
      </w:r>
      <w:r w:rsidR="00B13D46">
        <w:rPr>
          <w:noProof/>
        </w:rPr>
        <w:fldChar w:fldCharType="begin"/>
      </w:r>
      <w:r w:rsidR="00B13D46">
        <w:rPr>
          <w:noProof/>
        </w:rPr>
        <w:instrText xml:space="preserve"> PAGEREF _Toc322519886 \h </w:instrText>
      </w:r>
      <w:r w:rsidR="00B13D46">
        <w:rPr>
          <w:noProof/>
        </w:rPr>
      </w:r>
      <w:r w:rsidR="00B13D46">
        <w:rPr>
          <w:noProof/>
        </w:rPr>
        <w:fldChar w:fldCharType="separate"/>
      </w:r>
      <w:r w:rsidR="00541168">
        <w:rPr>
          <w:noProof/>
        </w:rPr>
        <w:t>86</w:t>
      </w:r>
      <w:r w:rsidR="00B13D46">
        <w:rPr>
          <w:noProof/>
        </w:rPr>
        <w:fldChar w:fldCharType="end"/>
      </w:r>
      <w:r>
        <w:rPr>
          <w:noProof/>
        </w:rPr>
        <w:fldChar w:fldCharType="end"/>
      </w:r>
    </w:p>
    <w:p w14:paraId="7F3FF94F" w14:textId="12FB53C3" w:rsidR="00CF57A4" w:rsidRDefault="009C426A">
      <w:pPr>
        <w:pStyle w:val="10"/>
        <w:spacing w:line="360" w:lineRule="auto"/>
        <w:rPr>
          <w:rFonts w:ascii="Calibri" w:eastAsia="宋体" w:hAnsi="Calibri"/>
          <w:noProof/>
          <w:sz w:val="21"/>
          <w:szCs w:val="22"/>
        </w:rPr>
      </w:pPr>
      <w:r>
        <w:rPr>
          <w:noProof/>
        </w:rPr>
        <w:fldChar w:fldCharType="begin"/>
      </w:r>
      <w:r>
        <w:rPr>
          <w:noProof/>
        </w:rPr>
        <w:instrText xml:space="preserve"> HYPERLINK \l "_Toc322519887" </w:instrText>
      </w:r>
      <w:ins w:id="20" w:author="汤程翔" w:date="2018-04-20T15:40:00Z">
        <w:r w:rsidR="00541168">
          <w:rPr>
            <w:noProof/>
          </w:rPr>
        </w:r>
      </w:ins>
      <w:r>
        <w:rPr>
          <w:noProof/>
        </w:rPr>
        <w:fldChar w:fldCharType="separate"/>
      </w:r>
      <w:r w:rsidR="00B13D46">
        <w:rPr>
          <w:rStyle w:val="af4"/>
          <w:rFonts w:hint="eastAsia"/>
          <w:noProof/>
          <w:kern w:val="0"/>
        </w:rPr>
        <w:t>二十、基金合同内容摘要</w:t>
      </w:r>
      <w:r w:rsidR="00B13D46">
        <w:rPr>
          <w:noProof/>
        </w:rPr>
        <w:tab/>
      </w:r>
      <w:r w:rsidR="00B13D46">
        <w:rPr>
          <w:noProof/>
        </w:rPr>
        <w:fldChar w:fldCharType="begin"/>
      </w:r>
      <w:r w:rsidR="00B13D46">
        <w:rPr>
          <w:noProof/>
        </w:rPr>
        <w:instrText xml:space="preserve"> PAGEREF _Toc322519887 \h </w:instrText>
      </w:r>
      <w:r w:rsidR="00B13D46">
        <w:rPr>
          <w:noProof/>
        </w:rPr>
      </w:r>
      <w:r w:rsidR="00B13D46">
        <w:rPr>
          <w:noProof/>
        </w:rPr>
        <w:fldChar w:fldCharType="separate"/>
      </w:r>
      <w:r w:rsidR="00541168">
        <w:rPr>
          <w:noProof/>
        </w:rPr>
        <w:t>88</w:t>
      </w:r>
      <w:r w:rsidR="00B13D46">
        <w:rPr>
          <w:noProof/>
        </w:rPr>
        <w:fldChar w:fldCharType="end"/>
      </w:r>
      <w:r>
        <w:rPr>
          <w:noProof/>
        </w:rPr>
        <w:fldChar w:fldCharType="end"/>
      </w:r>
    </w:p>
    <w:p w14:paraId="544C520B" w14:textId="4EC908D3" w:rsidR="00CF57A4" w:rsidRDefault="009C426A">
      <w:pPr>
        <w:pStyle w:val="10"/>
        <w:spacing w:line="360" w:lineRule="auto"/>
        <w:rPr>
          <w:rFonts w:ascii="Calibri" w:eastAsia="宋体" w:hAnsi="Calibri"/>
          <w:noProof/>
          <w:sz w:val="21"/>
          <w:szCs w:val="22"/>
        </w:rPr>
      </w:pPr>
      <w:r>
        <w:rPr>
          <w:noProof/>
        </w:rPr>
        <w:fldChar w:fldCharType="begin"/>
      </w:r>
      <w:r>
        <w:rPr>
          <w:noProof/>
        </w:rPr>
        <w:instrText xml:space="preserve"> HYPERLINK \l "_Toc322519888" </w:instrText>
      </w:r>
      <w:ins w:id="21" w:author="汤程翔" w:date="2018-04-20T15:40:00Z">
        <w:r w:rsidR="00541168">
          <w:rPr>
            <w:noProof/>
          </w:rPr>
        </w:r>
      </w:ins>
      <w:r>
        <w:rPr>
          <w:noProof/>
        </w:rPr>
        <w:fldChar w:fldCharType="separate"/>
      </w:r>
      <w:r w:rsidR="00B13D46">
        <w:rPr>
          <w:rStyle w:val="af4"/>
          <w:rFonts w:hint="eastAsia"/>
          <w:noProof/>
          <w:kern w:val="0"/>
        </w:rPr>
        <w:t>二十一、托管协议的内容摘要</w:t>
      </w:r>
      <w:r w:rsidR="00B13D46">
        <w:rPr>
          <w:noProof/>
        </w:rPr>
        <w:tab/>
      </w:r>
      <w:r w:rsidR="00B13D46">
        <w:rPr>
          <w:noProof/>
        </w:rPr>
        <w:fldChar w:fldCharType="begin"/>
      </w:r>
      <w:r w:rsidR="00B13D46">
        <w:rPr>
          <w:noProof/>
        </w:rPr>
        <w:instrText xml:space="preserve"> PAGEREF _Toc322519888 \h </w:instrText>
      </w:r>
      <w:r w:rsidR="00B13D46">
        <w:rPr>
          <w:noProof/>
        </w:rPr>
      </w:r>
      <w:r w:rsidR="00B13D46">
        <w:rPr>
          <w:noProof/>
        </w:rPr>
        <w:fldChar w:fldCharType="separate"/>
      </w:r>
      <w:r w:rsidR="00541168">
        <w:rPr>
          <w:noProof/>
        </w:rPr>
        <w:t>104</w:t>
      </w:r>
      <w:r w:rsidR="00B13D46">
        <w:rPr>
          <w:noProof/>
        </w:rPr>
        <w:fldChar w:fldCharType="end"/>
      </w:r>
      <w:r>
        <w:rPr>
          <w:noProof/>
        </w:rPr>
        <w:fldChar w:fldCharType="end"/>
      </w:r>
    </w:p>
    <w:p w14:paraId="0EF46410" w14:textId="11646E35" w:rsidR="00CF57A4" w:rsidRDefault="009C426A">
      <w:pPr>
        <w:pStyle w:val="10"/>
        <w:spacing w:line="360" w:lineRule="auto"/>
        <w:rPr>
          <w:rFonts w:ascii="Calibri" w:eastAsia="宋体" w:hAnsi="Calibri"/>
          <w:noProof/>
          <w:sz w:val="21"/>
          <w:szCs w:val="22"/>
        </w:rPr>
      </w:pPr>
      <w:r>
        <w:rPr>
          <w:noProof/>
        </w:rPr>
        <w:fldChar w:fldCharType="begin"/>
      </w:r>
      <w:r>
        <w:rPr>
          <w:noProof/>
        </w:rPr>
        <w:instrText xml:space="preserve"> HYPERLINK </w:instrText>
      </w:r>
      <w:r>
        <w:rPr>
          <w:noProof/>
        </w:rPr>
        <w:instrText xml:space="preserve">\l "_Toc322519889" </w:instrText>
      </w:r>
      <w:ins w:id="22" w:author="汤程翔" w:date="2018-04-20T15:40:00Z">
        <w:r w:rsidR="00541168">
          <w:rPr>
            <w:noProof/>
          </w:rPr>
        </w:r>
      </w:ins>
      <w:r>
        <w:rPr>
          <w:noProof/>
        </w:rPr>
        <w:fldChar w:fldCharType="separate"/>
      </w:r>
      <w:r w:rsidR="00B13D46">
        <w:rPr>
          <w:rStyle w:val="af4"/>
          <w:rFonts w:hint="eastAsia"/>
          <w:noProof/>
          <w:kern w:val="0"/>
        </w:rPr>
        <w:t>二十二、对基金份额持有人的服务</w:t>
      </w:r>
      <w:r w:rsidR="00B13D46">
        <w:rPr>
          <w:noProof/>
        </w:rPr>
        <w:tab/>
      </w:r>
      <w:r w:rsidR="00B13D46">
        <w:rPr>
          <w:noProof/>
        </w:rPr>
        <w:fldChar w:fldCharType="begin"/>
      </w:r>
      <w:r w:rsidR="00B13D46">
        <w:rPr>
          <w:noProof/>
        </w:rPr>
        <w:instrText xml:space="preserve"> PAGEREF _Toc322519889 \h </w:instrText>
      </w:r>
      <w:r w:rsidR="00B13D46">
        <w:rPr>
          <w:noProof/>
        </w:rPr>
      </w:r>
      <w:r w:rsidR="00B13D46">
        <w:rPr>
          <w:noProof/>
        </w:rPr>
        <w:fldChar w:fldCharType="separate"/>
      </w:r>
      <w:r w:rsidR="00541168">
        <w:rPr>
          <w:noProof/>
        </w:rPr>
        <w:t>121</w:t>
      </w:r>
      <w:r w:rsidR="00B13D46">
        <w:rPr>
          <w:noProof/>
        </w:rPr>
        <w:fldChar w:fldCharType="end"/>
      </w:r>
      <w:r>
        <w:rPr>
          <w:noProof/>
        </w:rPr>
        <w:fldChar w:fldCharType="end"/>
      </w:r>
    </w:p>
    <w:p w14:paraId="50AF7B26" w14:textId="54E49BC7" w:rsidR="00CF57A4" w:rsidRDefault="009C426A">
      <w:pPr>
        <w:pStyle w:val="10"/>
        <w:spacing w:line="360" w:lineRule="auto"/>
        <w:rPr>
          <w:rFonts w:ascii="Calibri" w:eastAsia="宋体" w:hAnsi="Calibri"/>
          <w:noProof/>
          <w:sz w:val="21"/>
          <w:szCs w:val="22"/>
        </w:rPr>
      </w:pPr>
      <w:r>
        <w:rPr>
          <w:noProof/>
        </w:rPr>
        <w:fldChar w:fldCharType="begin"/>
      </w:r>
      <w:r>
        <w:rPr>
          <w:noProof/>
        </w:rPr>
        <w:instrText xml:space="preserve"> HYPERLINK \l "_Toc322519890" </w:instrText>
      </w:r>
      <w:ins w:id="23" w:author="汤程翔" w:date="2018-04-20T15:40:00Z">
        <w:r w:rsidR="00541168">
          <w:rPr>
            <w:noProof/>
          </w:rPr>
        </w:r>
      </w:ins>
      <w:r>
        <w:rPr>
          <w:noProof/>
        </w:rPr>
        <w:fldChar w:fldCharType="separate"/>
      </w:r>
      <w:r w:rsidR="00B13D46">
        <w:rPr>
          <w:rStyle w:val="af4"/>
          <w:rFonts w:hint="eastAsia"/>
          <w:noProof/>
          <w:kern w:val="0"/>
        </w:rPr>
        <w:t>二十三、其他应披露事项</w:t>
      </w:r>
      <w:r w:rsidR="00B13D46">
        <w:rPr>
          <w:noProof/>
        </w:rPr>
        <w:tab/>
      </w:r>
      <w:r w:rsidR="00B13D46">
        <w:rPr>
          <w:noProof/>
        </w:rPr>
        <w:fldChar w:fldCharType="begin"/>
      </w:r>
      <w:r w:rsidR="00B13D46">
        <w:rPr>
          <w:noProof/>
        </w:rPr>
        <w:instrText xml:space="preserve"> PAGEREF _Toc322519890 \h </w:instrText>
      </w:r>
      <w:r w:rsidR="00B13D46">
        <w:rPr>
          <w:noProof/>
        </w:rPr>
      </w:r>
      <w:r w:rsidR="00B13D46">
        <w:rPr>
          <w:noProof/>
        </w:rPr>
        <w:fldChar w:fldCharType="separate"/>
      </w:r>
      <w:r w:rsidR="00541168">
        <w:rPr>
          <w:noProof/>
        </w:rPr>
        <w:t>122</w:t>
      </w:r>
      <w:r w:rsidR="00B13D46">
        <w:rPr>
          <w:noProof/>
        </w:rPr>
        <w:fldChar w:fldCharType="end"/>
      </w:r>
      <w:r>
        <w:rPr>
          <w:noProof/>
        </w:rPr>
        <w:fldChar w:fldCharType="end"/>
      </w:r>
    </w:p>
    <w:p w14:paraId="771449A0" w14:textId="613907CB" w:rsidR="00CF57A4" w:rsidRDefault="009C426A">
      <w:pPr>
        <w:pStyle w:val="10"/>
        <w:spacing w:line="360" w:lineRule="auto"/>
        <w:rPr>
          <w:rFonts w:ascii="Calibri" w:eastAsia="宋体" w:hAnsi="Calibri"/>
          <w:noProof/>
          <w:sz w:val="21"/>
          <w:szCs w:val="22"/>
        </w:rPr>
      </w:pPr>
      <w:r>
        <w:rPr>
          <w:noProof/>
        </w:rPr>
        <w:fldChar w:fldCharType="begin"/>
      </w:r>
      <w:r>
        <w:rPr>
          <w:noProof/>
        </w:rPr>
        <w:instrText xml:space="preserve"> HYPERLINK \l "_Toc322519891" </w:instrText>
      </w:r>
      <w:ins w:id="24" w:author="汤程翔" w:date="2018-04-20T15:40:00Z">
        <w:r w:rsidR="00541168">
          <w:rPr>
            <w:noProof/>
          </w:rPr>
        </w:r>
      </w:ins>
      <w:r>
        <w:rPr>
          <w:noProof/>
        </w:rPr>
        <w:fldChar w:fldCharType="separate"/>
      </w:r>
      <w:r w:rsidR="00B13D46">
        <w:rPr>
          <w:rStyle w:val="af4"/>
          <w:rFonts w:hint="eastAsia"/>
          <w:noProof/>
          <w:kern w:val="0"/>
        </w:rPr>
        <w:t>二十四、招募说明书的存放及查阅方式</w:t>
      </w:r>
      <w:r w:rsidR="00B13D46">
        <w:rPr>
          <w:noProof/>
        </w:rPr>
        <w:tab/>
      </w:r>
      <w:r w:rsidR="00B13D46">
        <w:rPr>
          <w:noProof/>
        </w:rPr>
        <w:fldChar w:fldCharType="begin"/>
      </w:r>
      <w:r w:rsidR="00B13D46">
        <w:rPr>
          <w:noProof/>
        </w:rPr>
        <w:instrText xml:space="preserve"> PAGEREF _Toc322519891 \h </w:instrText>
      </w:r>
      <w:r w:rsidR="00B13D46">
        <w:rPr>
          <w:noProof/>
        </w:rPr>
      </w:r>
      <w:r w:rsidR="00B13D46">
        <w:rPr>
          <w:noProof/>
        </w:rPr>
        <w:fldChar w:fldCharType="separate"/>
      </w:r>
      <w:r w:rsidR="00541168">
        <w:rPr>
          <w:noProof/>
        </w:rPr>
        <w:t>123</w:t>
      </w:r>
      <w:r w:rsidR="00B13D46">
        <w:rPr>
          <w:noProof/>
        </w:rPr>
        <w:fldChar w:fldCharType="end"/>
      </w:r>
      <w:r>
        <w:rPr>
          <w:noProof/>
        </w:rPr>
        <w:fldChar w:fldCharType="end"/>
      </w:r>
    </w:p>
    <w:p w14:paraId="605983BF" w14:textId="63ECE32A" w:rsidR="00CF57A4" w:rsidRDefault="009C426A">
      <w:pPr>
        <w:pStyle w:val="10"/>
        <w:spacing w:line="360" w:lineRule="auto"/>
        <w:rPr>
          <w:rFonts w:ascii="Calibri" w:eastAsia="宋体" w:hAnsi="Calibri"/>
          <w:noProof/>
          <w:sz w:val="21"/>
          <w:szCs w:val="22"/>
        </w:rPr>
      </w:pPr>
      <w:r>
        <w:rPr>
          <w:noProof/>
        </w:rPr>
        <w:fldChar w:fldCharType="begin"/>
      </w:r>
      <w:r>
        <w:rPr>
          <w:noProof/>
        </w:rPr>
        <w:instrText xml:space="preserve"> HYPERLINK \l "_Toc322519892" </w:instrText>
      </w:r>
      <w:ins w:id="25" w:author="汤程翔" w:date="2018-04-20T15:40:00Z">
        <w:r w:rsidR="00541168">
          <w:rPr>
            <w:noProof/>
          </w:rPr>
        </w:r>
      </w:ins>
      <w:r>
        <w:rPr>
          <w:noProof/>
        </w:rPr>
        <w:fldChar w:fldCharType="separate"/>
      </w:r>
      <w:r w:rsidR="00B13D46">
        <w:rPr>
          <w:rStyle w:val="af4"/>
          <w:rFonts w:hint="eastAsia"/>
          <w:noProof/>
          <w:kern w:val="0"/>
        </w:rPr>
        <w:t>二十五、备查文件</w:t>
      </w:r>
      <w:r w:rsidR="00B13D46">
        <w:rPr>
          <w:noProof/>
        </w:rPr>
        <w:tab/>
      </w:r>
      <w:r w:rsidR="00B13D46">
        <w:rPr>
          <w:noProof/>
        </w:rPr>
        <w:fldChar w:fldCharType="begin"/>
      </w:r>
      <w:r w:rsidR="00B13D46">
        <w:rPr>
          <w:noProof/>
        </w:rPr>
        <w:instrText xml:space="preserve"> PAGEREF _Toc322519892 \h </w:instrText>
      </w:r>
      <w:r w:rsidR="00B13D46">
        <w:rPr>
          <w:noProof/>
        </w:rPr>
      </w:r>
      <w:r w:rsidR="00B13D46">
        <w:rPr>
          <w:noProof/>
        </w:rPr>
        <w:fldChar w:fldCharType="separate"/>
      </w:r>
      <w:r w:rsidR="00541168">
        <w:rPr>
          <w:noProof/>
        </w:rPr>
        <w:t>124</w:t>
      </w:r>
      <w:r w:rsidR="00B13D46">
        <w:rPr>
          <w:noProof/>
        </w:rPr>
        <w:fldChar w:fldCharType="end"/>
      </w:r>
      <w:r>
        <w:rPr>
          <w:noProof/>
        </w:rPr>
        <w:fldChar w:fldCharType="end"/>
      </w:r>
    </w:p>
    <w:p w14:paraId="652023B5" w14:textId="77777777" w:rsidR="00CF57A4" w:rsidRDefault="00B13D46">
      <w:pPr>
        <w:pStyle w:val="af1"/>
        <w:rPr>
          <w:rFonts w:eastAsia="黑体"/>
          <w:color w:val="000000"/>
          <w:kern w:val="0"/>
          <w:sz w:val="30"/>
        </w:rPr>
      </w:pPr>
      <w:r>
        <w:rPr>
          <w:rFonts w:ascii="黑体" w:eastAsia="黑体" w:cs="宋体" w:hint="eastAsia"/>
          <w:color w:val="000000"/>
          <w:kern w:val="0"/>
          <w:sz w:val="24"/>
          <w:szCs w:val="24"/>
        </w:rPr>
        <w:fldChar w:fldCharType="end"/>
      </w:r>
      <w:r>
        <w:rPr>
          <w:rFonts w:ascii="宋体" w:cs="宋体"/>
          <w:color w:val="000000"/>
          <w:kern w:val="0"/>
        </w:rPr>
        <w:br w:type="page"/>
      </w:r>
      <w:bookmarkStart w:id="26" w:name="_Toc320703941"/>
      <w:bookmarkStart w:id="27" w:name="_Toc320703993"/>
      <w:bookmarkStart w:id="28" w:name="_Toc320704066"/>
      <w:bookmarkStart w:id="29" w:name="_Toc320704353"/>
      <w:bookmarkStart w:id="30" w:name="_Toc322002717"/>
      <w:bookmarkStart w:id="31" w:name="_Toc322519868"/>
      <w:r>
        <w:rPr>
          <w:rFonts w:eastAsia="黑体" w:hint="eastAsia"/>
          <w:color w:val="000000"/>
          <w:kern w:val="0"/>
          <w:sz w:val="30"/>
        </w:rPr>
        <w:lastRenderedPageBreak/>
        <w:t>一、绪言</w:t>
      </w:r>
      <w:bookmarkEnd w:id="1"/>
      <w:bookmarkEnd w:id="26"/>
      <w:bookmarkEnd w:id="27"/>
      <w:bookmarkEnd w:id="28"/>
      <w:bookmarkEnd w:id="29"/>
      <w:bookmarkEnd w:id="30"/>
      <w:bookmarkEnd w:id="31"/>
    </w:p>
    <w:p w14:paraId="1D06B11F" w14:textId="3DE51153" w:rsidR="00CF57A4" w:rsidRDefault="00B13D46">
      <w:pPr>
        <w:widowControl/>
        <w:spacing w:line="360" w:lineRule="auto"/>
        <w:ind w:firstLineChars="200" w:firstLine="480"/>
        <w:rPr>
          <w:rFonts w:ascii="宋体" w:hAnsi="宋体" w:cs="宋体"/>
          <w:color w:val="000000"/>
          <w:kern w:val="0"/>
          <w:sz w:val="24"/>
        </w:rPr>
      </w:pPr>
      <w:r>
        <w:rPr>
          <w:color w:val="000000"/>
          <w:sz w:val="24"/>
        </w:rPr>
        <w:t>《</w:t>
      </w:r>
      <w:r>
        <w:rPr>
          <w:rFonts w:ascii="宋体" w:hAnsi="宋体" w:cs="宋体" w:hint="eastAsia"/>
          <w:color w:val="000000"/>
          <w:kern w:val="0"/>
          <w:sz w:val="24"/>
        </w:rPr>
        <w:t>深证300价值交易型开放式指数</w:t>
      </w:r>
      <w:r>
        <w:rPr>
          <w:color w:val="000000"/>
          <w:sz w:val="24"/>
        </w:rPr>
        <w:t>证券投资基金招募说明书》（以下简称</w:t>
      </w:r>
      <w:r>
        <w:rPr>
          <w:rFonts w:hint="eastAsia"/>
          <w:color w:val="000000"/>
          <w:sz w:val="24"/>
        </w:rPr>
        <w:t>“</w:t>
      </w:r>
      <w:r>
        <w:rPr>
          <w:rFonts w:ascii="宋体" w:hAnsi="宋体" w:cs="宋体"/>
          <w:color w:val="000000"/>
          <w:kern w:val="0"/>
          <w:sz w:val="24"/>
        </w:rPr>
        <w:t>本招募说明书</w:t>
      </w:r>
      <w:r>
        <w:rPr>
          <w:rFonts w:ascii="宋体" w:hAnsi="宋体" w:cs="宋体" w:hint="eastAsia"/>
          <w:color w:val="000000"/>
          <w:kern w:val="0"/>
          <w:sz w:val="24"/>
        </w:rPr>
        <w:t>”或“招募说明书”）</w:t>
      </w:r>
      <w:r>
        <w:rPr>
          <w:rFonts w:ascii="宋体" w:hAnsi="宋体" w:cs="宋体"/>
          <w:color w:val="000000"/>
          <w:kern w:val="0"/>
          <w:sz w:val="24"/>
        </w:rPr>
        <w:t>依据《中华人民共和国证券投资基金法》</w:t>
      </w:r>
      <w:r>
        <w:rPr>
          <w:rFonts w:ascii="宋体" w:hAnsi="宋体" w:cs="宋体" w:hint="eastAsia"/>
          <w:color w:val="000000"/>
          <w:kern w:val="0"/>
          <w:sz w:val="24"/>
        </w:rPr>
        <w:t>、《证券投资基金运作管理办法》、《证券投资基金销售管理办法》、《证券投资基金信息披露管理办法》</w:t>
      </w:r>
      <w:r w:rsidR="00631996" w:rsidRPr="00631996">
        <w:rPr>
          <w:rFonts w:ascii="宋体" w:hAnsi="宋体" w:cs="宋体" w:hint="eastAsia"/>
          <w:color w:val="000000"/>
          <w:kern w:val="0"/>
          <w:sz w:val="24"/>
        </w:rPr>
        <w:t>、《公开募集开放式证券投资基金流动性风险管理规定》（以下简称“《流动性规定》”）</w:t>
      </w:r>
      <w:r>
        <w:rPr>
          <w:rFonts w:ascii="宋体" w:hAnsi="宋体" w:cs="宋体" w:hint="eastAsia"/>
          <w:color w:val="000000"/>
          <w:kern w:val="0"/>
          <w:sz w:val="24"/>
        </w:rPr>
        <w:t>和其他</w:t>
      </w:r>
      <w:r>
        <w:rPr>
          <w:rFonts w:ascii="宋体" w:hAnsi="宋体" w:cs="宋体"/>
          <w:color w:val="000000"/>
          <w:kern w:val="0"/>
          <w:sz w:val="24"/>
        </w:rPr>
        <w:t>相关法律法规</w:t>
      </w:r>
      <w:r>
        <w:rPr>
          <w:rFonts w:ascii="宋体" w:hAnsi="宋体" w:cs="宋体" w:hint="eastAsia"/>
          <w:color w:val="000000"/>
          <w:kern w:val="0"/>
          <w:sz w:val="24"/>
        </w:rPr>
        <w:t>的规定以及</w:t>
      </w:r>
      <w:r>
        <w:rPr>
          <w:rFonts w:ascii="宋体" w:hAnsi="宋体" w:cs="宋体"/>
          <w:color w:val="000000"/>
          <w:kern w:val="0"/>
          <w:sz w:val="24"/>
        </w:rPr>
        <w:t>《</w:t>
      </w:r>
      <w:r>
        <w:rPr>
          <w:rFonts w:ascii="宋体" w:hAnsi="宋体" w:cs="宋体" w:hint="eastAsia"/>
          <w:color w:val="000000"/>
          <w:kern w:val="0"/>
          <w:sz w:val="24"/>
        </w:rPr>
        <w:t>深证300价值交易型开放式指数证券投资</w:t>
      </w:r>
      <w:r>
        <w:rPr>
          <w:rFonts w:ascii="宋体" w:hAnsi="宋体" w:cs="宋体"/>
          <w:color w:val="000000"/>
          <w:kern w:val="0"/>
          <w:sz w:val="24"/>
        </w:rPr>
        <w:t>基金</w:t>
      </w:r>
      <w:r>
        <w:rPr>
          <w:rFonts w:ascii="宋体" w:hAnsi="宋体" w:cs="宋体" w:hint="eastAsia"/>
          <w:color w:val="000000"/>
          <w:kern w:val="0"/>
          <w:sz w:val="24"/>
        </w:rPr>
        <w:t>基金</w:t>
      </w:r>
      <w:r>
        <w:rPr>
          <w:rFonts w:ascii="宋体" w:hAnsi="宋体" w:cs="宋体"/>
          <w:color w:val="000000"/>
          <w:kern w:val="0"/>
          <w:sz w:val="24"/>
        </w:rPr>
        <w:t>合同》（以下简称“基金合同”）编写。</w:t>
      </w:r>
    </w:p>
    <w:p w14:paraId="24C5A7FD" w14:textId="77777777" w:rsidR="00CF57A4" w:rsidRDefault="00B13D46">
      <w:pPr>
        <w:widowControl/>
        <w:spacing w:line="360" w:lineRule="auto"/>
        <w:ind w:firstLineChars="200" w:firstLine="480"/>
        <w:rPr>
          <w:rFonts w:ascii="宋体" w:hAnsi="宋体" w:cs="宋体"/>
          <w:color w:val="000000"/>
          <w:kern w:val="0"/>
          <w:sz w:val="24"/>
        </w:rPr>
      </w:pPr>
      <w:r>
        <w:rPr>
          <w:rFonts w:ascii="宋体" w:hAnsi="宋体" w:cs="宋体"/>
          <w:color w:val="000000"/>
          <w:kern w:val="0"/>
          <w:sz w:val="24"/>
        </w:rPr>
        <w:t>基金管理人承诺本招募说明书不存在任何虚假记载、误导性陈述或者重大遗漏，并对其真实性、准确性、完整性承担法律责任。本基金是根据本招募说明书所载明的资料申请募集的。本基金管理人没有委托或授权任何其他人提供未在本招募说明书中载明的信息，或对本招募说明书作任何解释或者说明</w:t>
      </w:r>
      <w:r>
        <w:rPr>
          <w:rFonts w:ascii="宋体" w:hAnsi="宋体" w:cs="宋体" w:hint="eastAsia"/>
          <w:color w:val="000000"/>
          <w:kern w:val="0"/>
          <w:sz w:val="24"/>
        </w:rPr>
        <w:t>。</w:t>
      </w:r>
    </w:p>
    <w:p w14:paraId="4DCA5174" w14:textId="77777777" w:rsidR="00CF57A4" w:rsidRDefault="00B13D46">
      <w:pPr>
        <w:widowControl/>
        <w:spacing w:line="360" w:lineRule="auto"/>
        <w:ind w:firstLineChars="200" w:firstLine="480"/>
        <w:rPr>
          <w:rFonts w:ascii="宋体" w:hAnsi="宋体" w:cs="宋体"/>
          <w:color w:val="000000"/>
          <w:kern w:val="0"/>
          <w:sz w:val="24"/>
        </w:rPr>
      </w:pPr>
      <w:r>
        <w:rPr>
          <w:rFonts w:ascii="宋体" w:hAnsi="宋体" w:cs="宋体"/>
          <w:color w:val="000000"/>
          <w:kern w:val="0"/>
          <w:sz w:val="24"/>
        </w:rPr>
        <w:t>本招募说明书根据本基金的基金合同编写，并经中国证监会核准。基金合同是约定基金当事人之间权利、义务的法律文件。基金</w:t>
      </w:r>
      <w:proofErr w:type="gramStart"/>
      <w:r>
        <w:rPr>
          <w:rFonts w:ascii="宋体" w:hAnsi="宋体" w:cs="宋体"/>
          <w:color w:val="000000"/>
          <w:kern w:val="0"/>
          <w:sz w:val="24"/>
        </w:rPr>
        <w:t>投资者自依基金</w:t>
      </w:r>
      <w:proofErr w:type="gramEnd"/>
      <w:r>
        <w:rPr>
          <w:rFonts w:ascii="宋体" w:hAnsi="宋体" w:cs="宋体"/>
          <w:color w:val="000000"/>
          <w:kern w:val="0"/>
          <w:sz w:val="24"/>
        </w:rPr>
        <w:t>合同取得基金份额，即成为基金份额持有人和基金合同的当事人，其持有基金份额的行为本身即表明其对基金合同的承认和接受，并按照《基金法》、基金合同及其他有关规定享有权利、承担义务。基金投资者欲了解基金份额持有人的权利和义务，应详细查阅基金合同</w:t>
      </w:r>
      <w:r>
        <w:rPr>
          <w:rFonts w:ascii="宋体" w:hAnsi="宋体" w:cs="宋体" w:hint="eastAsia"/>
          <w:color w:val="000000"/>
          <w:kern w:val="0"/>
          <w:sz w:val="24"/>
        </w:rPr>
        <w:t>。</w:t>
      </w:r>
      <w:r>
        <w:rPr>
          <w:rFonts w:ascii="宋体" w:hAnsi="宋体" w:cs="宋体"/>
          <w:color w:val="000000"/>
          <w:kern w:val="0"/>
          <w:sz w:val="24"/>
        </w:rPr>
        <w:t xml:space="preserve"> </w:t>
      </w:r>
    </w:p>
    <w:p w14:paraId="65A39FFC" w14:textId="77777777" w:rsidR="00CF57A4" w:rsidRDefault="00CF57A4">
      <w:pPr>
        <w:widowControl/>
        <w:spacing w:line="360" w:lineRule="auto"/>
        <w:ind w:firstLineChars="200" w:firstLine="480"/>
        <w:rPr>
          <w:rFonts w:ascii="宋体" w:hAnsi="宋体" w:cs="宋体"/>
          <w:color w:val="000000"/>
          <w:kern w:val="0"/>
          <w:sz w:val="24"/>
        </w:rPr>
      </w:pPr>
    </w:p>
    <w:p w14:paraId="513D8660" w14:textId="77777777" w:rsidR="00CF57A4" w:rsidRDefault="00CF57A4">
      <w:pPr>
        <w:widowControl/>
        <w:spacing w:line="360" w:lineRule="auto"/>
        <w:ind w:firstLineChars="200" w:firstLine="480"/>
        <w:rPr>
          <w:rFonts w:ascii="宋体" w:hAnsi="宋体" w:cs="宋体"/>
          <w:color w:val="000000"/>
          <w:kern w:val="0"/>
          <w:sz w:val="24"/>
        </w:rPr>
      </w:pPr>
    </w:p>
    <w:p w14:paraId="4058E612" w14:textId="77777777" w:rsidR="00CF57A4" w:rsidRDefault="00CF57A4">
      <w:pPr>
        <w:widowControl/>
        <w:spacing w:line="360" w:lineRule="auto"/>
        <w:ind w:firstLineChars="200" w:firstLine="480"/>
        <w:rPr>
          <w:rFonts w:ascii="宋体" w:hAnsi="宋体" w:cs="宋体"/>
          <w:color w:val="000000"/>
          <w:kern w:val="0"/>
          <w:sz w:val="24"/>
        </w:rPr>
      </w:pPr>
    </w:p>
    <w:p w14:paraId="2D7F082C" w14:textId="77777777" w:rsidR="00CF57A4" w:rsidRDefault="00CF57A4">
      <w:pPr>
        <w:widowControl/>
        <w:spacing w:line="360" w:lineRule="auto"/>
        <w:ind w:firstLineChars="200" w:firstLine="480"/>
        <w:rPr>
          <w:rFonts w:ascii="宋体" w:hAnsi="宋体" w:cs="宋体"/>
          <w:color w:val="000000"/>
          <w:kern w:val="0"/>
          <w:sz w:val="24"/>
        </w:rPr>
      </w:pPr>
    </w:p>
    <w:p w14:paraId="7D694C55" w14:textId="77777777" w:rsidR="00CF57A4" w:rsidRDefault="00CF57A4">
      <w:pPr>
        <w:widowControl/>
        <w:spacing w:line="360" w:lineRule="auto"/>
        <w:ind w:firstLineChars="200" w:firstLine="480"/>
        <w:rPr>
          <w:rFonts w:ascii="宋体" w:hAnsi="宋体" w:cs="宋体"/>
          <w:color w:val="000000"/>
          <w:kern w:val="0"/>
          <w:sz w:val="24"/>
        </w:rPr>
      </w:pPr>
    </w:p>
    <w:p w14:paraId="4BA25C9A" w14:textId="77777777" w:rsidR="00CF57A4" w:rsidRDefault="00CF57A4">
      <w:pPr>
        <w:widowControl/>
        <w:spacing w:line="360" w:lineRule="auto"/>
        <w:ind w:firstLineChars="200" w:firstLine="480"/>
        <w:rPr>
          <w:rFonts w:ascii="宋体" w:hAnsi="宋体" w:cs="宋体"/>
          <w:color w:val="000000"/>
          <w:kern w:val="0"/>
          <w:sz w:val="24"/>
        </w:rPr>
      </w:pPr>
    </w:p>
    <w:p w14:paraId="2EC76660" w14:textId="77777777" w:rsidR="00CF57A4" w:rsidRDefault="00CF57A4">
      <w:pPr>
        <w:widowControl/>
        <w:spacing w:line="360" w:lineRule="auto"/>
        <w:ind w:firstLineChars="200" w:firstLine="480"/>
        <w:rPr>
          <w:rFonts w:ascii="宋体" w:hAnsi="宋体" w:cs="宋体"/>
          <w:color w:val="000000"/>
          <w:kern w:val="0"/>
          <w:sz w:val="24"/>
        </w:rPr>
      </w:pPr>
    </w:p>
    <w:p w14:paraId="32AF2FF7" w14:textId="77777777" w:rsidR="00CF57A4" w:rsidRDefault="00CF57A4">
      <w:pPr>
        <w:widowControl/>
        <w:spacing w:line="360" w:lineRule="auto"/>
        <w:ind w:firstLineChars="200" w:firstLine="480"/>
        <w:rPr>
          <w:rFonts w:ascii="宋体" w:hAnsi="宋体" w:cs="宋体"/>
          <w:color w:val="000000"/>
          <w:kern w:val="0"/>
          <w:sz w:val="24"/>
        </w:rPr>
      </w:pPr>
    </w:p>
    <w:p w14:paraId="05CFEE53" w14:textId="77777777" w:rsidR="00CF57A4" w:rsidRDefault="00CF57A4">
      <w:pPr>
        <w:widowControl/>
        <w:spacing w:line="360" w:lineRule="auto"/>
        <w:ind w:firstLineChars="200" w:firstLine="480"/>
        <w:rPr>
          <w:rFonts w:ascii="宋体" w:hAnsi="宋体" w:cs="宋体"/>
          <w:color w:val="000000"/>
          <w:kern w:val="0"/>
          <w:sz w:val="24"/>
        </w:rPr>
      </w:pPr>
    </w:p>
    <w:p w14:paraId="14F6A698" w14:textId="77777777" w:rsidR="00CF57A4" w:rsidRDefault="00CF57A4">
      <w:pPr>
        <w:widowControl/>
        <w:spacing w:line="360" w:lineRule="auto"/>
        <w:ind w:firstLineChars="200" w:firstLine="480"/>
        <w:rPr>
          <w:rFonts w:ascii="宋体" w:hAnsi="宋体" w:cs="宋体"/>
          <w:color w:val="000000"/>
          <w:kern w:val="0"/>
          <w:sz w:val="24"/>
        </w:rPr>
      </w:pPr>
    </w:p>
    <w:p w14:paraId="5561D0C9" w14:textId="77777777" w:rsidR="00CF57A4" w:rsidRDefault="00CF57A4">
      <w:pPr>
        <w:widowControl/>
        <w:spacing w:line="360" w:lineRule="auto"/>
        <w:ind w:firstLineChars="200" w:firstLine="480"/>
        <w:rPr>
          <w:rFonts w:ascii="宋体" w:hAnsi="宋体" w:cs="宋体"/>
          <w:color w:val="000000"/>
          <w:kern w:val="0"/>
          <w:sz w:val="24"/>
        </w:rPr>
      </w:pPr>
    </w:p>
    <w:p w14:paraId="2493985F" w14:textId="77777777" w:rsidR="00CF57A4" w:rsidRDefault="00CF57A4">
      <w:pPr>
        <w:widowControl/>
        <w:spacing w:line="360" w:lineRule="auto"/>
        <w:ind w:firstLineChars="200" w:firstLine="482"/>
        <w:rPr>
          <w:rFonts w:ascii="宋体" w:hAnsi="宋体" w:cs="宋体"/>
          <w:b/>
          <w:color w:val="000000"/>
          <w:kern w:val="0"/>
          <w:sz w:val="24"/>
        </w:rPr>
      </w:pPr>
    </w:p>
    <w:p w14:paraId="4D4936D3" w14:textId="77777777" w:rsidR="00CF57A4" w:rsidRDefault="00B13D46">
      <w:pPr>
        <w:pStyle w:val="af1"/>
        <w:rPr>
          <w:rFonts w:eastAsia="黑体"/>
          <w:color w:val="000000"/>
          <w:kern w:val="0"/>
          <w:sz w:val="30"/>
        </w:rPr>
      </w:pPr>
      <w:bookmarkStart w:id="32" w:name="_Toc109537380"/>
      <w:r>
        <w:rPr>
          <w:rFonts w:eastAsia="黑体"/>
          <w:color w:val="000000"/>
          <w:kern w:val="0"/>
          <w:sz w:val="30"/>
        </w:rPr>
        <w:br w:type="page"/>
      </w:r>
      <w:bookmarkStart w:id="33" w:name="_Toc320703942"/>
      <w:bookmarkStart w:id="34" w:name="_Toc320703994"/>
      <w:bookmarkStart w:id="35" w:name="_Toc320704067"/>
      <w:bookmarkStart w:id="36" w:name="_Toc320704354"/>
      <w:bookmarkStart w:id="37" w:name="_Toc322002718"/>
      <w:bookmarkStart w:id="38" w:name="_Toc322519869"/>
      <w:r>
        <w:rPr>
          <w:rFonts w:eastAsia="黑体" w:hint="eastAsia"/>
          <w:color w:val="000000"/>
          <w:kern w:val="0"/>
          <w:sz w:val="30"/>
        </w:rPr>
        <w:lastRenderedPageBreak/>
        <w:t>二、释义</w:t>
      </w:r>
      <w:bookmarkEnd w:id="32"/>
      <w:bookmarkEnd w:id="33"/>
      <w:bookmarkEnd w:id="34"/>
      <w:bookmarkEnd w:id="35"/>
      <w:bookmarkEnd w:id="36"/>
      <w:bookmarkEnd w:id="37"/>
      <w:bookmarkEnd w:id="38"/>
    </w:p>
    <w:p w14:paraId="0CC90CFB" w14:textId="77777777" w:rsidR="00CF57A4" w:rsidRDefault="00B13D46">
      <w:pPr>
        <w:widowControl/>
        <w:spacing w:line="360" w:lineRule="auto"/>
        <w:ind w:firstLineChars="200" w:firstLine="480"/>
        <w:rPr>
          <w:rFonts w:ascii="宋体" w:hAnsi="宋体" w:cs="宋体"/>
          <w:color w:val="000000"/>
          <w:kern w:val="0"/>
          <w:sz w:val="24"/>
        </w:rPr>
      </w:pPr>
      <w:r>
        <w:rPr>
          <w:rFonts w:ascii="宋体" w:hAnsi="宋体" w:cs="宋体"/>
          <w:color w:val="000000"/>
          <w:kern w:val="0"/>
          <w:sz w:val="24"/>
        </w:rPr>
        <w:t xml:space="preserve">在本招募说明书中，除非文意另有所指，下列词语或简称具有如下含义： </w:t>
      </w:r>
    </w:p>
    <w:p w14:paraId="1803A1DF"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基金或本基金         指深证300价值交易型开放式指数证券投资基金</w:t>
      </w:r>
    </w:p>
    <w:p w14:paraId="5E65B3B0"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基金管理人或本基金   指交银施罗德基金管理有限公司</w:t>
      </w:r>
    </w:p>
    <w:p w14:paraId="7EAB524E"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管理人</w:t>
      </w:r>
    </w:p>
    <w:p w14:paraId="0D8185B5"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基金托管人或本基金   指中国农业银行股份有限公司</w:t>
      </w:r>
    </w:p>
    <w:p w14:paraId="3CF31E89"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托管人</w:t>
      </w:r>
    </w:p>
    <w:p w14:paraId="55E746EF" w14:textId="77777777" w:rsidR="00CF57A4" w:rsidRDefault="00B13D46">
      <w:pPr>
        <w:spacing w:line="360" w:lineRule="auto"/>
        <w:ind w:leftChars="228" w:left="2999" w:hangingChars="1050" w:hanging="2520"/>
        <w:rPr>
          <w:rFonts w:ascii="宋体" w:hAnsi="宋体"/>
          <w:color w:val="000000"/>
          <w:sz w:val="24"/>
        </w:rPr>
      </w:pPr>
      <w:r>
        <w:rPr>
          <w:rFonts w:ascii="宋体" w:hAnsi="宋体" w:hint="eastAsia"/>
          <w:color w:val="000000"/>
          <w:sz w:val="24"/>
        </w:rPr>
        <w:t>基金合同或本基金合同 指《深证300价值交易型开放式指数证券投资基金基金合同》及对基金合同的任何有效修订和补充</w:t>
      </w:r>
    </w:p>
    <w:p w14:paraId="24991E82" w14:textId="77777777" w:rsidR="00CF57A4" w:rsidRDefault="00B13D46">
      <w:pPr>
        <w:spacing w:line="360" w:lineRule="auto"/>
        <w:ind w:leftChars="228" w:left="2999" w:hangingChars="1050" w:hanging="2520"/>
        <w:rPr>
          <w:rFonts w:ascii="宋体" w:hAnsi="宋体"/>
          <w:color w:val="000000"/>
          <w:sz w:val="24"/>
        </w:rPr>
      </w:pPr>
      <w:r>
        <w:rPr>
          <w:rFonts w:ascii="宋体" w:hAnsi="宋体" w:hint="eastAsia"/>
          <w:color w:val="000000"/>
          <w:sz w:val="24"/>
        </w:rPr>
        <w:t>托管协议或本托管协议 指《深证300价值交易型开放式指数证券投资基金托管协议》及对该托管协议的任何有效修订和补充</w:t>
      </w:r>
    </w:p>
    <w:p w14:paraId="21343958" w14:textId="77777777" w:rsidR="00CF57A4" w:rsidRDefault="00B13D46">
      <w:pPr>
        <w:spacing w:line="360" w:lineRule="auto"/>
        <w:ind w:leftChars="228" w:left="2999" w:hangingChars="1050" w:hanging="2520"/>
        <w:rPr>
          <w:rFonts w:ascii="宋体" w:hAnsi="宋体"/>
          <w:color w:val="000000"/>
          <w:sz w:val="24"/>
        </w:rPr>
      </w:pPr>
      <w:r>
        <w:rPr>
          <w:rFonts w:ascii="宋体" w:hAnsi="宋体" w:hint="eastAsia"/>
          <w:color w:val="000000"/>
          <w:sz w:val="24"/>
        </w:rPr>
        <w:t>招募说明书或本招募   指</w:t>
      </w:r>
      <w:proofErr w:type="gramStart"/>
      <w:r>
        <w:rPr>
          <w:rFonts w:ascii="宋体" w:hAnsi="宋体" w:hint="eastAsia"/>
          <w:color w:val="000000"/>
          <w:sz w:val="24"/>
        </w:rPr>
        <w:t>《</w:t>
      </w:r>
      <w:proofErr w:type="gramEnd"/>
      <w:r>
        <w:rPr>
          <w:rFonts w:ascii="宋体" w:hAnsi="宋体" w:hint="eastAsia"/>
          <w:color w:val="000000"/>
          <w:sz w:val="24"/>
        </w:rPr>
        <w:t>深证300价值交易型开放式指数证券投资基金招</w:t>
      </w:r>
    </w:p>
    <w:p w14:paraId="6B88AFD2" w14:textId="77777777" w:rsidR="00CF57A4" w:rsidRDefault="00B13D46">
      <w:pPr>
        <w:spacing w:line="360" w:lineRule="auto"/>
        <w:ind w:leftChars="228" w:left="2999" w:hangingChars="1050" w:hanging="2520"/>
        <w:rPr>
          <w:rFonts w:ascii="宋体" w:hAnsi="宋体"/>
          <w:color w:val="000000"/>
          <w:sz w:val="24"/>
        </w:rPr>
      </w:pPr>
      <w:r>
        <w:rPr>
          <w:rFonts w:ascii="宋体" w:hAnsi="宋体" w:hint="eastAsia"/>
          <w:color w:val="000000"/>
          <w:sz w:val="24"/>
        </w:rPr>
        <w:t xml:space="preserve">书                   </w:t>
      </w:r>
      <w:proofErr w:type="gramStart"/>
      <w:r>
        <w:rPr>
          <w:rFonts w:ascii="宋体" w:hAnsi="宋体" w:hint="eastAsia"/>
          <w:color w:val="000000"/>
          <w:sz w:val="24"/>
        </w:rPr>
        <w:t>募</w:t>
      </w:r>
      <w:proofErr w:type="gramEnd"/>
      <w:r>
        <w:rPr>
          <w:rFonts w:ascii="宋体" w:hAnsi="宋体" w:hint="eastAsia"/>
          <w:color w:val="000000"/>
          <w:sz w:val="24"/>
        </w:rPr>
        <w:t>说明书</w:t>
      </w:r>
      <w:proofErr w:type="gramStart"/>
      <w:r>
        <w:rPr>
          <w:rFonts w:ascii="宋体" w:hAnsi="宋体" w:hint="eastAsia"/>
          <w:color w:val="000000"/>
          <w:sz w:val="24"/>
        </w:rPr>
        <w:t>》</w:t>
      </w:r>
      <w:proofErr w:type="gramEnd"/>
      <w:r>
        <w:rPr>
          <w:rFonts w:ascii="宋体" w:hAnsi="宋体" w:hint="eastAsia"/>
          <w:color w:val="000000"/>
          <w:sz w:val="24"/>
        </w:rPr>
        <w:t>，及其定期的更新</w:t>
      </w:r>
    </w:p>
    <w:p w14:paraId="75CDF6BC" w14:textId="77777777" w:rsidR="00CF57A4" w:rsidRDefault="00B13D46">
      <w:pPr>
        <w:tabs>
          <w:tab w:val="left" w:pos="1620"/>
        </w:tabs>
        <w:spacing w:line="360" w:lineRule="auto"/>
        <w:ind w:leftChars="228" w:left="2999" w:hangingChars="1050" w:hanging="2520"/>
        <w:rPr>
          <w:rFonts w:ascii="宋体" w:hAnsi="宋体"/>
          <w:color w:val="000000"/>
          <w:sz w:val="24"/>
        </w:rPr>
      </w:pPr>
      <w:r>
        <w:rPr>
          <w:rFonts w:ascii="宋体" w:hAnsi="宋体" w:hint="eastAsia"/>
          <w:color w:val="000000"/>
          <w:sz w:val="24"/>
        </w:rPr>
        <w:t>基金份额发售公告     指《深证300价值交易型开放式指数证券投资基金份额发售公告》</w:t>
      </w:r>
    </w:p>
    <w:p w14:paraId="797F766A" w14:textId="77777777" w:rsidR="00CF57A4" w:rsidRDefault="00B13D46">
      <w:pPr>
        <w:spacing w:line="360" w:lineRule="auto"/>
        <w:ind w:leftChars="228" w:left="2999" w:hangingChars="1050" w:hanging="2520"/>
        <w:rPr>
          <w:rFonts w:ascii="宋体" w:hAnsi="宋体"/>
          <w:color w:val="000000"/>
          <w:sz w:val="24"/>
        </w:rPr>
      </w:pPr>
      <w:r>
        <w:rPr>
          <w:rFonts w:ascii="宋体" w:hAnsi="宋体" w:hint="eastAsia"/>
          <w:color w:val="000000"/>
          <w:sz w:val="24"/>
        </w:rPr>
        <w:t>法律法规             指中国现行有效并公布实施的法律、行政法规、部门规章、规范性文件及对该等法律法规不时</w:t>
      </w:r>
      <w:proofErr w:type="gramStart"/>
      <w:r>
        <w:rPr>
          <w:rFonts w:ascii="宋体" w:hAnsi="宋体" w:hint="eastAsia"/>
          <w:color w:val="000000"/>
          <w:sz w:val="24"/>
        </w:rPr>
        <w:t>作出</w:t>
      </w:r>
      <w:proofErr w:type="gramEnd"/>
      <w:r>
        <w:rPr>
          <w:rFonts w:ascii="宋体" w:hAnsi="宋体" w:hint="eastAsia"/>
          <w:color w:val="000000"/>
          <w:sz w:val="24"/>
        </w:rPr>
        <w:t>的修订</w:t>
      </w:r>
    </w:p>
    <w:p w14:paraId="29EEC4E8" w14:textId="77777777" w:rsidR="00CF57A4" w:rsidRDefault="00B13D46">
      <w:pPr>
        <w:spacing w:line="360" w:lineRule="auto"/>
        <w:ind w:leftChars="228" w:left="2999" w:hangingChars="1050" w:hanging="2520"/>
        <w:rPr>
          <w:rFonts w:ascii="宋体" w:hAnsi="宋体"/>
          <w:color w:val="000000"/>
          <w:sz w:val="24"/>
        </w:rPr>
      </w:pPr>
      <w:r>
        <w:rPr>
          <w:rFonts w:ascii="宋体" w:hAnsi="宋体" w:hint="eastAsia"/>
          <w:color w:val="000000"/>
          <w:sz w:val="24"/>
        </w:rPr>
        <w:t>《证券法》           指2005年10月27日经第十届全国人民代表大会常务委员会第十八次会议通过，自2006年1月1日实施的</w:t>
      </w:r>
      <w:r>
        <w:rPr>
          <w:rFonts w:ascii="宋体" w:hAnsi="宋体"/>
          <w:color w:val="000000"/>
          <w:sz w:val="24"/>
        </w:rPr>
        <w:t>《中华人民共和国证券法》及颁布机关对其不时</w:t>
      </w:r>
      <w:r>
        <w:rPr>
          <w:rFonts w:ascii="宋体" w:hAnsi="宋体" w:hint="eastAsia"/>
          <w:color w:val="000000"/>
          <w:sz w:val="24"/>
        </w:rPr>
        <w:t>做</w:t>
      </w:r>
      <w:r>
        <w:rPr>
          <w:rFonts w:ascii="宋体" w:hAnsi="宋体"/>
          <w:color w:val="000000"/>
          <w:sz w:val="24"/>
        </w:rPr>
        <w:t>出的修订</w:t>
      </w:r>
    </w:p>
    <w:p w14:paraId="4804D09F" w14:textId="77777777" w:rsidR="00CF57A4" w:rsidRDefault="00B13D46">
      <w:pPr>
        <w:spacing w:line="360" w:lineRule="auto"/>
        <w:ind w:leftChars="228" w:left="2999" w:hangingChars="1050" w:hanging="2520"/>
        <w:rPr>
          <w:rFonts w:ascii="宋体" w:hAnsi="宋体"/>
          <w:color w:val="000000"/>
          <w:sz w:val="24"/>
        </w:rPr>
      </w:pPr>
      <w:r>
        <w:rPr>
          <w:rFonts w:ascii="宋体" w:hAnsi="宋体" w:hint="eastAsia"/>
          <w:color w:val="000000"/>
          <w:sz w:val="24"/>
        </w:rPr>
        <w:t>《基金法》           指</w:t>
      </w:r>
      <w:r>
        <w:rPr>
          <w:rFonts w:ascii="宋体" w:hAnsi="宋体"/>
          <w:color w:val="000000"/>
          <w:sz w:val="24"/>
        </w:rPr>
        <w:t>2003</w:t>
      </w:r>
      <w:r>
        <w:rPr>
          <w:rFonts w:ascii="宋体" w:hAnsi="宋体" w:hint="eastAsia"/>
          <w:color w:val="000000"/>
          <w:sz w:val="24"/>
        </w:rPr>
        <w:t>年</w:t>
      </w:r>
      <w:r>
        <w:rPr>
          <w:rFonts w:ascii="宋体" w:hAnsi="宋体"/>
          <w:color w:val="000000"/>
          <w:sz w:val="24"/>
        </w:rPr>
        <w:t>10</w:t>
      </w:r>
      <w:r>
        <w:rPr>
          <w:rFonts w:ascii="宋体" w:hAnsi="宋体" w:hint="eastAsia"/>
          <w:color w:val="000000"/>
          <w:sz w:val="24"/>
        </w:rPr>
        <w:t>月</w:t>
      </w:r>
      <w:r>
        <w:rPr>
          <w:rFonts w:ascii="宋体" w:hAnsi="宋体"/>
          <w:color w:val="000000"/>
          <w:sz w:val="24"/>
        </w:rPr>
        <w:t>28</w:t>
      </w:r>
      <w:r>
        <w:rPr>
          <w:rFonts w:ascii="宋体" w:hAnsi="宋体" w:hint="eastAsia"/>
          <w:color w:val="000000"/>
          <w:sz w:val="24"/>
        </w:rPr>
        <w:t>日经第十届全国人民代表大会常务委员会第五次会议通过，自</w:t>
      </w:r>
      <w:r>
        <w:rPr>
          <w:rFonts w:ascii="宋体" w:hAnsi="宋体"/>
          <w:color w:val="000000"/>
          <w:sz w:val="24"/>
        </w:rPr>
        <w:t>2004</w:t>
      </w:r>
      <w:r>
        <w:rPr>
          <w:rFonts w:ascii="宋体" w:hAnsi="宋体" w:hint="eastAsia"/>
          <w:color w:val="000000"/>
          <w:sz w:val="24"/>
        </w:rPr>
        <w:t>年</w:t>
      </w:r>
      <w:r>
        <w:rPr>
          <w:rFonts w:ascii="宋体" w:hAnsi="宋体"/>
          <w:color w:val="000000"/>
          <w:sz w:val="24"/>
        </w:rPr>
        <w:t>6</w:t>
      </w:r>
      <w:r>
        <w:rPr>
          <w:rFonts w:ascii="宋体" w:hAnsi="宋体" w:hint="eastAsia"/>
          <w:color w:val="000000"/>
          <w:sz w:val="24"/>
        </w:rPr>
        <w:t>月</w:t>
      </w:r>
      <w:r>
        <w:rPr>
          <w:rFonts w:ascii="宋体" w:hAnsi="宋体"/>
          <w:color w:val="000000"/>
          <w:sz w:val="24"/>
        </w:rPr>
        <w:t>1</w:t>
      </w:r>
      <w:r>
        <w:rPr>
          <w:rFonts w:ascii="宋体" w:hAnsi="宋体" w:hint="eastAsia"/>
          <w:color w:val="000000"/>
          <w:sz w:val="24"/>
        </w:rPr>
        <w:t>日起实施的《中华人民共和国证券投资基金法》及颁布机关对其不时</w:t>
      </w:r>
      <w:proofErr w:type="gramStart"/>
      <w:r>
        <w:rPr>
          <w:rFonts w:ascii="宋体" w:hAnsi="宋体" w:hint="eastAsia"/>
          <w:color w:val="000000"/>
          <w:sz w:val="24"/>
        </w:rPr>
        <w:t>作出</w:t>
      </w:r>
      <w:proofErr w:type="gramEnd"/>
      <w:r>
        <w:rPr>
          <w:rFonts w:ascii="宋体" w:hAnsi="宋体" w:hint="eastAsia"/>
          <w:color w:val="000000"/>
          <w:sz w:val="24"/>
        </w:rPr>
        <w:t>的修订</w:t>
      </w:r>
    </w:p>
    <w:p w14:paraId="7BC44384" w14:textId="77777777" w:rsidR="00CF57A4" w:rsidRDefault="00B13D46">
      <w:pPr>
        <w:spacing w:line="360" w:lineRule="auto"/>
        <w:ind w:leftChars="228" w:left="2999" w:hangingChars="1050" w:hanging="2520"/>
        <w:rPr>
          <w:rFonts w:ascii="宋体" w:hAnsi="宋体"/>
          <w:color w:val="000000"/>
          <w:sz w:val="24"/>
        </w:rPr>
      </w:pPr>
      <w:r>
        <w:rPr>
          <w:rFonts w:ascii="宋体" w:hAnsi="宋体" w:hint="eastAsia"/>
          <w:color w:val="000000"/>
          <w:sz w:val="24"/>
        </w:rPr>
        <w:t>《销售办法》         指中国证监会</w:t>
      </w:r>
      <w:r>
        <w:rPr>
          <w:rFonts w:ascii="宋体" w:hAnsi="宋体"/>
          <w:color w:val="000000"/>
          <w:sz w:val="24"/>
        </w:rPr>
        <w:t>20</w:t>
      </w:r>
      <w:r>
        <w:rPr>
          <w:rFonts w:ascii="宋体" w:hAnsi="宋体" w:hint="eastAsia"/>
          <w:color w:val="000000"/>
          <w:sz w:val="24"/>
        </w:rPr>
        <w:t>11年</w:t>
      </w:r>
      <w:r>
        <w:rPr>
          <w:rFonts w:ascii="宋体" w:hAnsi="宋体"/>
          <w:color w:val="000000"/>
          <w:sz w:val="24"/>
        </w:rPr>
        <w:t>6</w:t>
      </w:r>
      <w:r>
        <w:rPr>
          <w:rFonts w:ascii="宋体" w:hAnsi="宋体" w:hint="eastAsia"/>
          <w:color w:val="000000"/>
          <w:sz w:val="24"/>
        </w:rPr>
        <w:t>月9日颁布、同年10月</w:t>
      </w:r>
      <w:r>
        <w:rPr>
          <w:rFonts w:ascii="宋体" w:hAnsi="宋体"/>
          <w:color w:val="000000"/>
          <w:sz w:val="24"/>
        </w:rPr>
        <w:t>1</w:t>
      </w:r>
      <w:r>
        <w:rPr>
          <w:rFonts w:ascii="宋体" w:hAnsi="宋体" w:hint="eastAsia"/>
          <w:color w:val="000000"/>
          <w:sz w:val="24"/>
        </w:rPr>
        <w:t>日实施的《证券投资基金销售管理办法》及对其不时</w:t>
      </w:r>
      <w:proofErr w:type="gramStart"/>
      <w:r>
        <w:rPr>
          <w:rFonts w:ascii="宋体" w:hAnsi="宋体" w:hint="eastAsia"/>
          <w:color w:val="000000"/>
          <w:sz w:val="24"/>
        </w:rPr>
        <w:t>作出</w:t>
      </w:r>
      <w:proofErr w:type="gramEnd"/>
      <w:r>
        <w:rPr>
          <w:rFonts w:ascii="宋体" w:hAnsi="宋体" w:hint="eastAsia"/>
          <w:color w:val="000000"/>
          <w:sz w:val="24"/>
        </w:rPr>
        <w:t>的修订</w:t>
      </w:r>
    </w:p>
    <w:p w14:paraId="335F2467" w14:textId="77777777" w:rsidR="00CF57A4" w:rsidRDefault="00B13D46">
      <w:pPr>
        <w:tabs>
          <w:tab w:val="left" w:pos="2880"/>
        </w:tabs>
        <w:spacing w:line="360" w:lineRule="auto"/>
        <w:ind w:leftChars="228" w:left="2999" w:hangingChars="1050" w:hanging="2520"/>
        <w:rPr>
          <w:rFonts w:ascii="宋体" w:hAnsi="宋体"/>
          <w:color w:val="000000"/>
          <w:sz w:val="24"/>
        </w:rPr>
      </w:pPr>
      <w:r>
        <w:rPr>
          <w:rFonts w:ascii="宋体" w:hAnsi="宋体" w:hint="eastAsia"/>
          <w:color w:val="000000"/>
          <w:sz w:val="24"/>
        </w:rPr>
        <w:lastRenderedPageBreak/>
        <w:t>《信息披露办法》     指中国证监会</w:t>
      </w:r>
      <w:r>
        <w:rPr>
          <w:rFonts w:ascii="宋体" w:hAnsi="宋体"/>
          <w:color w:val="000000"/>
          <w:sz w:val="24"/>
        </w:rPr>
        <w:t>2004</w:t>
      </w:r>
      <w:r>
        <w:rPr>
          <w:rFonts w:ascii="宋体" w:hAnsi="宋体" w:hint="eastAsia"/>
          <w:color w:val="000000"/>
          <w:sz w:val="24"/>
        </w:rPr>
        <w:t>年</w:t>
      </w:r>
      <w:r>
        <w:rPr>
          <w:rFonts w:ascii="宋体" w:hAnsi="宋体"/>
          <w:color w:val="000000"/>
          <w:sz w:val="24"/>
        </w:rPr>
        <w:t>6</w:t>
      </w:r>
      <w:r>
        <w:rPr>
          <w:rFonts w:ascii="宋体" w:hAnsi="宋体" w:hint="eastAsia"/>
          <w:color w:val="000000"/>
          <w:sz w:val="24"/>
        </w:rPr>
        <w:t>月</w:t>
      </w:r>
      <w:r>
        <w:rPr>
          <w:rFonts w:ascii="宋体" w:hAnsi="宋体"/>
          <w:color w:val="000000"/>
          <w:sz w:val="24"/>
        </w:rPr>
        <w:t>8</w:t>
      </w:r>
      <w:r>
        <w:rPr>
          <w:rFonts w:ascii="宋体" w:hAnsi="宋体" w:hint="eastAsia"/>
          <w:color w:val="000000"/>
          <w:sz w:val="24"/>
        </w:rPr>
        <w:t>日颁布、同年</w:t>
      </w:r>
      <w:r>
        <w:rPr>
          <w:rFonts w:ascii="宋体" w:hAnsi="宋体"/>
          <w:color w:val="000000"/>
          <w:sz w:val="24"/>
        </w:rPr>
        <w:t>7</w:t>
      </w:r>
      <w:r>
        <w:rPr>
          <w:rFonts w:ascii="宋体" w:hAnsi="宋体" w:hint="eastAsia"/>
          <w:color w:val="000000"/>
          <w:sz w:val="24"/>
        </w:rPr>
        <w:t>月</w:t>
      </w:r>
      <w:r>
        <w:rPr>
          <w:rFonts w:ascii="宋体" w:hAnsi="宋体"/>
          <w:color w:val="000000"/>
          <w:sz w:val="24"/>
        </w:rPr>
        <w:t>1</w:t>
      </w:r>
      <w:r>
        <w:rPr>
          <w:rFonts w:ascii="宋体" w:hAnsi="宋体" w:hint="eastAsia"/>
          <w:color w:val="000000"/>
          <w:sz w:val="24"/>
        </w:rPr>
        <w:t>日实施的《证券投资基金信息披露管理办法》及对其不时</w:t>
      </w:r>
      <w:proofErr w:type="gramStart"/>
      <w:r>
        <w:rPr>
          <w:rFonts w:ascii="宋体" w:hAnsi="宋体" w:hint="eastAsia"/>
          <w:color w:val="000000"/>
          <w:sz w:val="24"/>
        </w:rPr>
        <w:t>作出</w:t>
      </w:r>
      <w:proofErr w:type="gramEnd"/>
      <w:r>
        <w:rPr>
          <w:rFonts w:ascii="宋体" w:hAnsi="宋体" w:hint="eastAsia"/>
          <w:color w:val="000000"/>
          <w:sz w:val="24"/>
        </w:rPr>
        <w:t>的修订</w:t>
      </w:r>
    </w:p>
    <w:p w14:paraId="64044A39" w14:textId="77777777" w:rsidR="00CF57A4" w:rsidRDefault="00B13D46">
      <w:pPr>
        <w:spacing w:line="360" w:lineRule="auto"/>
        <w:ind w:leftChars="228" w:left="2999" w:hangingChars="1050" w:hanging="2520"/>
        <w:rPr>
          <w:rFonts w:ascii="宋体" w:hAnsi="宋体"/>
          <w:color w:val="000000"/>
          <w:sz w:val="24"/>
        </w:rPr>
      </w:pPr>
      <w:r>
        <w:rPr>
          <w:rFonts w:ascii="宋体" w:hAnsi="宋体" w:hint="eastAsia"/>
          <w:color w:val="000000"/>
          <w:sz w:val="24"/>
        </w:rPr>
        <w:t>《运作办法》         指中国证监会</w:t>
      </w:r>
      <w:r>
        <w:rPr>
          <w:rFonts w:ascii="宋体" w:hAnsi="宋体"/>
          <w:color w:val="000000"/>
          <w:sz w:val="24"/>
        </w:rPr>
        <w:t>2004</w:t>
      </w:r>
      <w:r>
        <w:rPr>
          <w:rFonts w:ascii="宋体" w:hAnsi="宋体" w:hint="eastAsia"/>
          <w:color w:val="000000"/>
          <w:sz w:val="24"/>
        </w:rPr>
        <w:t>年</w:t>
      </w:r>
      <w:r>
        <w:rPr>
          <w:rFonts w:ascii="宋体" w:hAnsi="宋体"/>
          <w:color w:val="000000"/>
          <w:sz w:val="24"/>
        </w:rPr>
        <w:t>6</w:t>
      </w:r>
      <w:r>
        <w:rPr>
          <w:rFonts w:ascii="宋体" w:hAnsi="宋体" w:hint="eastAsia"/>
          <w:color w:val="000000"/>
          <w:sz w:val="24"/>
        </w:rPr>
        <w:t>月</w:t>
      </w:r>
      <w:r>
        <w:rPr>
          <w:rFonts w:ascii="宋体" w:hAnsi="宋体"/>
          <w:color w:val="000000"/>
          <w:sz w:val="24"/>
        </w:rPr>
        <w:t>29</w:t>
      </w:r>
      <w:r>
        <w:rPr>
          <w:rFonts w:ascii="宋体" w:hAnsi="宋体" w:hint="eastAsia"/>
          <w:color w:val="000000"/>
          <w:sz w:val="24"/>
        </w:rPr>
        <w:t>日颁布、同年</w:t>
      </w:r>
      <w:r>
        <w:rPr>
          <w:rFonts w:ascii="宋体" w:hAnsi="宋体"/>
          <w:color w:val="000000"/>
          <w:sz w:val="24"/>
        </w:rPr>
        <w:t>7</w:t>
      </w:r>
      <w:r>
        <w:rPr>
          <w:rFonts w:ascii="宋体" w:hAnsi="宋体" w:hint="eastAsia"/>
          <w:color w:val="000000"/>
          <w:sz w:val="24"/>
        </w:rPr>
        <w:t>月</w:t>
      </w:r>
      <w:r>
        <w:rPr>
          <w:rFonts w:ascii="宋体" w:hAnsi="宋体"/>
          <w:color w:val="000000"/>
          <w:sz w:val="24"/>
        </w:rPr>
        <w:t>1</w:t>
      </w:r>
      <w:r>
        <w:rPr>
          <w:rFonts w:ascii="宋体" w:hAnsi="宋体" w:hint="eastAsia"/>
          <w:color w:val="000000"/>
          <w:sz w:val="24"/>
        </w:rPr>
        <w:t>日实施的《证券投资基金运作管理办法》及对其不时</w:t>
      </w:r>
      <w:proofErr w:type="gramStart"/>
      <w:r>
        <w:rPr>
          <w:rFonts w:ascii="宋体" w:hAnsi="宋体" w:hint="eastAsia"/>
          <w:color w:val="000000"/>
          <w:sz w:val="24"/>
        </w:rPr>
        <w:t>作出</w:t>
      </w:r>
      <w:proofErr w:type="gramEnd"/>
      <w:r>
        <w:rPr>
          <w:rFonts w:ascii="宋体" w:hAnsi="宋体" w:hint="eastAsia"/>
          <w:color w:val="000000"/>
          <w:sz w:val="24"/>
        </w:rPr>
        <w:t>的修订</w:t>
      </w:r>
    </w:p>
    <w:p w14:paraId="12A3BBF4" w14:textId="6D80F91B" w:rsidR="00631996" w:rsidRDefault="00631996">
      <w:pPr>
        <w:spacing w:line="360" w:lineRule="auto"/>
        <w:ind w:leftChars="228" w:left="2999" w:hangingChars="1050" w:hanging="2520"/>
        <w:rPr>
          <w:rFonts w:ascii="宋体" w:hAnsi="宋体"/>
          <w:color w:val="000000"/>
          <w:sz w:val="24"/>
        </w:rPr>
      </w:pPr>
      <w:r w:rsidRPr="00631996">
        <w:rPr>
          <w:rFonts w:ascii="宋体" w:hAnsi="宋体" w:hint="eastAsia"/>
          <w:color w:val="000000"/>
          <w:sz w:val="24"/>
        </w:rPr>
        <w:t>《流动性规定》</w:t>
      </w:r>
      <w:r>
        <w:rPr>
          <w:rFonts w:ascii="宋体" w:hAnsi="宋体" w:hint="eastAsia"/>
          <w:color w:val="000000"/>
          <w:sz w:val="24"/>
        </w:rPr>
        <w:t xml:space="preserve">       </w:t>
      </w:r>
      <w:r w:rsidRPr="00631996">
        <w:rPr>
          <w:rFonts w:ascii="宋体" w:hAnsi="宋体" w:hint="eastAsia"/>
          <w:color w:val="000000"/>
          <w:sz w:val="24"/>
        </w:rPr>
        <w:t>指中国证监会2017年8月31日颁布、同年10月1日实施的《公开募集开放式证券投资基金流动性风险管理规定》及颁布机关对其不时做出的修订</w:t>
      </w:r>
    </w:p>
    <w:p w14:paraId="13A05F80" w14:textId="77777777" w:rsidR="00CF57A4" w:rsidRDefault="00B13D46">
      <w:pPr>
        <w:spacing w:line="360" w:lineRule="auto"/>
        <w:ind w:leftChars="228" w:left="2999" w:hangingChars="1050" w:hanging="2520"/>
        <w:rPr>
          <w:rFonts w:ascii="宋体" w:hAnsi="宋体"/>
          <w:color w:val="000000"/>
          <w:sz w:val="24"/>
        </w:rPr>
      </w:pPr>
      <w:r>
        <w:rPr>
          <w:rFonts w:ascii="宋体" w:hAnsi="宋体" w:hint="eastAsia"/>
          <w:color w:val="000000"/>
          <w:sz w:val="24"/>
        </w:rPr>
        <w:t>中国                 指中华人民共和国，就基金合同及招募说明书而言，不包括香港特别行政区、澳门特别行政区和台湾地区</w:t>
      </w:r>
    </w:p>
    <w:p w14:paraId="0A7C6F78"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中国证监会           指中国证券监督管理委员会</w:t>
      </w:r>
    </w:p>
    <w:p w14:paraId="62CD0A62" w14:textId="77777777" w:rsidR="00CF57A4" w:rsidRDefault="00B13D46">
      <w:pPr>
        <w:spacing w:line="360" w:lineRule="auto"/>
        <w:ind w:firstLineChars="200" w:firstLine="480"/>
        <w:rPr>
          <w:rFonts w:ascii="宋体" w:hAnsi="宋体"/>
          <w:color w:val="000000"/>
          <w:spacing w:val="8"/>
          <w:sz w:val="24"/>
        </w:rPr>
      </w:pPr>
      <w:r>
        <w:rPr>
          <w:rFonts w:ascii="宋体" w:hAnsi="宋体" w:hint="eastAsia"/>
          <w:color w:val="000000"/>
          <w:sz w:val="24"/>
        </w:rPr>
        <w:t>中国银监会           指中国银行业监督管理委员会</w:t>
      </w:r>
    </w:p>
    <w:p w14:paraId="6F144FDA" w14:textId="77777777" w:rsidR="00CF57A4" w:rsidRDefault="00B13D46">
      <w:pPr>
        <w:spacing w:line="360" w:lineRule="auto"/>
        <w:ind w:leftChars="228" w:left="2999" w:hangingChars="1050" w:hanging="2520"/>
        <w:rPr>
          <w:rFonts w:ascii="宋体" w:hAnsi="宋体"/>
          <w:color w:val="000000"/>
          <w:sz w:val="24"/>
        </w:rPr>
      </w:pPr>
      <w:r>
        <w:rPr>
          <w:rFonts w:ascii="宋体" w:hAnsi="宋体" w:hint="eastAsia"/>
          <w:color w:val="000000"/>
          <w:sz w:val="24"/>
        </w:rPr>
        <w:t>基金合同当事人       指受基金合同约束，根据基金合同享有权利并承担义务的法律主体，包括基金管理人、基金托管人和基金份额持有人</w:t>
      </w:r>
    </w:p>
    <w:p w14:paraId="794860DE" w14:textId="77777777" w:rsidR="00CF57A4" w:rsidRDefault="00B13D46">
      <w:pPr>
        <w:spacing w:line="360" w:lineRule="auto"/>
        <w:ind w:leftChars="228" w:left="2999" w:hangingChars="1050" w:hanging="2520"/>
        <w:rPr>
          <w:rFonts w:ascii="宋体" w:hAnsi="宋体"/>
          <w:color w:val="000000"/>
          <w:sz w:val="24"/>
        </w:rPr>
      </w:pPr>
      <w:r>
        <w:rPr>
          <w:rFonts w:ascii="宋体" w:hAnsi="宋体" w:hint="eastAsia"/>
          <w:color w:val="000000"/>
          <w:sz w:val="24"/>
        </w:rPr>
        <w:t>个人投资者</w:t>
      </w:r>
      <w:r>
        <w:rPr>
          <w:rFonts w:ascii="宋体" w:hAnsi="宋体" w:hint="eastAsia"/>
          <w:color w:val="000000"/>
          <w:sz w:val="24"/>
        </w:rPr>
        <w:tab/>
        <w:t>指符合法律法规规定的条件可以投资证券投资基金的自然人</w:t>
      </w:r>
    </w:p>
    <w:p w14:paraId="68B91C75" w14:textId="77777777" w:rsidR="00CF57A4" w:rsidRDefault="00B13D46">
      <w:pPr>
        <w:spacing w:line="360" w:lineRule="auto"/>
        <w:ind w:leftChars="228" w:left="2999" w:hangingChars="1050" w:hanging="2520"/>
        <w:rPr>
          <w:rFonts w:ascii="宋体" w:hAnsi="宋体"/>
          <w:color w:val="000000"/>
          <w:sz w:val="24"/>
        </w:rPr>
      </w:pPr>
      <w:r>
        <w:rPr>
          <w:rFonts w:ascii="宋体" w:hAnsi="宋体" w:hint="eastAsia"/>
          <w:color w:val="000000"/>
          <w:sz w:val="24"/>
        </w:rPr>
        <w:t>机构投资者</w:t>
      </w:r>
      <w:r>
        <w:rPr>
          <w:rFonts w:ascii="宋体" w:hAnsi="宋体" w:hint="eastAsia"/>
          <w:color w:val="000000"/>
          <w:sz w:val="24"/>
        </w:rPr>
        <w:tab/>
        <w:t>指符合法律法规规定可以投资证券投资基金的在中国境内注册登记或经政府有关部门批准设立的机构</w:t>
      </w:r>
    </w:p>
    <w:p w14:paraId="20859F6E" w14:textId="77777777" w:rsidR="00CF57A4" w:rsidRDefault="00B13D46">
      <w:pPr>
        <w:spacing w:line="360" w:lineRule="auto"/>
        <w:ind w:leftChars="228" w:left="2999" w:hangingChars="1050" w:hanging="2520"/>
        <w:rPr>
          <w:rFonts w:ascii="宋体" w:hAnsi="宋体"/>
          <w:color w:val="000000"/>
          <w:sz w:val="24"/>
        </w:rPr>
      </w:pPr>
      <w:r>
        <w:rPr>
          <w:rFonts w:ascii="宋体" w:hAnsi="宋体" w:hint="eastAsia"/>
          <w:color w:val="000000"/>
          <w:sz w:val="24"/>
        </w:rPr>
        <w:t>合格境外机构投资者</w:t>
      </w:r>
      <w:r>
        <w:rPr>
          <w:rFonts w:ascii="宋体" w:hAnsi="宋体" w:hint="eastAsia"/>
          <w:color w:val="000000"/>
          <w:sz w:val="24"/>
        </w:rPr>
        <w:tab/>
        <w:t>指符合《</w:t>
      </w:r>
      <w:r>
        <w:rPr>
          <w:rStyle w:val="heigh1801"/>
          <w:rFonts w:ascii="宋体" w:hAnsi="宋体" w:hint="eastAsia"/>
          <w:color w:val="000000"/>
          <w:sz w:val="24"/>
        </w:rPr>
        <w:t>合格境外机构投资者境内证券投资管理办法</w:t>
      </w:r>
      <w:r>
        <w:rPr>
          <w:rFonts w:ascii="宋体" w:hAnsi="宋体" w:hint="eastAsia"/>
          <w:color w:val="000000"/>
          <w:sz w:val="24"/>
        </w:rPr>
        <w:t>》及其他相关法律法规规定的条件，经中国证监会批准可投资于中国证券市场，并取得国家外汇管理局额度批准的中国境外的机构投资者</w:t>
      </w:r>
    </w:p>
    <w:p w14:paraId="4141FA28" w14:textId="77777777" w:rsidR="00CF57A4" w:rsidRDefault="00B13D46">
      <w:pPr>
        <w:spacing w:line="360" w:lineRule="auto"/>
        <w:ind w:leftChars="228" w:left="2999" w:hangingChars="1050" w:hanging="2520"/>
        <w:rPr>
          <w:rFonts w:ascii="宋体" w:hAnsi="宋体"/>
          <w:color w:val="000000"/>
          <w:sz w:val="24"/>
        </w:rPr>
      </w:pPr>
      <w:r>
        <w:rPr>
          <w:rFonts w:ascii="宋体" w:hAnsi="宋体" w:hint="eastAsia"/>
          <w:color w:val="000000"/>
          <w:sz w:val="24"/>
        </w:rPr>
        <w:t>基金投资者或投资者</w:t>
      </w:r>
      <w:r>
        <w:rPr>
          <w:rFonts w:ascii="宋体" w:hAnsi="宋体" w:hint="eastAsia"/>
          <w:color w:val="000000"/>
          <w:sz w:val="24"/>
        </w:rPr>
        <w:tab/>
        <w:t>指个人投资者、机构投资者和合格境外机构投资者，以及法律法规或中国证监会允许购买证券投资基金的其他投资者</w:t>
      </w:r>
    </w:p>
    <w:p w14:paraId="1B26970B" w14:textId="77777777" w:rsidR="00CF57A4" w:rsidRDefault="00B13D46">
      <w:pPr>
        <w:spacing w:line="360" w:lineRule="auto"/>
        <w:ind w:leftChars="228" w:left="2999" w:hangingChars="1050" w:hanging="2520"/>
        <w:rPr>
          <w:rFonts w:ascii="宋体" w:hAnsi="宋体"/>
          <w:color w:val="000000"/>
          <w:sz w:val="24"/>
        </w:rPr>
      </w:pPr>
      <w:r>
        <w:rPr>
          <w:rFonts w:ascii="宋体" w:hAnsi="宋体" w:hint="eastAsia"/>
          <w:color w:val="000000"/>
          <w:sz w:val="24"/>
        </w:rPr>
        <w:t>基金份额持有人</w:t>
      </w:r>
      <w:r>
        <w:rPr>
          <w:rFonts w:ascii="宋体" w:hAnsi="宋体" w:hint="eastAsia"/>
          <w:color w:val="000000"/>
          <w:sz w:val="24"/>
        </w:rPr>
        <w:tab/>
        <w:t>指依据基金合同和招募说明书合法取得基金份额的基金投资者</w:t>
      </w:r>
    </w:p>
    <w:p w14:paraId="327D318D" w14:textId="77777777" w:rsidR="00CF57A4" w:rsidRDefault="00B13D46">
      <w:pPr>
        <w:spacing w:line="360" w:lineRule="auto"/>
        <w:ind w:leftChars="228" w:left="2999" w:hangingChars="1050" w:hanging="2520"/>
        <w:rPr>
          <w:rFonts w:ascii="宋体" w:hAnsi="宋体"/>
          <w:color w:val="000000"/>
          <w:sz w:val="24"/>
        </w:rPr>
      </w:pPr>
      <w:r>
        <w:rPr>
          <w:rFonts w:ascii="宋体" w:hAnsi="宋体" w:hint="eastAsia"/>
          <w:color w:val="000000"/>
          <w:sz w:val="24"/>
        </w:rPr>
        <w:lastRenderedPageBreak/>
        <w:t>深交所《业务细则》</w:t>
      </w:r>
      <w:r>
        <w:rPr>
          <w:rFonts w:ascii="宋体" w:hAnsi="宋体" w:hint="eastAsia"/>
          <w:color w:val="000000"/>
          <w:sz w:val="24"/>
        </w:rPr>
        <w:tab/>
        <w:t>指《深圳证券交易所交易型开放式指数基金业务实施细则》及对其不时</w:t>
      </w:r>
      <w:proofErr w:type="gramStart"/>
      <w:r>
        <w:rPr>
          <w:rFonts w:ascii="宋体" w:hAnsi="宋体" w:hint="eastAsia"/>
          <w:color w:val="000000"/>
          <w:sz w:val="24"/>
        </w:rPr>
        <w:t>作出</w:t>
      </w:r>
      <w:proofErr w:type="gramEnd"/>
      <w:r>
        <w:rPr>
          <w:rFonts w:ascii="宋体" w:hAnsi="宋体" w:hint="eastAsia"/>
          <w:color w:val="000000"/>
          <w:sz w:val="24"/>
        </w:rPr>
        <w:t>的修订</w:t>
      </w:r>
    </w:p>
    <w:p w14:paraId="07E2BCAD" w14:textId="77777777" w:rsidR="00CF57A4" w:rsidRDefault="00B13D46">
      <w:pPr>
        <w:spacing w:line="360" w:lineRule="auto"/>
        <w:ind w:leftChars="228" w:left="2999" w:hangingChars="1050" w:hanging="2520"/>
        <w:rPr>
          <w:rFonts w:ascii="宋体" w:hAnsi="宋体"/>
          <w:color w:val="000000"/>
          <w:sz w:val="24"/>
        </w:rPr>
      </w:pPr>
      <w:r>
        <w:rPr>
          <w:rFonts w:ascii="宋体" w:hAnsi="宋体" w:hint="eastAsia"/>
          <w:color w:val="000000"/>
          <w:sz w:val="24"/>
        </w:rPr>
        <w:t>交易型开放式指数</w:t>
      </w:r>
      <w:r>
        <w:rPr>
          <w:rFonts w:ascii="宋体" w:hAnsi="宋体" w:hint="eastAsia"/>
          <w:color w:val="000000"/>
          <w:sz w:val="24"/>
        </w:rPr>
        <w:tab/>
        <w:t>指深交所《业务细则》定义的“交易型开放式指数基</w:t>
      </w:r>
    </w:p>
    <w:p w14:paraId="206CF325" w14:textId="77777777" w:rsidR="00CF57A4" w:rsidRDefault="00B13D46">
      <w:pPr>
        <w:spacing w:line="360" w:lineRule="auto"/>
        <w:ind w:leftChars="228" w:left="2999" w:hangingChars="1050" w:hanging="2520"/>
        <w:rPr>
          <w:rFonts w:ascii="宋体" w:hAnsi="宋体"/>
          <w:color w:val="000000"/>
          <w:sz w:val="24"/>
        </w:rPr>
      </w:pPr>
      <w:r>
        <w:rPr>
          <w:rFonts w:ascii="宋体" w:hAnsi="宋体" w:hint="eastAsia"/>
          <w:color w:val="000000"/>
          <w:sz w:val="24"/>
        </w:rPr>
        <w:t>证券投资基金</w:t>
      </w:r>
      <w:r>
        <w:rPr>
          <w:rFonts w:ascii="宋体" w:hAnsi="宋体" w:hint="eastAsia"/>
          <w:color w:val="000000"/>
          <w:sz w:val="24"/>
        </w:rPr>
        <w:tab/>
        <w:t>金”</w:t>
      </w:r>
    </w:p>
    <w:p w14:paraId="0EB8920F" w14:textId="77777777" w:rsidR="00CF57A4" w:rsidRDefault="00B13D46">
      <w:pPr>
        <w:spacing w:line="360" w:lineRule="auto"/>
        <w:ind w:leftChars="228" w:left="2999" w:hangingChars="1050" w:hanging="2520"/>
        <w:rPr>
          <w:rFonts w:ascii="宋体" w:hAnsi="宋体"/>
          <w:color w:val="000000"/>
          <w:sz w:val="24"/>
        </w:rPr>
      </w:pPr>
      <w:r>
        <w:rPr>
          <w:rFonts w:ascii="宋体" w:hAnsi="宋体" w:hint="eastAsia"/>
          <w:color w:val="000000"/>
          <w:sz w:val="24"/>
        </w:rPr>
        <w:t>联接基金</w:t>
      </w:r>
      <w:r>
        <w:rPr>
          <w:rFonts w:ascii="宋体" w:hAnsi="宋体" w:hint="eastAsia"/>
          <w:color w:val="000000"/>
          <w:sz w:val="24"/>
        </w:rPr>
        <w:tab/>
        <w:t>指将绝大部分基金财产投资于本基金，与本基金的投资目标类似，紧密跟踪标的指数表现，追求跟踪偏离度和跟踪误差最小化，采用开放式运作的基金</w:t>
      </w:r>
    </w:p>
    <w:p w14:paraId="59C80517" w14:textId="77777777" w:rsidR="00CF57A4" w:rsidRDefault="00B13D46">
      <w:pPr>
        <w:spacing w:line="360" w:lineRule="auto"/>
        <w:ind w:leftChars="228" w:left="2999" w:hangingChars="1050" w:hanging="2520"/>
        <w:rPr>
          <w:rFonts w:ascii="宋体" w:hAnsi="宋体"/>
          <w:color w:val="000000"/>
          <w:sz w:val="24"/>
        </w:rPr>
      </w:pPr>
      <w:r>
        <w:rPr>
          <w:rFonts w:ascii="宋体" w:hAnsi="宋体" w:hint="eastAsia"/>
          <w:color w:val="000000"/>
          <w:sz w:val="24"/>
        </w:rPr>
        <w:t>发售代理机构</w:t>
      </w:r>
      <w:r>
        <w:rPr>
          <w:rFonts w:ascii="宋体" w:hAnsi="宋体" w:hint="eastAsia"/>
          <w:color w:val="000000"/>
          <w:sz w:val="24"/>
        </w:rPr>
        <w:tab/>
        <w:t>指符合《销售办法》和中国证监会规定的其他条件，由基金管理人指定的代理本基金发售业务的机构</w:t>
      </w:r>
    </w:p>
    <w:p w14:paraId="697833AC" w14:textId="77777777" w:rsidR="00CF57A4" w:rsidRDefault="00B13D46">
      <w:pPr>
        <w:spacing w:line="360" w:lineRule="auto"/>
        <w:ind w:leftChars="228" w:left="2999" w:hangingChars="1050" w:hanging="2520"/>
        <w:rPr>
          <w:rFonts w:ascii="宋体" w:hAnsi="宋体"/>
          <w:color w:val="000000"/>
          <w:sz w:val="24"/>
        </w:rPr>
      </w:pPr>
      <w:r>
        <w:rPr>
          <w:rFonts w:ascii="宋体" w:hAnsi="宋体" w:hint="eastAsia"/>
          <w:color w:val="000000"/>
          <w:sz w:val="24"/>
        </w:rPr>
        <w:t>申购赎回代理券商</w:t>
      </w:r>
      <w:r>
        <w:rPr>
          <w:rFonts w:ascii="宋体" w:hAnsi="宋体" w:hint="eastAsia"/>
          <w:color w:val="000000"/>
          <w:sz w:val="24"/>
        </w:rPr>
        <w:tab/>
        <w:t>指符合《销售办法》和中国证监会规定的其他条件，由基金管理人指定的办理本基金申购、赎回业务的证券公司，又称为代办证券公司</w:t>
      </w:r>
    </w:p>
    <w:p w14:paraId="4363320A" w14:textId="77777777" w:rsidR="00CF57A4" w:rsidRDefault="00B13D46">
      <w:pPr>
        <w:spacing w:line="360" w:lineRule="auto"/>
        <w:ind w:leftChars="228" w:left="2999" w:hangingChars="1050" w:hanging="2520"/>
        <w:rPr>
          <w:rFonts w:ascii="宋体" w:hAnsi="宋体"/>
          <w:color w:val="000000"/>
          <w:sz w:val="24"/>
        </w:rPr>
      </w:pPr>
      <w:r>
        <w:rPr>
          <w:rFonts w:ascii="宋体" w:hAnsi="宋体" w:hint="eastAsia"/>
          <w:color w:val="000000"/>
          <w:sz w:val="24"/>
        </w:rPr>
        <w:t>代销机构</w:t>
      </w:r>
      <w:r>
        <w:rPr>
          <w:rFonts w:ascii="宋体" w:hAnsi="宋体" w:hint="eastAsia"/>
          <w:color w:val="000000"/>
          <w:sz w:val="24"/>
        </w:rPr>
        <w:tab/>
        <w:t>指符合《销售办法》和中国证监会规定的其他条件，取得基金代销业务资格并接受基金管理人委托，代为办理基金销售业务的机构，包括发售代理机构及申购赎回代理券商</w:t>
      </w:r>
    </w:p>
    <w:p w14:paraId="4F837A54" w14:textId="77777777" w:rsidR="00CF57A4" w:rsidRDefault="00B13D46">
      <w:pPr>
        <w:spacing w:line="360" w:lineRule="auto"/>
        <w:ind w:leftChars="228" w:left="2999" w:hangingChars="1050" w:hanging="2520"/>
        <w:rPr>
          <w:rFonts w:ascii="宋体" w:hAnsi="宋体"/>
          <w:color w:val="000000"/>
          <w:sz w:val="24"/>
        </w:rPr>
      </w:pPr>
      <w:r>
        <w:rPr>
          <w:rFonts w:ascii="宋体" w:hAnsi="宋体" w:hint="eastAsia"/>
          <w:color w:val="000000"/>
          <w:sz w:val="24"/>
        </w:rPr>
        <w:t>直销机构</w:t>
      </w:r>
      <w:r>
        <w:rPr>
          <w:rFonts w:ascii="宋体" w:hAnsi="宋体" w:hint="eastAsia"/>
          <w:color w:val="000000"/>
          <w:sz w:val="24"/>
        </w:rPr>
        <w:tab/>
        <w:t>指交银施罗德基金管理有限公司</w:t>
      </w:r>
    </w:p>
    <w:p w14:paraId="01F8DA69" w14:textId="77777777" w:rsidR="00CF57A4" w:rsidRDefault="00B13D46">
      <w:pPr>
        <w:spacing w:line="360" w:lineRule="auto"/>
        <w:ind w:leftChars="228" w:left="2999" w:hangingChars="1050" w:hanging="2520"/>
        <w:rPr>
          <w:rFonts w:ascii="宋体" w:hAnsi="宋体"/>
          <w:color w:val="000000"/>
          <w:sz w:val="24"/>
        </w:rPr>
      </w:pPr>
      <w:r>
        <w:rPr>
          <w:rFonts w:ascii="宋体" w:hAnsi="宋体" w:hint="eastAsia"/>
          <w:color w:val="000000"/>
          <w:sz w:val="24"/>
        </w:rPr>
        <w:t>销售机构</w:t>
      </w:r>
      <w:r>
        <w:rPr>
          <w:rFonts w:ascii="宋体" w:hAnsi="宋体" w:hint="eastAsia"/>
          <w:color w:val="000000"/>
          <w:sz w:val="24"/>
        </w:rPr>
        <w:tab/>
        <w:t>指直销机构和/或代销机构</w:t>
      </w:r>
    </w:p>
    <w:p w14:paraId="42DFA538" w14:textId="77777777" w:rsidR="00CF57A4" w:rsidRDefault="00B13D46">
      <w:pPr>
        <w:spacing w:line="360" w:lineRule="auto"/>
        <w:ind w:leftChars="228" w:left="2999" w:hangingChars="1050" w:hanging="2520"/>
        <w:rPr>
          <w:rFonts w:ascii="宋体" w:hAnsi="宋体"/>
          <w:color w:val="000000"/>
          <w:sz w:val="24"/>
        </w:rPr>
      </w:pPr>
      <w:r>
        <w:rPr>
          <w:rFonts w:ascii="宋体" w:hAnsi="宋体" w:hint="eastAsia"/>
          <w:color w:val="000000"/>
          <w:sz w:val="24"/>
        </w:rPr>
        <w:t>基金销售网点</w:t>
      </w:r>
      <w:r>
        <w:rPr>
          <w:rFonts w:ascii="宋体" w:hAnsi="宋体" w:hint="eastAsia"/>
          <w:color w:val="000000"/>
          <w:sz w:val="24"/>
        </w:rPr>
        <w:tab/>
        <w:t>指直销机构的直销中心和/或代销机构的代销网点</w:t>
      </w:r>
    </w:p>
    <w:p w14:paraId="18D21C3B" w14:textId="77777777" w:rsidR="00CF57A4" w:rsidRDefault="00B13D46">
      <w:pPr>
        <w:spacing w:line="360" w:lineRule="auto"/>
        <w:ind w:leftChars="228" w:left="2999" w:hangingChars="1050" w:hanging="2520"/>
        <w:rPr>
          <w:rFonts w:ascii="宋体" w:hAnsi="宋体"/>
          <w:color w:val="000000"/>
          <w:sz w:val="24"/>
        </w:rPr>
      </w:pPr>
      <w:r>
        <w:rPr>
          <w:rFonts w:ascii="宋体" w:hAnsi="宋体" w:hint="eastAsia"/>
          <w:color w:val="000000"/>
          <w:sz w:val="24"/>
        </w:rPr>
        <w:t>注册登记业务</w:t>
      </w:r>
      <w:r>
        <w:rPr>
          <w:rFonts w:ascii="宋体" w:hAnsi="宋体" w:hint="eastAsia"/>
          <w:color w:val="000000"/>
          <w:sz w:val="24"/>
        </w:rPr>
        <w:tab/>
        <w:t>指《中国证券登记结算有限责任公司关于深圳证券交易所上市的交易型开放式指数基金登记结算业务实施细则》以及相关业务规则定义的基金份额的登记托管和结算业务</w:t>
      </w:r>
    </w:p>
    <w:p w14:paraId="4F91C778" w14:textId="77777777" w:rsidR="00CF57A4" w:rsidRDefault="00B13D46">
      <w:pPr>
        <w:spacing w:line="360" w:lineRule="auto"/>
        <w:ind w:leftChars="228" w:left="2999" w:hangingChars="1050" w:hanging="2520"/>
        <w:rPr>
          <w:rFonts w:ascii="宋体" w:hAnsi="宋体"/>
          <w:color w:val="000000"/>
          <w:sz w:val="24"/>
        </w:rPr>
      </w:pPr>
      <w:r>
        <w:rPr>
          <w:rFonts w:ascii="宋体" w:hAnsi="宋体" w:hint="eastAsia"/>
          <w:color w:val="000000"/>
          <w:sz w:val="24"/>
        </w:rPr>
        <w:t>注册登记机构</w:t>
      </w:r>
      <w:r>
        <w:rPr>
          <w:rFonts w:ascii="宋体" w:hAnsi="宋体" w:hint="eastAsia"/>
          <w:color w:val="000000"/>
          <w:sz w:val="24"/>
        </w:rPr>
        <w:tab/>
        <w:t>指中国证券登记结算有限责任公司</w:t>
      </w:r>
    </w:p>
    <w:p w14:paraId="269E1DBD" w14:textId="77777777" w:rsidR="00CF57A4" w:rsidRDefault="00B13D46">
      <w:pPr>
        <w:spacing w:line="360" w:lineRule="auto"/>
        <w:ind w:leftChars="228" w:left="2999" w:hangingChars="1050" w:hanging="2520"/>
        <w:rPr>
          <w:rFonts w:ascii="宋体" w:hAnsi="宋体"/>
          <w:color w:val="000000"/>
          <w:sz w:val="24"/>
        </w:rPr>
      </w:pPr>
      <w:r>
        <w:rPr>
          <w:rFonts w:ascii="宋体" w:hAnsi="宋体" w:hint="eastAsia"/>
          <w:color w:val="000000"/>
          <w:sz w:val="24"/>
        </w:rPr>
        <w:t>基金账户</w:t>
      </w:r>
      <w:r>
        <w:rPr>
          <w:rFonts w:ascii="宋体" w:hAnsi="宋体" w:hint="eastAsia"/>
          <w:color w:val="000000"/>
          <w:sz w:val="24"/>
        </w:rPr>
        <w:tab/>
        <w:t>指注册登记机构为基金投资者开立的、记录其持有的、基金管理人所管理的基金份额余额及其变动情况的账户</w:t>
      </w:r>
    </w:p>
    <w:p w14:paraId="1AE798A8" w14:textId="77777777" w:rsidR="00CF57A4" w:rsidRDefault="00B13D46">
      <w:pPr>
        <w:spacing w:line="360" w:lineRule="auto"/>
        <w:ind w:leftChars="228" w:left="2999" w:hangingChars="1050" w:hanging="2520"/>
        <w:rPr>
          <w:rFonts w:ascii="宋体" w:hAnsi="宋体"/>
          <w:color w:val="000000"/>
          <w:sz w:val="24"/>
        </w:rPr>
      </w:pPr>
      <w:r>
        <w:rPr>
          <w:rFonts w:ascii="宋体" w:hAnsi="宋体" w:hint="eastAsia"/>
          <w:color w:val="000000"/>
          <w:sz w:val="24"/>
        </w:rPr>
        <w:t>基金合同生效日</w:t>
      </w:r>
      <w:r>
        <w:rPr>
          <w:rFonts w:ascii="宋体" w:hAnsi="宋体" w:hint="eastAsia"/>
          <w:color w:val="000000"/>
          <w:sz w:val="24"/>
        </w:rPr>
        <w:tab/>
        <w:t>指基金募集期结束后达到法律法规规定及基金合同约定的备案条件，基金管理人聘请法定机构验资并向</w:t>
      </w:r>
      <w:r>
        <w:rPr>
          <w:rFonts w:ascii="宋体" w:hAnsi="宋体" w:hint="eastAsia"/>
          <w:color w:val="000000"/>
          <w:sz w:val="24"/>
        </w:rPr>
        <w:lastRenderedPageBreak/>
        <w:t>中国证监会办理基金备案手续完毕，并收到其书面确认的日期</w:t>
      </w:r>
    </w:p>
    <w:p w14:paraId="41D812F6" w14:textId="77777777" w:rsidR="00CF57A4" w:rsidRDefault="00B13D46">
      <w:pPr>
        <w:spacing w:line="360" w:lineRule="auto"/>
        <w:ind w:leftChars="228" w:left="2999" w:hangingChars="1050" w:hanging="2520"/>
        <w:rPr>
          <w:rFonts w:ascii="宋体" w:hAnsi="宋体"/>
          <w:color w:val="000000"/>
          <w:sz w:val="24"/>
        </w:rPr>
      </w:pPr>
      <w:r>
        <w:rPr>
          <w:rFonts w:ascii="宋体" w:hAnsi="宋体" w:hint="eastAsia"/>
          <w:color w:val="000000"/>
          <w:sz w:val="24"/>
        </w:rPr>
        <w:t>基金募集期</w:t>
      </w:r>
      <w:r>
        <w:rPr>
          <w:rFonts w:ascii="宋体" w:hAnsi="宋体" w:hint="eastAsia"/>
          <w:color w:val="000000"/>
          <w:sz w:val="24"/>
        </w:rPr>
        <w:tab/>
        <w:t>指自基金份额发售之日起至发售结束之日止的期间，最长不得超过</w:t>
      </w:r>
      <w:r>
        <w:rPr>
          <w:rFonts w:ascii="宋体" w:hAnsi="宋体"/>
          <w:color w:val="000000"/>
          <w:sz w:val="24"/>
        </w:rPr>
        <w:t>3</w:t>
      </w:r>
      <w:r>
        <w:rPr>
          <w:rFonts w:ascii="宋体" w:hAnsi="宋体" w:hint="eastAsia"/>
          <w:color w:val="000000"/>
          <w:sz w:val="24"/>
        </w:rPr>
        <w:t>个月</w:t>
      </w:r>
    </w:p>
    <w:p w14:paraId="195C4E79" w14:textId="77777777" w:rsidR="00CF57A4" w:rsidRDefault="00B13D46">
      <w:pPr>
        <w:spacing w:line="360" w:lineRule="auto"/>
        <w:ind w:leftChars="228" w:left="2999" w:hangingChars="1050" w:hanging="2520"/>
        <w:rPr>
          <w:rFonts w:ascii="宋体" w:hAnsi="宋体"/>
          <w:color w:val="000000"/>
          <w:sz w:val="24"/>
        </w:rPr>
      </w:pPr>
      <w:r>
        <w:rPr>
          <w:rFonts w:ascii="宋体" w:hAnsi="宋体" w:hint="eastAsia"/>
          <w:color w:val="000000"/>
          <w:sz w:val="24"/>
        </w:rPr>
        <w:t>存续期</w:t>
      </w:r>
      <w:r>
        <w:rPr>
          <w:rFonts w:ascii="宋体" w:hAnsi="宋体" w:hint="eastAsia"/>
          <w:color w:val="000000"/>
          <w:sz w:val="24"/>
        </w:rPr>
        <w:tab/>
        <w:t>指基金合同生效至终止之间的不定期期限</w:t>
      </w:r>
    </w:p>
    <w:p w14:paraId="053B290A" w14:textId="77777777" w:rsidR="00CF57A4" w:rsidRDefault="00B13D46">
      <w:pPr>
        <w:spacing w:line="360" w:lineRule="auto"/>
        <w:ind w:leftChars="228" w:left="2999" w:hangingChars="1050" w:hanging="2520"/>
        <w:rPr>
          <w:rFonts w:ascii="宋体" w:hAnsi="宋体"/>
          <w:color w:val="000000"/>
          <w:sz w:val="24"/>
        </w:rPr>
      </w:pPr>
      <w:r>
        <w:rPr>
          <w:rFonts w:ascii="宋体" w:hAnsi="宋体" w:hint="eastAsia"/>
          <w:color w:val="000000"/>
          <w:sz w:val="24"/>
        </w:rPr>
        <w:t>工作日</w:t>
      </w:r>
      <w:r>
        <w:rPr>
          <w:rFonts w:ascii="宋体" w:hAnsi="宋体" w:hint="eastAsia"/>
          <w:color w:val="000000"/>
          <w:sz w:val="24"/>
        </w:rPr>
        <w:tab/>
        <w:t>指深圳证券交易所的正常交易日</w:t>
      </w:r>
    </w:p>
    <w:p w14:paraId="49A21722" w14:textId="77777777" w:rsidR="00CF57A4" w:rsidRDefault="00B13D46">
      <w:pPr>
        <w:spacing w:line="360" w:lineRule="auto"/>
        <w:ind w:leftChars="228" w:left="2999" w:hangingChars="1050" w:hanging="2520"/>
        <w:rPr>
          <w:rFonts w:ascii="宋体" w:hAnsi="宋体"/>
          <w:color w:val="000000"/>
          <w:sz w:val="24"/>
        </w:rPr>
      </w:pPr>
      <w:r>
        <w:rPr>
          <w:rFonts w:ascii="宋体" w:hAnsi="宋体" w:hint="eastAsia"/>
          <w:color w:val="000000"/>
          <w:sz w:val="24"/>
        </w:rPr>
        <w:t>日</w:t>
      </w:r>
      <w:r>
        <w:rPr>
          <w:rFonts w:ascii="宋体" w:hAnsi="宋体" w:hint="eastAsia"/>
          <w:color w:val="000000"/>
          <w:sz w:val="24"/>
        </w:rPr>
        <w:tab/>
        <w:t>指公历日</w:t>
      </w:r>
    </w:p>
    <w:p w14:paraId="6A5E5D86" w14:textId="77777777" w:rsidR="00CF57A4" w:rsidRDefault="00B13D46">
      <w:pPr>
        <w:spacing w:line="360" w:lineRule="auto"/>
        <w:ind w:leftChars="228" w:left="2999" w:hangingChars="1050" w:hanging="2520"/>
        <w:rPr>
          <w:rFonts w:ascii="宋体" w:hAnsi="宋体"/>
          <w:color w:val="000000"/>
          <w:sz w:val="24"/>
        </w:rPr>
      </w:pPr>
      <w:r>
        <w:rPr>
          <w:rFonts w:ascii="宋体" w:hAnsi="宋体" w:hint="eastAsia"/>
          <w:color w:val="000000"/>
          <w:sz w:val="24"/>
        </w:rPr>
        <w:t>月</w:t>
      </w:r>
      <w:r>
        <w:rPr>
          <w:rFonts w:ascii="宋体" w:hAnsi="宋体" w:hint="eastAsia"/>
          <w:color w:val="000000"/>
          <w:sz w:val="24"/>
        </w:rPr>
        <w:tab/>
        <w:t>指公历月</w:t>
      </w:r>
    </w:p>
    <w:p w14:paraId="4136C648" w14:textId="77777777" w:rsidR="00CF57A4" w:rsidRDefault="00B13D46">
      <w:pPr>
        <w:spacing w:line="360" w:lineRule="auto"/>
        <w:ind w:leftChars="228" w:left="2999" w:hangingChars="1050" w:hanging="2520"/>
        <w:rPr>
          <w:rFonts w:ascii="宋体" w:hAnsi="宋体"/>
          <w:color w:val="000000"/>
          <w:sz w:val="24"/>
        </w:rPr>
      </w:pPr>
      <w:r>
        <w:rPr>
          <w:rFonts w:ascii="宋体" w:hAnsi="宋体"/>
          <w:color w:val="000000"/>
          <w:sz w:val="24"/>
        </w:rPr>
        <w:t>T</w:t>
      </w:r>
      <w:r>
        <w:rPr>
          <w:rFonts w:ascii="宋体" w:hAnsi="宋体" w:hint="eastAsia"/>
          <w:color w:val="000000"/>
          <w:sz w:val="24"/>
        </w:rPr>
        <w:t>日</w:t>
      </w:r>
      <w:r>
        <w:rPr>
          <w:rFonts w:ascii="宋体" w:hAnsi="宋体" w:hint="eastAsia"/>
          <w:color w:val="000000"/>
          <w:sz w:val="24"/>
        </w:rPr>
        <w:tab/>
        <w:t>指销售机构在规定时间受理基金投资者有效申请工作日</w:t>
      </w:r>
    </w:p>
    <w:p w14:paraId="6D618182" w14:textId="77777777" w:rsidR="00CF57A4" w:rsidRDefault="00B13D46">
      <w:pPr>
        <w:spacing w:line="360" w:lineRule="auto"/>
        <w:ind w:leftChars="228" w:left="2999" w:hangingChars="1050" w:hanging="2520"/>
        <w:rPr>
          <w:rFonts w:ascii="宋体" w:hAnsi="宋体"/>
          <w:color w:val="000000"/>
          <w:sz w:val="24"/>
        </w:rPr>
      </w:pPr>
      <w:r>
        <w:rPr>
          <w:rFonts w:ascii="宋体" w:hAnsi="宋体"/>
          <w:color w:val="000000"/>
          <w:sz w:val="24"/>
        </w:rPr>
        <w:t>T+n</w:t>
      </w:r>
      <w:r>
        <w:rPr>
          <w:rFonts w:ascii="宋体" w:hAnsi="宋体" w:hint="eastAsia"/>
          <w:color w:val="000000"/>
          <w:sz w:val="24"/>
        </w:rPr>
        <w:t>日</w:t>
      </w:r>
      <w:r>
        <w:rPr>
          <w:rFonts w:ascii="宋体" w:hAnsi="宋体" w:hint="eastAsia"/>
          <w:color w:val="000000"/>
          <w:sz w:val="24"/>
        </w:rPr>
        <w:tab/>
        <w:t>指自</w:t>
      </w:r>
      <w:r>
        <w:rPr>
          <w:rFonts w:ascii="宋体" w:hAnsi="宋体"/>
          <w:color w:val="000000"/>
          <w:sz w:val="24"/>
        </w:rPr>
        <w:t>T</w:t>
      </w:r>
      <w:r>
        <w:rPr>
          <w:rFonts w:ascii="宋体" w:hAnsi="宋体" w:hint="eastAsia"/>
          <w:color w:val="000000"/>
          <w:sz w:val="24"/>
        </w:rPr>
        <w:t>日起第</w:t>
      </w:r>
      <w:r>
        <w:rPr>
          <w:rFonts w:ascii="宋体" w:hAnsi="宋体"/>
          <w:color w:val="000000"/>
          <w:sz w:val="24"/>
        </w:rPr>
        <w:t>n</w:t>
      </w:r>
      <w:proofErr w:type="gramStart"/>
      <w:r>
        <w:rPr>
          <w:rFonts w:ascii="宋体" w:hAnsi="宋体" w:hint="eastAsia"/>
          <w:color w:val="000000"/>
          <w:sz w:val="24"/>
        </w:rPr>
        <w:t>个</w:t>
      </w:r>
      <w:proofErr w:type="gramEnd"/>
      <w:r>
        <w:rPr>
          <w:rFonts w:ascii="宋体" w:hAnsi="宋体" w:hint="eastAsia"/>
          <w:color w:val="000000"/>
          <w:sz w:val="24"/>
        </w:rPr>
        <w:t>工作日</w:t>
      </w:r>
      <w:r>
        <w:rPr>
          <w:rFonts w:ascii="宋体" w:hAnsi="宋体"/>
          <w:color w:val="000000"/>
          <w:sz w:val="24"/>
        </w:rPr>
        <w:t>(</w:t>
      </w:r>
      <w:r>
        <w:rPr>
          <w:rFonts w:ascii="宋体" w:hAnsi="宋体" w:hint="eastAsia"/>
          <w:color w:val="000000"/>
          <w:sz w:val="24"/>
        </w:rPr>
        <w:t>不包含</w:t>
      </w:r>
      <w:r>
        <w:rPr>
          <w:rFonts w:ascii="宋体" w:hAnsi="宋体"/>
          <w:color w:val="000000"/>
          <w:sz w:val="24"/>
        </w:rPr>
        <w:t>T</w:t>
      </w:r>
      <w:r>
        <w:rPr>
          <w:rFonts w:ascii="宋体" w:hAnsi="宋体" w:hint="eastAsia"/>
          <w:color w:val="000000"/>
          <w:sz w:val="24"/>
        </w:rPr>
        <w:t>日</w:t>
      </w:r>
      <w:r>
        <w:rPr>
          <w:rFonts w:ascii="宋体" w:hAnsi="宋体"/>
          <w:color w:val="000000"/>
          <w:sz w:val="24"/>
        </w:rPr>
        <w:t>)</w:t>
      </w:r>
    </w:p>
    <w:p w14:paraId="50B251C2" w14:textId="77777777" w:rsidR="00CF57A4" w:rsidRDefault="00B13D46">
      <w:pPr>
        <w:spacing w:line="360" w:lineRule="auto"/>
        <w:ind w:leftChars="228" w:left="2999" w:hangingChars="1050" w:hanging="2520"/>
        <w:rPr>
          <w:rFonts w:ascii="宋体" w:hAnsi="宋体"/>
          <w:color w:val="000000"/>
          <w:sz w:val="24"/>
        </w:rPr>
      </w:pPr>
      <w:r>
        <w:rPr>
          <w:rFonts w:ascii="宋体" w:hAnsi="宋体" w:hint="eastAsia"/>
          <w:color w:val="000000"/>
          <w:sz w:val="24"/>
        </w:rPr>
        <w:t>开放日</w:t>
      </w:r>
      <w:r>
        <w:rPr>
          <w:rFonts w:ascii="宋体" w:hAnsi="宋体" w:hint="eastAsia"/>
          <w:color w:val="000000"/>
          <w:sz w:val="24"/>
        </w:rPr>
        <w:tab/>
        <w:t>指为基金投资者办理基金份额申购、赎回或其他业务的工作日</w:t>
      </w:r>
    </w:p>
    <w:p w14:paraId="63F7714A" w14:textId="77777777" w:rsidR="00CF57A4" w:rsidRDefault="00B13D46">
      <w:pPr>
        <w:spacing w:line="360" w:lineRule="auto"/>
        <w:ind w:leftChars="228" w:left="2999" w:hangingChars="1050" w:hanging="2520"/>
        <w:rPr>
          <w:rFonts w:ascii="宋体" w:hAnsi="宋体"/>
          <w:color w:val="000000"/>
          <w:sz w:val="24"/>
        </w:rPr>
      </w:pPr>
      <w:r>
        <w:rPr>
          <w:rFonts w:ascii="宋体" w:hAnsi="宋体" w:hint="eastAsia"/>
          <w:color w:val="000000"/>
          <w:sz w:val="24"/>
        </w:rPr>
        <w:t>认购</w:t>
      </w:r>
      <w:r>
        <w:rPr>
          <w:rFonts w:ascii="宋体" w:hAnsi="宋体" w:hint="eastAsia"/>
          <w:color w:val="000000"/>
          <w:sz w:val="24"/>
        </w:rPr>
        <w:tab/>
        <w:t>指在基金募集期内，基金投资者申请购买基金份额的行为</w:t>
      </w:r>
    </w:p>
    <w:p w14:paraId="26C220B7" w14:textId="77777777" w:rsidR="00CF57A4" w:rsidRDefault="00B13D46">
      <w:pPr>
        <w:spacing w:line="360" w:lineRule="auto"/>
        <w:ind w:leftChars="228" w:left="2999" w:hangingChars="1050" w:hanging="2520"/>
        <w:rPr>
          <w:rFonts w:ascii="宋体" w:hAnsi="宋体"/>
          <w:color w:val="000000"/>
          <w:sz w:val="24"/>
        </w:rPr>
      </w:pPr>
      <w:r>
        <w:rPr>
          <w:rFonts w:ascii="宋体" w:hAnsi="宋体" w:hint="eastAsia"/>
          <w:color w:val="000000"/>
          <w:sz w:val="24"/>
        </w:rPr>
        <w:t>申购</w:t>
      </w:r>
      <w:r>
        <w:rPr>
          <w:rFonts w:ascii="宋体" w:hAnsi="宋体" w:hint="eastAsia"/>
          <w:color w:val="000000"/>
          <w:sz w:val="24"/>
        </w:rPr>
        <w:tab/>
        <w:t>指在基金存续期内，投资者按本基金合同规定的条件，以申购赎回清单规定的申购对价向基金管理人购买基金份额的行为，申购将导致本基金份额总数的增加</w:t>
      </w:r>
    </w:p>
    <w:p w14:paraId="006DD77D" w14:textId="77777777" w:rsidR="00CF57A4" w:rsidRDefault="00B13D46">
      <w:pPr>
        <w:spacing w:line="360" w:lineRule="auto"/>
        <w:ind w:leftChars="228" w:left="2999" w:hangingChars="1050" w:hanging="2520"/>
        <w:rPr>
          <w:rFonts w:ascii="宋体" w:hAnsi="宋体"/>
          <w:color w:val="000000"/>
          <w:sz w:val="24"/>
        </w:rPr>
      </w:pPr>
      <w:r>
        <w:rPr>
          <w:rFonts w:ascii="宋体" w:hAnsi="宋体" w:hint="eastAsia"/>
          <w:color w:val="000000"/>
          <w:sz w:val="24"/>
        </w:rPr>
        <w:t>赎回</w:t>
      </w:r>
      <w:r>
        <w:rPr>
          <w:rFonts w:ascii="宋体" w:hAnsi="宋体" w:hint="eastAsia"/>
          <w:color w:val="000000"/>
          <w:sz w:val="24"/>
        </w:rPr>
        <w:tab/>
        <w:t>指在基金存续期内，基金份额持有人按基金合同规定的条件，向基金管理人申请将本</w:t>
      </w:r>
      <w:proofErr w:type="gramStart"/>
      <w:r>
        <w:rPr>
          <w:rFonts w:ascii="宋体" w:hAnsi="宋体" w:hint="eastAsia"/>
          <w:color w:val="000000"/>
          <w:sz w:val="24"/>
        </w:rPr>
        <w:t>基金基金</w:t>
      </w:r>
      <w:proofErr w:type="gramEnd"/>
      <w:r>
        <w:rPr>
          <w:rFonts w:ascii="宋体" w:hAnsi="宋体" w:hint="eastAsia"/>
          <w:color w:val="000000"/>
          <w:sz w:val="24"/>
        </w:rPr>
        <w:t>份额兑换为申购赎回清单所规定的赎回对价的行为，赎回将导致本基金份额总数的减少</w:t>
      </w:r>
    </w:p>
    <w:p w14:paraId="10F08312" w14:textId="77777777" w:rsidR="00CF57A4" w:rsidRDefault="00B13D46">
      <w:pPr>
        <w:spacing w:line="360" w:lineRule="auto"/>
        <w:ind w:leftChars="228" w:left="2999" w:hangingChars="1050" w:hanging="2520"/>
        <w:rPr>
          <w:rFonts w:ascii="宋体" w:hAnsi="宋体"/>
          <w:color w:val="000000"/>
          <w:sz w:val="24"/>
        </w:rPr>
      </w:pPr>
      <w:r>
        <w:rPr>
          <w:rFonts w:ascii="宋体" w:hAnsi="宋体" w:hint="eastAsia"/>
          <w:color w:val="000000"/>
          <w:sz w:val="24"/>
        </w:rPr>
        <w:t>申购赎回清单</w:t>
      </w:r>
      <w:r>
        <w:rPr>
          <w:rFonts w:ascii="宋体" w:hAnsi="宋体" w:hint="eastAsia"/>
          <w:color w:val="000000"/>
          <w:sz w:val="24"/>
        </w:rPr>
        <w:tab/>
        <w:t>指由基金管理人编制的用以公告申购对价、赎回对价等信息的文件</w:t>
      </w:r>
    </w:p>
    <w:p w14:paraId="75E106E7" w14:textId="77777777" w:rsidR="00CF57A4" w:rsidRDefault="00B13D46">
      <w:pPr>
        <w:spacing w:line="360" w:lineRule="auto"/>
        <w:ind w:leftChars="228" w:left="2999" w:hangingChars="1050" w:hanging="2520"/>
        <w:rPr>
          <w:rFonts w:ascii="宋体" w:hAnsi="宋体"/>
          <w:color w:val="000000"/>
          <w:sz w:val="24"/>
        </w:rPr>
      </w:pPr>
      <w:r>
        <w:rPr>
          <w:rFonts w:ascii="宋体" w:hAnsi="宋体" w:hint="eastAsia"/>
          <w:color w:val="000000"/>
          <w:sz w:val="24"/>
        </w:rPr>
        <w:t>申购对价</w:t>
      </w:r>
      <w:r>
        <w:rPr>
          <w:rFonts w:ascii="宋体" w:hAnsi="宋体" w:hint="eastAsia"/>
          <w:color w:val="000000"/>
          <w:sz w:val="24"/>
        </w:rPr>
        <w:tab/>
        <w:t>指投资者申购基金份额时，按基金合同和招募说明书规定应交付的组合证券、现金替代、现金差额及其他对价</w:t>
      </w:r>
    </w:p>
    <w:p w14:paraId="54D2CE8E" w14:textId="77777777" w:rsidR="00CF57A4" w:rsidRDefault="00B13D46">
      <w:pPr>
        <w:spacing w:line="360" w:lineRule="auto"/>
        <w:ind w:leftChars="228" w:left="2999" w:hangingChars="1050" w:hanging="2520"/>
        <w:rPr>
          <w:rFonts w:ascii="宋体" w:hAnsi="宋体"/>
          <w:color w:val="000000"/>
          <w:sz w:val="24"/>
        </w:rPr>
      </w:pPr>
      <w:r>
        <w:rPr>
          <w:rFonts w:ascii="宋体" w:hAnsi="宋体" w:hint="eastAsia"/>
          <w:color w:val="000000"/>
          <w:sz w:val="24"/>
        </w:rPr>
        <w:t>赎回对价</w:t>
      </w:r>
      <w:r>
        <w:rPr>
          <w:rFonts w:ascii="宋体" w:hAnsi="宋体" w:hint="eastAsia"/>
          <w:color w:val="000000"/>
          <w:sz w:val="24"/>
        </w:rPr>
        <w:tab/>
        <w:t>指投资者赎回基金份额时，基金管理人按基金合同和招募说明书规定应交付给赎回人的组合证券、现金替</w:t>
      </w:r>
      <w:r>
        <w:rPr>
          <w:rFonts w:ascii="宋体" w:hAnsi="宋体" w:hint="eastAsia"/>
          <w:color w:val="000000"/>
          <w:sz w:val="24"/>
        </w:rPr>
        <w:lastRenderedPageBreak/>
        <w:t>代、现金差额及其他对价</w:t>
      </w:r>
    </w:p>
    <w:p w14:paraId="364AFEC5" w14:textId="77777777" w:rsidR="00CF57A4" w:rsidRDefault="00B13D46">
      <w:pPr>
        <w:spacing w:line="360" w:lineRule="auto"/>
        <w:ind w:leftChars="228" w:left="2999" w:hangingChars="1050" w:hanging="2520"/>
        <w:rPr>
          <w:rFonts w:ascii="宋体" w:hAnsi="宋体"/>
          <w:color w:val="000000"/>
          <w:sz w:val="24"/>
        </w:rPr>
      </w:pPr>
      <w:r>
        <w:rPr>
          <w:rFonts w:ascii="宋体" w:hAnsi="宋体" w:hint="eastAsia"/>
          <w:color w:val="000000"/>
          <w:sz w:val="24"/>
        </w:rPr>
        <w:t>标的指数</w:t>
      </w:r>
      <w:r>
        <w:rPr>
          <w:rFonts w:ascii="宋体" w:hAnsi="宋体" w:hint="eastAsia"/>
          <w:color w:val="000000"/>
          <w:sz w:val="24"/>
        </w:rPr>
        <w:tab/>
        <w:t>指深证300价值价格指数及其未来可能发生的变更</w:t>
      </w:r>
    </w:p>
    <w:p w14:paraId="761C9598" w14:textId="77777777" w:rsidR="00CF57A4" w:rsidRDefault="00B13D46">
      <w:pPr>
        <w:spacing w:line="360" w:lineRule="auto"/>
        <w:ind w:leftChars="228" w:left="2999" w:hangingChars="1050" w:hanging="2520"/>
        <w:rPr>
          <w:rFonts w:ascii="宋体" w:hAnsi="宋体"/>
          <w:color w:val="000000"/>
          <w:sz w:val="24"/>
        </w:rPr>
      </w:pPr>
      <w:r>
        <w:rPr>
          <w:rFonts w:ascii="宋体" w:hAnsi="宋体" w:hint="eastAsia"/>
          <w:color w:val="000000"/>
          <w:sz w:val="24"/>
        </w:rPr>
        <w:t>完全复制法</w:t>
      </w:r>
      <w:r>
        <w:rPr>
          <w:rFonts w:ascii="宋体" w:hAnsi="宋体" w:hint="eastAsia"/>
          <w:color w:val="000000"/>
          <w:sz w:val="24"/>
        </w:rPr>
        <w:tab/>
        <w:t>指一种构建跟踪指数的投资组合的方法。通过购买标的指数中的所有成份证券，并且按照每种成份证券在标的指数中的权重确定购买的比例，以达到复制指数的目的</w:t>
      </w:r>
    </w:p>
    <w:p w14:paraId="41A3D3BE" w14:textId="77777777" w:rsidR="00CF57A4" w:rsidRDefault="00B13D46">
      <w:pPr>
        <w:spacing w:line="360" w:lineRule="auto"/>
        <w:ind w:leftChars="228" w:left="2999" w:hangingChars="1050" w:hanging="2520"/>
        <w:rPr>
          <w:rFonts w:ascii="宋体" w:hAnsi="宋体"/>
          <w:color w:val="000000"/>
          <w:sz w:val="24"/>
        </w:rPr>
      </w:pPr>
      <w:r>
        <w:rPr>
          <w:rFonts w:ascii="宋体" w:hAnsi="宋体" w:hint="eastAsia"/>
          <w:color w:val="000000"/>
          <w:sz w:val="24"/>
        </w:rPr>
        <w:t>最小申购赎回单位</w:t>
      </w:r>
      <w:r>
        <w:rPr>
          <w:rFonts w:ascii="宋体" w:hAnsi="宋体" w:hint="eastAsia"/>
          <w:color w:val="000000"/>
          <w:sz w:val="24"/>
        </w:rPr>
        <w:tab/>
        <w:t>指本基金申购份额、赎回份额的最低数量，投资者申购或赎回的基金份额应为最小申购赎回单位的整数倍</w:t>
      </w:r>
    </w:p>
    <w:p w14:paraId="44FEECAD" w14:textId="77777777" w:rsidR="00CF57A4" w:rsidRDefault="00B13D46">
      <w:pPr>
        <w:spacing w:line="360" w:lineRule="auto"/>
        <w:ind w:leftChars="228" w:left="2999" w:hangingChars="1050" w:hanging="2520"/>
        <w:rPr>
          <w:rFonts w:ascii="宋体" w:hAnsi="宋体"/>
          <w:color w:val="000000"/>
          <w:sz w:val="24"/>
        </w:rPr>
      </w:pPr>
      <w:r>
        <w:rPr>
          <w:rFonts w:ascii="宋体" w:hAnsi="宋体" w:hint="eastAsia"/>
          <w:color w:val="000000"/>
          <w:sz w:val="24"/>
        </w:rPr>
        <w:t>现金替代</w:t>
      </w:r>
      <w:r>
        <w:rPr>
          <w:rFonts w:ascii="宋体" w:hAnsi="宋体" w:hint="eastAsia"/>
          <w:color w:val="000000"/>
          <w:sz w:val="24"/>
        </w:rPr>
        <w:tab/>
        <w:t>指申购或赎回过程中，投资者按基金合同和招募说明书的规定，用于替代组合证券中部分证券的一定数量的现金</w:t>
      </w:r>
    </w:p>
    <w:p w14:paraId="02CA7BB9" w14:textId="77777777" w:rsidR="00CF57A4" w:rsidRDefault="00B13D46">
      <w:pPr>
        <w:spacing w:line="360" w:lineRule="auto"/>
        <w:ind w:leftChars="228" w:left="2999" w:hangingChars="1050" w:hanging="2520"/>
        <w:rPr>
          <w:rFonts w:ascii="宋体" w:hAnsi="宋体"/>
          <w:color w:val="000000"/>
          <w:sz w:val="24"/>
        </w:rPr>
      </w:pPr>
      <w:r>
        <w:rPr>
          <w:rFonts w:ascii="宋体" w:hAnsi="宋体" w:hint="eastAsia"/>
          <w:color w:val="000000"/>
          <w:sz w:val="24"/>
        </w:rPr>
        <w:t>现金差额</w:t>
      </w:r>
      <w:r>
        <w:rPr>
          <w:rFonts w:ascii="宋体" w:hAnsi="宋体" w:hint="eastAsia"/>
          <w:color w:val="000000"/>
          <w:sz w:val="24"/>
        </w:rPr>
        <w:tab/>
        <w:t>指最小申购赎回单位的资产净值与按当日收盘价计算的最小申购赎回单位中的组合证券市值和现金替代之差；投资者申购或赎回时应支付或应获得的现金差额根据最小申购赎回单位对应的现金差额、申购或赎回的基金份额数计算</w:t>
      </w:r>
    </w:p>
    <w:p w14:paraId="2CF917A3" w14:textId="77777777" w:rsidR="00CF57A4" w:rsidRDefault="00B13D46">
      <w:pPr>
        <w:spacing w:line="360" w:lineRule="auto"/>
        <w:ind w:leftChars="228" w:left="2999" w:hangingChars="1050" w:hanging="2520"/>
        <w:rPr>
          <w:rFonts w:ascii="宋体" w:hAnsi="宋体"/>
          <w:color w:val="000000"/>
          <w:sz w:val="24"/>
        </w:rPr>
      </w:pPr>
      <w:r>
        <w:rPr>
          <w:rFonts w:ascii="宋体" w:hAnsi="宋体" w:hint="eastAsia"/>
          <w:color w:val="000000"/>
          <w:sz w:val="24"/>
        </w:rPr>
        <w:t>预估现金差额</w:t>
      </w:r>
      <w:r>
        <w:rPr>
          <w:rFonts w:ascii="宋体" w:hAnsi="宋体" w:hint="eastAsia"/>
          <w:color w:val="000000"/>
          <w:sz w:val="24"/>
        </w:rPr>
        <w:tab/>
        <w:t>指由基金管理人计算并在T日申购赎回清单中公布的当日现金差额的预估值，预估现金差额由申购赎回代理券商预先冻结</w:t>
      </w:r>
    </w:p>
    <w:p w14:paraId="6B0CA13B" w14:textId="77777777" w:rsidR="00CF57A4" w:rsidRDefault="00B13D46">
      <w:pPr>
        <w:spacing w:line="360" w:lineRule="auto"/>
        <w:ind w:leftChars="228" w:left="2999" w:hangingChars="1050" w:hanging="2520"/>
        <w:rPr>
          <w:rFonts w:ascii="宋体" w:hAnsi="宋体"/>
          <w:color w:val="000000"/>
          <w:sz w:val="24"/>
        </w:rPr>
      </w:pPr>
      <w:r>
        <w:rPr>
          <w:rFonts w:ascii="宋体" w:hAnsi="宋体" w:hint="eastAsia"/>
          <w:color w:val="000000"/>
          <w:sz w:val="24"/>
        </w:rPr>
        <w:t>基金份额参考净值</w:t>
      </w:r>
      <w:r>
        <w:rPr>
          <w:rFonts w:ascii="宋体" w:hAnsi="宋体" w:hint="eastAsia"/>
          <w:color w:val="000000"/>
          <w:sz w:val="24"/>
        </w:rPr>
        <w:tab/>
        <w:t>指深圳证券交易在交易时间内根据基金管理人提供的计算依据及计算方法计算并发布的基金份额参考净值，简称IOPV</w:t>
      </w:r>
    </w:p>
    <w:p w14:paraId="5E923D2F" w14:textId="77777777" w:rsidR="00CF57A4" w:rsidRDefault="00B13D46">
      <w:pPr>
        <w:spacing w:line="360" w:lineRule="auto"/>
        <w:ind w:leftChars="228" w:left="2999" w:hangingChars="1050" w:hanging="2520"/>
        <w:rPr>
          <w:rFonts w:ascii="宋体" w:hAnsi="宋体"/>
          <w:color w:val="000000"/>
          <w:sz w:val="24"/>
        </w:rPr>
      </w:pPr>
      <w:r>
        <w:rPr>
          <w:rFonts w:ascii="宋体" w:hAnsi="宋体" w:hint="eastAsia"/>
          <w:color w:val="000000"/>
          <w:sz w:val="24"/>
        </w:rPr>
        <w:t>元</w:t>
      </w:r>
      <w:r>
        <w:rPr>
          <w:rFonts w:ascii="宋体" w:hAnsi="宋体" w:hint="eastAsia"/>
          <w:color w:val="000000"/>
          <w:sz w:val="24"/>
        </w:rPr>
        <w:tab/>
        <w:t>指人民币元</w:t>
      </w:r>
    </w:p>
    <w:p w14:paraId="2B420B84" w14:textId="77777777" w:rsidR="00CF57A4" w:rsidRDefault="00B13D46">
      <w:pPr>
        <w:spacing w:line="360" w:lineRule="auto"/>
        <w:ind w:leftChars="228" w:left="2999" w:hangingChars="1050" w:hanging="2520"/>
        <w:rPr>
          <w:rFonts w:ascii="宋体" w:hAnsi="宋体"/>
          <w:color w:val="000000"/>
          <w:sz w:val="24"/>
        </w:rPr>
      </w:pPr>
      <w:r>
        <w:rPr>
          <w:rFonts w:ascii="宋体" w:hAnsi="宋体" w:hint="eastAsia"/>
          <w:color w:val="000000"/>
          <w:sz w:val="24"/>
        </w:rPr>
        <w:t>基金利润</w:t>
      </w:r>
      <w:r>
        <w:rPr>
          <w:rFonts w:ascii="宋体" w:hAnsi="宋体" w:hint="eastAsia"/>
          <w:color w:val="000000"/>
          <w:sz w:val="24"/>
        </w:rPr>
        <w:tab/>
        <w:t>指基金利息收入、投资收益、公允价值变动收益和其他收入扣除相关费用后的余额</w:t>
      </w:r>
    </w:p>
    <w:p w14:paraId="1FC09FD2" w14:textId="77777777" w:rsidR="00CF57A4" w:rsidRDefault="00B13D46">
      <w:pPr>
        <w:spacing w:line="360" w:lineRule="auto"/>
        <w:ind w:leftChars="228" w:left="2999" w:hangingChars="1050" w:hanging="2520"/>
        <w:rPr>
          <w:rFonts w:ascii="宋体" w:hAnsi="宋体"/>
          <w:color w:val="000000"/>
          <w:sz w:val="24"/>
        </w:rPr>
      </w:pPr>
      <w:r>
        <w:rPr>
          <w:rFonts w:ascii="宋体" w:hAnsi="宋体" w:hint="eastAsia"/>
          <w:color w:val="000000"/>
          <w:sz w:val="24"/>
        </w:rPr>
        <w:t>收益</w:t>
      </w:r>
      <w:proofErr w:type="gramStart"/>
      <w:r>
        <w:rPr>
          <w:rFonts w:ascii="宋体" w:hAnsi="宋体" w:hint="eastAsia"/>
          <w:color w:val="000000"/>
          <w:sz w:val="24"/>
        </w:rPr>
        <w:t>评价日</w:t>
      </w:r>
      <w:proofErr w:type="gramEnd"/>
      <w:r>
        <w:rPr>
          <w:rFonts w:ascii="宋体" w:hAnsi="宋体" w:hint="eastAsia"/>
          <w:color w:val="000000"/>
          <w:sz w:val="24"/>
        </w:rPr>
        <w:tab/>
        <w:t>指基金管理人计算本基金净值增长率与标的指数同期增长率差额之日</w:t>
      </w:r>
    </w:p>
    <w:p w14:paraId="3BBFFF1A" w14:textId="77777777" w:rsidR="00CF57A4" w:rsidRDefault="00B13D46">
      <w:pPr>
        <w:spacing w:line="360" w:lineRule="auto"/>
        <w:ind w:leftChars="228" w:left="2999" w:hangingChars="1050" w:hanging="2520"/>
        <w:rPr>
          <w:rFonts w:ascii="宋体" w:hAnsi="宋体"/>
          <w:color w:val="000000"/>
          <w:sz w:val="24"/>
        </w:rPr>
      </w:pPr>
      <w:r>
        <w:rPr>
          <w:rFonts w:ascii="宋体" w:hAnsi="宋体" w:hint="eastAsia"/>
          <w:color w:val="000000"/>
          <w:sz w:val="24"/>
        </w:rPr>
        <w:t>基金净值增长率</w:t>
      </w:r>
      <w:r>
        <w:rPr>
          <w:rFonts w:ascii="宋体" w:hAnsi="宋体" w:hint="eastAsia"/>
          <w:color w:val="000000"/>
          <w:sz w:val="24"/>
        </w:rPr>
        <w:tab/>
      </w:r>
      <w:proofErr w:type="gramStart"/>
      <w:r>
        <w:rPr>
          <w:rFonts w:ascii="宋体" w:hAnsi="宋体" w:hint="eastAsia"/>
          <w:color w:val="000000"/>
          <w:sz w:val="24"/>
        </w:rPr>
        <w:t>指收益评价日</w:t>
      </w:r>
      <w:proofErr w:type="gramEnd"/>
      <w:r>
        <w:rPr>
          <w:rFonts w:ascii="宋体" w:hAnsi="宋体" w:hint="eastAsia"/>
          <w:color w:val="000000"/>
          <w:sz w:val="24"/>
        </w:rPr>
        <w:t>基金份额净值与基金上市前一日基金</w:t>
      </w:r>
      <w:r>
        <w:rPr>
          <w:rFonts w:ascii="宋体" w:hAnsi="宋体" w:hint="eastAsia"/>
          <w:color w:val="000000"/>
          <w:sz w:val="24"/>
        </w:rPr>
        <w:lastRenderedPageBreak/>
        <w:t>份额净值之比减去1乘以100%（期间如发生基金份额折算，则以基金份额折算日为初始日重新计算）</w:t>
      </w:r>
    </w:p>
    <w:p w14:paraId="4FAA4AAE" w14:textId="77777777" w:rsidR="00CF57A4" w:rsidRDefault="00B13D46">
      <w:pPr>
        <w:spacing w:line="360" w:lineRule="auto"/>
        <w:ind w:leftChars="228" w:left="2999" w:hangingChars="1050" w:hanging="2520"/>
        <w:rPr>
          <w:rFonts w:ascii="宋体" w:hAnsi="宋体"/>
          <w:color w:val="000000"/>
          <w:sz w:val="24"/>
        </w:rPr>
      </w:pPr>
      <w:r>
        <w:rPr>
          <w:rFonts w:ascii="宋体" w:hAnsi="宋体" w:hint="eastAsia"/>
          <w:color w:val="000000"/>
          <w:sz w:val="24"/>
        </w:rPr>
        <w:t>标的指数同期增长率</w:t>
      </w:r>
      <w:r>
        <w:rPr>
          <w:rFonts w:ascii="宋体" w:hAnsi="宋体" w:hint="eastAsia"/>
          <w:color w:val="000000"/>
          <w:sz w:val="24"/>
        </w:rPr>
        <w:tab/>
      </w:r>
      <w:proofErr w:type="gramStart"/>
      <w:r>
        <w:rPr>
          <w:rFonts w:ascii="宋体" w:hAnsi="宋体" w:hint="eastAsia"/>
          <w:color w:val="000000"/>
          <w:sz w:val="24"/>
        </w:rPr>
        <w:t>指收益</w:t>
      </w:r>
      <w:proofErr w:type="gramEnd"/>
      <w:r>
        <w:rPr>
          <w:rFonts w:ascii="宋体" w:hAnsi="宋体" w:hint="eastAsia"/>
          <w:color w:val="000000"/>
          <w:sz w:val="24"/>
        </w:rPr>
        <w:t>评价日标的指数</w:t>
      </w:r>
      <w:proofErr w:type="gramStart"/>
      <w:r>
        <w:rPr>
          <w:rFonts w:ascii="宋体" w:hAnsi="宋体" w:hint="eastAsia"/>
          <w:color w:val="000000"/>
          <w:sz w:val="24"/>
        </w:rPr>
        <w:t>收盘值</w:t>
      </w:r>
      <w:proofErr w:type="gramEnd"/>
      <w:r>
        <w:rPr>
          <w:rFonts w:ascii="宋体" w:hAnsi="宋体" w:hint="eastAsia"/>
          <w:color w:val="000000"/>
          <w:sz w:val="24"/>
        </w:rPr>
        <w:t>与基金上市前一日标的指数</w:t>
      </w:r>
      <w:proofErr w:type="gramStart"/>
      <w:r>
        <w:rPr>
          <w:rFonts w:ascii="宋体" w:hAnsi="宋体" w:hint="eastAsia"/>
          <w:color w:val="000000"/>
          <w:sz w:val="24"/>
        </w:rPr>
        <w:t>收盘值</w:t>
      </w:r>
      <w:proofErr w:type="gramEnd"/>
      <w:r>
        <w:rPr>
          <w:rFonts w:ascii="宋体" w:hAnsi="宋体" w:hint="eastAsia"/>
          <w:color w:val="000000"/>
          <w:sz w:val="24"/>
        </w:rPr>
        <w:t>之比减去1乘以100%（期间如发生基金份额折算，则以基金份额折算日为初始日重新计算）</w:t>
      </w:r>
    </w:p>
    <w:p w14:paraId="52FFE4EE" w14:textId="77777777" w:rsidR="00CF57A4" w:rsidRDefault="00B13D46">
      <w:pPr>
        <w:spacing w:line="360" w:lineRule="auto"/>
        <w:ind w:leftChars="228" w:left="2999" w:hangingChars="1050" w:hanging="2520"/>
        <w:rPr>
          <w:rFonts w:ascii="宋体" w:hAnsi="宋体"/>
          <w:color w:val="000000"/>
          <w:sz w:val="24"/>
        </w:rPr>
      </w:pPr>
      <w:r>
        <w:rPr>
          <w:rFonts w:ascii="宋体" w:hAnsi="宋体" w:hint="eastAsia"/>
          <w:color w:val="000000"/>
          <w:sz w:val="24"/>
        </w:rPr>
        <w:t>基金资产总值</w:t>
      </w:r>
      <w:r>
        <w:rPr>
          <w:rFonts w:ascii="宋体" w:hAnsi="宋体" w:hint="eastAsia"/>
          <w:color w:val="000000"/>
          <w:sz w:val="24"/>
        </w:rPr>
        <w:tab/>
        <w:t>指基金拥有的各类有价证券、银行存款本息、基金应收款项及其他资产的价值总和</w:t>
      </w:r>
    </w:p>
    <w:p w14:paraId="3DFE51A2" w14:textId="77777777" w:rsidR="00CF57A4" w:rsidRDefault="00B13D46">
      <w:pPr>
        <w:spacing w:line="360" w:lineRule="auto"/>
        <w:ind w:leftChars="228" w:left="2999" w:hangingChars="1050" w:hanging="2520"/>
        <w:rPr>
          <w:rFonts w:ascii="宋体" w:hAnsi="宋体"/>
          <w:color w:val="000000"/>
          <w:sz w:val="24"/>
        </w:rPr>
      </w:pPr>
      <w:r>
        <w:rPr>
          <w:rFonts w:ascii="宋体" w:hAnsi="宋体" w:hint="eastAsia"/>
          <w:color w:val="000000"/>
          <w:sz w:val="24"/>
        </w:rPr>
        <w:t>基金资产净值</w:t>
      </w:r>
      <w:r>
        <w:rPr>
          <w:rFonts w:ascii="宋体" w:hAnsi="宋体" w:hint="eastAsia"/>
          <w:color w:val="000000"/>
          <w:sz w:val="24"/>
        </w:rPr>
        <w:tab/>
        <w:t>指基金资产总值减去基金负债后的净资产值</w:t>
      </w:r>
    </w:p>
    <w:p w14:paraId="608E7F27" w14:textId="77777777" w:rsidR="00CF57A4" w:rsidRDefault="00B13D46">
      <w:pPr>
        <w:spacing w:line="360" w:lineRule="auto"/>
        <w:ind w:leftChars="228" w:left="2999" w:hangingChars="1050" w:hanging="2520"/>
        <w:rPr>
          <w:rFonts w:ascii="宋体" w:hAnsi="宋体"/>
          <w:color w:val="000000"/>
          <w:sz w:val="24"/>
        </w:rPr>
      </w:pPr>
      <w:r>
        <w:rPr>
          <w:rFonts w:ascii="宋体" w:hAnsi="宋体" w:hint="eastAsia"/>
          <w:color w:val="000000"/>
          <w:sz w:val="24"/>
        </w:rPr>
        <w:t>基金份额净值</w:t>
      </w:r>
      <w:r>
        <w:rPr>
          <w:rFonts w:ascii="宋体" w:hAnsi="宋体" w:hint="eastAsia"/>
          <w:color w:val="000000"/>
          <w:sz w:val="24"/>
        </w:rPr>
        <w:tab/>
        <w:t>指计算日基金资产净值除以计算日基金份额总数的数值</w:t>
      </w:r>
    </w:p>
    <w:p w14:paraId="55B0EA10" w14:textId="77777777" w:rsidR="00CF57A4" w:rsidRDefault="00B13D46">
      <w:pPr>
        <w:spacing w:line="360" w:lineRule="auto"/>
        <w:ind w:leftChars="228" w:left="2999" w:hangingChars="1050" w:hanging="2520"/>
        <w:rPr>
          <w:rFonts w:ascii="宋体" w:hAnsi="宋体"/>
          <w:color w:val="000000"/>
          <w:sz w:val="24"/>
        </w:rPr>
      </w:pPr>
      <w:r>
        <w:rPr>
          <w:rFonts w:ascii="宋体" w:hAnsi="宋体" w:hint="eastAsia"/>
          <w:color w:val="000000"/>
          <w:sz w:val="24"/>
        </w:rPr>
        <w:t>基金资产估值</w:t>
      </w:r>
      <w:r>
        <w:rPr>
          <w:rFonts w:ascii="宋体" w:hAnsi="宋体" w:hint="eastAsia"/>
          <w:color w:val="000000"/>
          <w:sz w:val="24"/>
        </w:rPr>
        <w:tab/>
        <w:t>指计算评估基金资产和负债的价值，以确定基金资产净值和基金份额净值的过程</w:t>
      </w:r>
    </w:p>
    <w:p w14:paraId="1C06177B" w14:textId="74E51198" w:rsidR="00631996" w:rsidRDefault="00631996">
      <w:pPr>
        <w:spacing w:line="360" w:lineRule="auto"/>
        <w:ind w:leftChars="228" w:left="2999" w:hangingChars="1050" w:hanging="2520"/>
        <w:rPr>
          <w:rFonts w:ascii="宋体" w:hAnsi="宋体"/>
          <w:color w:val="000000"/>
          <w:sz w:val="24"/>
        </w:rPr>
      </w:pPr>
      <w:r w:rsidRPr="00631996">
        <w:rPr>
          <w:rFonts w:ascii="宋体" w:hAnsi="宋体" w:hint="eastAsia"/>
          <w:color w:val="000000"/>
          <w:sz w:val="24"/>
        </w:rPr>
        <w:t>流动性受限资产</w:t>
      </w:r>
      <w:r>
        <w:rPr>
          <w:rFonts w:ascii="宋体" w:hAnsi="宋体" w:hint="eastAsia"/>
          <w:color w:val="000000"/>
          <w:sz w:val="24"/>
        </w:rPr>
        <w:t xml:space="preserve"> </w:t>
      </w:r>
      <w:r>
        <w:rPr>
          <w:rFonts w:ascii="宋体" w:hAnsi="宋体"/>
          <w:color w:val="000000"/>
          <w:sz w:val="24"/>
        </w:rPr>
        <w:t xml:space="preserve">      </w:t>
      </w:r>
      <w:r w:rsidRPr="00631996">
        <w:rPr>
          <w:rFonts w:ascii="宋体" w:hAnsi="宋体" w:hint="eastAsia"/>
          <w:color w:val="000000"/>
          <w:sz w:val="24"/>
        </w:rPr>
        <w:t>指由于法律法规、监管、合同或操作障碍等原因无法以合理价格予以变现的资产，包括但不限于到期日在10个交易日以上的逆回购与银行定期存款（</w:t>
      </w:r>
      <w:proofErr w:type="gramStart"/>
      <w:r w:rsidRPr="00631996">
        <w:rPr>
          <w:rFonts w:ascii="宋体" w:hAnsi="宋体" w:hint="eastAsia"/>
          <w:color w:val="000000"/>
          <w:sz w:val="24"/>
        </w:rPr>
        <w:t>含协议</w:t>
      </w:r>
      <w:proofErr w:type="gramEnd"/>
      <w:r w:rsidRPr="00631996">
        <w:rPr>
          <w:rFonts w:ascii="宋体" w:hAnsi="宋体" w:hint="eastAsia"/>
          <w:color w:val="000000"/>
          <w:sz w:val="24"/>
        </w:rPr>
        <w:t>约定有条件提前支取的银行存款）、停牌股票、流通受限的新股及非公开发行股票、资产支持证券、因发行人债务违约无法进行转让或交易的债券等</w:t>
      </w:r>
    </w:p>
    <w:p w14:paraId="7F103B0E" w14:textId="77777777" w:rsidR="00CF57A4" w:rsidRDefault="00B13D46">
      <w:pPr>
        <w:spacing w:line="360" w:lineRule="auto"/>
        <w:ind w:leftChars="228" w:left="2999" w:hangingChars="1050" w:hanging="2520"/>
        <w:rPr>
          <w:color w:val="000000"/>
        </w:rPr>
      </w:pPr>
      <w:r>
        <w:rPr>
          <w:rFonts w:ascii="宋体" w:hAnsi="宋体" w:hint="eastAsia"/>
          <w:color w:val="000000"/>
          <w:sz w:val="24"/>
        </w:rPr>
        <w:t>指定媒体</w:t>
      </w:r>
      <w:r>
        <w:rPr>
          <w:rFonts w:ascii="宋体" w:hAnsi="宋体" w:hint="eastAsia"/>
          <w:color w:val="000000"/>
          <w:sz w:val="24"/>
        </w:rPr>
        <w:tab/>
        <w:t>指中国证监会指定的用以进行信息披露的报刊、基金管理人、基金托管人的互联网网站及其他媒体</w:t>
      </w:r>
    </w:p>
    <w:p w14:paraId="2CB680B9" w14:textId="77777777" w:rsidR="00CF57A4" w:rsidRDefault="00B13D46">
      <w:pPr>
        <w:spacing w:line="360" w:lineRule="auto"/>
        <w:ind w:leftChars="228" w:left="2999" w:hangingChars="1050" w:hanging="2520"/>
        <w:rPr>
          <w:rFonts w:ascii="宋体" w:hAnsi="宋体"/>
          <w:color w:val="000000"/>
          <w:sz w:val="24"/>
        </w:rPr>
      </w:pPr>
      <w:r>
        <w:rPr>
          <w:rFonts w:ascii="宋体" w:hAnsi="宋体" w:hint="eastAsia"/>
          <w:color w:val="000000"/>
          <w:sz w:val="24"/>
        </w:rPr>
        <w:t>不可抗力</w:t>
      </w:r>
      <w:r>
        <w:rPr>
          <w:rFonts w:ascii="宋体" w:hAnsi="宋体" w:hint="eastAsia"/>
          <w:color w:val="000000"/>
          <w:sz w:val="24"/>
        </w:rPr>
        <w:tab/>
        <w:t>指基金合同当事人不能预见、不能避免且不能克服，且在基金合同签署之日后发生的，使基金合同当事人无法全部或部分履行基金合同的任何事件，包括但不限于洪水、地震及其他自然灾害、战争、骚乱、火灾、政府征用、没收、法律法规变化、突发停电或其他突发事件、证券交易所非正常暂停或停止交易</w:t>
      </w:r>
    </w:p>
    <w:p w14:paraId="7074FDC4" w14:textId="77777777" w:rsidR="00CF57A4" w:rsidRDefault="00CF57A4">
      <w:pPr>
        <w:spacing w:line="360" w:lineRule="auto"/>
        <w:ind w:leftChars="228" w:left="2999" w:hangingChars="1050" w:hanging="2520"/>
        <w:rPr>
          <w:rFonts w:ascii="宋体" w:hAnsi="宋体"/>
          <w:color w:val="000000"/>
          <w:sz w:val="24"/>
        </w:rPr>
      </w:pPr>
    </w:p>
    <w:p w14:paraId="533829C2" w14:textId="77777777" w:rsidR="00CF57A4" w:rsidRDefault="00B13D46">
      <w:pPr>
        <w:pStyle w:val="af1"/>
        <w:rPr>
          <w:rFonts w:eastAsia="黑体"/>
          <w:color w:val="000000"/>
          <w:kern w:val="0"/>
          <w:sz w:val="30"/>
        </w:rPr>
      </w:pPr>
      <w:bookmarkStart w:id="39" w:name="_Hlt80961854"/>
      <w:bookmarkStart w:id="40" w:name="_Hlt81034163"/>
      <w:bookmarkStart w:id="41" w:name="_Toc109537381"/>
      <w:bookmarkEnd w:id="39"/>
      <w:bookmarkEnd w:id="40"/>
      <w:r>
        <w:rPr>
          <w:rFonts w:eastAsia="黑体"/>
          <w:color w:val="000000"/>
          <w:kern w:val="0"/>
          <w:sz w:val="30"/>
        </w:rPr>
        <w:br w:type="page"/>
      </w:r>
      <w:bookmarkStart w:id="42" w:name="_Toc320703943"/>
      <w:bookmarkStart w:id="43" w:name="_Toc320703995"/>
      <w:bookmarkStart w:id="44" w:name="_Toc320704068"/>
      <w:bookmarkStart w:id="45" w:name="_Toc320704355"/>
      <w:bookmarkStart w:id="46" w:name="_Toc322002719"/>
      <w:bookmarkStart w:id="47" w:name="_Toc322519870"/>
      <w:r>
        <w:rPr>
          <w:rFonts w:eastAsia="黑体" w:hint="eastAsia"/>
          <w:color w:val="000000"/>
          <w:kern w:val="0"/>
          <w:sz w:val="30"/>
        </w:rPr>
        <w:lastRenderedPageBreak/>
        <w:t>三、基金管理人</w:t>
      </w:r>
      <w:bookmarkEnd w:id="41"/>
      <w:bookmarkEnd w:id="42"/>
      <w:bookmarkEnd w:id="43"/>
      <w:bookmarkEnd w:id="44"/>
      <w:bookmarkEnd w:id="45"/>
      <w:bookmarkEnd w:id="46"/>
      <w:bookmarkEnd w:id="47"/>
    </w:p>
    <w:p w14:paraId="2CA6E480" w14:textId="77777777" w:rsidR="00054086" w:rsidRDefault="00054086" w:rsidP="00054086">
      <w:pPr>
        <w:widowControl/>
        <w:adjustRightInd w:val="0"/>
        <w:snapToGrid w:val="0"/>
        <w:spacing w:line="360" w:lineRule="auto"/>
        <w:ind w:firstLineChars="200" w:firstLine="482"/>
        <w:outlineLvl w:val="1"/>
        <w:rPr>
          <w:b/>
          <w:kern w:val="0"/>
          <w:sz w:val="24"/>
        </w:rPr>
      </w:pPr>
      <w:r>
        <w:rPr>
          <w:rFonts w:hAnsi="宋体"/>
          <w:b/>
          <w:kern w:val="0"/>
          <w:sz w:val="24"/>
        </w:rPr>
        <w:t>（一）基金管理人概况</w:t>
      </w:r>
      <w:r>
        <w:rPr>
          <w:b/>
          <w:kern w:val="0"/>
          <w:sz w:val="24"/>
        </w:rPr>
        <w:t xml:space="preserve"> </w:t>
      </w:r>
    </w:p>
    <w:p w14:paraId="1998C0FE" w14:textId="77777777" w:rsidR="00054086" w:rsidRDefault="00054086" w:rsidP="00054086">
      <w:pPr>
        <w:widowControl/>
        <w:adjustRightInd w:val="0"/>
        <w:snapToGrid w:val="0"/>
        <w:spacing w:line="360" w:lineRule="auto"/>
        <w:ind w:firstLineChars="200" w:firstLine="480"/>
        <w:rPr>
          <w:kern w:val="0"/>
          <w:sz w:val="24"/>
        </w:rPr>
      </w:pPr>
      <w:r>
        <w:rPr>
          <w:rFonts w:hAnsi="宋体"/>
          <w:kern w:val="0"/>
          <w:sz w:val="24"/>
        </w:rPr>
        <w:t>名称：交银施罗德基金管理有限公司</w:t>
      </w:r>
    </w:p>
    <w:p w14:paraId="1430967C" w14:textId="77777777" w:rsidR="00054086" w:rsidRDefault="00054086" w:rsidP="00054086">
      <w:pPr>
        <w:widowControl/>
        <w:adjustRightInd w:val="0"/>
        <w:snapToGrid w:val="0"/>
        <w:spacing w:line="360" w:lineRule="auto"/>
        <w:ind w:firstLineChars="200" w:firstLine="480"/>
        <w:rPr>
          <w:kern w:val="0"/>
          <w:sz w:val="24"/>
        </w:rPr>
      </w:pPr>
      <w:r>
        <w:rPr>
          <w:rFonts w:hAnsi="宋体"/>
          <w:kern w:val="0"/>
          <w:sz w:val="24"/>
        </w:rPr>
        <w:t>住所：上海市浦东</w:t>
      </w:r>
      <w:proofErr w:type="gramStart"/>
      <w:r>
        <w:rPr>
          <w:rFonts w:hAnsi="宋体"/>
          <w:kern w:val="0"/>
          <w:sz w:val="24"/>
        </w:rPr>
        <w:t>新区银</w:t>
      </w:r>
      <w:proofErr w:type="gramEnd"/>
      <w:r>
        <w:rPr>
          <w:rFonts w:hAnsi="宋体"/>
          <w:kern w:val="0"/>
          <w:sz w:val="24"/>
        </w:rPr>
        <w:t>城中路</w:t>
      </w:r>
      <w:r>
        <w:rPr>
          <w:kern w:val="0"/>
          <w:sz w:val="24"/>
        </w:rPr>
        <w:t>188</w:t>
      </w:r>
      <w:r>
        <w:rPr>
          <w:rFonts w:hAnsi="宋体"/>
          <w:kern w:val="0"/>
          <w:sz w:val="24"/>
        </w:rPr>
        <w:t>号交通银行大楼二层（裙）</w:t>
      </w:r>
    </w:p>
    <w:p w14:paraId="2709CE18" w14:textId="77777777" w:rsidR="00054086" w:rsidRDefault="00054086" w:rsidP="00054086">
      <w:pPr>
        <w:widowControl/>
        <w:adjustRightInd w:val="0"/>
        <w:snapToGrid w:val="0"/>
        <w:spacing w:line="360" w:lineRule="auto"/>
        <w:ind w:firstLineChars="200" w:firstLine="480"/>
        <w:rPr>
          <w:kern w:val="0"/>
          <w:sz w:val="24"/>
        </w:rPr>
      </w:pPr>
      <w:r>
        <w:rPr>
          <w:rFonts w:hAnsi="宋体"/>
          <w:kern w:val="0"/>
          <w:sz w:val="24"/>
        </w:rPr>
        <w:t>办公地址：</w:t>
      </w:r>
      <w:r w:rsidRPr="001734F7">
        <w:rPr>
          <w:rFonts w:ascii="宋体" w:hAnsi="宋体" w:cs="宋体" w:hint="eastAsia"/>
          <w:kern w:val="0"/>
          <w:sz w:val="24"/>
        </w:rPr>
        <w:t>上海浦东</w:t>
      </w:r>
      <w:proofErr w:type="gramStart"/>
      <w:r w:rsidRPr="001734F7">
        <w:rPr>
          <w:rFonts w:ascii="宋体" w:hAnsi="宋体" w:cs="宋体" w:hint="eastAsia"/>
          <w:kern w:val="0"/>
          <w:sz w:val="24"/>
        </w:rPr>
        <w:t>新区世纪</w:t>
      </w:r>
      <w:proofErr w:type="gramEnd"/>
      <w:r w:rsidRPr="001734F7">
        <w:rPr>
          <w:rFonts w:ascii="宋体" w:hAnsi="宋体" w:cs="宋体" w:hint="eastAsia"/>
          <w:kern w:val="0"/>
          <w:sz w:val="24"/>
        </w:rPr>
        <w:t>大道8号国</w:t>
      </w:r>
      <w:proofErr w:type="gramStart"/>
      <w:r w:rsidRPr="001734F7">
        <w:rPr>
          <w:rFonts w:ascii="宋体" w:hAnsi="宋体" w:cs="宋体" w:hint="eastAsia"/>
          <w:kern w:val="0"/>
          <w:sz w:val="24"/>
        </w:rPr>
        <w:t>金中心</w:t>
      </w:r>
      <w:proofErr w:type="gramEnd"/>
      <w:r w:rsidRPr="001734F7">
        <w:rPr>
          <w:rFonts w:ascii="宋体" w:hAnsi="宋体" w:cs="宋体" w:hint="eastAsia"/>
          <w:kern w:val="0"/>
          <w:sz w:val="24"/>
        </w:rPr>
        <w:t>二期21-22楼</w:t>
      </w:r>
    </w:p>
    <w:p w14:paraId="3E34274A" w14:textId="77777777" w:rsidR="00054086" w:rsidRDefault="00054086" w:rsidP="00054086">
      <w:pPr>
        <w:widowControl/>
        <w:adjustRightInd w:val="0"/>
        <w:snapToGrid w:val="0"/>
        <w:spacing w:line="360" w:lineRule="auto"/>
        <w:ind w:firstLineChars="200" w:firstLine="480"/>
        <w:rPr>
          <w:kern w:val="0"/>
          <w:sz w:val="24"/>
        </w:rPr>
      </w:pPr>
      <w:r>
        <w:rPr>
          <w:rFonts w:hAnsi="宋体"/>
          <w:sz w:val="24"/>
        </w:rPr>
        <w:t>邮政编码：</w:t>
      </w:r>
      <w:r>
        <w:rPr>
          <w:sz w:val="24"/>
        </w:rPr>
        <w:t>200120</w:t>
      </w:r>
    </w:p>
    <w:p w14:paraId="71D4210A" w14:textId="77777777" w:rsidR="00054086" w:rsidRDefault="00054086" w:rsidP="00054086">
      <w:pPr>
        <w:widowControl/>
        <w:adjustRightInd w:val="0"/>
        <w:snapToGrid w:val="0"/>
        <w:spacing w:line="360" w:lineRule="auto"/>
        <w:ind w:firstLineChars="200" w:firstLine="480"/>
        <w:rPr>
          <w:kern w:val="0"/>
          <w:sz w:val="24"/>
        </w:rPr>
      </w:pPr>
      <w:r>
        <w:rPr>
          <w:rFonts w:hAnsi="宋体"/>
          <w:kern w:val="0"/>
          <w:sz w:val="24"/>
        </w:rPr>
        <w:t>法定代表人：</w:t>
      </w:r>
      <w:r>
        <w:rPr>
          <w:rFonts w:hAnsi="宋体" w:hint="eastAsia"/>
          <w:kern w:val="0"/>
          <w:sz w:val="24"/>
        </w:rPr>
        <w:t>于亚利</w:t>
      </w:r>
      <w:r>
        <w:rPr>
          <w:kern w:val="0"/>
          <w:sz w:val="24"/>
        </w:rPr>
        <w:t xml:space="preserve"> </w:t>
      </w:r>
    </w:p>
    <w:p w14:paraId="720470B2" w14:textId="77777777" w:rsidR="00054086" w:rsidRDefault="00054086" w:rsidP="00054086">
      <w:pPr>
        <w:widowControl/>
        <w:adjustRightInd w:val="0"/>
        <w:snapToGrid w:val="0"/>
        <w:spacing w:line="360" w:lineRule="auto"/>
        <w:ind w:firstLineChars="200" w:firstLine="480"/>
        <w:rPr>
          <w:kern w:val="0"/>
          <w:sz w:val="24"/>
        </w:rPr>
      </w:pPr>
      <w:r>
        <w:rPr>
          <w:rFonts w:hAnsi="宋体"/>
          <w:kern w:val="0"/>
          <w:sz w:val="24"/>
        </w:rPr>
        <w:t>成立时间：</w:t>
      </w:r>
      <w:r>
        <w:rPr>
          <w:kern w:val="0"/>
          <w:sz w:val="24"/>
        </w:rPr>
        <w:t>2005</w:t>
      </w:r>
      <w:r>
        <w:rPr>
          <w:rFonts w:hAnsi="宋体"/>
          <w:kern w:val="0"/>
          <w:sz w:val="24"/>
        </w:rPr>
        <w:t>年</w:t>
      </w:r>
      <w:r>
        <w:rPr>
          <w:kern w:val="0"/>
          <w:sz w:val="24"/>
        </w:rPr>
        <w:t>8</w:t>
      </w:r>
      <w:r>
        <w:rPr>
          <w:rFonts w:hAnsi="宋体"/>
          <w:kern w:val="0"/>
          <w:sz w:val="24"/>
        </w:rPr>
        <w:t>月</w:t>
      </w:r>
      <w:r>
        <w:rPr>
          <w:kern w:val="0"/>
          <w:sz w:val="24"/>
        </w:rPr>
        <w:t>4</w:t>
      </w:r>
      <w:r>
        <w:rPr>
          <w:rFonts w:hAnsi="宋体"/>
          <w:kern w:val="0"/>
          <w:sz w:val="24"/>
        </w:rPr>
        <w:t>日</w:t>
      </w:r>
    </w:p>
    <w:p w14:paraId="2F644471" w14:textId="77777777" w:rsidR="00054086" w:rsidRDefault="00054086" w:rsidP="00054086">
      <w:pPr>
        <w:widowControl/>
        <w:adjustRightInd w:val="0"/>
        <w:snapToGrid w:val="0"/>
        <w:spacing w:line="360" w:lineRule="auto"/>
        <w:ind w:firstLineChars="200" w:firstLine="480"/>
        <w:rPr>
          <w:kern w:val="0"/>
          <w:sz w:val="24"/>
        </w:rPr>
      </w:pPr>
      <w:r>
        <w:rPr>
          <w:rFonts w:hAnsi="宋体"/>
          <w:kern w:val="0"/>
          <w:sz w:val="24"/>
        </w:rPr>
        <w:t>注册资本：</w:t>
      </w:r>
      <w:r>
        <w:rPr>
          <w:kern w:val="0"/>
          <w:sz w:val="24"/>
        </w:rPr>
        <w:t>2</w:t>
      </w:r>
      <w:r>
        <w:rPr>
          <w:rFonts w:hAnsi="宋体"/>
          <w:kern w:val="0"/>
          <w:sz w:val="24"/>
        </w:rPr>
        <w:t>亿元人民币</w:t>
      </w:r>
    </w:p>
    <w:p w14:paraId="34A26C8E" w14:textId="77777777" w:rsidR="00054086" w:rsidRDefault="00054086" w:rsidP="00054086">
      <w:pPr>
        <w:widowControl/>
        <w:adjustRightInd w:val="0"/>
        <w:snapToGrid w:val="0"/>
        <w:spacing w:line="360" w:lineRule="auto"/>
        <w:ind w:firstLineChars="200" w:firstLine="480"/>
        <w:rPr>
          <w:kern w:val="0"/>
          <w:sz w:val="24"/>
        </w:rPr>
      </w:pPr>
      <w:r>
        <w:rPr>
          <w:rFonts w:hAnsi="宋体"/>
          <w:kern w:val="0"/>
          <w:sz w:val="24"/>
        </w:rPr>
        <w:t>存续期间：持续经营</w:t>
      </w:r>
    </w:p>
    <w:p w14:paraId="562B64B1" w14:textId="77777777" w:rsidR="00054086" w:rsidRDefault="00054086" w:rsidP="00054086">
      <w:pPr>
        <w:widowControl/>
        <w:adjustRightInd w:val="0"/>
        <w:snapToGrid w:val="0"/>
        <w:spacing w:line="360" w:lineRule="auto"/>
        <w:ind w:firstLineChars="200" w:firstLine="480"/>
        <w:rPr>
          <w:kern w:val="0"/>
          <w:sz w:val="24"/>
        </w:rPr>
      </w:pPr>
      <w:r>
        <w:rPr>
          <w:rFonts w:hAnsi="宋体"/>
          <w:kern w:val="0"/>
          <w:sz w:val="24"/>
        </w:rPr>
        <w:t>联系人：</w:t>
      </w:r>
      <w:r>
        <w:rPr>
          <w:rFonts w:hAnsi="宋体" w:hint="eastAsia"/>
          <w:kern w:val="0"/>
          <w:sz w:val="24"/>
        </w:rPr>
        <w:t>郭佳敏</w:t>
      </w:r>
      <w:r>
        <w:rPr>
          <w:kern w:val="0"/>
          <w:sz w:val="24"/>
        </w:rPr>
        <w:t xml:space="preserve"> </w:t>
      </w:r>
    </w:p>
    <w:p w14:paraId="59C2C3B9" w14:textId="16C245DA" w:rsidR="00054086" w:rsidRDefault="00054086" w:rsidP="00054086">
      <w:pPr>
        <w:widowControl/>
        <w:adjustRightInd w:val="0"/>
        <w:snapToGrid w:val="0"/>
        <w:spacing w:line="360" w:lineRule="auto"/>
        <w:ind w:firstLineChars="200" w:firstLine="480"/>
        <w:rPr>
          <w:kern w:val="0"/>
          <w:sz w:val="24"/>
        </w:rPr>
      </w:pPr>
      <w:r>
        <w:rPr>
          <w:rFonts w:hAnsi="宋体"/>
          <w:kern w:val="0"/>
          <w:sz w:val="24"/>
        </w:rPr>
        <w:t>电话：</w:t>
      </w:r>
      <w:r>
        <w:rPr>
          <w:rFonts w:hAnsi="宋体" w:hint="eastAsia"/>
          <w:kern w:val="0"/>
          <w:sz w:val="24"/>
        </w:rPr>
        <w:t>（</w:t>
      </w:r>
      <w:r>
        <w:rPr>
          <w:kern w:val="0"/>
          <w:sz w:val="24"/>
        </w:rPr>
        <w:t>021</w:t>
      </w:r>
      <w:r>
        <w:rPr>
          <w:rFonts w:hint="eastAsia"/>
          <w:kern w:val="0"/>
          <w:sz w:val="24"/>
        </w:rPr>
        <w:t>）</w:t>
      </w:r>
      <w:r w:rsidR="00115BDC">
        <w:rPr>
          <w:kern w:val="0"/>
          <w:sz w:val="24"/>
        </w:rPr>
        <w:t>61055050</w:t>
      </w:r>
    </w:p>
    <w:p w14:paraId="1FDB7FDA" w14:textId="77777777" w:rsidR="00054086" w:rsidRDefault="00054086" w:rsidP="00054086">
      <w:pPr>
        <w:widowControl/>
        <w:adjustRightInd w:val="0"/>
        <w:snapToGrid w:val="0"/>
        <w:spacing w:line="360" w:lineRule="auto"/>
        <w:ind w:firstLineChars="200" w:firstLine="480"/>
        <w:rPr>
          <w:kern w:val="0"/>
          <w:sz w:val="24"/>
        </w:rPr>
      </w:pPr>
      <w:r>
        <w:rPr>
          <w:rFonts w:hAnsi="宋体"/>
          <w:kern w:val="0"/>
          <w:sz w:val="24"/>
        </w:rPr>
        <w:t>传真：</w:t>
      </w:r>
      <w:r>
        <w:rPr>
          <w:rFonts w:hAnsi="宋体" w:hint="eastAsia"/>
          <w:kern w:val="0"/>
          <w:sz w:val="24"/>
        </w:rPr>
        <w:t>（</w:t>
      </w:r>
      <w:r>
        <w:rPr>
          <w:kern w:val="0"/>
          <w:sz w:val="24"/>
        </w:rPr>
        <w:t>021</w:t>
      </w:r>
      <w:r>
        <w:rPr>
          <w:rFonts w:hint="eastAsia"/>
          <w:kern w:val="0"/>
          <w:sz w:val="24"/>
        </w:rPr>
        <w:t>）</w:t>
      </w:r>
      <w:r>
        <w:rPr>
          <w:kern w:val="0"/>
          <w:sz w:val="24"/>
        </w:rPr>
        <w:t>61055034</w:t>
      </w:r>
    </w:p>
    <w:p w14:paraId="42C49A66" w14:textId="77777777" w:rsidR="00054086" w:rsidRDefault="00054086" w:rsidP="00054086">
      <w:pPr>
        <w:widowControl/>
        <w:adjustRightInd w:val="0"/>
        <w:snapToGrid w:val="0"/>
        <w:spacing w:line="360" w:lineRule="auto"/>
        <w:ind w:firstLineChars="200" w:firstLine="480"/>
        <w:rPr>
          <w:kern w:val="0"/>
          <w:sz w:val="24"/>
        </w:rPr>
      </w:pPr>
      <w:r>
        <w:rPr>
          <w:rFonts w:hAnsi="宋体"/>
          <w:kern w:val="0"/>
          <w:sz w:val="24"/>
        </w:rPr>
        <w:t>交银施罗德基金管理有限公司（以下简称</w:t>
      </w:r>
      <w:r>
        <w:rPr>
          <w:rFonts w:hint="eastAsia"/>
          <w:kern w:val="0"/>
          <w:sz w:val="24"/>
        </w:rPr>
        <w:t>“</w:t>
      </w:r>
      <w:r>
        <w:rPr>
          <w:rFonts w:hAnsi="宋体"/>
          <w:kern w:val="0"/>
          <w:sz w:val="24"/>
        </w:rPr>
        <w:t>公司</w:t>
      </w:r>
      <w:r>
        <w:rPr>
          <w:rFonts w:hint="eastAsia"/>
          <w:kern w:val="0"/>
          <w:sz w:val="24"/>
        </w:rPr>
        <w:t>”</w:t>
      </w:r>
      <w:r>
        <w:rPr>
          <w:rFonts w:hAnsi="宋体"/>
          <w:kern w:val="0"/>
          <w:sz w:val="24"/>
        </w:rPr>
        <w:t>）经中国证监会证</w:t>
      </w:r>
      <w:proofErr w:type="gramStart"/>
      <w:r>
        <w:rPr>
          <w:rFonts w:hAnsi="宋体"/>
          <w:kern w:val="0"/>
          <w:sz w:val="24"/>
        </w:rPr>
        <w:t>监基金字</w:t>
      </w:r>
      <w:proofErr w:type="gramEnd"/>
      <w:r>
        <w:rPr>
          <w:kern w:val="0"/>
          <w:sz w:val="24"/>
        </w:rPr>
        <w:t>[2005]128</w:t>
      </w:r>
      <w:r>
        <w:rPr>
          <w:rFonts w:hAnsi="宋体"/>
          <w:kern w:val="0"/>
          <w:sz w:val="24"/>
        </w:rPr>
        <w:t>号文批准设立。公司股权结构如下：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0"/>
        <w:gridCol w:w="3060"/>
      </w:tblGrid>
      <w:tr w:rsidR="00054086" w14:paraId="5A7586DF" w14:textId="77777777" w:rsidTr="00DB30BC">
        <w:tc>
          <w:tcPr>
            <w:tcW w:w="5400" w:type="dxa"/>
          </w:tcPr>
          <w:p w14:paraId="0B640A7B" w14:textId="77777777" w:rsidR="00054086" w:rsidRDefault="00054086" w:rsidP="00DB30BC">
            <w:pPr>
              <w:widowControl/>
              <w:jc w:val="center"/>
              <w:rPr>
                <w:kern w:val="0"/>
                <w:sz w:val="24"/>
              </w:rPr>
            </w:pPr>
            <w:r>
              <w:rPr>
                <w:rFonts w:hAnsi="宋体"/>
                <w:kern w:val="0"/>
                <w:sz w:val="24"/>
              </w:rPr>
              <w:t>股东名称</w:t>
            </w:r>
          </w:p>
        </w:tc>
        <w:tc>
          <w:tcPr>
            <w:tcW w:w="3060" w:type="dxa"/>
          </w:tcPr>
          <w:p w14:paraId="17F2D8D8" w14:textId="77777777" w:rsidR="00054086" w:rsidRDefault="00054086" w:rsidP="00DB30BC">
            <w:pPr>
              <w:widowControl/>
              <w:jc w:val="center"/>
              <w:rPr>
                <w:kern w:val="0"/>
                <w:sz w:val="24"/>
              </w:rPr>
            </w:pPr>
            <w:r>
              <w:rPr>
                <w:rFonts w:hAnsi="宋体"/>
                <w:kern w:val="0"/>
                <w:sz w:val="24"/>
              </w:rPr>
              <w:t>股权比例</w:t>
            </w:r>
          </w:p>
        </w:tc>
      </w:tr>
      <w:tr w:rsidR="00054086" w14:paraId="717B2503" w14:textId="77777777" w:rsidTr="00DB30BC">
        <w:tc>
          <w:tcPr>
            <w:tcW w:w="5400" w:type="dxa"/>
          </w:tcPr>
          <w:p w14:paraId="69C3FFE3" w14:textId="77777777" w:rsidR="00054086" w:rsidRDefault="00054086" w:rsidP="00DB30BC">
            <w:pPr>
              <w:widowControl/>
              <w:rPr>
                <w:kern w:val="0"/>
                <w:sz w:val="24"/>
              </w:rPr>
            </w:pPr>
            <w:r>
              <w:rPr>
                <w:rFonts w:hAnsi="宋体"/>
                <w:kern w:val="0"/>
                <w:sz w:val="24"/>
              </w:rPr>
              <w:t>交通银行股份有限公司（以下使用全称或其简称</w:t>
            </w:r>
            <w:r>
              <w:rPr>
                <w:kern w:val="0"/>
                <w:sz w:val="24"/>
              </w:rPr>
              <w:t>“</w:t>
            </w:r>
            <w:r>
              <w:rPr>
                <w:rFonts w:hAnsi="宋体"/>
                <w:kern w:val="0"/>
                <w:sz w:val="24"/>
              </w:rPr>
              <w:t>交通银行</w:t>
            </w:r>
            <w:r>
              <w:rPr>
                <w:kern w:val="0"/>
                <w:sz w:val="24"/>
              </w:rPr>
              <w:t>”</w:t>
            </w:r>
            <w:r>
              <w:rPr>
                <w:rFonts w:hAnsi="宋体"/>
                <w:kern w:val="0"/>
                <w:sz w:val="24"/>
              </w:rPr>
              <w:t>）</w:t>
            </w:r>
          </w:p>
        </w:tc>
        <w:tc>
          <w:tcPr>
            <w:tcW w:w="3060" w:type="dxa"/>
            <w:vAlign w:val="center"/>
          </w:tcPr>
          <w:p w14:paraId="1F3C905E" w14:textId="77777777" w:rsidR="00054086" w:rsidRDefault="00054086" w:rsidP="00DB30BC">
            <w:pPr>
              <w:widowControl/>
              <w:jc w:val="center"/>
              <w:rPr>
                <w:kern w:val="0"/>
                <w:sz w:val="24"/>
              </w:rPr>
            </w:pPr>
            <w:r>
              <w:rPr>
                <w:kern w:val="0"/>
                <w:sz w:val="24"/>
              </w:rPr>
              <w:t>65%</w:t>
            </w:r>
          </w:p>
        </w:tc>
      </w:tr>
      <w:tr w:rsidR="00054086" w14:paraId="4DCF1A49" w14:textId="77777777" w:rsidTr="00DB30BC">
        <w:tc>
          <w:tcPr>
            <w:tcW w:w="5400" w:type="dxa"/>
          </w:tcPr>
          <w:p w14:paraId="1C47CD24" w14:textId="77777777" w:rsidR="00054086" w:rsidRDefault="00054086" w:rsidP="00DB30BC">
            <w:pPr>
              <w:widowControl/>
              <w:rPr>
                <w:kern w:val="0"/>
                <w:sz w:val="24"/>
              </w:rPr>
            </w:pPr>
            <w:r>
              <w:rPr>
                <w:rFonts w:hAnsi="宋体"/>
                <w:kern w:val="0"/>
                <w:sz w:val="24"/>
              </w:rPr>
              <w:t>施罗德投资管理有限公司</w:t>
            </w:r>
          </w:p>
        </w:tc>
        <w:tc>
          <w:tcPr>
            <w:tcW w:w="3060" w:type="dxa"/>
            <w:vAlign w:val="center"/>
          </w:tcPr>
          <w:p w14:paraId="0995AB08" w14:textId="77777777" w:rsidR="00054086" w:rsidRDefault="00054086" w:rsidP="00DB30BC">
            <w:pPr>
              <w:widowControl/>
              <w:jc w:val="center"/>
              <w:rPr>
                <w:kern w:val="0"/>
                <w:sz w:val="24"/>
              </w:rPr>
            </w:pPr>
            <w:r>
              <w:rPr>
                <w:kern w:val="0"/>
                <w:sz w:val="24"/>
              </w:rPr>
              <w:t>30%</w:t>
            </w:r>
          </w:p>
        </w:tc>
      </w:tr>
      <w:tr w:rsidR="00054086" w14:paraId="375E4F16" w14:textId="77777777" w:rsidTr="00DB30BC">
        <w:tc>
          <w:tcPr>
            <w:tcW w:w="5400" w:type="dxa"/>
          </w:tcPr>
          <w:p w14:paraId="1D304E32" w14:textId="77777777" w:rsidR="00054086" w:rsidRDefault="00054086" w:rsidP="00DB30BC">
            <w:pPr>
              <w:widowControl/>
              <w:rPr>
                <w:kern w:val="0"/>
                <w:sz w:val="24"/>
              </w:rPr>
            </w:pPr>
            <w:r>
              <w:rPr>
                <w:rFonts w:hAnsi="宋体"/>
                <w:kern w:val="0"/>
                <w:sz w:val="24"/>
              </w:rPr>
              <w:t>中国国际海运集装箱（集团）股份有限公司</w:t>
            </w:r>
          </w:p>
        </w:tc>
        <w:tc>
          <w:tcPr>
            <w:tcW w:w="3060" w:type="dxa"/>
            <w:vAlign w:val="center"/>
          </w:tcPr>
          <w:p w14:paraId="61348850" w14:textId="77777777" w:rsidR="00054086" w:rsidRDefault="00054086" w:rsidP="00DB30BC">
            <w:pPr>
              <w:widowControl/>
              <w:jc w:val="center"/>
              <w:rPr>
                <w:kern w:val="0"/>
                <w:sz w:val="24"/>
              </w:rPr>
            </w:pPr>
            <w:r>
              <w:rPr>
                <w:kern w:val="0"/>
                <w:sz w:val="24"/>
              </w:rPr>
              <w:t>5%</w:t>
            </w:r>
          </w:p>
        </w:tc>
      </w:tr>
    </w:tbl>
    <w:p w14:paraId="380CD9A8" w14:textId="77777777" w:rsidR="00054086" w:rsidRDefault="00054086" w:rsidP="00054086">
      <w:pPr>
        <w:widowControl/>
        <w:adjustRightInd w:val="0"/>
        <w:snapToGrid w:val="0"/>
        <w:spacing w:line="360" w:lineRule="auto"/>
        <w:ind w:firstLineChars="200" w:firstLine="482"/>
        <w:outlineLvl w:val="1"/>
        <w:rPr>
          <w:b/>
          <w:kern w:val="0"/>
          <w:sz w:val="24"/>
        </w:rPr>
      </w:pPr>
      <w:r>
        <w:rPr>
          <w:rFonts w:hAnsi="宋体"/>
          <w:b/>
          <w:kern w:val="0"/>
          <w:sz w:val="24"/>
        </w:rPr>
        <w:t>（二）主要成员情况</w:t>
      </w:r>
      <w:r>
        <w:rPr>
          <w:b/>
          <w:kern w:val="0"/>
          <w:sz w:val="24"/>
        </w:rPr>
        <w:t xml:space="preserve"> </w:t>
      </w:r>
    </w:p>
    <w:p w14:paraId="6006D3A0" w14:textId="77777777" w:rsidR="00054086" w:rsidRPr="00FF0A4B" w:rsidRDefault="00054086" w:rsidP="00FF0A4B">
      <w:pPr>
        <w:widowControl/>
        <w:adjustRightInd w:val="0"/>
        <w:snapToGrid w:val="0"/>
        <w:spacing w:line="360" w:lineRule="auto"/>
        <w:ind w:firstLineChars="200" w:firstLine="480"/>
        <w:rPr>
          <w:rFonts w:hAnsi="宋体"/>
          <w:kern w:val="0"/>
          <w:sz w:val="24"/>
        </w:rPr>
      </w:pPr>
      <w:r w:rsidRPr="00FF0A4B">
        <w:rPr>
          <w:rFonts w:hAnsi="宋体"/>
          <w:kern w:val="0"/>
          <w:sz w:val="24"/>
        </w:rPr>
        <w:t>1</w:t>
      </w:r>
      <w:r>
        <w:rPr>
          <w:rFonts w:hAnsi="宋体"/>
          <w:kern w:val="0"/>
          <w:sz w:val="24"/>
        </w:rPr>
        <w:t>、基金管理人董事会成员</w:t>
      </w:r>
      <w:r w:rsidRPr="00FF0A4B">
        <w:rPr>
          <w:rFonts w:hAnsi="宋体"/>
          <w:kern w:val="0"/>
          <w:sz w:val="24"/>
        </w:rPr>
        <w:t xml:space="preserve"> </w:t>
      </w:r>
    </w:p>
    <w:p w14:paraId="00F199EA" w14:textId="77777777" w:rsidR="00054086" w:rsidRPr="00FF0A4B" w:rsidRDefault="00054086" w:rsidP="00FF0A4B">
      <w:pPr>
        <w:widowControl/>
        <w:adjustRightInd w:val="0"/>
        <w:snapToGrid w:val="0"/>
        <w:spacing w:line="360" w:lineRule="auto"/>
        <w:ind w:firstLineChars="200" w:firstLine="480"/>
        <w:rPr>
          <w:rFonts w:hAnsi="宋体"/>
          <w:kern w:val="0"/>
          <w:sz w:val="24"/>
        </w:rPr>
      </w:pPr>
      <w:r w:rsidRPr="00FF0A4B">
        <w:rPr>
          <w:rFonts w:hAnsi="宋体" w:hint="eastAsia"/>
          <w:kern w:val="0"/>
          <w:sz w:val="24"/>
        </w:rPr>
        <w:t>于亚利女士，董事长，硕士学位。现任交通银行执行董事、副行长。历任交通银行郑州分行财务会计处处长、郑州分行副行长，交通银行财务会计部副总经理、总经理，交通银行预算财务部总经理</w:t>
      </w:r>
      <w:r w:rsidRPr="00FF0A4B">
        <w:rPr>
          <w:rFonts w:hAnsi="宋体"/>
          <w:kern w:val="0"/>
          <w:sz w:val="24"/>
        </w:rPr>
        <w:t xml:space="preserve">, </w:t>
      </w:r>
      <w:r w:rsidRPr="00FF0A4B">
        <w:rPr>
          <w:rFonts w:hAnsi="宋体" w:hint="eastAsia"/>
          <w:kern w:val="0"/>
          <w:sz w:val="24"/>
        </w:rPr>
        <w:t>交通银行首席财务官。</w:t>
      </w:r>
    </w:p>
    <w:p w14:paraId="4FAA51FD" w14:textId="77777777" w:rsidR="00054086" w:rsidRPr="00FF0A4B" w:rsidRDefault="00054086" w:rsidP="00FF0A4B">
      <w:pPr>
        <w:widowControl/>
        <w:adjustRightInd w:val="0"/>
        <w:snapToGrid w:val="0"/>
        <w:spacing w:line="360" w:lineRule="auto"/>
        <w:ind w:firstLineChars="200" w:firstLine="480"/>
        <w:rPr>
          <w:rFonts w:hAnsi="宋体"/>
          <w:kern w:val="0"/>
          <w:sz w:val="24"/>
        </w:rPr>
      </w:pPr>
      <w:proofErr w:type="gramStart"/>
      <w:r w:rsidRPr="00FF0A4B">
        <w:rPr>
          <w:rFonts w:hAnsi="宋体" w:hint="eastAsia"/>
          <w:kern w:val="0"/>
          <w:sz w:val="24"/>
        </w:rPr>
        <w:t>陈朝灯先生</w:t>
      </w:r>
      <w:proofErr w:type="gramEnd"/>
      <w:r w:rsidRPr="00FF0A4B">
        <w:rPr>
          <w:rFonts w:hAnsi="宋体" w:hint="eastAsia"/>
          <w:kern w:val="0"/>
          <w:sz w:val="24"/>
        </w:rPr>
        <w:t>，副董事长，博士学位。现任施罗德证券投资信托股份有限公司投资总监兼专户管理部主管。历任复华证券投资信托股份有限公司专户投资经理，景顺证券投资信托股份有限公司部门主管、投资总监。</w:t>
      </w:r>
    </w:p>
    <w:p w14:paraId="541848A7" w14:textId="77777777" w:rsidR="00054086" w:rsidRDefault="00054086" w:rsidP="00FF0A4B">
      <w:pPr>
        <w:widowControl/>
        <w:adjustRightInd w:val="0"/>
        <w:snapToGrid w:val="0"/>
        <w:spacing w:line="360" w:lineRule="auto"/>
        <w:ind w:firstLineChars="200" w:firstLine="480"/>
        <w:rPr>
          <w:rFonts w:hAnsi="宋体"/>
          <w:kern w:val="0"/>
          <w:sz w:val="24"/>
        </w:rPr>
      </w:pPr>
      <w:r w:rsidRPr="00AD3A7C">
        <w:rPr>
          <w:rFonts w:hAnsi="宋体" w:hint="eastAsia"/>
          <w:kern w:val="0"/>
          <w:sz w:val="24"/>
        </w:rPr>
        <w:t>阮红女士，董事，</w:t>
      </w:r>
      <w:r>
        <w:rPr>
          <w:rFonts w:hAnsi="宋体" w:hint="eastAsia"/>
          <w:kern w:val="0"/>
          <w:sz w:val="24"/>
        </w:rPr>
        <w:t>总经理，</w:t>
      </w:r>
      <w:r w:rsidRPr="00AD3A7C">
        <w:rPr>
          <w:rFonts w:hAnsi="宋体" w:hint="eastAsia"/>
          <w:kern w:val="0"/>
          <w:sz w:val="24"/>
        </w:rPr>
        <w:t>博士</w:t>
      </w:r>
      <w:r>
        <w:rPr>
          <w:rFonts w:hAnsi="宋体" w:hint="eastAsia"/>
          <w:kern w:val="0"/>
          <w:sz w:val="24"/>
        </w:rPr>
        <w:t>学位，</w:t>
      </w:r>
      <w:r w:rsidRPr="00FF0A4B">
        <w:rPr>
          <w:rFonts w:hAnsi="宋体" w:hint="eastAsia"/>
          <w:kern w:val="0"/>
          <w:sz w:val="24"/>
        </w:rPr>
        <w:t>兼任交银施罗德资产管理有限公司董事长</w:t>
      </w:r>
      <w:r w:rsidRPr="00AD3A7C">
        <w:rPr>
          <w:rFonts w:hAnsi="宋体" w:hint="eastAsia"/>
          <w:kern w:val="0"/>
          <w:sz w:val="24"/>
        </w:rPr>
        <w:t>。历任交通银行办公室副处长、处长</w:t>
      </w:r>
      <w:r>
        <w:rPr>
          <w:rFonts w:hAnsi="宋体" w:hint="eastAsia"/>
          <w:kern w:val="0"/>
          <w:sz w:val="24"/>
        </w:rPr>
        <w:t>，</w:t>
      </w:r>
      <w:r w:rsidRPr="00AD3A7C">
        <w:rPr>
          <w:rFonts w:hAnsi="宋体" w:hint="eastAsia"/>
          <w:kern w:val="0"/>
          <w:sz w:val="24"/>
        </w:rPr>
        <w:t>交通银行海外机构管理部副总经理、总经</w:t>
      </w:r>
      <w:r w:rsidRPr="00AD3A7C">
        <w:rPr>
          <w:rFonts w:hAnsi="宋体" w:hint="eastAsia"/>
          <w:kern w:val="0"/>
          <w:sz w:val="24"/>
        </w:rPr>
        <w:lastRenderedPageBreak/>
        <w:t>理</w:t>
      </w:r>
      <w:r>
        <w:rPr>
          <w:rFonts w:hAnsi="宋体" w:hint="eastAsia"/>
          <w:kern w:val="0"/>
          <w:sz w:val="24"/>
        </w:rPr>
        <w:t>，</w:t>
      </w:r>
      <w:r w:rsidRPr="00AD3A7C">
        <w:rPr>
          <w:rFonts w:hAnsi="宋体" w:hint="eastAsia"/>
          <w:kern w:val="0"/>
          <w:sz w:val="24"/>
        </w:rPr>
        <w:t>交通银行上海分行副行长</w:t>
      </w:r>
      <w:r>
        <w:rPr>
          <w:rFonts w:hAnsi="宋体" w:hint="eastAsia"/>
          <w:kern w:val="0"/>
          <w:sz w:val="24"/>
        </w:rPr>
        <w:t>，</w:t>
      </w:r>
      <w:r w:rsidRPr="00AD3A7C">
        <w:rPr>
          <w:rFonts w:hAnsi="宋体" w:hint="eastAsia"/>
          <w:kern w:val="0"/>
          <w:sz w:val="24"/>
        </w:rPr>
        <w:t>交通银行资产托管部总经理</w:t>
      </w:r>
      <w:r>
        <w:rPr>
          <w:rFonts w:hAnsi="宋体" w:hint="eastAsia"/>
          <w:kern w:val="0"/>
          <w:sz w:val="24"/>
        </w:rPr>
        <w:t>，</w:t>
      </w:r>
      <w:r w:rsidRPr="00FF0A4B">
        <w:rPr>
          <w:rFonts w:hAnsi="宋体" w:hint="eastAsia"/>
          <w:kern w:val="0"/>
          <w:sz w:val="24"/>
        </w:rPr>
        <w:t>交通银行投资管理部总经理</w:t>
      </w:r>
      <w:r w:rsidRPr="00AD3A7C">
        <w:rPr>
          <w:rFonts w:hAnsi="宋体" w:hint="eastAsia"/>
          <w:kern w:val="0"/>
          <w:sz w:val="24"/>
        </w:rPr>
        <w:t>。</w:t>
      </w:r>
    </w:p>
    <w:p w14:paraId="42A809A2" w14:textId="77777777" w:rsidR="00054086" w:rsidRPr="00FF0A4B" w:rsidRDefault="00054086" w:rsidP="00FF0A4B">
      <w:pPr>
        <w:widowControl/>
        <w:adjustRightInd w:val="0"/>
        <w:snapToGrid w:val="0"/>
        <w:spacing w:line="360" w:lineRule="auto"/>
        <w:ind w:firstLineChars="200" w:firstLine="480"/>
        <w:rPr>
          <w:rFonts w:hAnsi="宋体"/>
          <w:kern w:val="0"/>
          <w:sz w:val="24"/>
        </w:rPr>
      </w:pPr>
      <w:r w:rsidRPr="00FF0A4B">
        <w:rPr>
          <w:rFonts w:hAnsi="宋体" w:hint="eastAsia"/>
          <w:kern w:val="0"/>
          <w:sz w:val="24"/>
        </w:rPr>
        <w:t>徐瀚先生，董事</w:t>
      </w:r>
      <w:r w:rsidRPr="00FF0A4B">
        <w:rPr>
          <w:rFonts w:hAnsi="宋体"/>
          <w:kern w:val="0"/>
          <w:sz w:val="24"/>
        </w:rPr>
        <w:t>，</w:t>
      </w:r>
      <w:r w:rsidRPr="00FF0A4B">
        <w:rPr>
          <w:rFonts w:hAnsi="宋体" w:hint="eastAsia"/>
          <w:kern w:val="0"/>
          <w:sz w:val="24"/>
        </w:rPr>
        <w:t>硕士学位。现任交通</w:t>
      </w:r>
      <w:r w:rsidRPr="00FF0A4B">
        <w:rPr>
          <w:rFonts w:hAnsi="宋体"/>
          <w:kern w:val="0"/>
          <w:sz w:val="24"/>
        </w:rPr>
        <w:t>银行</w:t>
      </w:r>
      <w:r w:rsidRPr="00FF0A4B">
        <w:rPr>
          <w:rFonts w:hAnsi="宋体" w:hint="eastAsia"/>
          <w:kern w:val="0"/>
          <w:sz w:val="24"/>
        </w:rPr>
        <w:t>个人</w:t>
      </w:r>
      <w:r w:rsidRPr="00FF0A4B">
        <w:rPr>
          <w:rFonts w:hAnsi="宋体"/>
          <w:kern w:val="0"/>
          <w:sz w:val="24"/>
        </w:rPr>
        <w:t>金融</w:t>
      </w:r>
      <w:r w:rsidRPr="00FF0A4B">
        <w:rPr>
          <w:rFonts w:hAnsi="宋体" w:hint="eastAsia"/>
          <w:kern w:val="0"/>
          <w:sz w:val="24"/>
        </w:rPr>
        <w:t>业务</w:t>
      </w:r>
      <w:r w:rsidRPr="00FF0A4B">
        <w:rPr>
          <w:rFonts w:hAnsi="宋体"/>
          <w:kern w:val="0"/>
          <w:sz w:val="24"/>
        </w:rPr>
        <w:t>部总经理</w:t>
      </w:r>
      <w:r w:rsidRPr="00FF0A4B">
        <w:rPr>
          <w:rFonts w:hAnsi="宋体" w:hint="eastAsia"/>
          <w:kern w:val="0"/>
          <w:sz w:val="24"/>
        </w:rPr>
        <w:t>。历任交通</w:t>
      </w:r>
      <w:r w:rsidRPr="00FF0A4B">
        <w:rPr>
          <w:rFonts w:hAnsi="宋体"/>
          <w:kern w:val="0"/>
          <w:sz w:val="24"/>
        </w:rPr>
        <w:t>银行</w:t>
      </w:r>
      <w:r w:rsidRPr="00FF0A4B">
        <w:rPr>
          <w:rFonts w:hAnsi="宋体" w:hint="eastAsia"/>
          <w:kern w:val="0"/>
          <w:sz w:val="24"/>
        </w:rPr>
        <w:t>香港</w:t>
      </w:r>
      <w:r w:rsidRPr="00FF0A4B">
        <w:rPr>
          <w:rFonts w:hAnsi="宋体"/>
          <w:kern w:val="0"/>
          <w:sz w:val="24"/>
        </w:rPr>
        <w:t>分行电脑</w:t>
      </w:r>
      <w:r w:rsidRPr="00FF0A4B">
        <w:rPr>
          <w:rFonts w:hAnsi="宋体" w:hint="eastAsia"/>
          <w:kern w:val="0"/>
          <w:sz w:val="24"/>
        </w:rPr>
        <w:t>中心</w:t>
      </w:r>
      <w:r w:rsidRPr="00FF0A4B">
        <w:rPr>
          <w:rFonts w:hAnsi="宋体"/>
          <w:kern w:val="0"/>
          <w:sz w:val="24"/>
        </w:rPr>
        <w:t>副总经理，交通银行信息</w:t>
      </w:r>
      <w:r w:rsidRPr="00FF0A4B">
        <w:rPr>
          <w:rFonts w:hAnsi="宋体" w:hint="eastAsia"/>
          <w:kern w:val="0"/>
          <w:sz w:val="24"/>
        </w:rPr>
        <w:t>技术</w:t>
      </w:r>
      <w:r w:rsidRPr="00FF0A4B">
        <w:rPr>
          <w:rFonts w:hAnsi="宋体"/>
          <w:kern w:val="0"/>
          <w:sz w:val="24"/>
        </w:rPr>
        <w:t>部副总经理，</w:t>
      </w:r>
      <w:r w:rsidRPr="00FF0A4B">
        <w:rPr>
          <w:rFonts w:hAnsi="宋体" w:hint="eastAsia"/>
          <w:kern w:val="0"/>
          <w:sz w:val="24"/>
        </w:rPr>
        <w:t>交通</w:t>
      </w:r>
      <w:r w:rsidRPr="00FF0A4B">
        <w:rPr>
          <w:rFonts w:hAnsi="宋体"/>
          <w:kern w:val="0"/>
          <w:sz w:val="24"/>
        </w:rPr>
        <w:t>银行</w:t>
      </w:r>
      <w:r w:rsidRPr="00FF0A4B">
        <w:rPr>
          <w:rFonts w:hAnsi="宋体" w:hint="eastAsia"/>
          <w:kern w:val="0"/>
          <w:sz w:val="24"/>
        </w:rPr>
        <w:t>太平洋</w:t>
      </w:r>
      <w:r w:rsidRPr="00FF0A4B">
        <w:rPr>
          <w:rFonts w:hAnsi="宋体"/>
          <w:kern w:val="0"/>
          <w:sz w:val="24"/>
        </w:rPr>
        <w:t>信用卡中心</w:t>
      </w:r>
      <w:r w:rsidRPr="00FF0A4B">
        <w:rPr>
          <w:rFonts w:hAnsi="宋体" w:hint="eastAsia"/>
          <w:kern w:val="0"/>
          <w:sz w:val="24"/>
        </w:rPr>
        <w:t>副</w:t>
      </w:r>
      <w:r w:rsidRPr="00FF0A4B">
        <w:rPr>
          <w:rFonts w:hAnsi="宋体"/>
          <w:kern w:val="0"/>
          <w:sz w:val="24"/>
        </w:rPr>
        <w:t>首席执行官、首席执行官。</w:t>
      </w:r>
    </w:p>
    <w:p w14:paraId="41A4EB1D" w14:textId="77777777" w:rsidR="00552F03" w:rsidRPr="00FF0A4B" w:rsidRDefault="00115BDC" w:rsidP="00FF0A4B">
      <w:pPr>
        <w:widowControl/>
        <w:adjustRightInd w:val="0"/>
        <w:snapToGrid w:val="0"/>
        <w:spacing w:line="360" w:lineRule="auto"/>
        <w:ind w:firstLineChars="200" w:firstLine="480"/>
        <w:rPr>
          <w:rFonts w:hAnsi="宋体"/>
          <w:kern w:val="0"/>
          <w:sz w:val="24"/>
        </w:rPr>
      </w:pPr>
      <w:r w:rsidRPr="00FF0A4B">
        <w:rPr>
          <w:rFonts w:hAnsi="宋体" w:hint="eastAsia"/>
          <w:kern w:val="0"/>
          <w:sz w:val="24"/>
        </w:rPr>
        <w:t>孙荣俊先生，董事，硕士学位，现任交通银行总行风险管理部（资产保全部）副总经理。历任交通银行总行风险管理部副高级经理、高级经理，交通银行广西区柳州分行副行长、交通银行内蒙古区分行行长助理。</w:t>
      </w:r>
    </w:p>
    <w:p w14:paraId="1C0760FA" w14:textId="77777777" w:rsidR="00552F03" w:rsidRPr="00FF0A4B" w:rsidRDefault="00115BDC" w:rsidP="00FF0A4B">
      <w:pPr>
        <w:widowControl/>
        <w:adjustRightInd w:val="0"/>
        <w:snapToGrid w:val="0"/>
        <w:spacing w:line="360" w:lineRule="auto"/>
        <w:ind w:firstLineChars="200" w:firstLine="480"/>
        <w:rPr>
          <w:rFonts w:hAnsi="宋体"/>
          <w:kern w:val="0"/>
          <w:sz w:val="24"/>
        </w:rPr>
      </w:pPr>
      <w:r w:rsidRPr="00FF0A4B">
        <w:rPr>
          <w:rFonts w:hAnsi="宋体" w:hint="eastAsia"/>
          <w:kern w:val="0"/>
          <w:sz w:val="24"/>
        </w:rPr>
        <w:t>李定邦先生，董事，硕士学位，现任施罗德集团亚太区行政总裁。历任施罗德投资管理有限公司亚洲投资产品总监，施罗德投资管理（香港）有限公司行政总裁兼亚太区基金业务拓展总监。</w:t>
      </w:r>
    </w:p>
    <w:p w14:paraId="36B9A92E" w14:textId="07519E4A" w:rsidR="00054086" w:rsidRPr="00FF0A4B" w:rsidRDefault="00054086" w:rsidP="00FF0A4B">
      <w:pPr>
        <w:widowControl/>
        <w:adjustRightInd w:val="0"/>
        <w:snapToGrid w:val="0"/>
        <w:spacing w:line="360" w:lineRule="auto"/>
        <w:ind w:firstLineChars="200" w:firstLine="480"/>
        <w:rPr>
          <w:rFonts w:hAnsi="宋体"/>
          <w:kern w:val="0"/>
          <w:sz w:val="24"/>
        </w:rPr>
      </w:pPr>
      <w:r w:rsidRPr="00FF0A4B">
        <w:rPr>
          <w:rFonts w:hAnsi="宋体" w:hint="eastAsia"/>
          <w:kern w:val="0"/>
          <w:sz w:val="24"/>
        </w:rPr>
        <w:t>谢丹阳先生，独立董事，博士学位。现任香港科技大学经济系教授</w:t>
      </w:r>
      <w:r w:rsidRPr="00B43DFF">
        <w:rPr>
          <w:rFonts w:hAnsi="宋体"/>
          <w:kern w:val="0"/>
          <w:sz w:val="24"/>
        </w:rPr>
        <w:t>。</w:t>
      </w:r>
      <w:r w:rsidRPr="00FF0A4B">
        <w:rPr>
          <w:rFonts w:hAnsi="宋体" w:hint="eastAsia"/>
          <w:kern w:val="0"/>
          <w:sz w:val="24"/>
        </w:rPr>
        <w:t>历任</w:t>
      </w:r>
      <w:r w:rsidR="00115BDC" w:rsidRPr="00FF0A4B">
        <w:rPr>
          <w:rFonts w:hAnsi="宋体" w:hint="eastAsia"/>
          <w:kern w:val="0"/>
          <w:sz w:val="24"/>
        </w:rPr>
        <w:t>武汉大学经济与管理学院院长，</w:t>
      </w:r>
      <w:r w:rsidRPr="00FF0A4B">
        <w:rPr>
          <w:rFonts w:hAnsi="宋体" w:hint="eastAsia"/>
          <w:kern w:val="0"/>
          <w:sz w:val="24"/>
        </w:rPr>
        <w:t>蒙特利尔大学经济系助理教授，国际货币基金经济学家和高级经济学家，香港科技大学助理教授、副教授、教授、系主任、瑞安经管中心主任。</w:t>
      </w:r>
    </w:p>
    <w:p w14:paraId="0B9C2D5E" w14:textId="77777777" w:rsidR="00054086" w:rsidRPr="00FF0A4B" w:rsidRDefault="00054086" w:rsidP="00FF0A4B">
      <w:pPr>
        <w:widowControl/>
        <w:adjustRightInd w:val="0"/>
        <w:snapToGrid w:val="0"/>
        <w:spacing w:line="360" w:lineRule="auto"/>
        <w:ind w:firstLineChars="200" w:firstLine="480"/>
        <w:rPr>
          <w:rFonts w:hAnsi="宋体"/>
          <w:kern w:val="0"/>
          <w:sz w:val="24"/>
        </w:rPr>
      </w:pPr>
      <w:r w:rsidRPr="00FF0A4B">
        <w:rPr>
          <w:rFonts w:hAnsi="宋体" w:hint="eastAsia"/>
          <w:kern w:val="0"/>
          <w:sz w:val="24"/>
        </w:rPr>
        <w:t>袁志刚先生，独立董事，博士学位。现任复旦大学经济学院教授。历任复旦大学经济学院副教授、教授、经济系</w:t>
      </w:r>
      <w:proofErr w:type="gramStart"/>
      <w:r w:rsidRPr="00FF0A4B">
        <w:rPr>
          <w:rFonts w:hAnsi="宋体" w:hint="eastAsia"/>
          <w:kern w:val="0"/>
          <w:sz w:val="24"/>
        </w:rPr>
        <w:t>系</w:t>
      </w:r>
      <w:proofErr w:type="gramEnd"/>
      <w:r w:rsidRPr="00FF0A4B">
        <w:rPr>
          <w:rFonts w:hAnsi="宋体" w:hint="eastAsia"/>
          <w:kern w:val="0"/>
          <w:sz w:val="24"/>
        </w:rPr>
        <w:t>主任、经济学院院长。</w:t>
      </w:r>
    </w:p>
    <w:p w14:paraId="018538F5" w14:textId="77777777" w:rsidR="00054086" w:rsidRPr="00FF0A4B" w:rsidRDefault="00054086" w:rsidP="00FF0A4B">
      <w:pPr>
        <w:widowControl/>
        <w:adjustRightInd w:val="0"/>
        <w:snapToGrid w:val="0"/>
        <w:spacing w:line="360" w:lineRule="auto"/>
        <w:ind w:firstLineChars="200" w:firstLine="480"/>
        <w:rPr>
          <w:rFonts w:hAnsi="宋体"/>
          <w:kern w:val="0"/>
          <w:sz w:val="24"/>
        </w:rPr>
      </w:pPr>
      <w:r w:rsidRPr="00FF0A4B">
        <w:rPr>
          <w:rFonts w:hAnsi="宋体" w:hint="eastAsia"/>
          <w:kern w:val="0"/>
          <w:sz w:val="24"/>
        </w:rPr>
        <w:t>周林先生，独立董事，博士学位。现任上海交通大学安泰经济与管理学院院长、教授。历任复旦大学管理科学系助教，美国耶鲁大学经济系助理教授、副教授，美国杜克大学经济系副教授，香港城市大学经济与</w:t>
      </w:r>
      <w:smartTag w:uri="urn:schemas-microsoft-com:office:smarttags" w:element="PersonName">
        <w:smartTagPr>
          <w:attr w:name="ProductID" w:val="金融系"/>
        </w:smartTagPr>
        <w:r w:rsidRPr="00FF0A4B">
          <w:rPr>
            <w:rFonts w:hAnsi="宋体" w:hint="eastAsia"/>
            <w:kern w:val="0"/>
            <w:sz w:val="24"/>
          </w:rPr>
          <w:t>金融系</w:t>
        </w:r>
      </w:smartTag>
      <w:r w:rsidRPr="00FF0A4B">
        <w:rPr>
          <w:rFonts w:hAnsi="宋体" w:hint="eastAsia"/>
          <w:kern w:val="0"/>
          <w:sz w:val="24"/>
        </w:rPr>
        <w:t>教授，美国亚利桑那州立大学</w:t>
      </w:r>
      <w:proofErr w:type="gramStart"/>
      <w:r w:rsidRPr="00FF0A4B">
        <w:rPr>
          <w:rFonts w:hAnsi="宋体" w:hint="eastAsia"/>
          <w:kern w:val="0"/>
          <w:sz w:val="24"/>
        </w:rPr>
        <w:t>凯</w:t>
      </w:r>
      <w:proofErr w:type="gramEnd"/>
      <w:r w:rsidRPr="00FF0A4B">
        <w:rPr>
          <w:rFonts w:hAnsi="宋体" w:hint="eastAsia"/>
          <w:kern w:val="0"/>
          <w:sz w:val="24"/>
        </w:rPr>
        <w:t>瑞商学院经济系冠名教授，上海交通大学上海高级金融学院常务副院长、教授。</w:t>
      </w:r>
    </w:p>
    <w:p w14:paraId="6EE6BF41" w14:textId="77777777" w:rsidR="00054086" w:rsidRDefault="00054086" w:rsidP="00FF0A4B">
      <w:pPr>
        <w:widowControl/>
        <w:adjustRightInd w:val="0"/>
        <w:snapToGrid w:val="0"/>
        <w:spacing w:line="360" w:lineRule="auto"/>
        <w:ind w:firstLineChars="200" w:firstLine="480"/>
        <w:rPr>
          <w:rFonts w:hAnsi="宋体"/>
          <w:kern w:val="0"/>
          <w:sz w:val="24"/>
        </w:rPr>
      </w:pPr>
      <w:r w:rsidRPr="00FF0A4B">
        <w:rPr>
          <w:rFonts w:hAnsi="宋体"/>
          <w:kern w:val="0"/>
          <w:sz w:val="24"/>
        </w:rPr>
        <w:t>2</w:t>
      </w:r>
      <w:r>
        <w:rPr>
          <w:rFonts w:hAnsi="宋体"/>
          <w:kern w:val="0"/>
          <w:sz w:val="24"/>
        </w:rPr>
        <w:t>、基金管理人监事会成员</w:t>
      </w:r>
    </w:p>
    <w:p w14:paraId="25441FEB" w14:textId="77777777" w:rsidR="00054086" w:rsidRPr="00FF0A4B" w:rsidRDefault="00054086" w:rsidP="00FF0A4B">
      <w:pPr>
        <w:widowControl/>
        <w:adjustRightInd w:val="0"/>
        <w:snapToGrid w:val="0"/>
        <w:spacing w:line="360" w:lineRule="auto"/>
        <w:ind w:firstLineChars="200" w:firstLine="480"/>
        <w:rPr>
          <w:rFonts w:hAnsi="宋体"/>
          <w:kern w:val="0"/>
          <w:sz w:val="24"/>
        </w:rPr>
      </w:pPr>
      <w:r w:rsidRPr="00FF0A4B">
        <w:rPr>
          <w:rFonts w:hAnsi="宋体" w:hint="eastAsia"/>
          <w:kern w:val="0"/>
          <w:sz w:val="24"/>
        </w:rPr>
        <w:t>王忆军先生，监事长，硕士学位。现任交通银行战略投资部总经理。历任交通银行办公室副处长，交通银行公司业务部副处长、高级经理、总经理助理、副总经理，交通银行投资银行部副总经理，交通银行江苏分行副行长。</w:t>
      </w:r>
    </w:p>
    <w:p w14:paraId="418950C3" w14:textId="77777777" w:rsidR="00054086" w:rsidRPr="00FF0A4B" w:rsidRDefault="00054086" w:rsidP="00FF0A4B">
      <w:pPr>
        <w:widowControl/>
        <w:adjustRightInd w:val="0"/>
        <w:snapToGrid w:val="0"/>
        <w:spacing w:line="360" w:lineRule="auto"/>
        <w:ind w:firstLineChars="200" w:firstLine="480"/>
        <w:rPr>
          <w:rFonts w:hAnsi="宋体"/>
          <w:kern w:val="0"/>
          <w:sz w:val="24"/>
        </w:rPr>
      </w:pPr>
      <w:r w:rsidRPr="00FF0A4B">
        <w:rPr>
          <w:rFonts w:hAnsi="宋体" w:hint="eastAsia"/>
          <w:kern w:val="0"/>
          <w:sz w:val="24"/>
        </w:rPr>
        <w:t>裴关淑仪女士</w:t>
      </w:r>
      <w:r w:rsidRPr="00FF0A4B">
        <w:rPr>
          <w:rFonts w:hAnsi="宋体"/>
          <w:kern w:val="0"/>
          <w:sz w:val="24"/>
        </w:rPr>
        <w:t>，</w:t>
      </w:r>
      <w:r w:rsidRPr="00FF0A4B">
        <w:rPr>
          <w:rFonts w:hAnsi="宋体" w:hint="eastAsia"/>
          <w:kern w:val="0"/>
          <w:sz w:val="24"/>
        </w:rPr>
        <w:t>监事，双硕士学位。现任交银施罗德基金管理有限公司助理总经理、交银施罗德资产管理（香港）有限公司总经理。曾任职荷兰银行、渣打银行（香港）有限公司、</w:t>
      </w:r>
      <w:r w:rsidRPr="00FF0A4B">
        <w:rPr>
          <w:rFonts w:hAnsi="宋体"/>
          <w:kern w:val="0"/>
          <w:sz w:val="24"/>
        </w:rPr>
        <w:t>MIDAS-KAPITI INTERNATIONAL LIMITED</w:t>
      </w:r>
      <w:r w:rsidRPr="00FF0A4B">
        <w:rPr>
          <w:rFonts w:hAnsi="宋体" w:hint="eastAsia"/>
          <w:kern w:val="0"/>
          <w:sz w:val="24"/>
        </w:rPr>
        <w:t>，施罗德投资管</w:t>
      </w:r>
      <w:r w:rsidRPr="00FF0A4B">
        <w:rPr>
          <w:rFonts w:hAnsi="宋体" w:hint="eastAsia"/>
          <w:kern w:val="0"/>
          <w:sz w:val="24"/>
        </w:rPr>
        <w:lastRenderedPageBreak/>
        <w:t>理</w:t>
      </w:r>
      <w:r w:rsidRPr="00FF0A4B">
        <w:rPr>
          <w:rFonts w:hAnsi="宋体"/>
          <w:kern w:val="0"/>
          <w:sz w:val="24"/>
        </w:rPr>
        <w:t>(</w:t>
      </w:r>
      <w:r w:rsidRPr="00FF0A4B">
        <w:rPr>
          <w:rFonts w:hAnsi="宋体" w:hint="eastAsia"/>
          <w:kern w:val="0"/>
          <w:sz w:val="24"/>
        </w:rPr>
        <w:t>香港</w:t>
      </w:r>
      <w:r w:rsidRPr="00FF0A4B">
        <w:rPr>
          <w:rFonts w:hAnsi="宋体"/>
          <w:kern w:val="0"/>
          <w:sz w:val="24"/>
        </w:rPr>
        <w:t>)</w:t>
      </w:r>
      <w:r w:rsidRPr="00FF0A4B">
        <w:rPr>
          <w:rFonts w:hAnsi="宋体" w:hint="eastAsia"/>
          <w:kern w:val="0"/>
          <w:sz w:val="24"/>
        </w:rPr>
        <w:t>有限公司资讯科技部主管、中国事务联席董事、交银施罗德基金管理有限公司监察稽核及风险管理总监。</w:t>
      </w:r>
    </w:p>
    <w:p w14:paraId="4BEC333D" w14:textId="77777777" w:rsidR="00054086" w:rsidRPr="00FF0A4B" w:rsidRDefault="00054086" w:rsidP="00FF0A4B">
      <w:pPr>
        <w:widowControl/>
        <w:adjustRightInd w:val="0"/>
        <w:snapToGrid w:val="0"/>
        <w:spacing w:line="360" w:lineRule="auto"/>
        <w:ind w:firstLineChars="200" w:firstLine="480"/>
        <w:rPr>
          <w:rFonts w:hAnsi="宋体"/>
          <w:kern w:val="0"/>
          <w:sz w:val="24"/>
        </w:rPr>
      </w:pPr>
      <w:r w:rsidRPr="00FF0A4B">
        <w:rPr>
          <w:rFonts w:hAnsi="宋体" w:hint="eastAsia"/>
          <w:kern w:val="0"/>
          <w:sz w:val="24"/>
        </w:rPr>
        <w:t>张玲菡女士，监事、学士学位。现任交银施罗德基金管理有限公司市场总监。历任中国银行福州分行客户经理，新华人寿保险公司上海分公司区域经理，银河基金管理有限公司市场部渠道经理，交银施罗德基金管理有限公司渠道经理、渠道部副总经理、广州分公司副总经理、营销管理部总经理。</w:t>
      </w:r>
    </w:p>
    <w:p w14:paraId="3F76824D" w14:textId="61323EBE" w:rsidR="00054086" w:rsidRPr="00FF0A4B" w:rsidRDefault="00054086" w:rsidP="00FF0A4B">
      <w:pPr>
        <w:widowControl/>
        <w:adjustRightInd w:val="0"/>
        <w:snapToGrid w:val="0"/>
        <w:spacing w:line="360" w:lineRule="auto"/>
        <w:ind w:firstLineChars="200" w:firstLine="480"/>
        <w:rPr>
          <w:rFonts w:hAnsi="宋体"/>
          <w:kern w:val="0"/>
          <w:sz w:val="24"/>
        </w:rPr>
      </w:pPr>
      <w:r w:rsidRPr="00FF0A4B">
        <w:rPr>
          <w:rFonts w:hAnsi="宋体" w:hint="eastAsia"/>
          <w:kern w:val="0"/>
          <w:sz w:val="24"/>
        </w:rPr>
        <w:t>佘川女士，监事、硕士学位。现任交银施罗德基金管理有限公司投资运营总监。历任华泰证券股份有限公司综合发展部经理、投资银行部项目经理，银河基金管理有限公司监察部总监，交银施罗德基金管理有限公司监察稽核部总经理、监察风控副总监。</w:t>
      </w:r>
    </w:p>
    <w:p w14:paraId="4071A754" w14:textId="77777777" w:rsidR="00CF57A4" w:rsidRPr="00FF0A4B" w:rsidRDefault="00B13D46" w:rsidP="00FF0A4B">
      <w:pPr>
        <w:widowControl/>
        <w:adjustRightInd w:val="0"/>
        <w:snapToGrid w:val="0"/>
        <w:spacing w:line="360" w:lineRule="auto"/>
        <w:ind w:firstLineChars="200" w:firstLine="480"/>
        <w:rPr>
          <w:rFonts w:hAnsi="宋体"/>
          <w:kern w:val="0"/>
          <w:sz w:val="24"/>
        </w:rPr>
      </w:pPr>
      <w:r w:rsidRPr="00FF0A4B">
        <w:rPr>
          <w:rFonts w:hAnsi="宋体"/>
          <w:kern w:val="0"/>
          <w:sz w:val="24"/>
        </w:rPr>
        <w:t>3</w:t>
      </w:r>
      <w:r w:rsidRPr="00FF0A4B">
        <w:rPr>
          <w:rFonts w:hAnsi="宋体" w:hint="eastAsia"/>
          <w:kern w:val="0"/>
          <w:sz w:val="24"/>
        </w:rPr>
        <w:t>、</w:t>
      </w:r>
      <w:r w:rsidR="003F1E8B" w:rsidRPr="00FF0A4B">
        <w:rPr>
          <w:rFonts w:hAnsi="宋体" w:hint="eastAsia"/>
          <w:kern w:val="0"/>
          <w:sz w:val="24"/>
        </w:rPr>
        <w:t>基金管理人高级管理人员</w:t>
      </w:r>
      <w:r w:rsidRPr="00FF0A4B">
        <w:rPr>
          <w:rFonts w:hAnsi="宋体"/>
          <w:kern w:val="0"/>
          <w:sz w:val="24"/>
        </w:rPr>
        <w:t xml:space="preserve"> </w:t>
      </w:r>
    </w:p>
    <w:p w14:paraId="632D15CF" w14:textId="77777777" w:rsidR="00CF57A4" w:rsidRPr="00FF0A4B" w:rsidRDefault="00B13D46" w:rsidP="00FF0A4B">
      <w:pPr>
        <w:widowControl/>
        <w:adjustRightInd w:val="0"/>
        <w:snapToGrid w:val="0"/>
        <w:spacing w:line="360" w:lineRule="auto"/>
        <w:ind w:firstLineChars="200" w:firstLine="480"/>
        <w:rPr>
          <w:rFonts w:hAnsi="宋体"/>
          <w:kern w:val="0"/>
          <w:sz w:val="24"/>
        </w:rPr>
      </w:pPr>
      <w:r w:rsidRPr="00FF0A4B">
        <w:rPr>
          <w:rFonts w:hAnsi="宋体" w:hint="eastAsia"/>
          <w:kern w:val="0"/>
          <w:sz w:val="24"/>
        </w:rPr>
        <w:t>阮红女士，总经理。简历同上。</w:t>
      </w:r>
      <w:r w:rsidRPr="00FF0A4B">
        <w:rPr>
          <w:rFonts w:hAnsi="宋体"/>
          <w:kern w:val="0"/>
          <w:sz w:val="24"/>
        </w:rPr>
        <w:t xml:space="preserve"> </w:t>
      </w:r>
    </w:p>
    <w:p w14:paraId="53AA8D4D" w14:textId="77777777" w:rsidR="00CF57A4" w:rsidRPr="00FF0A4B" w:rsidRDefault="00B13D46" w:rsidP="00FF0A4B">
      <w:pPr>
        <w:widowControl/>
        <w:adjustRightInd w:val="0"/>
        <w:snapToGrid w:val="0"/>
        <w:spacing w:line="360" w:lineRule="auto"/>
        <w:ind w:firstLineChars="200" w:firstLine="480"/>
        <w:rPr>
          <w:rFonts w:hAnsi="宋体"/>
          <w:kern w:val="0"/>
          <w:sz w:val="24"/>
        </w:rPr>
      </w:pPr>
      <w:r w:rsidRPr="00FF0A4B">
        <w:rPr>
          <w:rFonts w:hAnsi="宋体" w:hint="eastAsia"/>
          <w:kern w:val="0"/>
          <w:sz w:val="24"/>
        </w:rPr>
        <w:t>许珊燕女士，副总经理，硕士学历，高级经济师，兼任交银施罗德资产管理有限公司董事。历任湖南大学（原湖南财经学院）金融学院讲师，湘财证券有限责任公司国债部副经理、基金管理总部总经理，湘财荷银基金管理有限公司副总经理。</w:t>
      </w:r>
    </w:p>
    <w:p w14:paraId="50FB9A6A" w14:textId="77777777" w:rsidR="00CF57A4" w:rsidRPr="00FF0A4B" w:rsidRDefault="00B13D46" w:rsidP="00FF0A4B">
      <w:pPr>
        <w:widowControl/>
        <w:adjustRightInd w:val="0"/>
        <w:snapToGrid w:val="0"/>
        <w:spacing w:line="360" w:lineRule="auto"/>
        <w:ind w:firstLineChars="200" w:firstLine="480"/>
        <w:rPr>
          <w:rFonts w:hAnsi="宋体"/>
          <w:kern w:val="0"/>
          <w:sz w:val="24"/>
        </w:rPr>
      </w:pPr>
      <w:r w:rsidRPr="00FF0A4B">
        <w:rPr>
          <w:rFonts w:hAnsi="宋体" w:hint="eastAsia"/>
          <w:kern w:val="0"/>
          <w:sz w:val="24"/>
        </w:rPr>
        <w:t>夏华龙先生，副总经理，博士学历。历任中国地质大学经济管理系教师、经济学院教研室副主任、主任、经济学院副院长；交通银行资产托管部副处长、处长、高级经理、副总经理；交通银行资产托管业务中心副总裁；云南省曲靖市市委常委、副市长（挂职）。</w:t>
      </w:r>
    </w:p>
    <w:p w14:paraId="5F5FAD5F" w14:textId="77777777" w:rsidR="00CF57A4" w:rsidRPr="00FF0A4B" w:rsidRDefault="00B13D46" w:rsidP="00FF0A4B">
      <w:pPr>
        <w:widowControl/>
        <w:adjustRightInd w:val="0"/>
        <w:snapToGrid w:val="0"/>
        <w:spacing w:line="360" w:lineRule="auto"/>
        <w:ind w:firstLineChars="200" w:firstLine="480"/>
        <w:rPr>
          <w:rFonts w:hAnsi="宋体"/>
          <w:kern w:val="0"/>
          <w:sz w:val="24"/>
        </w:rPr>
      </w:pPr>
      <w:r w:rsidRPr="00FF0A4B">
        <w:rPr>
          <w:rFonts w:hAnsi="宋体" w:hint="eastAsia"/>
          <w:kern w:val="0"/>
          <w:sz w:val="24"/>
        </w:rPr>
        <w:t>谢卫先生，副总经理，经济学博士，高级经济师。历任中央财经大学金融系教员；中国社会科学院财经所助理研究员；中国电力信托投资公司基金部副经理；中国人保信托投资公司证券部副总经理、总经理、北京证券营业部总经理、证券总部副总经理兼北方部总经理，富国基金管理有限公司副总经理。</w:t>
      </w:r>
    </w:p>
    <w:p w14:paraId="748AFFAF" w14:textId="77777777" w:rsidR="00CF57A4" w:rsidRPr="00FF0A4B" w:rsidRDefault="00B13D46" w:rsidP="00FF0A4B">
      <w:pPr>
        <w:widowControl/>
        <w:adjustRightInd w:val="0"/>
        <w:snapToGrid w:val="0"/>
        <w:spacing w:line="360" w:lineRule="auto"/>
        <w:ind w:firstLineChars="200" w:firstLine="480"/>
        <w:rPr>
          <w:rFonts w:hAnsi="宋体"/>
          <w:kern w:val="0"/>
          <w:sz w:val="24"/>
        </w:rPr>
      </w:pPr>
      <w:r w:rsidRPr="00FF0A4B">
        <w:rPr>
          <w:rFonts w:hAnsi="宋体" w:hint="eastAsia"/>
          <w:kern w:val="0"/>
          <w:sz w:val="24"/>
        </w:rPr>
        <w:t>苏奋先生，督察长，纽约城市大学工商管理硕士。历任交通银行广州分行市场营销部总经理助理、副总经理，交通银行纽约分行信贷管理部经理、公司金融部经理、信用风险管理办公室负责人，交通银行投资管理部投资并购高级经理，交银施罗德基金管理有限公司综合管理部总监。</w:t>
      </w:r>
    </w:p>
    <w:p w14:paraId="137FC52D" w14:textId="77777777" w:rsidR="00B610C5" w:rsidRPr="00FF0A4B" w:rsidRDefault="00B610C5" w:rsidP="00FF0A4B">
      <w:pPr>
        <w:widowControl/>
        <w:adjustRightInd w:val="0"/>
        <w:snapToGrid w:val="0"/>
        <w:spacing w:line="360" w:lineRule="auto"/>
        <w:ind w:firstLineChars="200" w:firstLine="480"/>
        <w:rPr>
          <w:rFonts w:hAnsi="宋体"/>
          <w:kern w:val="0"/>
          <w:sz w:val="24"/>
        </w:rPr>
      </w:pPr>
      <w:r w:rsidRPr="00FF0A4B">
        <w:rPr>
          <w:rFonts w:hAnsi="宋体" w:hint="eastAsia"/>
          <w:kern w:val="0"/>
          <w:sz w:val="24"/>
        </w:rPr>
        <w:t>印皓女士，副总经理，上海财经大学工商管理硕士。历任交通银行研究开发部副主管体改规划员，交通银行市场营销部副主管市场规划员、主管市场规划员，</w:t>
      </w:r>
      <w:r w:rsidRPr="00FF0A4B">
        <w:rPr>
          <w:rFonts w:hAnsi="宋体" w:hint="eastAsia"/>
          <w:kern w:val="0"/>
          <w:sz w:val="24"/>
        </w:rPr>
        <w:lastRenderedPageBreak/>
        <w:t>交通银行公司业务部副高级经理、高级经理，交通银行机构业务部高级经理、总经理助理、副总经理。</w:t>
      </w:r>
    </w:p>
    <w:p w14:paraId="27BC18B4" w14:textId="77777777" w:rsidR="00CF57A4" w:rsidRPr="00FF0A4B" w:rsidRDefault="00B13D46" w:rsidP="00FF0A4B">
      <w:pPr>
        <w:widowControl/>
        <w:adjustRightInd w:val="0"/>
        <w:snapToGrid w:val="0"/>
        <w:spacing w:line="360" w:lineRule="auto"/>
        <w:ind w:firstLineChars="200" w:firstLine="480"/>
        <w:rPr>
          <w:rFonts w:hAnsi="宋体"/>
          <w:kern w:val="0"/>
          <w:sz w:val="24"/>
        </w:rPr>
      </w:pPr>
      <w:r w:rsidRPr="00FF0A4B">
        <w:rPr>
          <w:rFonts w:hAnsi="宋体"/>
          <w:kern w:val="0"/>
          <w:sz w:val="24"/>
        </w:rPr>
        <w:t>4</w:t>
      </w:r>
      <w:r w:rsidRPr="00FF0A4B">
        <w:rPr>
          <w:rFonts w:hAnsi="宋体"/>
          <w:kern w:val="0"/>
          <w:sz w:val="24"/>
        </w:rPr>
        <w:t>、本基金基金经理</w:t>
      </w:r>
      <w:r w:rsidRPr="00FF0A4B">
        <w:rPr>
          <w:rFonts w:hAnsi="宋体"/>
          <w:kern w:val="0"/>
          <w:sz w:val="24"/>
        </w:rPr>
        <w:t xml:space="preserve"> </w:t>
      </w:r>
    </w:p>
    <w:p w14:paraId="09BEB994" w14:textId="675C1512" w:rsidR="00910938" w:rsidRPr="00910938" w:rsidRDefault="00910938" w:rsidP="00FF0A4B">
      <w:pPr>
        <w:widowControl/>
        <w:adjustRightInd w:val="0"/>
        <w:snapToGrid w:val="0"/>
        <w:spacing w:line="360" w:lineRule="auto"/>
        <w:ind w:firstLineChars="200" w:firstLine="480"/>
        <w:rPr>
          <w:rFonts w:ascii="宋体" w:hAnsi="宋体"/>
          <w:kern w:val="0"/>
          <w:sz w:val="24"/>
        </w:rPr>
      </w:pPr>
      <w:r w:rsidRPr="00FF0A4B">
        <w:rPr>
          <w:rFonts w:hAnsi="宋体" w:hint="eastAsia"/>
          <w:kern w:val="0"/>
          <w:sz w:val="24"/>
        </w:rPr>
        <w:t>蔡铮先生，基金经理。复旦大学电子工程硕士。</w:t>
      </w:r>
      <w:r w:rsidR="00AF36DF" w:rsidRPr="00FF0A4B">
        <w:rPr>
          <w:rFonts w:hAnsi="宋体"/>
          <w:kern w:val="0"/>
          <w:sz w:val="24"/>
        </w:rPr>
        <w:t>9</w:t>
      </w:r>
      <w:r w:rsidR="00793FB5" w:rsidRPr="00FF0A4B">
        <w:rPr>
          <w:rFonts w:hAnsi="宋体" w:hint="eastAsia"/>
          <w:kern w:val="0"/>
          <w:sz w:val="24"/>
        </w:rPr>
        <w:t>年证券从业经验。</w:t>
      </w:r>
      <w:r w:rsidR="00793FB5" w:rsidRPr="00FF0A4B">
        <w:rPr>
          <w:rFonts w:hAnsi="宋体"/>
          <w:kern w:val="0"/>
          <w:sz w:val="24"/>
        </w:rPr>
        <w:t>2007</w:t>
      </w:r>
      <w:r w:rsidR="00793FB5" w:rsidRPr="00FF0A4B">
        <w:rPr>
          <w:rFonts w:hAnsi="宋体" w:hint="eastAsia"/>
          <w:kern w:val="0"/>
          <w:sz w:val="24"/>
        </w:rPr>
        <w:t>年</w:t>
      </w:r>
      <w:r w:rsidR="00793FB5" w:rsidRPr="00FF0A4B">
        <w:rPr>
          <w:rFonts w:hAnsi="宋体"/>
          <w:kern w:val="0"/>
          <w:sz w:val="24"/>
        </w:rPr>
        <w:t>7</w:t>
      </w:r>
      <w:r w:rsidR="00793FB5" w:rsidRPr="00793FB5">
        <w:rPr>
          <w:rFonts w:ascii="宋体" w:hAnsi="宋体" w:hint="eastAsia"/>
          <w:sz w:val="24"/>
        </w:rPr>
        <w:t>月起在瑞士银行香港分行工作。2009年加入交银施罗德基金管理有限公司，曾任投资研究部数量分析师、量化投资部助理总经理、量化投资部副总经理，现任量化投资副总监兼多元资产管理副总监。2011年3月7日至2012年12月26日担任上证180公司治理交易型开放式指数证券投资基金、交银施罗德上证180公司治理交易型开放式指数证券投资基金联接基金基金经理助理，2011年9月22日至2012年12月26日担任深证300价值交易型开放式指数证券投资基金基金经理助理，2011年9月28日至2012年12月26日担任交银施罗德深证300价值交易型开放式指数证券投资基金联接基金基金经理助理，2012年11月7日至2012年12月26日担任交银施罗德沪深300行业分层等权重指数证券投资基金基金经理助理，2012年12月27日至2015年6月30日担任交银施罗德沪深300行业分层等权重指数证券投资基金基金经理，2015年4月22日至2017年3月24日担任交银施罗德环球精选价值证券投资基金基金经理、交银施罗德全球自然资源证券投资基金基金经理，2015年8月13日至2016年7月18日担任交银施罗德中证环境治理指数分级证券投资基金基金经理。2012年12月27日起担任上证180公司治理交易型开放式指数证券投资基金、交银施罗德上证180公司治理交易型开放式指数证券投资基金联接基金、深证300价值交易型开放式指数证券投资基金、交银施罗德深证300价值交易型开放式指数证券投资基金联接基金基金经理至今，2015年3月26日起担任交银施罗德国证新能源指数分级证券投资基金基金经理至今，2015年5月27日起担任交银施罗德中证海外中国互联网指数型证券投资基金(LOF)基金经理至今，2015年6月26日起担任交银施罗德中证互联网金融指数分级证券投资基金基金经理至今，2016年7月19日起担任交银施罗德中证环境治理指数型证券投资基金（LOF）基金经理至今。</w:t>
      </w:r>
    </w:p>
    <w:p w14:paraId="5946539D" w14:textId="77777777" w:rsidR="00CF57A4" w:rsidRPr="00FF0A4B" w:rsidRDefault="00B13D46" w:rsidP="00174552">
      <w:pPr>
        <w:widowControl/>
        <w:adjustRightInd w:val="0"/>
        <w:snapToGrid w:val="0"/>
        <w:spacing w:line="360" w:lineRule="auto"/>
        <w:ind w:firstLineChars="200" w:firstLine="480"/>
        <w:rPr>
          <w:rFonts w:hAnsi="宋体"/>
          <w:kern w:val="0"/>
          <w:sz w:val="24"/>
        </w:rPr>
      </w:pPr>
      <w:r w:rsidRPr="00FF0A4B">
        <w:rPr>
          <w:rFonts w:hAnsi="宋体" w:hint="eastAsia"/>
          <w:kern w:val="0"/>
          <w:sz w:val="24"/>
        </w:rPr>
        <w:t>历任基金经理</w:t>
      </w:r>
    </w:p>
    <w:p w14:paraId="7A029D00" w14:textId="77777777" w:rsidR="00CF57A4" w:rsidRPr="00FF0A4B" w:rsidRDefault="00B13D46" w:rsidP="00FF0A4B">
      <w:pPr>
        <w:widowControl/>
        <w:adjustRightInd w:val="0"/>
        <w:snapToGrid w:val="0"/>
        <w:spacing w:line="360" w:lineRule="auto"/>
        <w:ind w:firstLineChars="200" w:firstLine="480"/>
        <w:rPr>
          <w:rFonts w:hAnsi="宋体"/>
          <w:kern w:val="0"/>
          <w:sz w:val="24"/>
        </w:rPr>
      </w:pPr>
      <w:r w:rsidRPr="00FF0A4B">
        <w:rPr>
          <w:rFonts w:hAnsi="宋体" w:hint="eastAsia"/>
          <w:kern w:val="0"/>
          <w:sz w:val="24"/>
        </w:rPr>
        <w:t>屈乐伟先生，</w:t>
      </w:r>
      <w:r w:rsidRPr="00FF0A4B">
        <w:rPr>
          <w:rFonts w:hAnsi="宋体"/>
          <w:kern w:val="0"/>
          <w:sz w:val="24"/>
        </w:rPr>
        <w:t>2011</w:t>
      </w:r>
      <w:r w:rsidRPr="00FF0A4B">
        <w:rPr>
          <w:rFonts w:hAnsi="宋体" w:hint="eastAsia"/>
          <w:kern w:val="0"/>
          <w:sz w:val="24"/>
        </w:rPr>
        <w:t>年</w:t>
      </w:r>
      <w:r w:rsidRPr="00FF0A4B">
        <w:rPr>
          <w:rFonts w:hAnsi="宋体"/>
          <w:kern w:val="0"/>
          <w:sz w:val="24"/>
        </w:rPr>
        <w:t>9</w:t>
      </w:r>
      <w:r w:rsidRPr="00FF0A4B">
        <w:rPr>
          <w:rFonts w:hAnsi="宋体" w:hint="eastAsia"/>
          <w:kern w:val="0"/>
          <w:sz w:val="24"/>
        </w:rPr>
        <w:t>月</w:t>
      </w:r>
      <w:r w:rsidRPr="00FF0A4B">
        <w:rPr>
          <w:rFonts w:hAnsi="宋体"/>
          <w:kern w:val="0"/>
          <w:sz w:val="24"/>
        </w:rPr>
        <w:t>22</w:t>
      </w:r>
      <w:r w:rsidRPr="00FF0A4B">
        <w:rPr>
          <w:rFonts w:hAnsi="宋体" w:hint="eastAsia"/>
          <w:kern w:val="0"/>
          <w:sz w:val="24"/>
        </w:rPr>
        <w:t>日至</w:t>
      </w:r>
      <w:r w:rsidR="003F1E8B" w:rsidRPr="00FF0A4B">
        <w:rPr>
          <w:rFonts w:hAnsi="宋体"/>
          <w:kern w:val="0"/>
          <w:sz w:val="24"/>
        </w:rPr>
        <w:t>2013</w:t>
      </w:r>
      <w:r w:rsidR="003F1E8B" w:rsidRPr="00FF0A4B">
        <w:rPr>
          <w:rFonts w:hAnsi="宋体" w:hint="eastAsia"/>
          <w:kern w:val="0"/>
          <w:sz w:val="24"/>
        </w:rPr>
        <w:t>年</w:t>
      </w:r>
      <w:r w:rsidR="003F1E8B" w:rsidRPr="00FF0A4B">
        <w:rPr>
          <w:rFonts w:hAnsi="宋体"/>
          <w:kern w:val="0"/>
          <w:sz w:val="24"/>
        </w:rPr>
        <w:t>3</w:t>
      </w:r>
      <w:r w:rsidR="003F1E8B" w:rsidRPr="00FF0A4B">
        <w:rPr>
          <w:rFonts w:hAnsi="宋体" w:hint="eastAsia"/>
          <w:kern w:val="0"/>
          <w:sz w:val="24"/>
        </w:rPr>
        <w:t>月</w:t>
      </w:r>
      <w:r w:rsidR="003F1E8B" w:rsidRPr="00FF0A4B">
        <w:rPr>
          <w:rFonts w:hAnsi="宋体"/>
          <w:kern w:val="0"/>
          <w:sz w:val="24"/>
        </w:rPr>
        <w:t>29</w:t>
      </w:r>
      <w:r w:rsidRPr="00FF0A4B">
        <w:rPr>
          <w:rFonts w:hAnsi="宋体" w:hint="eastAsia"/>
          <w:kern w:val="0"/>
          <w:sz w:val="24"/>
        </w:rPr>
        <w:t>日任本基金基金经理。</w:t>
      </w:r>
    </w:p>
    <w:p w14:paraId="514E0994" w14:textId="77777777" w:rsidR="00CF57A4" w:rsidRPr="00FF0A4B" w:rsidRDefault="00B13D46" w:rsidP="00FF0A4B">
      <w:pPr>
        <w:widowControl/>
        <w:adjustRightInd w:val="0"/>
        <w:snapToGrid w:val="0"/>
        <w:spacing w:line="360" w:lineRule="auto"/>
        <w:ind w:firstLineChars="200" w:firstLine="480"/>
        <w:rPr>
          <w:rFonts w:hAnsi="宋体"/>
          <w:kern w:val="0"/>
          <w:sz w:val="24"/>
        </w:rPr>
      </w:pPr>
      <w:r w:rsidRPr="00FF0A4B">
        <w:rPr>
          <w:rFonts w:hAnsi="宋体"/>
          <w:kern w:val="0"/>
          <w:sz w:val="24"/>
        </w:rPr>
        <w:t>5</w:t>
      </w:r>
      <w:r w:rsidRPr="00FF0A4B">
        <w:rPr>
          <w:rFonts w:hAnsi="宋体"/>
          <w:kern w:val="0"/>
          <w:sz w:val="24"/>
        </w:rPr>
        <w:t>、投资决策委员会成员</w:t>
      </w:r>
      <w:r w:rsidRPr="00FF0A4B">
        <w:rPr>
          <w:rFonts w:hAnsi="宋体"/>
          <w:kern w:val="0"/>
          <w:sz w:val="24"/>
        </w:rPr>
        <w:t xml:space="preserve"> </w:t>
      </w:r>
    </w:p>
    <w:p w14:paraId="39D240EB" w14:textId="77777777" w:rsidR="00CF57A4" w:rsidRDefault="00B13D46">
      <w:pPr>
        <w:widowControl/>
        <w:spacing w:line="360" w:lineRule="auto"/>
        <w:ind w:firstLineChars="200" w:firstLine="480"/>
        <w:rPr>
          <w:rFonts w:ascii="宋体" w:hAnsi="宋体" w:cs="宋体"/>
          <w:kern w:val="0"/>
          <w:sz w:val="24"/>
        </w:rPr>
      </w:pPr>
      <w:r>
        <w:rPr>
          <w:rFonts w:ascii="宋体" w:hAnsi="宋体" w:cs="宋体" w:hint="eastAsia"/>
          <w:color w:val="000000"/>
          <w:kern w:val="0"/>
          <w:sz w:val="24"/>
        </w:rPr>
        <w:lastRenderedPageBreak/>
        <w:t xml:space="preserve">   </w:t>
      </w:r>
      <w:r>
        <w:rPr>
          <w:rFonts w:ascii="宋体" w:hAnsi="宋体" w:cs="宋体"/>
          <w:color w:val="000000"/>
          <w:kern w:val="0"/>
          <w:sz w:val="24"/>
        </w:rPr>
        <w:t>委员：</w:t>
      </w:r>
      <w:r>
        <w:rPr>
          <w:rFonts w:ascii="宋体" w:hAnsi="宋体" w:cs="宋体" w:hint="eastAsia"/>
          <w:kern w:val="0"/>
          <w:sz w:val="24"/>
        </w:rPr>
        <w:t>阮红（总经理）</w:t>
      </w:r>
    </w:p>
    <w:p w14:paraId="52113C28" w14:textId="77777777" w:rsidR="00F84A67" w:rsidRDefault="00F84A67" w:rsidP="00F84A67">
      <w:pPr>
        <w:widowControl/>
        <w:spacing w:line="360" w:lineRule="auto"/>
        <w:ind w:firstLineChars="650" w:firstLine="1560"/>
        <w:rPr>
          <w:rFonts w:ascii="宋体" w:hAnsi="宋体" w:cs="宋体"/>
          <w:kern w:val="0"/>
          <w:sz w:val="24"/>
        </w:rPr>
      </w:pPr>
      <w:r>
        <w:rPr>
          <w:rFonts w:ascii="宋体" w:hAnsi="宋体" w:cs="宋体" w:hint="eastAsia"/>
          <w:kern w:val="0"/>
          <w:sz w:val="24"/>
        </w:rPr>
        <w:t>王少成（权益投资总监、基金经理）</w:t>
      </w:r>
    </w:p>
    <w:p w14:paraId="7A3D9AA0" w14:textId="77777777" w:rsidR="00F84A67" w:rsidRDefault="00F84A67" w:rsidP="00F84A67">
      <w:pPr>
        <w:widowControl/>
        <w:spacing w:line="360" w:lineRule="auto"/>
        <w:ind w:firstLineChars="650" w:firstLine="1560"/>
        <w:rPr>
          <w:rFonts w:ascii="宋体" w:hAnsi="宋体" w:cs="宋体"/>
          <w:kern w:val="0"/>
          <w:sz w:val="24"/>
        </w:rPr>
      </w:pPr>
      <w:r>
        <w:rPr>
          <w:rFonts w:ascii="宋体" w:hAnsi="宋体" w:cs="宋体" w:hint="eastAsia"/>
          <w:kern w:val="0"/>
          <w:sz w:val="24"/>
        </w:rPr>
        <w:t>齐晧（跨境投资总监、投资经理）</w:t>
      </w:r>
    </w:p>
    <w:p w14:paraId="2861F2FF" w14:textId="77777777" w:rsidR="00F84A67" w:rsidRDefault="00B610C5" w:rsidP="00F84A67">
      <w:pPr>
        <w:widowControl/>
        <w:spacing w:line="360" w:lineRule="auto"/>
        <w:ind w:firstLineChars="650" w:firstLine="1560"/>
        <w:rPr>
          <w:rFonts w:ascii="宋体" w:hAnsi="宋体"/>
          <w:color w:val="000000"/>
          <w:kern w:val="0"/>
          <w:sz w:val="24"/>
        </w:rPr>
      </w:pPr>
      <w:r>
        <w:rPr>
          <w:rFonts w:ascii="宋体" w:hAnsi="宋体" w:cs="宋体" w:hint="eastAsia"/>
          <w:kern w:val="0"/>
          <w:sz w:val="24"/>
        </w:rPr>
        <w:t>于海颖（</w:t>
      </w:r>
      <w:r>
        <w:rPr>
          <w:rFonts w:ascii="宋体" w:hAnsi="宋体" w:cs="宋体"/>
          <w:kern w:val="0"/>
          <w:sz w:val="24"/>
        </w:rPr>
        <w:t>固定收益</w:t>
      </w:r>
      <w:r>
        <w:rPr>
          <w:rFonts w:ascii="宋体" w:hAnsi="宋体" w:cs="宋体" w:hint="eastAsia"/>
          <w:kern w:val="0"/>
          <w:sz w:val="24"/>
        </w:rPr>
        <w:t>（公募</w:t>
      </w:r>
      <w:r>
        <w:rPr>
          <w:rFonts w:ascii="宋体" w:hAnsi="宋体" w:cs="宋体"/>
          <w:kern w:val="0"/>
          <w:sz w:val="24"/>
        </w:rPr>
        <w:t>）投资总监</w:t>
      </w:r>
      <w:r>
        <w:rPr>
          <w:rFonts w:ascii="宋体" w:hAnsi="宋体" w:cs="宋体" w:hint="eastAsia"/>
          <w:kern w:val="0"/>
          <w:sz w:val="24"/>
        </w:rPr>
        <w:t>、</w:t>
      </w:r>
      <w:r>
        <w:rPr>
          <w:rFonts w:ascii="宋体" w:hAnsi="宋体" w:cs="宋体"/>
          <w:kern w:val="0"/>
          <w:sz w:val="24"/>
        </w:rPr>
        <w:t>基金经理）</w:t>
      </w:r>
    </w:p>
    <w:p w14:paraId="50B3F8AD" w14:textId="7C87E73A" w:rsidR="00CF57A4" w:rsidRDefault="00793FB5">
      <w:pPr>
        <w:widowControl/>
        <w:spacing w:line="360" w:lineRule="auto"/>
        <w:ind w:firstLineChars="650" w:firstLine="1560"/>
        <w:rPr>
          <w:rFonts w:ascii="宋体" w:hAnsi="宋体" w:cs="宋体"/>
          <w:kern w:val="0"/>
          <w:sz w:val="24"/>
        </w:rPr>
      </w:pPr>
      <w:r>
        <w:rPr>
          <w:rFonts w:ascii="宋体" w:hAnsi="宋体" w:cs="宋体" w:hint="eastAsia"/>
          <w:kern w:val="0"/>
          <w:sz w:val="24"/>
        </w:rPr>
        <w:t>马俊</w:t>
      </w:r>
      <w:r w:rsidR="00F84A67">
        <w:rPr>
          <w:rFonts w:ascii="宋体" w:hAnsi="宋体" w:cs="宋体" w:hint="eastAsia"/>
          <w:kern w:val="0"/>
          <w:sz w:val="24"/>
        </w:rPr>
        <w:t>（研究</w:t>
      </w:r>
      <w:r>
        <w:rPr>
          <w:rFonts w:ascii="宋体" w:hAnsi="宋体" w:cs="宋体" w:hint="eastAsia"/>
          <w:kern w:val="0"/>
          <w:sz w:val="24"/>
        </w:rPr>
        <w:t>总监</w:t>
      </w:r>
      <w:r w:rsidR="00F84A67">
        <w:rPr>
          <w:rFonts w:ascii="宋体" w:hAnsi="宋体" w:cs="宋体" w:hint="eastAsia"/>
          <w:kern w:val="0"/>
          <w:sz w:val="24"/>
        </w:rPr>
        <w:t>）</w:t>
      </w:r>
    </w:p>
    <w:p w14:paraId="2357EF19" w14:textId="707A1A0C" w:rsidR="00CF57A4" w:rsidRDefault="00B13D46">
      <w:pPr>
        <w:widowControl/>
        <w:spacing w:line="360" w:lineRule="auto"/>
        <w:ind w:rightChars="-85" w:right="-178" w:firstLineChars="200" w:firstLine="480"/>
        <w:rPr>
          <w:rFonts w:ascii="宋体" w:hAnsi="宋体" w:cs="宋体"/>
          <w:color w:val="000000"/>
          <w:kern w:val="0"/>
          <w:sz w:val="24"/>
        </w:rPr>
      </w:pPr>
      <w:r>
        <w:rPr>
          <w:rFonts w:ascii="宋体" w:hAnsi="宋体" w:cs="宋体" w:hint="eastAsia"/>
          <w:color w:val="000000"/>
          <w:kern w:val="0"/>
          <w:sz w:val="24"/>
        </w:rPr>
        <w:t xml:space="preserve">   上述人员之间无近亲属关系。</w:t>
      </w:r>
      <w:r>
        <w:rPr>
          <w:rFonts w:ascii="宋体" w:hAnsi="宋体" w:cs="宋体" w:hint="eastAsia"/>
          <w:kern w:val="0"/>
          <w:sz w:val="24"/>
        </w:rPr>
        <w:t>上述各项人员信息更新截止日为</w:t>
      </w:r>
      <w:r w:rsidR="00AF36DF">
        <w:rPr>
          <w:rFonts w:ascii="宋体" w:hAnsi="宋体" w:cs="宋体" w:hint="eastAsia"/>
          <w:kern w:val="0"/>
          <w:sz w:val="24"/>
        </w:rPr>
        <w:t>201</w:t>
      </w:r>
      <w:r w:rsidR="00AF36DF">
        <w:rPr>
          <w:rFonts w:ascii="宋体" w:hAnsi="宋体" w:cs="宋体"/>
          <w:kern w:val="0"/>
          <w:sz w:val="24"/>
        </w:rPr>
        <w:t>8</w:t>
      </w:r>
      <w:r w:rsidR="00793FB5">
        <w:rPr>
          <w:rFonts w:ascii="宋体" w:hAnsi="宋体" w:cs="宋体" w:hint="eastAsia"/>
          <w:kern w:val="0"/>
          <w:sz w:val="24"/>
        </w:rPr>
        <w:t>年</w:t>
      </w:r>
      <w:r w:rsidR="00AF36DF">
        <w:rPr>
          <w:rFonts w:ascii="宋体" w:hAnsi="宋体" w:cs="宋体"/>
          <w:kern w:val="0"/>
          <w:sz w:val="24"/>
        </w:rPr>
        <w:t>3</w:t>
      </w:r>
      <w:r>
        <w:rPr>
          <w:rFonts w:ascii="宋体" w:hAnsi="宋体" w:cs="宋体" w:hint="eastAsia"/>
          <w:kern w:val="0"/>
          <w:sz w:val="24"/>
        </w:rPr>
        <w:t>月2</w:t>
      </w:r>
      <w:r>
        <w:rPr>
          <w:rFonts w:ascii="宋体" w:hAnsi="宋体" w:cs="宋体"/>
          <w:kern w:val="0"/>
          <w:sz w:val="24"/>
        </w:rPr>
        <w:t>2</w:t>
      </w:r>
      <w:r>
        <w:rPr>
          <w:rFonts w:ascii="宋体" w:hAnsi="宋体" w:cs="宋体" w:hint="eastAsia"/>
          <w:kern w:val="0"/>
          <w:sz w:val="24"/>
        </w:rPr>
        <w:t>日，期后变动（如有）敬请关注基金管理人发布的相关公告。</w:t>
      </w:r>
    </w:p>
    <w:p w14:paraId="7F7C5B49" w14:textId="77777777" w:rsidR="00CF57A4" w:rsidRDefault="00B13D46">
      <w:pPr>
        <w:widowControl/>
        <w:spacing w:line="360" w:lineRule="auto"/>
        <w:ind w:firstLineChars="200" w:firstLine="482"/>
        <w:outlineLvl w:val="1"/>
        <w:rPr>
          <w:rFonts w:ascii="宋体" w:hAnsi="宋体"/>
          <w:b/>
          <w:color w:val="000000"/>
          <w:kern w:val="0"/>
          <w:sz w:val="24"/>
        </w:rPr>
      </w:pPr>
      <w:r>
        <w:rPr>
          <w:rFonts w:ascii="宋体" w:hAnsi="宋体"/>
          <w:b/>
          <w:color w:val="000000"/>
          <w:kern w:val="0"/>
          <w:sz w:val="24"/>
        </w:rPr>
        <w:t xml:space="preserve">（三）基金管理人的职责 </w:t>
      </w:r>
    </w:p>
    <w:p w14:paraId="60C6EB1D" w14:textId="77777777" w:rsidR="00CF57A4" w:rsidRDefault="00B13D46">
      <w:pPr>
        <w:widowControl/>
        <w:spacing w:line="360" w:lineRule="auto"/>
        <w:ind w:firstLineChars="200" w:firstLine="480"/>
        <w:rPr>
          <w:rFonts w:ascii="宋体" w:hAnsi="宋体"/>
          <w:color w:val="000000"/>
          <w:kern w:val="0"/>
          <w:sz w:val="24"/>
        </w:rPr>
      </w:pPr>
      <w:r>
        <w:rPr>
          <w:rFonts w:ascii="宋体" w:hAnsi="宋体"/>
          <w:color w:val="000000"/>
          <w:kern w:val="0"/>
          <w:sz w:val="24"/>
        </w:rPr>
        <w:t xml:space="preserve">1、依法募集基金，办理或者委托经中国证监会认定的其他机构代为办理基金份额的发售、申购、赎回和登记事宜； </w:t>
      </w:r>
    </w:p>
    <w:p w14:paraId="4A36B171" w14:textId="77777777" w:rsidR="00CF57A4" w:rsidRDefault="00B13D46">
      <w:pPr>
        <w:widowControl/>
        <w:spacing w:line="360" w:lineRule="auto"/>
        <w:ind w:firstLineChars="200" w:firstLine="480"/>
        <w:rPr>
          <w:rFonts w:ascii="宋体" w:hAnsi="宋体"/>
          <w:color w:val="000000"/>
          <w:kern w:val="0"/>
          <w:sz w:val="24"/>
        </w:rPr>
      </w:pPr>
      <w:r>
        <w:rPr>
          <w:rFonts w:ascii="宋体" w:hAnsi="宋体"/>
          <w:color w:val="000000"/>
          <w:kern w:val="0"/>
          <w:sz w:val="24"/>
        </w:rPr>
        <w:t xml:space="preserve">2、办理基金备案手续； </w:t>
      </w:r>
    </w:p>
    <w:p w14:paraId="2F422A32" w14:textId="77777777" w:rsidR="00CF57A4" w:rsidRDefault="00B13D46">
      <w:pPr>
        <w:widowControl/>
        <w:spacing w:line="360" w:lineRule="auto"/>
        <w:ind w:firstLineChars="200" w:firstLine="480"/>
        <w:rPr>
          <w:rFonts w:ascii="宋体" w:hAnsi="宋体"/>
          <w:color w:val="000000"/>
          <w:kern w:val="0"/>
          <w:sz w:val="24"/>
        </w:rPr>
      </w:pPr>
      <w:r>
        <w:rPr>
          <w:rFonts w:ascii="宋体" w:hAnsi="宋体"/>
          <w:color w:val="000000"/>
          <w:kern w:val="0"/>
          <w:sz w:val="24"/>
        </w:rPr>
        <w:t xml:space="preserve">3、对所管理的不同基金财产分别管理、分别记账，进行证券投资； </w:t>
      </w:r>
    </w:p>
    <w:p w14:paraId="18599A75" w14:textId="77777777" w:rsidR="00CF57A4" w:rsidRDefault="00B13D46">
      <w:pPr>
        <w:widowControl/>
        <w:spacing w:line="360" w:lineRule="auto"/>
        <w:ind w:firstLineChars="200" w:firstLine="480"/>
        <w:rPr>
          <w:rFonts w:ascii="宋体" w:hAnsi="宋体"/>
          <w:color w:val="000000"/>
          <w:kern w:val="0"/>
          <w:sz w:val="24"/>
        </w:rPr>
      </w:pPr>
      <w:r>
        <w:rPr>
          <w:rFonts w:ascii="宋体" w:hAnsi="宋体"/>
          <w:color w:val="000000"/>
          <w:kern w:val="0"/>
          <w:sz w:val="24"/>
        </w:rPr>
        <w:t>4、按照</w:t>
      </w:r>
      <w:r>
        <w:rPr>
          <w:rFonts w:ascii="宋体" w:hAnsi="宋体" w:hint="eastAsia"/>
          <w:color w:val="000000"/>
          <w:kern w:val="0"/>
          <w:sz w:val="24"/>
        </w:rPr>
        <w:t>基金合同</w:t>
      </w:r>
      <w:r>
        <w:rPr>
          <w:rFonts w:ascii="宋体" w:hAnsi="宋体"/>
          <w:color w:val="000000"/>
          <w:kern w:val="0"/>
          <w:sz w:val="24"/>
        </w:rPr>
        <w:t xml:space="preserve">的约定确定基金收益分配方案，及时向基金份额持有人分配收益； </w:t>
      </w:r>
    </w:p>
    <w:p w14:paraId="40872942" w14:textId="77777777" w:rsidR="00CF57A4" w:rsidRDefault="00B13D46">
      <w:pPr>
        <w:widowControl/>
        <w:spacing w:line="360" w:lineRule="auto"/>
        <w:ind w:firstLineChars="200" w:firstLine="480"/>
        <w:rPr>
          <w:rFonts w:ascii="宋体" w:hAnsi="宋体"/>
          <w:color w:val="000000"/>
          <w:kern w:val="0"/>
          <w:sz w:val="24"/>
        </w:rPr>
      </w:pPr>
      <w:r>
        <w:rPr>
          <w:rFonts w:ascii="宋体" w:hAnsi="宋体"/>
          <w:color w:val="000000"/>
          <w:kern w:val="0"/>
          <w:sz w:val="24"/>
        </w:rPr>
        <w:t xml:space="preserve">5、进行基金会计核算并编制基金财务会计报告； </w:t>
      </w:r>
    </w:p>
    <w:p w14:paraId="1C46B001" w14:textId="77777777" w:rsidR="00CF57A4" w:rsidRDefault="00B13D46">
      <w:pPr>
        <w:widowControl/>
        <w:spacing w:line="360" w:lineRule="auto"/>
        <w:ind w:firstLineChars="200" w:firstLine="480"/>
        <w:rPr>
          <w:rFonts w:ascii="宋体" w:hAnsi="宋体"/>
          <w:color w:val="000000"/>
          <w:kern w:val="0"/>
          <w:sz w:val="24"/>
        </w:rPr>
      </w:pPr>
      <w:r>
        <w:rPr>
          <w:rFonts w:ascii="宋体" w:hAnsi="宋体"/>
          <w:color w:val="000000"/>
          <w:kern w:val="0"/>
          <w:sz w:val="24"/>
        </w:rPr>
        <w:t xml:space="preserve">6、编制季度、半年度和年度基金报告； </w:t>
      </w:r>
    </w:p>
    <w:p w14:paraId="5EDAE6D6" w14:textId="77777777" w:rsidR="00CF57A4" w:rsidRDefault="00B13D46">
      <w:pPr>
        <w:widowControl/>
        <w:spacing w:line="360" w:lineRule="auto"/>
        <w:ind w:firstLineChars="200" w:firstLine="480"/>
        <w:rPr>
          <w:rFonts w:ascii="宋体" w:hAnsi="宋体"/>
          <w:color w:val="000000"/>
          <w:kern w:val="0"/>
          <w:sz w:val="24"/>
        </w:rPr>
      </w:pPr>
      <w:r>
        <w:rPr>
          <w:rFonts w:ascii="宋体" w:hAnsi="宋体"/>
          <w:color w:val="000000"/>
          <w:kern w:val="0"/>
          <w:sz w:val="24"/>
        </w:rPr>
        <w:t xml:space="preserve">7、计算并公告基金资产净值，确定基金份额申购、赎回价格； </w:t>
      </w:r>
    </w:p>
    <w:p w14:paraId="0ED67CBB" w14:textId="77777777" w:rsidR="00CF57A4" w:rsidRDefault="00B13D46">
      <w:pPr>
        <w:widowControl/>
        <w:spacing w:line="360" w:lineRule="auto"/>
        <w:ind w:firstLineChars="200" w:firstLine="480"/>
        <w:rPr>
          <w:rFonts w:ascii="宋体" w:hAnsi="宋体"/>
          <w:color w:val="000000"/>
          <w:kern w:val="0"/>
          <w:sz w:val="24"/>
        </w:rPr>
      </w:pPr>
      <w:r>
        <w:rPr>
          <w:rFonts w:ascii="宋体" w:hAnsi="宋体"/>
          <w:color w:val="000000"/>
          <w:kern w:val="0"/>
          <w:sz w:val="24"/>
        </w:rPr>
        <w:t xml:space="preserve">8、办理与基金财产管理业务活动有关的信息披露事项； </w:t>
      </w:r>
    </w:p>
    <w:p w14:paraId="557BD55E" w14:textId="77777777" w:rsidR="00CF57A4" w:rsidRDefault="00B13D46">
      <w:pPr>
        <w:widowControl/>
        <w:spacing w:line="360" w:lineRule="auto"/>
        <w:ind w:firstLineChars="200" w:firstLine="480"/>
        <w:rPr>
          <w:rFonts w:ascii="宋体" w:hAnsi="宋体"/>
          <w:color w:val="000000"/>
          <w:kern w:val="0"/>
          <w:sz w:val="24"/>
        </w:rPr>
      </w:pPr>
      <w:r>
        <w:rPr>
          <w:rFonts w:ascii="宋体" w:hAnsi="宋体"/>
          <w:color w:val="000000"/>
          <w:kern w:val="0"/>
          <w:sz w:val="24"/>
        </w:rPr>
        <w:t xml:space="preserve">9、召集基金份额持有人大会； </w:t>
      </w:r>
    </w:p>
    <w:p w14:paraId="0AB56346" w14:textId="77777777" w:rsidR="00CF57A4" w:rsidRDefault="00B13D46">
      <w:pPr>
        <w:widowControl/>
        <w:spacing w:line="360" w:lineRule="auto"/>
        <w:ind w:firstLineChars="200" w:firstLine="480"/>
        <w:rPr>
          <w:rFonts w:ascii="宋体" w:hAnsi="宋体"/>
          <w:color w:val="000000"/>
          <w:kern w:val="0"/>
          <w:sz w:val="24"/>
        </w:rPr>
      </w:pPr>
      <w:r>
        <w:rPr>
          <w:rFonts w:ascii="宋体" w:hAnsi="宋体"/>
          <w:color w:val="000000"/>
          <w:kern w:val="0"/>
          <w:sz w:val="24"/>
        </w:rPr>
        <w:t xml:space="preserve">10、保存基金财产管理业务活动的记录、账册、报表和其他相关资料； </w:t>
      </w:r>
    </w:p>
    <w:p w14:paraId="6BAE2C06" w14:textId="77777777" w:rsidR="00CF57A4" w:rsidRDefault="00B13D46">
      <w:pPr>
        <w:widowControl/>
        <w:spacing w:line="360" w:lineRule="auto"/>
        <w:ind w:firstLineChars="200" w:firstLine="480"/>
        <w:rPr>
          <w:rFonts w:ascii="宋体" w:hAnsi="宋体"/>
          <w:color w:val="000000"/>
          <w:kern w:val="0"/>
          <w:sz w:val="24"/>
        </w:rPr>
      </w:pPr>
      <w:r>
        <w:rPr>
          <w:rFonts w:ascii="宋体" w:hAnsi="宋体"/>
          <w:color w:val="000000"/>
          <w:kern w:val="0"/>
          <w:sz w:val="24"/>
        </w:rPr>
        <w:t xml:space="preserve">11、以基金管理人名义，代表基金份额持有人利益行使诉讼权利或者实施其他法律行为； </w:t>
      </w:r>
    </w:p>
    <w:p w14:paraId="13DBD9D8" w14:textId="77777777" w:rsidR="00CF57A4" w:rsidRDefault="00B13D46">
      <w:pPr>
        <w:widowControl/>
        <w:spacing w:line="360" w:lineRule="auto"/>
        <w:ind w:firstLineChars="200" w:firstLine="480"/>
        <w:rPr>
          <w:rFonts w:ascii="宋体" w:hAnsi="宋体"/>
          <w:color w:val="000000"/>
          <w:kern w:val="0"/>
          <w:sz w:val="24"/>
        </w:rPr>
      </w:pPr>
      <w:r>
        <w:rPr>
          <w:rFonts w:ascii="宋体" w:hAnsi="宋体"/>
          <w:color w:val="000000"/>
          <w:kern w:val="0"/>
          <w:sz w:val="24"/>
        </w:rPr>
        <w:t xml:space="preserve">12、有关法律法规和中国证监会规定的其他职责。 </w:t>
      </w:r>
    </w:p>
    <w:p w14:paraId="7440EA17" w14:textId="77777777" w:rsidR="00CF57A4" w:rsidRDefault="00B13D46">
      <w:pPr>
        <w:widowControl/>
        <w:spacing w:line="360" w:lineRule="auto"/>
        <w:ind w:firstLineChars="200" w:firstLine="482"/>
        <w:outlineLvl w:val="1"/>
        <w:rPr>
          <w:rFonts w:ascii="宋体" w:hAnsi="宋体"/>
          <w:b/>
          <w:color w:val="000000"/>
          <w:kern w:val="0"/>
          <w:sz w:val="24"/>
        </w:rPr>
      </w:pPr>
      <w:r>
        <w:rPr>
          <w:rFonts w:ascii="宋体" w:hAnsi="宋体"/>
          <w:b/>
          <w:color w:val="000000"/>
          <w:kern w:val="0"/>
          <w:sz w:val="24"/>
        </w:rPr>
        <w:t xml:space="preserve">（四）基金管理人的承诺 </w:t>
      </w:r>
    </w:p>
    <w:p w14:paraId="79615E27" w14:textId="77777777" w:rsidR="00CF57A4" w:rsidRDefault="00B13D46">
      <w:pPr>
        <w:widowControl/>
        <w:spacing w:line="360" w:lineRule="auto"/>
        <w:ind w:firstLineChars="200" w:firstLine="480"/>
        <w:rPr>
          <w:rFonts w:ascii="宋体" w:hAnsi="宋体"/>
          <w:color w:val="000000"/>
          <w:kern w:val="0"/>
          <w:sz w:val="24"/>
        </w:rPr>
      </w:pPr>
      <w:r>
        <w:rPr>
          <w:rFonts w:ascii="宋体" w:hAnsi="宋体"/>
          <w:color w:val="000000"/>
          <w:kern w:val="0"/>
          <w:sz w:val="24"/>
        </w:rPr>
        <w:t xml:space="preserve">1、基金管理人承诺不从事违反《证券法》的行为，并承诺建立健全内部控制制度，采取有效措施，防止违反《证券法》行为的发生； </w:t>
      </w:r>
    </w:p>
    <w:p w14:paraId="2765EA4B" w14:textId="77777777" w:rsidR="00CF57A4" w:rsidRDefault="00B13D46">
      <w:pPr>
        <w:widowControl/>
        <w:spacing w:line="360" w:lineRule="auto"/>
        <w:ind w:firstLineChars="200" w:firstLine="480"/>
        <w:rPr>
          <w:rFonts w:ascii="宋体" w:hAnsi="宋体"/>
          <w:color w:val="000000"/>
          <w:kern w:val="0"/>
          <w:sz w:val="24"/>
        </w:rPr>
      </w:pPr>
      <w:r>
        <w:rPr>
          <w:rFonts w:ascii="宋体" w:hAnsi="宋体"/>
          <w:color w:val="000000"/>
          <w:kern w:val="0"/>
          <w:sz w:val="24"/>
        </w:rPr>
        <w:t>2、基金管理人承诺不从事违反《基金法》的行为，并承诺建立健全内部风险控制制度，采取有效措施，防止下列行为的发生：</w:t>
      </w:r>
    </w:p>
    <w:p w14:paraId="0BD9F6EC" w14:textId="77777777" w:rsidR="00CF57A4" w:rsidRDefault="00B13D46">
      <w:pPr>
        <w:spacing w:line="360" w:lineRule="auto"/>
        <w:ind w:firstLineChars="200" w:firstLine="480"/>
        <w:rPr>
          <w:rFonts w:ascii="宋体" w:hAnsi="宋体"/>
          <w:color w:val="000000"/>
          <w:sz w:val="24"/>
        </w:rPr>
      </w:pPr>
      <w:r>
        <w:rPr>
          <w:rFonts w:ascii="宋体" w:hAnsi="宋体"/>
          <w:color w:val="000000"/>
          <w:sz w:val="24"/>
        </w:rPr>
        <w:t>（1）将基金管理人固有财产或者他人财产混同于基金财产从事证券投资；</w:t>
      </w:r>
    </w:p>
    <w:p w14:paraId="43E26DA3" w14:textId="77777777" w:rsidR="00CF57A4" w:rsidRDefault="00B13D46">
      <w:pPr>
        <w:spacing w:line="360" w:lineRule="auto"/>
        <w:ind w:firstLineChars="200" w:firstLine="480"/>
        <w:rPr>
          <w:rFonts w:ascii="宋体" w:hAnsi="宋体"/>
          <w:color w:val="000000"/>
          <w:sz w:val="24"/>
        </w:rPr>
      </w:pPr>
      <w:r>
        <w:rPr>
          <w:rFonts w:ascii="宋体" w:hAnsi="宋体"/>
          <w:color w:val="000000"/>
          <w:sz w:val="24"/>
        </w:rPr>
        <w:lastRenderedPageBreak/>
        <w:t>（2）不公平地对待管理的不同基金财产；</w:t>
      </w:r>
    </w:p>
    <w:p w14:paraId="6094DF01" w14:textId="77777777" w:rsidR="00CF57A4" w:rsidRDefault="00B13D46">
      <w:pPr>
        <w:spacing w:line="360" w:lineRule="auto"/>
        <w:ind w:firstLineChars="200" w:firstLine="480"/>
        <w:rPr>
          <w:rFonts w:ascii="宋体" w:hAnsi="宋体"/>
          <w:color w:val="000000"/>
          <w:sz w:val="24"/>
        </w:rPr>
      </w:pPr>
      <w:r>
        <w:rPr>
          <w:rFonts w:ascii="宋体" w:hAnsi="宋体"/>
          <w:color w:val="000000"/>
          <w:sz w:val="24"/>
        </w:rPr>
        <w:t>（3）利用基金财产为基金份额持有人以外的第三人牟取利益；</w:t>
      </w:r>
    </w:p>
    <w:p w14:paraId="4A3C0C91" w14:textId="77777777" w:rsidR="00CF57A4" w:rsidRDefault="00B13D46">
      <w:pPr>
        <w:spacing w:line="360" w:lineRule="auto"/>
        <w:ind w:firstLineChars="200" w:firstLine="480"/>
        <w:rPr>
          <w:rFonts w:ascii="宋体" w:hAnsi="宋体"/>
          <w:color w:val="000000"/>
          <w:sz w:val="24"/>
        </w:rPr>
      </w:pPr>
      <w:r>
        <w:rPr>
          <w:rFonts w:ascii="宋体" w:hAnsi="宋体"/>
          <w:color w:val="000000"/>
          <w:sz w:val="24"/>
        </w:rPr>
        <w:t>（4）向基金份额持有人违规承诺收益或者承担损失；</w:t>
      </w:r>
    </w:p>
    <w:p w14:paraId="7CBB0365" w14:textId="77777777" w:rsidR="00CF57A4" w:rsidRDefault="00B13D46">
      <w:pPr>
        <w:spacing w:line="360" w:lineRule="auto"/>
        <w:ind w:firstLineChars="200" w:firstLine="480"/>
        <w:rPr>
          <w:rFonts w:ascii="宋体" w:hAnsi="宋体"/>
          <w:color w:val="000000"/>
          <w:sz w:val="24"/>
        </w:rPr>
      </w:pPr>
      <w:r>
        <w:rPr>
          <w:rFonts w:ascii="宋体" w:hAnsi="宋体"/>
          <w:color w:val="000000"/>
          <w:sz w:val="24"/>
        </w:rPr>
        <w:t xml:space="preserve">（5）依照法律法规有关规定，由中国证监会规定禁止的其他行为。 </w:t>
      </w:r>
    </w:p>
    <w:p w14:paraId="2D7E2909" w14:textId="77777777" w:rsidR="00CF57A4" w:rsidRDefault="00B13D46">
      <w:pPr>
        <w:widowControl/>
        <w:spacing w:line="360" w:lineRule="auto"/>
        <w:ind w:firstLineChars="200" w:firstLine="480"/>
        <w:rPr>
          <w:rFonts w:ascii="宋体" w:hAnsi="宋体"/>
          <w:color w:val="000000"/>
          <w:kern w:val="0"/>
          <w:sz w:val="24"/>
        </w:rPr>
      </w:pPr>
      <w:r>
        <w:rPr>
          <w:rFonts w:ascii="宋体" w:hAnsi="宋体"/>
          <w:color w:val="000000"/>
          <w:kern w:val="0"/>
          <w:sz w:val="24"/>
        </w:rPr>
        <w:t>3、基金管理人承诺严格遵守</w:t>
      </w:r>
      <w:r>
        <w:rPr>
          <w:rFonts w:ascii="宋体" w:hAnsi="宋体" w:hint="eastAsia"/>
          <w:color w:val="000000"/>
          <w:kern w:val="0"/>
          <w:sz w:val="24"/>
        </w:rPr>
        <w:t>基金合同</w:t>
      </w:r>
      <w:r>
        <w:rPr>
          <w:rFonts w:ascii="宋体" w:hAnsi="宋体"/>
          <w:color w:val="000000"/>
          <w:kern w:val="0"/>
          <w:sz w:val="24"/>
        </w:rPr>
        <w:t>，并承诺建立健全内部控制制度，采取有效措施，防止违反</w:t>
      </w:r>
      <w:r>
        <w:rPr>
          <w:rFonts w:ascii="宋体" w:hAnsi="宋体" w:hint="eastAsia"/>
          <w:color w:val="000000"/>
          <w:kern w:val="0"/>
          <w:sz w:val="24"/>
        </w:rPr>
        <w:t>基金合同</w:t>
      </w:r>
      <w:r>
        <w:rPr>
          <w:rFonts w:ascii="宋体" w:hAnsi="宋体"/>
          <w:color w:val="000000"/>
          <w:kern w:val="0"/>
          <w:sz w:val="24"/>
        </w:rPr>
        <w:t xml:space="preserve">行为的发生； </w:t>
      </w:r>
    </w:p>
    <w:p w14:paraId="5BF9151C" w14:textId="77777777" w:rsidR="00CF57A4" w:rsidRDefault="00B13D46">
      <w:pPr>
        <w:widowControl/>
        <w:spacing w:line="360" w:lineRule="auto"/>
        <w:ind w:firstLineChars="200" w:firstLine="480"/>
        <w:rPr>
          <w:rFonts w:ascii="宋体" w:hAnsi="宋体"/>
          <w:color w:val="000000"/>
          <w:kern w:val="0"/>
          <w:sz w:val="24"/>
        </w:rPr>
      </w:pPr>
      <w:r>
        <w:rPr>
          <w:rFonts w:ascii="宋体" w:hAnsi="宋体"/>
          <w:color w:val="000000"/>
          <w:kern w:val="0"/>
          <w:sz w:val="24"/>
        </w:rPr>
        <w:t xml:space="preserve">4、基金管理人承诺加强人员管理，强化职业操守，督促和约束员工遵守国家有关法律法规及行业规范，诚实信用、勤勉尽责。 </w:t>
      </w:r>
    </w:p>
    <w:p w14:paraId="7DABC103" w14:textId="77777777" w:rsidR="00CF57A4" w:rsidRDefault="00B13D46">
      <w:pPr>
        <w:widowControl/>
        <w:spacing w:line="360" w:lineRule="auto"/>
        <w:ind w:firstLineChars="200" w:firstLine="480"/>
        <w:rPr>
          <w:rFonts w:ascii="宋体" w:hAnsi="宋体"/>
          <w:color w:val="000000"/>
          <w:kern w:val="0"/>
          <w:sz w:val="24"/>
        </w:rPr>
      </w:pPr>
      <w:r>
        <w:rPr>
          <w:rFonts w:ascii="宋体" w:hAnsi="宋体"/>
          <w:color w:val="000000"/>
          <w:kern w:val="0"/>
          <w:sz w:val="24"/>
        </w:rPr>
        <w:t xml:space="preserve">5、基金管理人承诺不从事其他法规规定禁止从事的行为。 </w:t>
      </w:r>
    </w:p>
    <w:p w14:paraId="41189B3B" w14:textId="77777777" w:rsidR="00CF57A4" w:rsidRDefault="00B13D46">
      <w:pPr>
        <w:widowControl/>
        <w:spacing w:line="360" w:lineRule="auto"/>
        <w:ind w:firstLineChars="200" w:firstLine="482"/>
        <w:outlineLvl w:val="1"/>
        <w:rPr>
          <w:rFonts w:ascii="宋体" w:hAnsi="宋体"/>
          <w:b/>
          <w:color w:val="000000"/>
          <w:kern w:val="0"/>
          <w:sz w:val="24"/>
        </w:rPr>
      </w:pPr>
      <w:r>
        <w:rPr>
          <w:rFonts w:ascii="宋体" w:hAnsi="宋体"/>
          <w:b/>
          <w:color w:val="000000"/>
          <w:kern w:val="0"/>
          <w:sz w:val="24"/>
        </w:rPr>
        <w:t xml:space="preserve">（五）基金经理承诺 </w:t>
      </w:r>
    </w:p>
    <w:p w14:paraId="68080C1C" w14:textId="77777777" w:rsidR="00CF57A4" w:rsidRDefault="00B13D46">
      <w:pPr>
        <w:widowControl/>
        <w:spacing w:line="360" w:lineRule="auto"/>
        <w:ind w:firstLineChars="200" w:firstLine="480"/>
        <w:rPr>
          <w:rFonts w:ascii="宋体" w:hAnsi="宋体"/>
          <w:color w:val="000000"/>
          <w:kern w:val="0"/>
          <w:sz w:val="24"/>
        </w:rPr>
      </w:pPr>
      <w:r>
        <w:rPr>
          <w:rFonts w:ascii="宋体" w:hAnsi="宋体"/>
          <w:color w:val="000000"/>
          <w:kern w:val="0"/>
          <w:sz w:val="24"/>
        </w:rPr>
        <w:t>1、依照有关法律法规和</w:t>
      </w:r>
      <w:r>
        <w:rPr>
          <w:rFonts w:ascii="宋体" w:hAnsi="宋体" w:hint="eastAsia"/>
          <w:color w:val="000000"/>
          <w:kern w:val="0"/>
          <w:sz w:val="24"/>
        </w:rPr>
        <w:t>基金合同</w:t>
      </w:r>
      <w:r>
        <w:rPr>
          <w:rFonts w:ascii="宋体" w:hAnsi="宋体"/>
          <w:color w:val="000000"/>
          <w:kern w:val="0"/>
          <w:sz w:val="24"/>
        </w:rPr>
        <w:t xml:space="preserve">的规定，本着谨慎的原则为基金份额持有人谋取最大利益； </w:t>
      </w:r>
    </w:p>
    <w:p w14:paraId="17C57AAC" w14:textId="77777777" w:rsidR="00CF57A4" w:rsidRDefault="00B13D46">
      <w:pPr>
        <w:widowControl/>
        <w:spacing w:line="360" w:lineRule="auto"/>
        <w:ind w:firstLineChars="200" w:firstLine="480"/>
        <w:rPr>
          <w:rFonts w:ascii="宋体" w:hAnsi="宋体"/>
          <w:color w:val="000000"/>
          <w:kern w:val="0"/>
          <w:sz w:val="24"/>
        </w:rPr>
      </w:pPr>
      <w:r>
        <w:rPr>
          <w:rFonts w:ascii="宋体" w:hAnsi="宋体"/>
          <w:color w:val="000000"/>
          <w:kern w:val="0"/>
          <w:sz w:val="24"/>
        </w:rPr>
        <w:t xml:space="preserve">2、不利用职务之便为自己、受雇人或任何第三者谋取利益； </w:t>
      </w:r>
    </w:p>
    <w:p w14:paraId="0DFFCC90" w14:textId="77777777" w:rsidR="00CF57A4" w:rsidRDefault="00B13D46">
      <w:pPr>
        <w:widowControl/>
        <w:spacing w:line="360" w:lineRule="auto"/>
        <w:ind w:firstLineChars="200" w:firstLine="480"/>
        <w:rPr>
          <w:rFonts w:ascii="宋体" w:hAnsi="宋体"/>
          <w:color w:val="000000"/>
          <w:kern w:val="0"/>
          <w:sz w:val="24"/>
        </w:rPr>
      </w:pPr>
      <w:r>
        <w:rPr>
          <w:rFonts w:ascii="宋体" w:hAnsi="宋体"/>
          <w:color w:val="000000"/>
          <w:kern w:val="0"/>
          <w:sz w:val="24"/>
        </w:rPr>
        <w:t xml:space="preserve">3、不泄露在任职期间知悉的有关证券、基金的商业秘密，尚未依法公开的基金投资内容、基金投资计划等信息； </w:t>
      </w:r>
    </w:p>
    <w:p w14:paraId="29576D02" w14:textId="77777777" w:rsidR="00CF57A4" w:rsidRDefault="00B13D46">
      <w:pPr>
        <w:widowControl/>
        <w:spacing w:line="360" w:lineRule="auto"/>
        <w:ind w:firstLineChars="200" w:firstLine="480"/>
        <w:rPr>
          <w:rFonts w:ascii="宋体" w:hAnsi="宋体"/>
          <w:color w:val="000000"/>
          <w:kern w:val="0"/>
          <w:sz w:val="24"/>
        </w:rPr>
      </w:pPr>
      <w:r>
        <w:rPr>
          <w:rFonts w:ascii="宋体" w:hAnsi="宋体"/>
          <w:color w:val="000000"/>
          <w:kern w:val="0"/>
          <w:sz w:val="24"/>
        </w:rPr>
        <w:t xml:space="preserve">4、不以任何形式为其他组织或个人进行证券交易。 </w:t>
      </w:r>
    </w:p>
    <w:p w14:paraId="19FD9E26" w14:textId="77777777" w:rsidR="00CF57A4" w:rsidRDefault="00B13D46">
      <w:pPr>
        <w:widowControl/>
        <w:spacing w:line="360" w:lineRule="auto"/>
        <w:ind w:firstLineChars="200" w:firstLine="482"/>
        <w:outlineLvl w:val="1"/>
        <w:rPr>
          <w:rFonts w:ascii="宋体" w:hAnsi="宋体"/>
          <w:b/>
          <w:color w:val="000000"/>
          <w:kern w:val="0"/>
          <w:sz w:val="24"/>
        </w:rPr>
      </w:pPr>
      <w:r>
        <w:rPr>
          <w:rFonts w:ascii="宋体" w:hAnsi="宋体"/>
          <w:b/>
          <w:color w:val="000000"/>
          <w:kern w:val="0"/>
          <w:sz w:val="24"/>
        </w:rPr>
        <w:t xml:space="preserve">（六）基金管理人的内部控制制度 </w:t>
      </w:r>
    </w:p>
    <w:p w14:paraId="31A8E907" w14:textId="77777777" w:rsidR="00CF57A4" w:rsidRDefault="00B13D46">
      <w:pPr>
        <w:widowControl/>
        <w:spacing w:line="360" w:lineRule="auto"/>
        <w:ind w:rightChars="-85" w:right="-178" w:firstLineChars="200" w:firstLine="480"/>
        <w:jc w:val="left"/>
        <w:rPr>
          <w:rFonts w:ascii="宋体" w:hAnsi="宋体"/>
          <w:color w:val="000000"/>
          <w:kern w:val="0"/>
          <w:sz w:val="24"/>
        </w:rPr>
      </w:pPr>
      <w:r>
        <w:rPr>
          <w:rFonts w:ascii="宋体" w:hAnsi="宋体"/>
          <w:color w:val="000000"/>
          <w:kern w:val="0"/>
          <w:sz w:val="24"/>
        </w:rPr>
        <w:t xml:space="preserve">1、风险管理的原则 </w:t>
      </w:r>
    </w:p>
    <w:p w14:paraId="3800877D" w14:textId="77777777" w:rsidR="00CF57A4" w:rsidRDefault="00B13D46">
      <w:pPr>
        <w:widowControl/>
        <w:spacing w:line="360" w:lineRule="auto"/>
        <w:ind w:rightChars="-85" w:right="-178" w:firstLineChars="200" w:firstLine="480"/>
        <w:rPr>
          <w:rFonts w:ascii="宋体" w:hAnsi="宋体"/>
          <w:color w:val="000000"/>
          <w:kern w:val="0"/>
          <w:sz w:val="24"/>
        </w:rPr>
      </w:pPr>
      <w:r>
        <w:rPr>
          <w:rFonts w:ascii="宋体" w:hAnsi="宋体"/>
          <w:color w:val="000000"/>
          <w:kern w:val="0"/>
          <w:sz w:val="24"/>
        </w:rPr>
        <w:t xml:space="preserve">（1） 全面性原则 </w:t>
      </w:r>
    </w:p>
    <w:p w14:paraId="075A8701" w14:textId="77777777" w:rsidR="00CF57A4" w:rsidRDefault="00B13D46">
      <w:pPr>
        <w:widowControl/>
        <w:spacing w:line="360" w:lineRule="auto"/>
        <w:ind w:rightChars="-85" w:right="-178" w:firstLineChars="200" w:firstLine="480"/>
        <w:rPr>
          <w:rFonts w:ascii="宋体" w:hAnsi="宋体"/>
          <w:color w:val="000000"/>
          <w:kern w:val="0"/>
          <w:sz w:val="24"/>
        </w:rPr>
      </w:pPr>
      <w:r>
        <w:rPr>
          <w:rFonts w:ascii="宋体" w:hAnsi="宋体"/>
          <w:color w:val="000000"/>
          <w:kern w:val="0"/>
          <w:sz w:val="24"/>
        </w:rPr>
        <w:t xml:space="preserve">公司风险管理必须覆盖公司的所有部门和岗位，渗透各项业务过程和业务环节。 </w:t>
      </w:r>
    </w:p>
    <w:p w14:paraId="36F9D481" w14:textId="77777777" w:rsidR="00CF57A4" w:rsidRDefault="00B13D46">
      <w:pPr>
        <w:widowControl/>
        <w:spacing w:line="360" w:lineRule="auto"/>
        <w:ind w:rightChars="-85" w:right="-178" w:firstLineChars="200" w:firstLine="480"/>
        <w:rPr>
          <w:rFonts w:ascii="宋体" w:hAnsi="宋体"/>
          <w:color w:val="000000"/>
          <w:kern w:val="0"/>
          <w:sz w:val="24"/>
        </w:rPr>
      </w:pPr>
      <w:r>
        <w:rPr>
          <w:rFonts w:ascii="宋体" w:hAnsi="宋体"/>
          <w:color w:val="000000"/>
          <w:kern w:val="0"/>
          <w:sz w:val="24"/>
        </w:rPr>
        <w:t xml:space="preserve">（2） 独立性原则 </w:t>
      </w:r>
    </w:p>
    <w:p w14:paraId="295A39F9" w14:textId="77777777" w:rsidR="00CF57A4" w:rsidRDefault="00B13D46">
      <w:pPr>
        <w:widowControl/>
        <w:spacing w:line="360" w:lineRule="auto"/>
        <w:ind w:rightChars="-85" w:right="-178" w:firstLineChars="200" w:firstLine="480"/>
        <w:rPr>
          <w:rFonts w:ascii="宋体" w:hAnsi="宋体"/>
          <w:color w:val="000000"/>
          <w:kern w:val="0"/>
          <w:sz w:val="24"/>
        </w:rPr>
      </w:pPr>
      <w:r>
        <w:rPr>
          <w:rFonts w:ascii="宋体" w:hAnsi="宋体"/>
          <w:color w:val="000000"/>
          <w:kern w:val="0"/>
          <w:sz w:val="24"/>
        </w:rPr>
        <w:t>公司设立独立的风险管理部，风险管理部保持高度的独立性和权威性，负责对公司各部门风险控制工作进行</w:t>
      </w:r>
      <w:r>
        <w:rPr>
          <w:rFonts w:ascii="宋体" w:hAnsi="宋体" w:hint="eastAsia"/>
          <w:color w:val="000000"/>
          <w:kern w:val="0"/>
          <w:sz w:val="24"/>
        </w:rPr>
        <w:t>监督</w:t>
      </w:r>
      <w:r>
        <w:rPr>
          <w:rFonts w:ascii="宋体" w:hAnsi="宋体"/>
          <w:color w:val="000000"/>
          <w:kern w:val="0"/>
          <w:sz w:val="24"/>
        </w:rPr>
        <w:t xml:space="preserve">和检查。 </w:t>
      </w:r>
    </w:p>
    <w:p w14:paraId="056EC886" w14:textId="77777777" w:rsidR="00CF57A4" w:rsidRDefault="00B13D46">
      <w:pPr>
        <w:widowControl/>
        <w:spacing w:line="360" w:lineRule="auto"/>
        <w:ind w:rightChars="-85" w:right="-178" w:firstLineChars="200" w:firstLine="480"/>
        <w:rPr>
          <w:rFonts w:ascii="宋体" w:hAnsi="宋体"/>
          <w:color w:val="000000"/>
          <w:kern w:val="0"/>
          <w:sz w:val="24"/>
        </w:rPr>
      </w:pPr>
      <w:r>
        <w:rPr>
          <w:rFonts w:ascii="宋体" w:hAnsi="宋体"/>
          <w:color w:val="000000"/>
          <w:kern w:val="0"/>
          <w:sz w:val="24"/>
        </w:rPr>
        <w:t xml:space="preserve">（3） 相互制约原则 </w:t>
      </w:r>
    </w:p>
    <w:p w14:paraId="060F5F9A" w14:textId="77777777" w:rsidR="00CF57A4" w:rsidRDefault="00B13D46">
      <w:pPr>
        <w:widowControl/>
        <w:spacing w:line="360" w:lineRule="auto"/>
        <w:ind w:rightChars="-85" w:right="-178" w:firstLineChars="200" w:firstLine="480"/>
        <w:rPr>
          <w:rFonts w:ascii="宋体" w:hAnsi="宋体"/>
          <w:color w:val="000000"/>
          <w:kern w:val="0"/>
          <w:sz w:val="24"/>
        </w:rPr>
      </w:pPr>
      <w:r>
        <w:rPr>
          <w:rFonts w:ascii="宋体" w:hAnsi="宋体"/>
          <w:color w:val="000000"/>
          <w:kern w:val="0"/>
          <w:sz w:val="24"/>
        </w:rPr>
        <w:t xml:space="preserve">公司及各部门在内部组织结构的设计上要形成一种相互制约的机制，建立不同岗位之间的制衡体系。 </w:t>
      </w:r>
    </w:p>
    <w:p w14:paraId="16D33CC9" w14:textId="77777777" w:rsidR="00CF57A4" w:rsidRDefault="00B13D46">
      <w:pPr>
        <w:widowControl/>
        <w:spacing w:line="360" w:lineRule="auto"/>
        <w:ind w:rightChars="-85" w:right="-178" w:firstLineChars="200" w:firstLine="480"/>
        <w:rPr>
          <w:rFonts w:ascii="宋体" w:hAnsi="宋体"/>
          <w:color w:val="000000"/>
          <w:kern w:val="0"/>
          <w:sz w:val="24"/>
        </w:rPr>
      </w:pPr>
      <w:r>
        <w:rPr>
          <w:rFonts w:ascii="宋体" w:hAnsi="宋体"/>
          <w:color w:val="000000"/>
          <w:kern w:val="0"/>
          <w:sz w:val="24"/>
        </w:rPr>
        <w:t xml:space="preserve">（4） 定性和定量相结合原则 </w:t>
      </w:r>
    </w:p>
    <w:p w14:paraId="40CFBA72" w14:textId="77777777" w:rsidR="00CF57A4" w:rsidRDefault="00B13D46">
      <w:pPr>
        <w:widowControl/>
        <w:spacing w:line="360" w:lineRule="auto"/>
        <w:ind w:rightChars="-85" w:right="-178" w:firstLineChars="200" w:firstLine="480"/>
        <w:rPr>
          <w:rFonts w:ascii="宋体" w:hAnsi="宋体"/>
          <w:color w:val="000000"/>
          <w:kern w:val="0"/>
          <w:sz w:val="24"/>
        </w:rPr>
      </w:pPr>
      <w:r>
        <w:rPr>
          <w:rFonts w:ascii="宋体" w:hAnsi="宋体"/>
          <w:color w:val="000000"/>
          <w:kern w:val="0"/>
          <w:sz w:val="24"/>
        </w:rPr>
        <w:t xml:space="preserve">建立完备的风险管理指标体系，使风险管理更具客观性和操作性。 </w:t>
      </w:r>
    </w:p>
    <w:p w14:paraId="7C306F91" w14:textId="77777777" w:rsidR="00CF57A4" w:rsidRDefault="00B13D46">
      <w:pPr>
        <w:widowControl/>
        <w:spacing w:line="360" w:lineRule="auto"/>
        <w:ind w:rightChars="-85" w:right="-178" w:firstLineChars="200" w:firstLine="480"/>
        <w:rPr>
          <w:rFonts w:ascii="宋体" w:hAnsi="宋体"/>
          <w:color w:val="000000"/>
          <w:kern w:val="0"/>
          <w:sz w:val="24"/>
        </w:rPr>
      </w:pPr>
      <w:r>
        <w:rPr>
          <w:rFonts w:ascii="宋体" w:hAnsi="宋体"/>
          <w:color w:val="000000"/>
          <w:kern w:val="0"/>
          <w:sz w:val="24"/>
        </w:rPr>
        <w:t xml:space="preserve">2、风险管理和内部风险控制体系结构 </w:t>
      </w:r>
    </w:p>
    <w:p w14:paraId="69350ACE" w14:textId="77777777" w:rsidR="00CF57A4" w:rsidRDefault="00B13D46">
      <w:pPr>
        <w:widowControl/>
        <w:spacing w:line="360" w:lineRule="auto"/>
        <w:ind w:rightChars="-85" w:right="-178" w:firstLineChars="200" w:firstLine="480"/>
        <w:rPr>
          <w:rFonts w:ascii="宋体" w:hAnsi="宋体"/>
          <w:color w:val="000000"/>
          <w:kern w:val="0"/>
          <w:sz w:val="24"/>
        </w:rPr>
      </w:pPr>
      <w:r>
        <w:rPr>
          <w:rFonts w:ascii="宋体" w:hAnsi="宋体"/>
          <w:color w:val="000000"/>
          <w:kern w:val="0"/>
          <w:sz w:val="24"/>
        </w:rPr>
        <w:lastRenderedPageBreak/>
        <w:t xml:space="preserve">公司的风险管理体系结构是一个分工明确、相互牵制的组织结构，由最高管理层对风险管理负最终责任，各个业务部门负责本部门的风险评估和监控，风险管理部负责监察公司的风险管理措施的执行。具体而言，包括如下组成部分： </w:t>
      </w:r>
    </w:p>
    <w:p w14:paraId="32EC67DD" w14:textId="77777777" w:rsidR="00CF57A4" w:rsidRDefault="00B13D46">
      <w:pPr>
        <w:widowControl/>
        <w:numPr>
          <w:ilvl w:val="0"/>
          <w:numId w:val="5"/>
        </w:numPr>
        <w:spacing w:line="360" w:lineRule="auto"/>
        <w:ind w:rightChars="-85" w:right="-178"/>
        <w:rPr>
          <w:rFonts w:ascii="宋体" w:hAnsi="宋体"/>
          <w:color w:val="000000"/>
          <w:kern w:val="0"/>
          <w:sz w:val="24"/>
        </w:rPr>
      </w:pPr>
      <w:r>
        <w:rPr>
          <w:rFonts w:ascii="宋体" w:hAnsi="宋体"/>
          <w:color w:val="000000"/>
          <w:kern w:val="0"/>
          <w:sz w:val="24"/>
        </w:rPr>
        <w:t xml:space="preserve">董事会 </w:t>
      </w:r>
    </w:p>
    <w:p w14:paraId="325959C2" w14:textId="77777777" w:rsidR="00CF57A4" w:rsidRDefault="00B13D46">
      <w:pPr>
        <w:widowControl/>
        <w:spacing w:line="360" w:lineRule="auto"/>
        <w:ind w:rightChars="-85" w:right="-178" w:firstLineChars="200" w:firstLine="480"/>
        <w:rPr>
          <w:rFonts w:ascii="宋体" w:hAnsi="宋体"/>
          <w:color w:val="000000"/>
          <w:kern w:val="0"/>
          <w:sz w:val="24"/>
        </w:rPr>
      </w:pPr>
      <w:r>
        <w:rPr>
          <w:rFonts w:ascii="宋体" w:hAnsi="宋体"/>
          <w:color w:val="000000"/>
          <w:kern w:val="0"/>
          <w:sz w:val="24"/>
        </w:rPr>
        <w:t xml:space="preserve">负责制定公司的风险管理政策，对风险管理负完全的和最终的责任。 </w:t>
      </w:r>
    </w:p>
    <w:p w14:paraId="28D54477" w14:textId="77777777" w:rsidR="00CF57A4" w:rsidRDefault="00B13D46">
      <w:pPr>
        <w:widowControl/>
        <w:numPr>
          <w:ilvl w:val="0"/>
          <w:numId w:val="5"/>
        </w:numPr>
        <w:spacing w:line="360" w:lineRule="auto"/>
        <w:ind w:rightChars="-85" w:right="-178"/>
        <w:rPr>
          <w:rFonts w:ascii="宋体" w:hAnsi="宋体"/>
          <w:color w:val="000000"/>
          <w:kern w:val="0"/>
          <w:sz w:val="24"/>
        </w:rPr>
      </w:pPr>
      <w:r>
        <w:rPr>
          <w:rFonts w:ascii="宋体" w:hAnsi="宋体"/>
          <w:color w:val="000000"/>
          <w:kern w:val="0"/>
          <w:sz w:val="24"/>
        </w:rPr>
        <w:t>监事会</w:t>
      </w:r>
    </w:p>
    <w:p w14:paraId="18B04CAB" w14:textId="77777777" w:rsidR="00CF57A4" w:rsidRDefault="00B13D46">
      <w:pPr>
        <w:widowControl/>
        <w:spacing w:line="360" w:lineRule="auto"/>
        <w:ind w:rightChars="-85" w:right="-178" w:firstLineChars="200" w:firstLine="480"/>
        <w:rPr>
          <w:rFonts w:ascii="宋体" w:hAnsi="宋体"/>
          <w:color w:val="000000"/>
          <w:kern w:val="0"/>
          <w:sz w:val="24"/>
        </w:rPr>
      </w:pPr>
      <w:r>
        <w:rPr>
          <w:rFonts w:ascii="宋体" w:hAnsi="宋体"/>
          <w:color w:val="000000"/>
          <w:kern w:val="0"/>
          <w:sz w:val="24"/>
        </w:rPr>
        <w:t>是公司常设的监事机构，对股东会负责。监事会对公司财务、公司董事、总经理及其他高级管理人员进行监督。</w:t>
      </w:r>
    </w:p>
    <w:p w14:paraId="3E7A01E1" w14:textId="77777777" w:rsidR="00CF57A4" w:rsidRDefault="00B13D46">
      <w:pPr>
        <w:widowControl/>
        <w:numPr>
          <w:ilvl w:val="0"/>
          <w:numId w:val="5"/>
        </w:numPr>
        <w:spacing w:line="360" w:lineRule="auto"/>
        <w:ind w:rightChars="-85" w:right="-178"/>
        <w:rPr>
          <w:rFonts w:ascii="宋体" w:hAnsi="宋体"/>
          <w:color w:val="000000"/>
          <w:kern w:val="0"/>
          <w:sz w:val="24"/>
        </w:rPr>
      </w:pPr>
      <w:r>
        <w:rPr>
          <w:rFonts w:ascii="宋体" w:hAnsi="宋体"/>
          <w:color w:val="000000"/>
          <w:kern w:val="0"/>
          <w:sz w:val="24"/>
        </w:rPr>
        <w:t>合规审核及风险管理委员会</w:t>
      </w:r>
    </w:p>
    <w:p w14:paraId="69A6F2B2" w14:textId="77777777" w:rsidR="00CF57A4" w:rsidRDefault="00B13D46">
      <w:pPr>
        <w:widowControl/>
        <w:spacing w:line="360" w:lineRule="auto"/>
        <w:ind w:rightChars="-85" w:right="-178" w:firstLineChars="200" w:firstLine="480"/>
        <w:rPr>
          <w:rFonts w:ascii="宋体" w:hAnsi="宋体"/>
          <w:color w:val="000000"/>
          <w:kern w:val="0"/>
          <w:sz w:val="24"/>
        </w:rPr>
      </w:pPr>
      <w:r>
        <w:rPr>
          <w:rFonts w:ascii="宋体" w:hAnsi="宋体"/>
          <w:color w:val="000000"/>
          <w:kern w:val="0"/>
          <w:sz w:val="24"/>
        </w:rPr>
        <w:t>作为董事会下的专业委员会之一，对公司内部控制制度、监察稽核制度进行检查评估；审查公司财务，对公司内部管理制度、投资决策程序和运作流程进行合规性审议；对公司资产与基金资产的经营进行评估。</w:t>
      </w:r>
    </w:p>
    <w:p w14:paraId="44B98E53" w14:textId="77777777" w:rsidR="00CF57A4" w:rsidRDefault="00B13D46">
      <w:pPr>
        <w:widowControl/>
        <w:numPr>
          <w:ilvl w:val="0"/>
          <w:numId w:val="5"/>
        </w:numPr>
        <w:spacing w:line="360" w:lineRule="auto"/>
        <w:ind w:rightChars="-85" w:right="-178"/>
        <w:rPr>
          <w:rFonts w:ascii="宋体" w:hAnsi="宋体"/>
          <w:color w:val="000000"/>
          <w:kern w:val="0"/>
          <w:sz w:val="24"/>
        </w:rPr>
      </w:pPr>
      <w:r>
        <w:rPr>
          <w:rFonts w:ascii="宋体" w:hAnsi="宋体"/>
          <w:color w:val="000000"/>
          <w:kern w:val="0"/>
          <w:sz w:val="24"/>
        </w:rPr>
        <w:t xml:space="preserve">风险控制委员会 </w:t>
      </w:r>
    </w:p>
    <w:p w14:paraId="1D95E311" w14:textId="77777777" w:rsidR="00CF57A4" w:rsidRDefault="00B13D46">
      <w:pPr>
        <w:widowControl/>
        <w:spacing w:line="360" w:lineRule="auto"/>
        <w:ind w:rightChars="-85" w:right="-178" w:firstLineChars="200" w:firstLine="480"/>
        <w:rPr>
          <w:rFonts w:ascii="宋体" w:hAnsi="宋体"/>
          <w:color w:val="000000"/>
          <w:kern w:val="0"/>
          <w:sz w:val="24"/>
        </w:rPr>
      </w:pPr>
      <w:r>
        <w:rPr>
          <w:rFonts w:ascii="宋体" w:hAnsi="宋体"/>
          <w:color w:val="000000"/>
          <w:kern w:val="0"/>
          <w:sz w:val="24"/>
        </w:rPr>
        <w:t>作为总经理下设的专业委员会之一，风险控制委员会负责拟定公司风险管理战略及政策，制定灾难复原计划及紧急情况处理制度</w:t>
      </w:r>
      <w:r>
        <w:rPr>
          <w:rFonts w:ascii="宋体" w:hAnsi="宋体" w:hint="eastAsia"/>
          <w:color w:val="000000"/>
          <w:kern w:val="0"/>
          <w:sz w:val="24"/>
        </w:rPr>
        <w:t>，</w:t>
      </w:r>
      <w:r>
        <w:rPr>
          <w:rFonts w:ascii="宋体" w:hAnsi="宋体"/>
          <w:color w:val="000000"/>
          <w:kern w:val="0"/>
          <w:sz w:val="24"/>
        </w:rPr>
        <w:t xml:space="preserve">确保公司风险控制符合标准，就潜在风险与相关部门协调，审阅公司审计报告及监察情况。 </w:t>
      </w:r>
    </w:p>
    <w:p w14:paraId="1A34BFA5" w14:textId="77777777" w:rsidR="00CF57A4" w:rsidRDefault="00B13D46">
      <w:pPr>
        <w:widowControl/>
        <w:numPr>
          <w:ilvl w:val="0"/>
          <w:numId w:val="5"/>
        </w:numPr>
        <w:spacing w:line="360" w:lineRule="auto"/>
        <w:ind w:rightChars="-85" w:right="-178"/>
        <w:rPr>
          <w:rFonts w:ascii="宋体" w:hAnsi="宋体"/>
          <w:color w:val="000000"/>
          <w:kern w:val="0"/>
          <w:sz w:val="24"/>
        </w:rPr>
      </w:pPr>
      <w:r>
        <w:rPr>
          <w:rFonts w:ascii="宋体" w:hAnsi="宋体"/>
          <w:color w:val="000000"/>
          <w:kern w:val="0"/>
          <w:sz w:val="24"/>
        </w:rPr>
        <w:t xml:space="preserve">督察长 </w:t>
      </w:r>
    </w:p>
    <w:p w14:paraId="74A8E6D1" w14:textId="77777777" w:rsidR="00CF57A4" w:rsidRDefault="00B13D46">
      <w:pPr>
        <w:widowControl/>
        <w:spacing w:line="360" w:lineRule="auto"/>
        <w:ind w:rightChars="-85" w:right="-178" w:firstLineChars="200" w:firstLine="480"/>
        <w:rPr>
          <w:rFonts w:ascii="宋体" w:hAnsi="宋体"/>
          <w:color w:val="000000"/>
          <w:kern w:val="0"/>
          <w:sz w:val="24"/>
        </w:rPr>
      </w:pPr>
      <w:r>
        <w:rPr>
          <w:rFonts w:ascii="宋体" w:hAnsi="宋体"/>
          <w:color w:val="000000"/>
          <w:kern w:val="0"/>
          <w:sz w:val="24"/>
        </w:rPr>
        <w:t xml:space="preserve">独立行使督察权利；直接对董事会负责；就内部控制制度和执行情况独立地履行检查、评价、报告、建议职能；定期和不定期地向董事会报告公司内部控制执行情况。 </w:t>
      </w:r>
    </w:p>
    <w:p w14:paraId="0EABE3E1" w14:textId="77777777" w:rsidR="00CF57A4" w:rsidRDefault="00B13D46">
      <w:pPr>
        <w:widowControl/>
        <w:numPr>
          <w:ilvl w:val="0"/>
          <w:numId w:val="5"/>
        </w:numPr>
        <w:spacing w:line="360" w:lineRule="auto"/>
        <w:ind w:rightChars="-85" w:right="-178"/>
        <w:rPr>
          <w:rFonts w:ascii="宋体" w:hAnsi="宋体"/>
          <w:color w:val="000000"/>
          <w:kern w:val="0"/>
          <w:sz w:val="24"/>
        </w:rPr>
      </w:pPr>
      <w:r>
        <w:rPr>
          <w:rFonts w:ascii="宋体" w:hAnsi="宋体"/>
          <w:color w:val="000000"/>
          <w:kern w:val="0"/>
          <w:sz w:val="24"/>
        </w:rPr>
        <w:t xml:space="preserve">风险管理部 </w:t>
      </w:r>
    </w:p>
    <w:p w14:paraId="7351DD44" w14:textId="77777777" w:rsidR="00CF57A4" w:rsidRDefault="00B13D46">
      <w:pPr>
        <w:widowControl/>
        <w:spacing w:line="360" w:lineRule="auto"/>
        <w:ind w:firstLineChars="200" w:firstLine="480"/>
        <w:rPr>
          <w:rFonts w:ascii="宋体" w:hAnsi="宋体"/>
          <w:color w:val="000000"/>
          <w:kern w:val="0"/>
          <w:sz w:val="24"/>
        </w:rPr>
      </w:pPr>
      <w:r>
        <w:rPr>
          <w:rFonts w:ascii="宋体" w:hAnsi="宋体"/>
          <w:color w:val="000000"/>
          <w:kern w:val="0"/>
          <w:sz w:val="24"/>
        </w:rPr>
        <w:t xml:space="preserve">风险管理部负责制定公司风险管理政策和防范及控制措施，组织执行，并为每一个部门的风险管理系统的发展提供协助，汇总公司业务所有的风险信息，独立识别、评估各类风险，提出风险控制建议，使公司在一种风险管理和控制的环境中实现业务目标。 </w:t>
      </w:r>
    </w:p>
    <w:p w14:paraId="26A27231" w14:textId="77777777" w:rsidR="006B782E" w:rsidRPr="006B782E" w:rsidRDefault="006B782E" w:rsidP="006B782E">
      <w:pPr>
        <w:widowControl/>
        <w:spacing w:line="360" w:lineRule="auto"/>
        <w:ind w:firstLineChars="200" w:firstLine="480"/>
        <w:rPr>
          <w:rFonts w:ascii="宋体" w:hAnsi="宋体" w:cs="宋体"/>
          <w:kern w:val="0"/>
          <w:sz w:val="24"/>
        </w:rPr>
      </w:pPr>
      <w:r w:rsidRPr="006B782E">
        <w:rPr>
          <w:rFonts w:ascii="宋体" w:hAnsi="宋体" w:cs="宋体" w:hint="eastAsia"/>
          <w:kern w:val="0"/>
          <w:sz w:val="24"/>
        </w:rPr>
        <w:t>（7）审计部</w:t>
      </w:r>
    </w:p>
    <w:p w14:paraId="41037846" w14:textId="77777777" w:rsidR="006B782E" w:rsidRPr="006B782E" w:rsidRDefault="006B782E" w:rsidP="006B782E">
      <w:pPr>
        <w:widowControl/>
        <w:spacing w:line="360" w:lineRule="auto"/>
        <w:ind w:firstLineChars="200" w:firstLine="480"/>
        <w:rPr>
          <w:rFonts w:ascii="宋体" w:hAnsi="宋体" w:cs="宋体"/>
          <w:kern w:val="0"/>
          <w:sz w:val="24"/>
        </w:rPr>
      </w:pPr>
      <w:r w:rsidRPr="006B782E">
        <w:rPr>
          <w:rFonts w:ascii="宋体" w:hAnsi="宋体" w:cs="宋体" w:hint="eastAsia"/>
          <w:kern w:val="0"/>
          <w:sz w:val="24"/>
        </w:rPr>
        <w:t>审计部负责按照公司要求，根据国家法律法规及行业规范，结合公司战略发展及管理目标，对公司内部控制体系的适当性及运行的效果和效率进行独立评价，协助促进公司风险管理、控制和治理过程的完善，实现合规经营目标。</w:t>
      </w:r>
    </w:p>
    <w:p w14:paraId="3D29F14B" w14:textId="77777777" w:rsidR="006B782E" w:rsidRPr="006B782E" w:rsidRDefault="006B782E" w:rsidP="006B782E">
      <w:pPr>
        <w:widowControl/>
        <w:spacing w:line="360" w:lineRule="auto"/>
        <w:ind w:firstLineChars="200" w:firstLine="480"/>
        <w:rPr>
          <w:rFonts w:ascii="宋体" w:hAnsi="宋体" w:cs="宋体"/>
          <w:kern w:val="0"/>
          <w:sz w:val="24"/>
        </w:rPr>
      </w:pPr>
      <w:r w:rsidRPr="006B782E">
        <w:rPr>
          <w:rFonts w:ascii="宋体" w:hAnsi="宋体" w:cs="宋体" w:hint="eastAsia"/>
          <w:kern w:val="0"/>
          <w:sz w:val="24"/>
        </w:rPr>
        <w:lastRenderedPageBreak/>
        <w:t>（8）法律合规部</w:t>
      </w:r>
    </w:p>
    <w:p w14:paraId="0D1A9840" w14:textId="77777777" w:rsidR="00CF57A4" w:rsidRDefault="006B782E">
      <w:pPr>
        <w:widowControl/>
        <w:spacing w:line="360" w:lineRule="auto"/>
        <w:ind w:firstLineChars="200" w:firstLine="480"/>
        <w:rPr>
          <w:rFonts w:ascii="宋体" w:hAnsi="宋体" w:cs="宋体"/>
          <w:kern w:val="0"/>
          <w:sz w:val="24"/>
        </w:rPr>
      </w:pPr>
      <w:r w:rsidRPr="006B782E">
        <w:rPr>
          <w:rFonts w:ascii="宋体" w:hAnsi="宋体" w:cs="宋体" w:hint="eastAsia"/>
          <w:kern w:val="0"/>
          <w:sz w:val="24"/>
        </w:rPr>
        <w:t>法律合规部负责公司的法律、合规事务及协调实施信息披露事务，依法维护公司合法权益，评估并处理公司运营中发生的法律、合规及信息披露相关问题，及时向公司管理层及全体员工传达法规及监管要求。</w:t>
      </w:r>
    </w:p>
    <w:p w14:paraId="504F8619" w14:textId="77777777" w:rsidR="00CF57A4" w:rsidRDefault="00B13D46">
      <w:pPr>
        <w:widowControl/>
        <w:spacing w:line="360" w:lineRule="auto"/>
        <w:ind w:firstLineChars="200" w:firstLine="480"/>
        <w:rPr>
          <w:rFonts w:ascii="宋体" w:hAnsi="宋体" w:cs="宋体"/>
          <w:kern w:val="0"/>
          <w:sz w:val="24"/>
        </w:rPr>
      </w:pPr>
      <w:r>
        <w:rPr>
          <w:rFonts w:ascii="宋体" w:hAnsi="宋体" w:cs="宋体"/>
          <w:kern w:val="0"/>
          <w:sz w:val="24"/>
        </w:rPr>
        <w:t>（</w:t>
      </w:r>
      <w:r>
        <w:rPr>
          <w:rFonts w:ascii="宋体" w:hAnsi="宋体" w:cs="宋体" w:hint="eastAsia"/>
          <w:kern w:val="0"/>
          <w:sz w:val="24"/>
        </w:rPr>
        <w:t>9</w:t>
      </w:r>
      <w:r>
        <w:rPr>
          <w:rFonts w:ascii="宋体" w:hAnsi="宋体" w:cs="宋体"/>
          <w:kern w:val="0"/>
          <w:sz w:val="24"/>
        </w:rPr>
        <w:t xml:space="preserve">）业务部门 </w:t>
      </w:r>
    </w:p>
    <w:p w14:paraId="15D8456D" w14:textId="77777777" w:rsidR="00CF57A4" w:rsidRDefault="00B13D46">
      <w:pPr>
        <w:widowControl/>
        <w:spacing w:line="360" w:lineRule="auto"/>
        <w:ind w:rightChars="-85" w:right="-178" w:firstLineChars="200" w:firstLine="480"/>
        <w:rPr>
          <w:rFonts w:ascii="宋体" w:hAnsi="宋体"/>
          <w:color w:val="000000"/>
          <w:kern w:val="0"/>
          <w:sz w:val="24"/>
        </w:rPr>
      </w:pPr>
      <w:r>
        <w:rPr>
          <w:rFonts w:ascii="宋体" w:hAnsi="宋体" w:cs="宋体"/>
          <w:kern w:val="0"/>
          <w:sz w:val="24"/>
        </w:rPr>
        <w:t>风险管理是每一个业务部门首要的责任。部门经理对本部门的风险负全部责任，负责履行公司的风险管理程序，负责本部门的风险管理系统的开发、执行和维护，用于识别、监控和降低风险。</w:t>
      </w:r>
    </w:p>
    <w:p w14:paraId="24EC1FFF" w14:textId="77777777" w:rsidR="00CF57A4" w:rsidRDefault="00B13D46">
      <w:pPr>
        <w:widowControl/>
        <w:spacing w:line="360" w:lineRule="auto"/>
        <w:ind w:rightChars="-85" w:right="-178" w:firstLineChars="200" w:firstLine="480"/>
        <w:rPr>
          <w:rFonts w:ascii="宋体" w:hAnsi="宋体"/>
          <w:color w:val="000000"/>
          <w:kern w:val="0"/>
          <w:sz w:val="24"/>
        </w:rPr>
      </w:pPr>
      <w:r>
        <w:rPr>
          <w:rFonts w:ascii="宋体" w:hAnsi="宋体"/>
          <w:color w:val="000000"/>
          <w:kern w:val="0"/>
          <w:sz w:val="24"/>
        </w:rPr>
        <w:t xml:space="preserve">3、风险管理和内部风险控制的措施 </w:t>
      </w:r>
    </w:p>
    <w:p w14:paraId="1194325C" w14:textId="77777777" w:rsidR="00CF57A4" w:rsidRDefault="00B13D46">
      <w:pPr>
        <w:widowControl/>
        <w:spacing w:line="360" w:lineRule="auto"/>
        <w:ind w:rightChars="-85" w:right="-178" w:firstLineChars="150" w:firstLine="360"/>
        <w:rPr>
          <w:rFonts w:ascii="宋体" w:hAnsi="宋体"/>
          <w:color w:val="000000"/>
          <w:kern w:val="0"/>
          <w:sz w:val="24"/>
        </w:rPr>
      </w:pPr>
      <w:r>
        <w:rPr>
          <w:rFonts w:ascii="宋体" w:hAnsi="宋体"/>
          <w:color w:val="000000"/>
          <w:kern w:val="0"/>
          <w:sz w:val="24"/>
        </w:rPr>
        <w:t xml:space="preserve">（1） 建立内控体系，完善内控制度 </w:t>
      </w:r>
    </w:p>
    <w:p w14:paraId="7D5CBA27" w14:textId="77777777" w:rsidR="00CF57A4" w:rsidRDefault="00B13D46">
      <w:pPr>
        <w:widowControl/>
        <w:spacing w:line="360" w:lineRule="auto"/>
        <w:ind w:rightChars="-85" w:right="-178" w:firstLineChars="200" w:firstLine="480"/>
        <w:rPr>
          <w:rFonts w:ascii="宋体" w:hAnsi="宋体"/>
          <w:color w:val="000000"/>
          <w:kern w:val="0"/>
          <w:sz w:val="24"/>
        </w:rPr>
      </w:pPr>
      <w:r>
        <w:rPr>
          <w:rFonts w:ascii="宋体" w:hAnsi="宋体"/>
          <w:color w:val="000000"/>
          <w:kern w:val="0"/>
          <w:sz w:val="24"/>
        </w:rPr>
        <w:t xml:space="preserve">公司建立、健全了内控体系，通过高管人员关于内控的明确分工，确保各项业务活动有恰当的组织和授权，确保监察活动独立，并得到高管人员的支持，同时置备操作手册，并定期更新。  </w:t>
      </w:r>
    </w:p>
    <w:p w14:paraId="695E55FD" w14:textId="77777777" w:rsidR="00CF57A4" w:rsidRDefault="00B13D46">
      <w:pPr>
        <w:widowControl/>
        <w:spacing w:line="360" w:lineRule="auto"/>
        <w:ind w:rightChars="-85" w:right="-178" w:firstLineChars="150" w:firstLine="360"/>
        <w:rPr>
          <w:rFonts w:ascii="宋体" w:hAnsi="宋体"/>
          <w:color w:val="000000"/>
          <w:kern w:val="0"/>
          <w:sz w:val="24"/>
        </w:rPr>
      </w:pPr>
      <w:r>
        <w:rPr>
          <w:rFonts w:ascii="宋体" w:hAnsi="宋体"/>
          <w:color w:val="000000"/>
          <w:kern w:val="0"/>
          <w:sz w:val="24"/>
        </w:rPr>
        <w:t xml:space="preserve">（2） 建立相互分离、相互制衡的内控机制 </w:t>
      </w:r>
    </w:p>
    <w:p w14:paraId="6315B36F" w14:textId="77777777" w:rsidR="00CF57A4" w:rsidRDefault="00B13D46">
      <w:pPr>
        <w:widowControl/>
        <w:spacing w:line="360" w:lineRule="auto"/>
        <w:ind w:rightChars="-85" w:right="-178" w:firstLineChars="200" w:firstLine="480"/>
        <w:rPr>
          <w:rFonts w:ascii="宋体" w:hAnsi="宋体"/>
          <w:color w:val="000000"/>
          <w:kern w:val="0"/>
          <w:sz w:val="24"/>
        </w:rPr>
      </w:pPr>
      <w:r>
        <w:rPr>
          <w:rFonts w:ascii="宋体" w:hAnsi="宋体"/>
          <w:color w:val="000000"/>
          <w:kern w:val="0"/>
          <w:sz w:val="24"/>
        </w:rPr>
        <w:t xml:space="preserve">建立、健全了各项制度，做到基金经理分开，投资决策分开，基金交易集中，形成不同部门、不同岗位之间的制衡机制，从制度上减少和防范风险。 </w:t>
      </w:r>
    </w:p>
    <w:p w14:paraId="52919213" w14:textId="77777777" w:rsidR="00CF57A4" w:rsidRDefault="00B13D46">
      <w:pPr>
        <w:widowControl/>
        <w:spacing w:line="360" w:lineRule="auto"/>
        <w:ind w:rightChars="-85" w:right="-178" w:firstLineChars="150" w:firstLine="360"/>
        <w:rPr>
          <w:rFonts w:ascii="宋体" w:hAnsi="宋体"/>
          <w:color w:val="000000"/>
          <w:kern w:val="0"/>
          <w:sz w:val="24"/>
        </w:rPr>
      </w:pPr>
      <w:r>
        <w:rPr>
          <w:rFonts w:ascii="宋体" w:hAnsi="宋体"/>
          <w:color w:val="000000"/>
          <w:kern w:val="0"/>
          <w:sz w:val="24"/>
        </w:rPr>
        <w:t xml:space="preserve">（3） 建立、健全岗位责任制 </w:t>
      </w:r>
    </w:p>
    <w:p w14:paraId="359DBA32" w14:textId="77777777" w:rsidR="00CF57A4" w:rsidRDefault="00B13D46">
      <w:pPr>
        <w:widowControl/>
        <w:spacing w:line="360" w:lineRule="auto"/>
        <w:ind w:rightChars="-85" w:right="-178" w:firstLineChars="200" w:firstLine="480"/>
        <w:rPr>
          <w:rFonts w:ascii="宋体" w:hAnsi="宋体"/>
          <w:color w:val="000000"/>
          <w:kern w:val="0"/>
          <w:sz w:val="24"/>
        </w:rPr>
      </w:pPr>
      <w:r>
        <w:rPr>
          <w:rFonts w:ascii="宋体" w:hAnsi="宋体"/>
          <w:color w:val="000000"/>
          <w:kern w:val="0"/>
          <w:sz w:val="24"/>
        </w:rPr>
        <w:t xml:space="preserve">建立、健全了岗位责任制，使每个员工都明确自己的任务、职责，并及时将各自工作领域中的风险隐患上报，以防范和减少风险。 </w:t>
      </w:r>
    </w:p>
    <w:p w14:paraId="7EFCDB17" w14:textId="77777777" w:rsidR="00CF57A4" w:rsidRDefault="00B13D46">
      <w:pPr>
        <w:widowControl/>
        <w:spacing w:line="360" w:lineRule="auto"/>
        <w:ind w:rightChars="-85" w:right="-178"/>
        <w:rPr>
          <w:rFonts w:ascii="宋体" w:hAnsi="宋体"/>
          <w:color w:val="000000"/>
          <w:kern w:val="0"/>
          <w:sz w:val="24"/>
        </w:rPr>
      </w:pPr>
      <w:r>
        <w:rPr>
          <w:rFonts w:ascii="宋体" w:hAnsi="宋体" w:hint="eastAsia"/>
          <w:color w:val="000000"/>
          <w:kern w:val="0"/>
          <w:sz w:val="24"/>
        </w:rPr>
        <w:t xml:space="preserve">   </w:t>
      </w:r>
      <w:r>
        <w:rPr>
          <w:rFonts w:ascii="宋体" w:hAnsi="宋体"/>
          <w:color w:val="000000"/>
          <w:kern w:val="0"/>
          <w:sz w:val="24"/>
        </w:rPr>
        <w:t xml:space="preserve">（4） 建立风险分类、识别、评估、报告、提示程序 </w:t>
      </w:r>
    </w:p>
    <w:p w14:paraId="456DF3C5" w14:textId="77777777" w:rsidR="00CF57A4" w:rsidRDefault="00B13D46">
      <w:pPr>
        <w:widowControl/>
        <w:spacing w:line="360" w:lineRule="auto"/>
        <w:ind w:rightChars="-85" w:right="-178" w:firstLineChars="200" w:firstLine="480"/>
        <w:rPr>
          <w:rFonts w:ascii="宋体" w:hAnsi="宋体"/>
          <w:color w:val="000000"/>
          <w:kern w:val="0"/>
          <w:sz w:val="24"/>
        </w:rPr>
      </w:pPr>
      <w:r>
        <w:rPr>
          <w:rFonts w:ascii="宋体" w:hAnsi="宋体"/>
          <w:color w:val="000000"/>
          <w:kern w:val="0"/>
          <w:sz w:val="24"/>
        </w:rPr>
        <w:t xml:space="preserve">建立了风险评估机制，通过适合的程序，确认和评估与公司运作有关的风险；公司建立了自下而上的风险报告程序，对风险隐患进行层层汇报，使各个层次的人员及时掌握风险状况，从而以最快速度作出决策。 </w:t>
      </w:r>
    </w:p>
    <w:p w14:paraId="262DB47E" w14:textId="77777777" w:rsidR="00CF57A4" w:rsidRDefault="00B13D46">
      <w:pPr>
        <w:widowControl/>
        <w:spacing w:line="360" w:lineRule="auto"/>
        <w:ind w:rightChars="-85" w:right="-178" w:firstLineChars="200" w:firstLine="480"/>
        <w:rPr>
          <w:rFonts w:ascii="宋体" w:hAnsi="宋体"/>
          <w:color w:val="000000"/>
          <w:kern w:val="0"/>
          <w:sz w:val="24"/>
        </w:rPr>
      </w:pPr>
      <w:r>
        <w:rPr>
          <w:rFonts w:ascii="宋体" w:hAnsi="宋体"/>
          <w:color w:val="000000"/>
          <w:kern w:val="0"/>
          <w:sz w:val="24"/>
        </w:rPr>
        <w:t xml:space="preserve">（5） 建立有效的内部监控系统 </w:t>
      </w:r>
    </w:p>
    <w:p w14:paraId="42721D24" w14:textId="77777777" w:rsidR="00CF57A4" w:rsidRDefault="00B13D46">
      <w:pPr>
        <w:widowControl/>
        <w:spacing w:line="360" w:lineRule="auto"/>
        <w:ind w:rightChars="-85" w:right="-178" w:firstLineChars="200" w:firstLine="480"/>
        <w:rPr>
          <w:rFonts w:ascii="宋体" w:hAnsi="宋体"/>
          <w:color w:val="000000"/>
          <w:kern w:val="0"/>
          <w:sz w:val="24"/>
        </w:rPr>
      </w:pPr>
      <w:r>
        <w:rPr>
          <w:rFonts w:ascii="宋体" w:hAnsi="宋体"/>
          <w:color w:val="000000"/>
          <w:kern w:val="0"/>
          <w:sz w:val="24"/>
        </w:rPr>
        <w:t xml:space="preserve">建立了足够、有效的内部监控系统，如电脑预警系统、投资监控系统，对可能出现的各种风险进行全面和实时的监控。 </w:t>
      </w:r>
    </w:p>
    <w:p w14:paraId="2ED4BFFA" w14:textId="77777777" w:rsidR="00CF57A4" w:rsidRDefault="00B13D46">
      <w:pPr>
        <w:widowControl/>
        <w:spacing w:line="360" w:lineRule="auto"/>
        <w:ind w:rightChars="-85" w:right="-178" w:firstLineChars="200" w:firstLine="480"/>
        <w:rPr>
          <w:rFonts w:ascii="宋体" w:hAnsi="宋体"/>
          <w:color w:val="000000"/>
          <w:kern w:val="0"/>
          <w:sz w:val="24"/>
        </w:rPr>
      </w:pPr>
      <w:r>
        <w:rPr>
          <w:rFonts w:ascii="宋体" w:hAnsi="宋体"/>
          <w:color w:val="000000"/>
          <w:kern w:val="0"/>
          <w:sz w:val="24"/>
        </w:rPr>
        <w:t xml:space="preserve">（6） 使用数量化的风险管理手段 </w:t>
      </w:r>
    </w:p>
    <w:p w14:paraId="32D5A1C1" w14:textId="77777777" w:rsidR="00CF57A4" w:rsidRDefault="00B13D46">
      <w:pPr>
        <w:widowControl/>
        <w:spacing w:line="360" w:lineRule="auto"/>
        <w:ind w:rightChars="-85" w:right="-178" w:firstLineChars="200" w:firstLine="480"/>
        <w:rPr>
          <w:rFonts w:ascii="宋体" w:hAnsi="宋体"/>
          <w:color w:val="000000"/>
          <w:kern w:val="0"/>
          <w:sz w:val="24"/>
        </w:rPr>
      </w:pPr>
      <w:r>
        <w:rPr>
          <w:rFonts w:ascii="宋体" w:hAnsi="宋体"/>
          <w:color w:val="000000"/>
          <w:kern w:val="0"/>
          <w:sz w:val="24"/>
        </w:rPr>
        <w:lastRenderedPageBreak/>
        <w:t xml:space="preserve">采取数量化、技术化的风险控制手段，建立数量化的风险管理模型，用以提示指数趋势、行业及个股的风险，以便公司及时采取有效的措施，对风险进行分散、控制和规避，尽可能地减少损失。 </w:t>
      </w:r>
    </w:p>
    <w:p w14:paraId="48AB2AFA" w14:textId="77777777" w:rsidR="00CF57A4" w:rsidRDefault="00B13D46">
      <w:pPr>
        <w:widowControl/>
        <w:spacing w:line="360" w:lineRule="auto"/>
        <w:ind w:rightChars="-85" w:right="-178" w:firstLineChars="200" w:firstLine="480"/>
        <w:rPr>
          <w:rFonts w:ascii="宋体" w:hAnsi="宋体"/>
          <w:color w:val="000000"/>
          <w:kern w:val="0"/>
          <w:sz w:val="24"/>
        </w:rPr>
      </w:pPr>
      <w:r>
        <w:rPr>
          <w:rFonts w:ascii="宋体" w:hAnsi="宋体"/>
          <w:color w:val="000000"/>
          <w:kern w:val="0"/>
          <w:sz w:val="24"/>
        </w:rPr>
        <w:t xml:space="preserve">（7） 提供足够的培训 </w:t>
      </w:r>
    </w:p>
    <w:p w14:paraId="699C85B2" w14:textId="77777777" w:rsidR="00CF57A4" w:rsidRDefault="00B13D46">
      <w:pPr>
        <w:widowControl/>
        <w:spacing w:line="360" w:lineRule="auto"/>
        <w:ind w:rightChars="-85" w:right="-178" w:firstLineChars="200" w:firstLine="480"/>
        <w:rPr>
          <w:rFonts w:ascii="宋体" w:hAnsi="宋体"/>
          <w:color w:val="000000"/>
          <w:kern w:val="0"/>
          <w:sz w:val="24"/>
        </w:rPr>
      </w:pPr>
      <w:r>
        <w:rPr>
          <w:rFonts w:ascii="宋体" w:hAnsi="宋体"/>
          <w:color w:val="000000"/>
          <w:kern w:val="0"/>
          <w:sz w:val="24"/>
        </w:rPr>
        <w:t xml:space="preserve">制定了完整的培训计划，为所有员工提供足够和适当的培训，使员工明确其职责所在，控制风险。 </w:t>
      </w:r>
    </w:p>
    <w:p w14:paraId="34C1E571" w14:textId="668B3E01" w:rsidR="00E21D6A" w:rsidRDefault="00E21D6A">
      <w:pPr>
        <w:widowControl/>
        <w:jc w:val="left"/>
        <w:rPr>
          <w:rFonts w:eastAsia="黑体"/>
          <w:b/>
          <w:bCs/>
          <w:color w:val="000000"/>
          <w:kern w:val="0"/>
          <w:sz w:val="30"/>
          <w:szCs w:val="20"/>
        </w:rPr>
      </w:pPr>
      <w:bookmarkStart w:id="48" w:name="_Toc109537382"/>
      <w:r>
        <w:rPr>
          <w:rFonts w:eastAsia="黑体"/>
          <w:color w:val="000000"/>
          <w:kern w:val="0"/>
          <w:sz w:val="30"/>
        </w:rPr>
        <w:br w:type="page"/>
      </w:r>
    </w:p>
    <w:p w14:paraId="0D8BE97C" w14:textId="77777777" w:rsidR="00CF57A4" w:rsidRDefault="00B13D46" w:rsidP="00607C40">
      <w:pPr>
        <w:pStyle w:val="af1"/>
        <w:rPr>
          <w:rFonts w:eastAsia="黑体"/>
          <w:color w:val="000000"/>
          <w:kern w:val="0"/>
          <w:sz w:val="30"/>
        </w:rPr>
      </w:pPr>
      <w:bookmarkStart w:id="49" w:name="_Toc320703944"/>
      <w:bookmarkStart w:id="50" w:name="_Toc320703996"/>
      <w:bookmarkStart w:id="51" w:name="_Toc320704069"/>
      <w:bookmarkStart w:id="52" w:name="_Toc320704356"/>
      <w:bookmarkStart w:id="53" w:name="_Toc322002720"/>
      <w:bookmarkStart w:id="54" w:name="_Toc322519871"/>
      <w:r>
        <w:rPr>
          <w:rFonts w:eastAsia="黑体" w:hint="eastAsia"/>
          <w:color w:val="000000"/>
          <w:kern w:val="0"/>
          <w:sz w:val="30"/>
        </w:rPr>
        <w:lastRenderedPageBreak/>
        <w:t>四、基金托管人</w:t>
      </w:r>
      <w:bookmarkEnd w:id="48"/>
      <w:bookmarkEnd w:id="49"/>
      <w:bookmarkEnd w:id="50"/>
      <w:bookmarkEnd w:id="51"/>
      <w:bookmarkEnd w:id="52"/>
      <w:bookmarkEnd w:id="53"/>
      <w:bookmarkEnd w:id="54"/>
    </w:p>
    <w:p w14:paraId="4B88EDD2" w14:textId="77777777" w:rsidR="00E52BF5" w:rsidRPr="00E903A9" w:rsidRDefault="00E52BF5" w:rsidP="00E52BF5">
      <w:pPr>
        <w:spacing w:line="360" w:lineRule="auto"/>
        <w:ind w:firstLineChars="150" w:firstLine="361"/>
        <w:rPr>
          <w:rFonts w:hAnsi="宋体"/>
          <w:b/>
          <w:kern w:val="0"/>
          <w:sz w:val="24"/>
        </w:rPr>
      </w:pPr>
      <w:bookmarkStart w:id="55" w:name="_Toc116970834"/>
      <w:bookmarkStart w:id="56" w:name="_Toc116971000"/>
      <w:bookmarkStart w:id="57" w:name="_Toc116971120"/>
      <w:r w:rsidRPr="00E903A9">
        <w:rPr>
          <w:rFonts w:hAnsi="宋体" w:hint="eastAsia"/>
          <w:b/>
          <w:kern w:val="0"/>
          <w:sz w:val="24"/>
        </w:rPr>
        <w:t>（一）基金托管人情况</w:t>
      </w:r>
    </w:p>
    <w:p w14:paraId="5F187ED5" w14:textId="77777777" w:rsidR="00E52BF5" w:rsidRPr="00E903A9" w:rsidRDefault="00E52BF5" w:rsidP="00E52BF5">
      <w:pPr>
        <w:widowControl/>
        <w:spacing w:line="360" w:lineRule="auto"/>
        <w:ind w:rightChars="-85" w:right="-178" w:firstLineChars="200" w:firstLine="480"/>
        <w:jc w:val="left"/>
        <w:rPr>
          <w:rFonts w:hAnsi="宋体"/>
          <w:kern w:val="0"/>
          <w:sz w:val="24"/>
        </w:rPr>
      </w:pPr>
      <w:r w:rsidRPr="00E903A9">
        <w:rPr>
          <w:rFonts w:hAnsi="宋体" w:hint="eastAsia"/>
          <w:kern w:val="0"/>
          <w:sz w:val="24"/>
        </w:rPr>
        <w:t>1</w:t>
      </w:r>
      <w:r w:rsidRPr="00E903A9">
        <w:rPr>
          <w:rFonts w:hAnsi="宋体" w:hint="eastAsia"/>
          <w:kern w:val="0"/>
          <w:sz w:val="24"/>
        </w:rPr>
        <w:t>、基本情况</w:t>
      </w:r>
    </w:p>
    <w:p w14:paraId="4184A669" w14:textId="77777777" w:rsidR="00645DDE" w:rsidRPr="00645DDE" w:rsidRDefault="00645DDE" w:rsidP="00645DDE">
      <w:pPr>
        <w:widowControl/>
        <w:spacing w:line="360" w:lineRule="auto"/>
        <w:ind w:rightChars="-85" w:right="-178" w:firstLineChars="200" w:firstLine="480"/>
        <w:jc w:val="left"/>
        <w:rPr>
          <w:rFonts w:hAnsi="宋体"/>
          <w:kern w:val="0"/>
          <w:sz w:val="24"/>
        </w:rPr>
      </w:pPr>
      <w:r w:rsidRPr="00645DDE">
        <w:rPr>
          <w:rFonts w:hAnsi="宋体" w:hint="eastAsia"/>
          <w:kern w:val="0"/>
          <w:sz w:val="24"/>
        </w:rPr>
        <w:t>名称：中国农业银行股份有限公司（简称中国农业银行）</w:t>
      </w:r>
    </w:p>
    <w:p w14:paraId="18F0F346" w14:textId="77777777" w:rsidR="00645DDE" w:rsidRPr="00645DDE" w:rsidRDefault="00645DDE" w:rsidP="00645DDE">
      <w:pPr>
        <w:widowControl/>
        <w:spacing w:line="360" w:lineRule="auto"/>
        <w:ind w:rightChars="-85" w:right="-178" w:firstLineChars="200" w:firstLine="480"/>
        <w:jc w:val="left"/>
        <w:rPr>
          <w:rFonts w:hAnsi="宋体"/>
          <w:kern w:val="0"/>
          <w:sz w:val="24"/>
        </w:rPr>
      </w:pPr>
      <w:r w:rsidRPr="00645DDE">
        <w:rPr>
          <w:rFonts w:hAnsi="宋体" w:hint="eastAsia"/>
          <w:kern w:val="0"/>
          <w:sz w:val="24"/>
        </w:rPr>
        <w:t>住所：北京市东城区建国门内大街</w:t>
      </w:r>
      <w:r w:rsidRPr="00645DDE">
        <w:rPr>
          <w:rFonts w:hAnsi="宋体" w:hint="eastAsia"/>
          <w:kern w:val="0"/>
          <w:sz w:val="24"/>
        </w:rPr>
        <w:t>69</w:t>
      </w:r>
      <w:r w:rsidRPr="00645DDE">
        <w:rPr>
          <w:rFonts w:hAnsi="宋体" w:hint="eastAsia"/>
          <w:kern w:val="0"/>
          <w:sz w:val="24"/>
        </w:rPr>
        <w:t>号</w:t>
      </w:r>
    </w:p>
    <w:p w14:paraId="6EB171D5" w14:textId="77777777" w:rsidR="00645DDE" w:rsidRPr="00645DDE" w:rsidRDefault="00645DDE" w:rsidP="00645DDE">
      <w:pPr>
        <w:widowControl/>
        <w:spacing w:line="360" w:lineRule="auto"/>
        <w:ind w:rightChars="-85" w:right="-178" w:firstLineChars="200" w:firstLine="480"/>
        <w:jc w:val="left"/>
        <w:rPr>
          <w:rFonts w:hAnsi="宋体"/>
          <w:kern w:val="0"/>
          <w:sz w:val="24"/>
        </w:rPr>
      </w:pPr>
      <w:r w:rsidRPr="00645DDE">
        <w:rPr>
          <w:rFonts w:hAnsi="宋体" w:hint="eastAsia"/>
          <w:kern w:val="0"/>
          <w:sz w:val="24"/>
        </w:rPr>
        <w:t>办公地址：北京市西城区复兴门内大街</w:t>
      </w:r>
      <w:r w:rsidRPr="00645DDE">
        <w:rPr>
          <w:rFonts w:hAnsi="宋体" w:hint="eastAsia"/>
          <w:kern w:val="0"/>
          <w:sz w:val="24"/>
        </w:rPr>
        <w:t>28</w:t>
      </w:r>
      <w:r w:rsidRPr="00645DDE">
        <w:rPr>
          <w:rFonts w:hAnsi="宋体" w:hint="eastAsia"/>
          <w:kern w:val="0"/>
          <w:sz w:val="24"/>
        </w:rPr>
        <w:t>号凯晨世贸中心东座</w:t>
      </w:r>
    </w:p>
    <w:p w14:paraId="2868FB6E" w14:textId="77777777" w:rsidR="00645DDE" w:rsidRPr="00645DDE" w:rsidRDefault="00645DDE" w:rsidP="00645DDE">
      <w:pPr>
        <w:widowControl/>
        <w:spacing w:line="360" w:lineRule="auto"/>
        <w:ind w:rightChars="-85" w:right="-178" w:firstLineChars="200" w:firstLine="480"/>
        <w:jc w:val="left"/>
        <w:rPr>
          <w:rFonts w:hAnsi="宋体"/>
          <w:kern w:val="0"/>
          <w:sz w:val="24"/>
        </w:rPr>
      </w:pPr>
      <w:r w:rsidRPr="00645DDE">
        <w:rPr>
          <w:rFonts w:hAnsi="宋体" w:hint="eastAsia"/>
          <w:kern w:val="0"/>
          <w:sz w:val="24"/>
        </w:rPr>
        <w:t>法定代表人：周慕冰</w:t>
      </w:r>
    </w:p>
    <w:p w14:paraId="5E8278F6" w14:textId="77777777" w:rsidR="00645DDE" w:rsidRPr="00645DDE" w:rsidRDefault="00645DDE" w:rsidP="00645DDE">
      <w:pPr>
        <w:widowControl/>
        <w:spacing w:line="360" w:lineRule="auto"/>
        <w:ind w:rightChars="-85" w:right="-178" w:firstLineChars="200" w:firstLine="480"/>
        <w:jc w:val="left"/>
        <w:rPr>
          <w:rFonts w:hAnsi="宋体"/>
          <w:kern w:val="0"/>
          <w:sz w:val="24"/>
        </w:rPr>
      </w:pPr>
      <w:r w:rsidRPr="00645DDE">
        <w:rPr>
          <w:rFonts w:hAnsi="宋体" w:hint="eastAsia"/>
          <w:kern w:val="0"/>
          <w:sz w:val="24"/>
        </w:rPr>
        <w:t>成立日期：</w:t>
      </w:r>
      <w:r w:rsidRPr="00645DDE">
        <w:rPr>
          <w:rFonts w:hAnsi="宋体" w:hint="eastAsia"/>
          <w:kern w:val="0"/>
          <w:sz w:val="24"/>
        </w:rPr>
        <w:t>2009</w:t>
      </w:r>
      <w:r w:rsidRPr="00645DDE">
        <w:rPr>
          <w:rFonts w:hAnsi="宋体" w:hint="eastAsia"/>
          <w:kern w:val="0"/>
          <w:sz w:val="24"/>
        </w:rPr>
        <w:t>年</w:t>
      </w:r>
      <w:r w:rsidRPr="00645DDE">
        <w:rPr>
          <w:rFonts w:hAnsi="宋体" w:hint="eastAsia"/>
          <w:kern w:val="0"/>
          <w:sz w:val="24"/>
        </w:rPr>
        <w:t>1</w:t>
      </w:r>
      <w:r w:rsidRPr="00645DDE">
        <w:rPr>
          <w:rFonts w:hAnsi="宋体" w:hint="eastAsia"/>
          <w:kern w:val="0"/>
          <w:sz w:val="24"/>
        </w:rPr>
        <w:t>月</w:t>
      </w:r>
      <w:r w:rsidRPr="00645DDE">
        <w:rPr>
          <w:rFonts w:hAnsi="宋体" w:hint="eastAsia"/>
          <w:kern w:val="0"/>
          <w:sz w:val="24"/>
        </w:rPr>
        <w:t>15</w:t>
      </w:r>
      <w:r w:rsidRPr="00645DDE">
        <w:rPr>
          <w:rFonts w:hAnsi="宋体" w:hint="eastAsia"/>
          <w:kern w:val="0"/>
          <w:sz w:val="24"/>
        </w:rPr>
        <w:t>日</w:t>
      </w:r>
    </w:p>
    <w:p w14:paraId="4E675294" w14:textId="77777777" w:rsidR="00645DDE" w:rsidRPr="00645DDE" w:rsidRDefault="00645DDE" w:rsidP="00645DDE">
      <w:pPr>
        <w:widowControl/>
        <w:spacing w:line="360" w:lineRule="auto"/>
        <w:ind w:rightChars="-85" w:right="-178" w:firstLineChars="200" w:firstLine="480"/>
        <w:jc w:val="left"/>
        <w:rPr>
          <w:rFonts w:hAnsi="宋体"/>
          <w:kern w:val="0"/>
          <w:sz w:val="24"/>
        </w:rPr>
      </w:pPr>
      <w:r w:rsidRPr="00645DDE">
        <w:rPr>
          <w:rFonts w:hAnsi="宋体" w:hint="eastAsia"/>
          <w:kern w:val="0"/>
          <w:sz w:val="24"/>
        </w:rPr>
        <w:t>批准设立机关和批准设立文号：中国银监会银监复</w:t>
      </w:r>
      <w:r w:rsidRPr="00645DDE">
        <w:rPr>
          <w:rFonts w:hAnsi="宋体" w:hint="eastAsia"/>
          <w:kern w:val="0"/>
          <w:sz w:val="24"/>
        </w:rPr>
        <w:t>[2009]13</w:t>
      </w:r>
      <w:r w:rsidRPr="00645DDE">
        <w:rPr>
          <w:rFonts w:hAnsi="宋体" w:hint="eastAsia"/>
          <w:kern w:val="0"/>
          <w:sz w:val="24"/>
        </w:rPr>
        <w:t>号</w:t>
      </w:r>
    </w:p>
    <w:p w14:paraId="6CD7D01B" w14:textId="77777777" w:rsidR="00645DDE" w:rsidRPr="00645DDE" w:rsidRDefault="00645DDE" w:rsidP="00645DDE">
      <w:pPr>
        <w:widowControl/>
        <w:spacing w:line="360" w:lineRule="auto"/>
        <w:ind w:rightChars="-85" w:right="-178" w:firstLineChars="200" w:firstLine="480"/>
        <w:jc w:val="left"/>
        <w:rPr>
          <w:rFonts w:hAnsi="宋体"/>
          <w:kern w:val="0"/>
          <w:sz w:val="24"/>
        </w:rPr>
      </w:pPr>
      <w:r w:rsidRPr="00645DDE">
        <w:rPr>
          <w:rFonts w:hAnsi="宋体" w:hint="eastAsia"/>
          <w:kern w:val="0"/>
          <w:sz w:val="24"/>
        </w:rPr>
        <w:t>基金托管业务批准文号：中国证监会证监基字</w:t>
      </w:r>
      <w:r w:rsidRPr="00645DDE">
        <w:rPr>
          <w:rFonts w:hAnsi="宋体" w:hint="eastAsia"/>
          <w:kern w:val="0"/>
          <w:sz w:val="24"/>
        </w:rPr>
        <w:t>[1998]23</w:t>
      </w:r>
      <w:r w:rsidRPr="00645DDE">
        <w:rPr>
          <w:rFonts w:hAnsi="宋体" w:hint="eastAsia"/>
          <w:kern w:val="0"/>
          <w:sz w:val="24"/>
        </w:rPr>
        <w:t>号</w:t>
      </w:r>
    </w:p>
    <w:p w14:paraId="2E577B92" w14:textId="77777777" w:rsidR="00645DDE" w:rsidRPr="00645DDE" w:rsidRDefault="00645DDE" w:rsidP="00645DDE">
      <w:pPr>
        <w:widowControl/>
        <w:spacing w:line="360" w:lineRule="auto"/>
        <w:ind w:rightChars="-85" w:right="-178" w:firstLineChars="200" w:firstLine="480"/>
        <w:jc w:val="left"/>
        <w:rPr>
          <w:rFonts w:hAnsi="宋体"/>
          <w:kern w:val="0"/>
          <w:sz w:val="24"/>
        </w:rPr>
      </w:pPr>
      <w:r w:rsidRPr="00645DDE">
        <w:rPr>
          <w:rFonts w:hAnsi="宋体" w:hint="eastAsia"/>
          <w:kern w:val="0"/>
          <w:sz w:val="24"/>
        </w:rPr>
        <w:t>注册资本：</w:t>
      </w:r>
      <w:r w:rsidRPr="00645DDE">
        <w:rPr>
          <w:rFonts w:hAnsi="宋体" w:hint="eastAsia"/>
          <w:kern w:val="0"/>
          <w:sz w:val="24"/>
        </w:rPr>
        <w:t>32,479,411.7</w:t>
      </w:r>
      <w:r w:rsidRPr="00645DDE">
        <w:rPr>
          <w:rFonts w:hAnsi="宋体" w:hint="eastAsia"/>
          <w:kern w:val="0"/>
          <w:sz w:val="24"/>
        </w:rPr>
        <w:t>万元人民币</w:t>
      </w:r>
    </w:p>
    <w:p w14:paraId="6D2C48E8" w14:textId="77777777" w:rsidR="00645DDE" w:rsidRPr="00645DDE" w:rsidRDefault="00645DDE" w:rsidP="00645DDE">
      <w:pPr>
        <w:widowControl/>
        <w:spacing w:line="360" w:lineRule="auto"/>
        <w:ind w:rightChars="-85" w:right="-178" w:firstLineChars="200" w:firstLine="480"/>
        <w:jc w:val="left"/>
        <w:rPr>
          <w:rFonts w:hAnsi="宋体"/>
          <w:kern w:val="0"/>
          <w:sz w:val="24"/>
        </w:rPr>
      </w:pPr>
      <w:r w:rsidRPr="00645DDE">
        <w:rPr>
          <w:rFonts w:hAnsi="宋体" w:hint="eastAsia"/>
          <w:kern w:val="0"/>
          <w:sz w:val="24"/>
        </w:rPr>
        <w:t>存续期间：持续经营</w:t>
      </w:r>
    </w:p>
    <w:p w14:paraId="56F5E750" w14:textId="77777777" w:rsidR="00645DDE" w:rsidRPr="00645DDE" w:rsidRDefault="00645DDE" w:rsidP="00645DDE">
      <w:pPr>
        <w:widowControl/>
        <w:spacing w:line="360" w:lineRule="auto"/>
        <w:ind w:rightChars="-85" w:right="-178" w:firstLineChars="200" w:firstLine="480"/>
        <w:jc w:val="left"/>
        <w:rPr>
          <w:rFonts w:hAnsi="宋体"/>
          <w:kern w:val="0"/>
          <w:sz w:val="24"/>
        </w:rPr>
      </w:pPr>
      <w:r w:rsidRPr="00645DDE">
        <w:rPr>
          <w:rFonts w:hAnsi="宋体" w:hint="eastAsia"/>
          <w:kern w:val="0"/>
          <w:sz w:val="24"/>
        </w:rPr>
        <w:t>联系电话：</w:t>
      </w:r>
      <w:r w:rsidRPr="00645DDE">
        <w:rPr>
          <w:rFonts w:hAnsi="宋体" w:hint="eastAsia"/>
          <w:kern w:val="0"/>
          <w:sz w:val="24"/>
        </w:rPr>
        <w:t>010-66060069</w:t>
      </w:r>
    </w:p>
    <w:p w14:paraId="32B7CBCB" w14:textId="77777777" w:rsidR="00645DDE" w:rsidRPr="00645DDE" w:rsidRDefault="00645DDE" w:rsidP="00645DDE">
      <w:pPr>
        <w:widowControl/>
        <w:spacing w:line="360" w:lineRule="auto"/>
        <w:ind w:rightChars="-85" w:right="-178" w:firstLineChars="200" w:firstLine="480"/>
        <w:jc w:val="left"/>
        <w:rPr>
          <w:rFonts w:hAnsi="宋体"/>
          <w:kern w:val="0"/>
          <w:sz w:val="24"/>
        </w:rPr>
      </w:pPr>
      <w:r w:rsidRPr="00645DDE">
        <w:rPr>
          <w:rFonts w:hAnsi="宋体" w:hint="eastAsia"/>
          <w:kern w:val="0"/>
          <w:sz w:val="24"/>
        </w:rPr>
        <w:t>传真：</w:t>
      </w:r>
      <w:r w:rsidRPr="00645DDE">
        <w:rPr>
          <w:rFonts w:hAnsi="宋体" w:hint="eastAsia"/>
          <w:kern w:val="0"/>
          <w:sz w:val="24"/>
        </w:rPr>
        <w:t>010-68121816</w:t>
      </w:r>
    </w:p>
    <w:p w14:paraId="5ED74B1F" w14:textId="17464156" w:rsidR="00E52BF5" w:rsidRPr="00E903A9" w:rsidRDefault="00645DDE" w:rsidP="00E52BF5">
      <w:pPr>
        <w:widowControl/>
        <w:spacing w:line="360" w:lineRule="auto"/>
        <w:ind w:rightChars="-85" w:right="-178" w:firstLineChars="200" w:firstLine="480"/>
        <w:jc w:val="left"/>
        <w:rPr>
          <w:rFonts w:hAnsi="宋体"/>
          <w:kern w:val="0"/>
          <w:sz w:val="24"/>
        </w:rPr>
      </w:pPr>
      <w:r w:rsidRPr="00645DDE">
        <w:rPr>
          <w:rFonts w:hAnsi="宋体" w:hint="eastAsia"/>
          <w:kern w:val="0"/>
          <w:sz w:val="24"/>
        </w:rPr>
        <w:t>联系人：</w:t>
      </w:r>
      <w:r w:rsidR="00D562FE" w:rsidRPr="00D562FE">
        <w:rPr>
          <w:rFonts w:hAnsi="宋体" w:hint="eastAsia"/>
          <w:kern w:val="0"/>
          <w:sz w:val="24"/>
        </w:rPr>
        <w:t>贺倩</w:t>
      </w:r>
    </w:p>
    <w:p w14:paraId="26E8F317" w14:textId="77777777" w:rsidR="00645DDE" w:rsidRPr="00645DDE" w:rsidRDefault="00645DDE" w:rsidP="00645DDE">
      <w:pPr>
        <w:widowControl/>
        <w:spacing w:line="360" w:lineRule="auto"/>
        <w:ind w:rightChars="-85" w:right="-178" w:firstLineChars="200" w:firstLine="480"/>
        <w:jc w:val="left"/>
        <w:rPr>
          <w:rFonts w:hAnsi="宋体"/>
          <w:kern w:val="0"/>
          <w:sz w:val="24"/>
        </w:rPr>
      </w:pPr>
      <w:r w:rsidRPr="00645DDE">
        <w:rPr>
          <w:rFonts w:hAnsi="宋体" w:hint="eastAsia"/>
          <w:kern w:val="0"/>
          <w:sz w:val="24"/>
        </w:rPr>
        <w:t>中国农业银行股份有限公司是中国金融体系的重要组成部分</w:t>
      </w:r>
      <w:r w:rsidRPr="00645DDE">
        <w:rPr>
          <w:rFonts w:hAnsi="宋体" w:hint="eastAsia"/>
          <w:kern w:val="0"/>
          <w:sz w:val="24"/>
        </w:rPr>
        <w:t>,</w:t>
      </w:r>
      <w:r w:rsidRPr="00645DDE">
        <w:rPr>
          <w:rFonts w:hAnsi="宋体" w:hint="eastAsia"/>
          <w:kern w:val="0"/>
          <w:sz w:val="24"/>
        </w:rPr>
        <w:t>总行设在北京。经国务院批准，中国农业银行整体改制为中国农业银行股份有限公司并于</w:t>
      </w:r>
      <w:r w:rsidRPr="00645DDE">
        <w:rPr>
          <w:rFonts w:hAnsi="宋体" w:hint="eastAsia"/>
          <w:kern w:val="0"/>
          <w:sz w:val="24"/>
        </w:rPr>
        <w:t>2009</w:t>
      </w:r>
      <w:r w:rsidRPr="00645DDE">
        <w:rPr>
          <w:rFonts w:hAnsi="宋体" w:hint="eastAsia"/>
          <w:kern w:val="0"/>
          <w:sz w:val="24"/>
        </w:rPr>
        <w:t>年</w:t>
      </w:r>
      <w:r w:rsidRPr="00645DDE">
        <w:rPr>
          <w:rFonts w:hAnsi="宋体" w:hint="eastAsia"/>
          <w:kern w:val="0"/>
          <w:sz w:val="24"/>
        </w:rPr>
        <w:t>1</w:t>
      </w:r>
      <w:r w:rsidRPr="00645DDE">
        <w:rPr>
          <w:rFonts w:hAnsi="宋体" w:hint="eastAsia"/>
          <w:kern w:val="0"/>
          <w:sz w:val="24"/>
        </w:rPr>
        <w:t>月</w:t>
      </w:r>
      <w:r w:rsidRPr="00645DDE">
        <w:rPr>
          <w:rFonts w:hAnsi="宋体" w:hint="eastAsia"/>
          <w:kern w:val="0"/>
          <w:sz w:val="24"/>
        </w:rPr>
        <w:t>15</w:t>
      </w:r>
      <w:r w:rsidRPr="00645DDE">
        <w:rPr>
          <w:rFonts w:hAnsi="宋体" w:hint="eastAsia"/>
          <w:kern w:val="0"/>
          <w:sz w:val="24"/>
        </w:rPr>
        <w:t>日依法成立。中国农业银行股份有限公司承继原中国农业银行全部资产、负债、业务、机构网点和员工。中国农业银行网点遍布中国城乡，成为国内网点最多、业务辐射范围最广，服务领域最广，服务对象最多，业务功能齐全的大型国有商业银行之一。在海外，中国农业银行同样通过自己的努力赢得了良好的信誉，每年位居《财富》世界</w:t>
      </w:r>
      <w:r w:rsidRPr="00645DDE">
        <w:rPr>
          <w:rFonts w:hAnsi="宋体" w:hint="eastAsia"/>
          <w:kern w:val="0"/>
          <w:sz w:val="24"/>
        </w:rPr>
        <w:t>500</w:t>
      </w:r>
      <w:r w:rsidRPr="00645DDE">
        <w:rPr>
          <w:rFonts w:hAnsi="宋体" w:hint="eastAsia"/>
          <w:kern w:val="0"/>
          <w:sz w:val="24"/>
        </w:rPr>
        <w:t>强企业之列。作为一家城乡并举、联通国际、功能齐备的大型国有商业银行，中国农业银行一贯秉承以客户为中心的经营理念，坚持审慎稳健经营、可持续发展，立足县域和城市两大市场，实施差异化竞争策略，着力打造“伴你成长”服务品牌，依托覆盖全国的分支机构、庞大的电子化网络和多元化的金融产品，致力为广大客户提供优质的金融服务，与广大客户共创价值、共同成长。</w:t>
      </w:r>
    </w:p>
    <w:p w14:paraId="6C016B53" w14:textId="36BBE09A" w:rsidR="00E52BF5" w:rsidRPr="00E903A9" w:rsidRDefault="00645DDE" w:rsidP="00E52BF5">
      <w:pPr>
        <w:widowControl/>
        <w:spacing w:line="360" w:lineRule="auto"/>
        <w:ind w:rightChars="-85" w:right="-178" w:firstLineChars="200" w:firstLine="480"/>
        <w:jc w:val="left"/>
        <w:rPr>
          <w:rFonts w:hAnsi="宋体"/>
          <w:kern w:val="0"/>
          <w:sz w:val="24"/>
        </w:rPr>
      </w:pPr>
      <w:r w:rsidRPr="00645DDE">
        <w:rPr>
          <w:rFonts w:hAnsi="宋体" w:hint="eastAsia"/>
          <w:kern w:val="0"/>
          <w:sz w:val="24"/>
        </w:rPr>
        <w:t>中国农业银行是中国第一批开展托管业务的国内商业银行，经验丰富，服务优质，业绩突出，</w:t>
      </w:r>
      <w:r w:rsidRPr="00645DDE">
        <w:rPr>
          <w:rFonts w:hAnsi="宋体" w:hint="eastAsia"/>
          <w:kern w:val="0"/>
          <w:sz w:val="24"/>
        </w:rPr>
        <w:t>2004</w:t>
      </w:r>
      <w:r w:rsidRPr="00645DDE">
        <w:rPr>
          <w:rFonts w:hAnsi="宋体" w:hint="eastAsia"/>
          <w:kern w:val="0"/>
          <w:sz w:val="24"/>
        </w:rPr>
        <w:t>年被英国《全球托管人》评为中国“最佳托管银行”。</w:t>
      </w:r>
      <w:r w:rsidRPr="00645DDE">
        <w:rPr>
          <w:rFonts w:hAnsi="宋体" w:hint="eastAsia"/>
          <w:kern w:val="0"/>
          <w:sz w:val="24"/>
        </w:rPr>
        <w:lastRenderedPageBreak/>
        <w:t>2007</w:t>
      </w:r>
      <w:r w:rsidRPr="00645DDE">
        <w:rPr>
          <w:rFonts w:hAnsi="宋体" w:hint="eastAsia"/>
          <w:kern w:val="0"/>
          <w:sz w:val="24"/>
        </w:rPr>
        <w:t>年中国农业银行通过了美国</w:t>
      </w:r>
      <w:r w:rsidRPr="00645DDE">
        <w:rPr>
          <w:rFonts w:hAnsi="宋体" w:hint="eastAsia"/>
          <w:kern w:val="0"/>
          <w:sz w:val="24"/>
        </w:rPr>
        <w:t>SAS70</w:t>
      </w:r>
      <w:r w:rsidRPr="00645DDE">
        <w:rPr>
          <w:rFonts w:hAnsi="宋体" w:hint="eastAsia"/>
          <w:kern w:val="0"/>
          <w:sz w:val="24"/>
        </w:rPr>
        <w:t>内部控制审计，并获得无保留意见的</w:t>
      </w:r>
      <w:r w:rsidRPr="00645DDE">
        <w:rPr>
          <w:rFonts w:hAnsi="宋体" w:hint="eastAsia"/>
          <w:kern w:val="0"/>
          <w:sz w:val="24"/>
        </w:rPr>
        <w:t>SAS70</w:t>
      </w:r>
      <w:r w:rsidRPr="00645DDE">
        <w:rPr>
          <w:rFonts w:hAnsi="宋体" w:hint="eastAsia"/>
          <w:kern w:val="0"/>
          <w:sz w:val="24"/>
        </w:rPr>
        <w:t>审计报告。自</w:t>
      </w:r>
      <w:r w:rsidRPr="00645DDE">
        <w:rPr>
          <w:rFonts w:hAnsi="宋体" w:hint="eastAsia"/>
          <w:kern w:val="0"/>
          <w:sz w:val="24"/>
        </w:rPr>
        <w:t>2010</w:t>
      </w:r>
      <w:r w:rsidRPr="00645DDE">
        <w:rPr>
          <w:rFonts w:hAnsi="宋体" w:hint="eastAsia"/>
          <w:kern w:val="0"/>
          <w:sz w:val="24"/>
        </w:rPr>
        <w:t>年起中国农业银行连续通过托管业务国际内控标准（</w:t>
      </w:r>
      <w:r w:rsidRPr="00645DDE">
        <w:rPr>
          <w:rFonts w:hAnsi="宋体" w:hint="eastAsia"/>
          <w:kern w:val="0"/>
          <w:sz w:val="24"/>
        </w:rPr>
        <w:t>ISAE3402</w:t>
      </w:r>
      <w:r w:rsidRPr="00645DDE">
        <w:rPr>
          <w:rFonts w:hAnsi="宋体" w:hint="eastAsia"/>
          <w:kern w:val="0"/>
          <w:sz w:val="24"/>
        </w:rPr>
        <w:t>）认证，表明了独立公正第三方对中国农业银行托管服务运作流程的风险管理、内部控制的健全有效性的全面认可。中国农业银行着力加强能力建设，品牌声誉进一步提升，在</w:t>
      </w:r>
      <w:r w:rsidRPr="00645DDE">
        <w:rPr>
          <w:rFonts w:hAnsi="宋体" w:hint="eastAsia"/>
          <w:kern w:val="0"/>
          <w:sz w:val="24"/>
        </w:rPr>
        <w:t>2010</w:t>
      </w:r>
      <w:r w:rsidRPr="00645DDE">
        <w:rPr>
          <w:rFonts w:hAnsi="宋体" w:hint="eastAsia"/>
          <w:kern w:val="0"/>
          <w:sz w:val="24"/>
        </w:rPr>
        <w:t>年首届“‘金牌理财’</w:t>
      </w:r>
      <w:r w:rsidRPr="00645DDE">
        <w:rPr>
          <w:rFonts w:hAnsi="宋体" w:hint="eastAsia"/>
          <w:kern w:val="0"/>
          <w:sz w:val="24"/>
        </w:rPr>
        <w:t>TOP10</w:t>
      </w:r>
      <w:r w:rsidRPr="00645DDE">
        <w:rPr>
          <w:rFonts w:hAnsi="宋体" w:hint="eastAsia"/>
          <w:kern w:val="0"/>
          <w:sz w:val="24"/>
        </w:rPr>
        <w:t>颁奖盛典”中成绩突出，获“最佳托管银行”奖。</w:t>
      </w:r>
      <w:r w:rsidRPr="00645DDE">
        <w:rPr>
          <w:rFonts w:hAnsi="宋体" w:hint="eastAsia"/>
          <w:kern w:val="0"/>
          <w:sz w:val="24"/>
        </w:rPr>
        <w:t>2010</w:t>
      </w:r>
      <w:r w:rsidRPr="00645DDE">
        <w:rPr>
          <w:rFonts w:hAnsi="宋体" w:hint="eastAsia"/>
          <w:kern w:val="0"/>
          <w:sz w:val="24"/>
        </w:rPr>
        <w:t>年再次荣获《首席财务官》杂志颁发的“最佳资产托管奖”。</w:t>
      </w:r>
      <w:r w:rsidRPr="00645DDE">
        <w:rPr>
          <w:rFonts w:hAnsi="宋体" w:hint="eastAsia"/>
          <w:kern w:val="0"/>
          <w:sz w:val="24"/>
        </w:rPr>
        <w:t>2012</w:t>
      </w:r>
      <w:r w:rsidRPr="00645DDE">
        <w:rPr>
          <w:rFonts w:hAnsi="宋体" w:hint="eastAsia"/>
          <w:kern w:val="0"/>
          <w:sz w:val="24"/>
        </w:rPr>
        <w:t>年荣获第十届中国财经风云榜“最佳资产托管银行”称号；</w:t>
      </w:r>
      <w:r w:rsidRPr="00645DDE">
        <w:rPr>
          <w:rFonts w:hAnsi="宋体" w:hint="eastAsia"/>
          <w:kern w:val="0"/>
          <w:sz w:val="24"/>
        </w:rPr>
        <w:t>2013</w:t>
      </w:r>
      <w:r w:rsidRPr="00645DDE">
        <w:rPr>
          <w:rFonts w:hAnsi="宋体" w:hint="eastAsia"/>
          <w:kern w:val="0"/>
          <w:sz w:val="24"/>
        </w:rPr>
        <w:t>年至</w:t>
      </w:r>
      <w:r w:rsidRPr="00645DDE">
        <w:rPr>
          <w:rFonts w:hAnsi="宋体" w:hint="eastAsia"/>
          <w:kern w:val="0"/>
          <w:sz w:val="24"/>
        </w:rPr>
        <w:t>2016</w:t>
      </w:r>
      <w:r w:rsidRPr="00645DDE">
        <w:rPr>
          <w:rFonts w:hAnsi="宋体" w:hint="eastAsia"/>
          <w:kern w:val="0"/>
          <w:sz w:val="24"/>
        </w:rPr>
        <w:t>年连续荣获上海清算所授予的“托管银行优秀奖”和中央国债登记结算有限责任公司授予的“优秀托管机构奖”称号；</w:t>
      </w:r>
      <w:r w:rsidRPr="00645DDE">
        <w:rPr>
          <w:rFonts w:hAnsi="宋体" w:hint="eastAsia"/>
          <w:kern w:val="0"/>
          <w:sz w:val="24"/>
        </w:rPr>
        <w:t>2015</w:t>
      </w:r>
      <w:r w:rsidRPr="00645DDE">
        <w:rPr>
          <w:rFonts w:hAnsi="宋体" w:hint="eastAsia"/>
          <w:kern w:val="0"/>
          <w:sz w:val="24"/>
        </w:rPr>
        <w:t>年、</w:t>
      </w:r>
      <w:r w:rsidRPr="00645DDE">
        <w:rPr>
          <w:rFonts w:hAnsi="宋体" w:hint="eastAsia"/>
          <w:kern w:val="0"/>
          <w:sz w:val="24"/>
        </w:rPr>
        <w:t>2016</w:t>
      </w:r>
      <w:r w:rsidRPr="00645DDE">
        <w:rPr>
          <w:rFonts w:hAnsi="宋体" w:hint="eastAsia"/>
          <w:kern w:val="0"/>
          <w:sz w:val="24"/>
        </w:rPr>
        <w:t>年荣获中国银行业协会授予的“养老金业务最佳发展奖”称号。</w:t>
      </w:r>
    </w:p>
    <w:p w14:paraId="0D7F4132" w14:textId="034E3829" w:rsidR="00E52BF5" w:rsidRPr="00E903A9" w:rsidRDefault="00D562FE" w:rsidP="00E52BF5">
      <w:pPr>
        <w:widowControl/>
        <w:spacing w:line="360" w:lineRule="auto"/>
        <w:ind w:rightChars="-85" w:right="-178" w:firstLineChars="200" w:firstLine="480"/>
        <w:jc w:val="left"/>
        <w:rPr>
          <w:rFonts w:hAnsi="宋体"/>
          <w:kern w:val="0"/>
          <w:sz w:val="24"/>
        </w:rPr>
      </w:pPr>
      <w:r w:rsidRPr="00D562FE">
        <w:rPr>
          <w:rFonts w:hAnsi="宋体" w:hint="eastAsia"/>
          <w:kern w:val="0"/>
          <w:sz w:val="24"/>
        </w:rPr>
        <w:t>中国农业银行证券投资基金托管部于</w:t>
      </w:r>
      <w:r w:rsidRPr="00D562FE">
        <w:rPr>
          <w:rFonts w:hAnsi="宋体" w:hint="eastAsia"/>
          <w:kern w:val="0"/>
          <w:sz w:val="24"/>
        </w:rPr>
        <w:t>1998</w:t>
      </w:r>
      <w:r w:rsidRPr="00D562FE">
        <w:rPr>
          <w:rFonts w:hAnsi="宋体" w:hint="eastAsia"/>
          <w:kern w:val="0"/>
          <w:sz w:val="24"/>
        </w:rPr>
        <w:t>年</w:t>
      </w:r>
      <w:r w:rsidRPr="00D562FE">
        <w:rPr>
          <w:rFonts w:hAnsi="宋体" w:hint="eastAsia"/>
          <w:kern w:val="0"/>
          <w:sz w:val="24"/>
        </w:rPr>
        <w:t>5</w:t>
      </w:r>
      <w:r w:rsidRPr="00D562FE">
        <w:rPr>
          <w:rFonts w:hAnsi="宋体" w:hint="eastAsia"/>
          <w:kern w:val="0"/>
          <w:sz w:val="24"/>
        </w:rPr>
        <w:t>月经中国证监会和中国人民银行批准成立，</w:t>
      </w:r>
      <w:r w:rsidRPr="00D562FE">
        <w:rPr>
          <w:rFonts w:hAnsi="宋体" w:hint="eastAsia"/>
          <w:kern w:val="0"/>
          <w:sz w:val="24"/>
        </w:rPr>
        <w:t>2014</w:t>
      </w:r>
      <w:r w:rsidRPr="00D562FE">
        <w:rPr>
          <w:rFonts w:hAnsi="宋体" w:hint="eastAsia"/>
          <w:kern w:val="0"/>
          <w:sz w:val="24"/>
        </w:rPr>
        <w:t>年更名为托管业务部</w:t>
      </w:r>
      <w:r w:rsidRPr="00D562FE">
        <w:rPr>
          <w:rFonts w:hAnsi="宋体" w:hint="eastAsia"/>
          <w:kern w:val="0"/>
          <w:sz w:val="24"/>
        </w:rPr>
        <w:t>/</w:t>
      </w:r>
      <w:r w:rsidRPr="00D562FE">
        <w:rPr>
          <w:rFonts w:hAnsi="宋体" w:hint="eastAsia"/>
          <w:kern w:val="0"/>
          <w:sz w:val="24"/>
        </w:rPr>
        <w:t>养老金管理中心，内设综合管理部、业务管理部、客户一部、客户二部、客户三部、客户四部、风险合规部、产品研发与信息技术部、营运一部、营运二部、市场营销部、内控监管部、账户管理部，拥有先进的安全防范设施和基金托管业务系统。</w:t>
      </w:r>
    </w:p>
    <w:p w14:paraId="65F4E052" w14:textId="77777777" w:rsidR="00E52BF5" w:rsidRPr="00E903A9" w:rsidRDefault="00E52BF5" w:rsidP="00E52BF5">
      <w:pPr>
        <w:widowControl/>
        <w:spacing w:line="360" w:lineRule="auto"/>
        <w:ind w:rightChars="-85" w:right="-178" w:firstLineChars="200" w:firstLine="480"/>
        <w:jc w:val="left"/>
        <w:rPr>
          <w:rFonts w:hAnsi="宋体"/>
          <w:kern w:val="0"/>
          <w:sz w:val="24"/>
        </w:rPr>
      </w:pPr>
      <w:r w:rsidRPr="00E903A9">
        <w:rPr>
          <w:rFonts w:hAnsi="宋体" w:hint="eastAsia"/>
          <w:kern w:val="0"/>
          <w:sz w:val="24"/>
        </w:rPr>
        <w:t>2</w:t>
      </w:r>
      <w:r w:rsidRPr="00E903A9">
        <w:rPr>
          <w:rFonts w:hAnsi="宋体" w:hint="eastAsia"/>
          <w:kern w:val="0"/>
          <w:sz w:val="24"/>
        </w:rPr>
        <w:t>、主要人员情况</w:t>
      </w:r>
    </w:p>
    <w:p w14:paraId="7E4E9CBA" w14:textId="259580B3" w:rsidR="00E52BF5" w:rsidRPr="00E903A9" w:rsidRDefault="00D562FE" w:rsidP="00E52BF5">
      <w:pPr>
        <w:widowControl/>
        <w:spacing w:line="360" w:lineRule="auto"/>
        <w:ind w:rightChars="-85" w:right="-178" w:firstLineChars="200" w:firstLine="480"/>
        <w:jc w:val="left"/>
        <w:rPr>
          <w:rFonts w:hAnsi="宋体"/>
          <w:kern w:val="0"/>
          <w:sz w:val="24"/>
        </w:rPr>
      </w:pPr>
      <w:r w:rsidRPr="00D562FE">
        <w:rPr>
          <w:rFonts w:hAnsi="宋体" w:hint="eastAsia"/>
          <w:kern w:val="0"/>
          <w:sz w:val="24"/>
        </w:rPr>
        <w:t>中国农业银行托管业务部现有员工近</w:t>
      </w:r>
      <w:r w:rsidRPr="00D562FE">
        <w:rPr>
          <w:rFonts w:hAnsi="宋体" w:hint="eastAsia"/>
          <w:kern w:val="0"/>
          <w:sz w:val="24"/>
        </w:rPr>
        <w:t>240</w:t>
      </w:r>
      <w:r w:rsidRPr="00D562FE">
        <w:rPr>
          <w:rFonts w:hAnsi="宋体" w:hint="eastAsia"/>
          <w:kern w:val="0"/>
          <w:sz w:val="24"/>
        </w:rPr>
        <w:t>名，其中具有高级职称的专家</w:t>
      </w:r>
      <w:r w:rsidRPr="00D562FE">
        <w:rPr>
          <w:rFonts w:hAnsi="宋体" w:hint="eastAsia"/>
          <w:kern w:val="0"/>
          <w:sz w:val="24"/>
        </w:rPr>
        <w:t>30</w:t>
      </w:r>
      <w:r w:rsidRPr="00D562FE">
        <w:rPr>
          <w:rFonts w:hAnsi="宋体" w:hint="eastAsia"/>
          <w:kern w:val="0"/>
          <w:sz w:val="24"/>
        </w:rPr>
        <w:t>余名，服务团队成员专业水平高、业务素质好、服务能力强，高级管理层均有</w:t>
      </w:r>
      <w:r w:rsidRPr="00D562FE">
        <w:rPr>
          <w:rFonts w:hAnsi="宋体" w:hint="eastAsia"/>
          <w:kern w:val="0"/>
          <w:sz w:val="24"/>
        </w:rPr>
        <w:t>20</w:t>
      </w:r>
      <w:r w:rsidRPr="00D562FE">
        <w:rPr>
          <w:rFonts w:hAnsi="宋体" w:hint="eastAsia"/>
          <w:kern w:val="0"/>
          <w:sz w:val="24"/>
        </w:rPr>
        <w:t>年以上金融从业经验和高级技术职称，精通国内外证券市场的运作。</w:t>
      </w:r>
    </w:p>
    <w:p w14:paraId="54940129" w14:textId="77777777" w:rsidR="003A5950" w:rsidRDefault="003A5950" w:rsidP="003A5950">
      <w:pPr>
        <w:widowControl/>
        <w:spacing w:line="360" w:lineRule="auto"/>
        <w:ind w:rightChars="-85" w:right="-178" w:firstLineChars="200" w:firstLine="480"/>
        <w:jc w:val="left"/>
        <w:rPr>
          <w:rFonts w:hAnsi="宋体"/>
          <w:kern w:val="0"/>
          <w:sz w:val="24"/>
        </w:rPr>
      </w:pPr>
      <w:r>
        <w:rPr>
          <w:rFonts w:hAnsi="宋体" w:hint="eastAsia"/>
          <w:kern w:val="0"/>
          <w:sz w:val="24"/>
        </w:rPr>
        <w:t>3</w:t>
      </w:r>
      <w:r>
        <w:rPr>
          <w:rFonts w:hAnsi="宋体" w:hint="eastAsia"/>
          <w:kern w:val="0"/>
          <w:sz w:val="24"/>
        </w:rPr>
        <w:t>、基金托管业务经营情况</w:t>
      </w:r>
    </w:p>
    <w:p w14:paraId="4CFD5836" w14:textId="68C3224F" w:rsidR="003A5950" w:rsidRDefault="00D562FE" w:rsidP="003A5950">
      <w:pPr>
        <w:widowControl/>
        <w:spacing w:line="360" w:lineRule="auto"/>
        <w:ind w:rightChars="-85" w:right="-178" w:firstLineChars="200" w:firstLine="480"/>
        <w:jc w:val="left"/>
        <w:rPr>
          <w:rFonts w:hAnsi="宋体"/>
          <w:kern w:val="0"/>
          <w:sz w:val="24"/>
        </w:rPr>
      </w:pPr>
      <w:r w:rsidRPr="00D562FE">
        <w:rPr>
          <w:rFonts w:hAnsi="宋体" w:hint="eastAsia"/>
          <w:kern w:val="0"/>
          <w:sz w:val="24"/>
        </w:rPr>
        <w:t>截止到</w:t>
      </w:r>
      <w:r w:rsidRPr="00D562FE">
        <w:rPr>
          <w:rFonts w:hAnsi="宋体" w:hint="eastAsia"/>
          <w:kern w:val="0"/>
          <w:sz w:val="24"/>
        </w:rPr>
        <w:t>2017</w:t>
      </w:r>
      <w:r w:rsidRPr="00D562FE">
        <w:rPr>
          <w:rFonts w:hAnsi="宋体" w:hint="eastAsia"/>
          <w:kern w:val="0"/>
          <w:sz w:val="24"/>
        </w:rPr>
        <w:t>年</w:t>
      </w:r>
      <w:r w:rsidRPr="00D562FE">
        <w:rPr>
          <w:rFonts w:hAnsi="宋体" w:hint="eastAsia"/>
          <w:kern w:val="0"/>
          <w:sz w:val="24"/>
        </w:rPr>
        <w:t>12</w:t>
      </w:r>
      <w:r w:rsidRPr="00D562FE">
        <w:rPr>
          <w:rFonts w:hAnsi="宋体" w:hint="eastAsia"/>
          <w:kern w:val="0"/>
          <w:sz w:val="24"/>
        </w:rPr>
        <w:t>月</w:t>
      </w:r>
      <w:r w:rsidRPr="00D562FE">
        <w:rPr>
          <w:rFonts w:hAnsi="宋体" w:hint="eastAsia"/>
          <w:kern w:val="0"/>
          <w:sz w:val="24"/>
        </w:rPr>
        <w:t>31</w:t>
      </w:r>
      <w:r w:rsidRPr="00D562FE">
        <w:rPr>
          <w:rFonts w:hAnsi="宋体" w:hint="eastAsia"/>
          <w:kern w:val="0"/>
          <w:sz w:val="24"/>
        </w:rPr>
        <w:t>日，中国农业银行托管的封闭式证券投资基金和开放式证券投资基金共</w:t>
      </w:r>
      <w:r w:rsidRPr="00D562FE">
        <w:rPr>
          <w:rFonts w:hAnsi="宋体" w:hint="eastAsia"/>
          <w:kern w:val="0"/>
          <w:sz w:val="24"/>
        </w:rPr>
        <w:t>397</w:t>
      </w:r>
      <w:r w:rsidRPr="00D562FE">
        <w:rPr>
          <w:rFonts w:hAnsi="宋体" w:hint="eastAsia"/>
          <w:kern w:val="0"/>
          <w:sz w:val="24"/>
        </w:rPr>
        <w:t>只。</w:t>
      </w:r>
    </w:p>
    <w:p w14:paraId="7F1E698A" w14:textId="77777777" w:rsidR="00E52BF5" w:rsidRPr="00E903A9" w:rsidRDefault="00E52BF5" w:rsidP="00E52BF5">
      <w:pPr>
        <w:spacing w:line="360" w:lineRule="auto"/>
        <w:ind w:firstLineChars="150" w:firstLine="361"/>
        <w:rPr>
          <w:rFonts w:hAnsi="宋体"/>
          <w:b/>
          <w:kern w:val="0"/>
          <w:sz w:val="24"/>
        </w:rPr>
      </w:pPr>
      <w:r w:rsidRPr="00E903A9">
        <w:rPr>
          <w:rFonts w:hAnsi="宋体" w:hint="eastAsia"/>
          <w:b/>
          <w:kern w:val="0"/>
          <w:sz w:val="24"/>
        </w:rPr>
        <w:t>（二）基金托管人的内部风险控制制度说明</w:t>
      </w:r>
    </w:p>
    <w:p w14:paraId="4CC3CAA5" w14:textId="77777777" w:rsidR="00E52BF5" w:rsidRPr="00E903A9" w:rsidRDefault="00E52BF5" w:rsidP="00E52BF5">
      <w:pPr>
        <w:widowControl/>
        <w:spacing w:line="360" w:lineRule="auto"/>
        <w:ind w:rightChars="-85" w:right="-178" w:firstLineChars="200" w:firstLine="480"/>
        <w:jc w:val="left"/>
        <w:rPr>
          <w:rFonts w:hAnsi="宋体"/>
          <w:kern w:val="0"/>
          <w:sz w:val="24"/>
        </w:rPr>
      </w:pPr>
      <w:r w:rsidRPr="00E903A9">
        <w:rPr>
          <w:rFonts w:hAnsi="宋体" w:hint="eastAsia"/>
          <w:kern w:val="0"/>
          <w:sz w:val="24"/>
        </w:rPr>
        <w:t>1</w:t>
      </w:r>
      <w:r w:rsidRPr="00E903A9">
        <w:rPr>
          <w:rFonts w:hAnsi="宋体" w:hint="eastAsia"/>
          <w:kern w:val="0"/>
          <w:sz w:val="24"/>
        </w:rPr>
        <w:t>、内部控制目标</w:t>
      </w:r>
    </w:p>
    <w:p w14:paraId="0E41EAFE" w14:textId="77777777" w:rsidR="00E52BF5" w:rsidRPr="00E903A9" w:rsidRDefault="00E52BF5" w:rsidP="00E52BF5">
      <w:pPr>
        <w:widowControl/>
        <w:spacing w:line="360" w:lineRule="auto"/>
        <w:ind w:rightChars="-85" w:right="-178" w:firstLineChars="200" w:firstLine="480"/>
        <w:jc w:val="left"/>
        <w:rPr>
          <w:rFonts w:hAnsi="宋体"/>
          <w:kern w:val="0"/>
          <w:sz w:val="24"/>
        </w:rPr>
      </w:pPr>
      <w:r w:rsidRPr="00E903A9">
        <w:rPr>
          <w:rFonts w:hAnsi="宋体" w:hint="eastAsia"/>
          <w:kern w:val="0"/>
          <w:sz w:val="24"/>
        </w:rPr>
        <w:t>严格遵守国家有关托管业务的法律法规、行业监管规章和行内有关管理规定</w:t>
      </w:r>
      <w:r w:rsidRPr="00E903A9">
        <w:rPr>
          <w:rFonts w:hAnsi="宋体" w:hint="eastAsia"/>
          <w:kern w:val="0"/>
          <w:sz w:val="24"/>
        </w:rPr>
        <w:t>,</w:t>
      </w:r>
      <w:r w:rsidRPr="00E903A9">
        <w:rPr>
          <w:rFonts w:hAnsi="宋体" w:hint="eastAsia"/>
          <w:kern w:val="0"/>
          <w:sz w:val="24"/>
        </w:rPr>
        <w:t>守法经营、规范运作、严格监察</w:t>
      </w:r>
      <w:r w:rsidRPr="00E903A9">
        <w:rPr>
          <w:rFonts w:hAnsi="宋体" w:hint="eastAsia"/>
          <w:kern w:val="0"/>
          <w:sz w:val="24"/>
        </w:rPr>
        <w:t>,</w:t>
      </w:r>
      <w:r w:rsidRPr="00E903A9">
        <w:rPr>
          <w:rFonts w:hAnsi="宋体" w:hint="eastAsia"/>
          <w:kern w:val="0"/>
          <w:sz w:val="24"/>
        </w:rPr>
        <w:t>确保业务的稳健运行</w:t>
      </w:r>
      <w:r w:rsidRPr="00E903A9">
        <w:rPr>
          <w:rFonts w:hAnsi="宋体" w:hint="eastAsia"/>
          <w:kern w:val="0"/>
          <w:sz w:val="24"/>
        </w:rPr>
        <w:t>,</w:t>
      </w:r>
      <w:r w:rsidRPr="00E903A9">
        <w:rPr>
          <w:rFonts w:hAnsi="宋体" w:hint="eastAsia"/>
          <w:kern w:val="0"/>
          <w:sz w:val="24"/>
        </w:rPr>
        <w:t>保证基金财产的安全完整</w:t>
      </w:r>
      <w:r w:rsidRPr="00E903A9">
        <w:rPr>
          <w:rFonts w:hAnsi="宋体" w:hint="eastAsia"/>
          <w:kern w:val="0"/>
          <w:sz w:val="24"/>
        </w:rPr>
        <w:t>,</w:t>
      </w:r>
      <w:r w:rsidRPr="00E903A9">
        <w:rPr>
          <w:rFonts w:hAnsi="宋体" w:hint="eastAsia"/>
          <w:kern w:val="0"/>
          <w:sz w:val="24"/>
        </w:rPr>
        <w:t>确保有关信息的真实、准确、完整、及时</w:t>
      </w:r>
      <w:r w:rsidRPr="00E903A9">
        <w:rPr>
          <w:rFonts w:hAnsi="宋体" w:hint="eastAsia"/>
          <w:kern w:val="0"/>
          <w:sz w:val="24"/>
        </w:rPr>
        <w:t>,</w:t>
      </w:r>
      <w:r w:rsidRPr="00E903A9">
        <w:rPr>
          <w:rFonts w:hAnsi="宋体" w:hint="eastAsia"/>
          <w:kern w:val="0"/>
          <w:sz w:val="24"/>
        </w:rPr>
        <w:t>保护基金份额持有人的合法权益。</w:t>
      </w:r>
    </w:p>
    <w:p w14:paraId="11E0DDF4" w14:textId="77777777" w:rsidR="00E52BF5" w:rsidRPr="00E903A9" w:rsidRDefault="00E52BF5" w:rsidP="00E52BF5">
      <w:pPr>
        <w:widowControl/>
        <w:spacing w:line="360" w:lineRule="auto"/>
        <w:ind w:rightChars="-85" w:right="-178" w:firstLineChars="200" w:firstLine="480"/>
        <w:jc w:val="left"/>
        <w:rPr>
          <w:rFonts w:hAnsi="宋体"/>
          <w:kern w:val="0"/>
          <w:sz w:val="24"/>
        </w:rPr>
      </w:pPr>
      <w:r w:rsidRPr="00E903A9">
        <w:rPr>
          <w:rFonts w:hAnsi="宋体" w:hint="eastAsia"/>
          <w:kern w:val="0"/>
          <w:sz w:val="24"/>
        </w:rPr>
        <w:t>2</w:t>
      </w:r>
      <w:r w:rsidRPr="00E903A9">
        <w:rPr>
          <w:rFonts w:hAnsi="宋体" w:hint="eastAsia"/>
          <w:kern w:val="0"/>
          <w:sz w:val="24"/>
        </w:rPr>
        <w:t>、内部控制组织结构</w:t>
      </w:r>
    </w:p>
    <w:p w14:paraId="7AAF9EA5" w14:textId="77777777" w:rsidR="00E52BF5" w:rsidRPr="00E903A9" w:rsidRDefault="00E52BF5" w:rsidP="00E52BF5">
      <w:pPr>
        <w:widowControl/>
        <w:spacing w:line="360" w:lineRule="auto"/>
        <w:ind w:rightChars="-85" w:right="-178" w:firstLineChars="200" w:firstLine="480"/>
        <w:jc w:val="left"/>
        <w:rPr>
          <w:rFonts w:hAnsi="宋体"/>
          <w:kern w:val="0"/>
          <w:sz w:val="24"/>
        </w:rPr>
      </w:pPr>
      <w:r w:rsidRPr="00E903A9">
        <w:rPr>
          <w:rFonts w:hAnsi="宋体" w:hint="eastAsia"/>
          <w:kern w:val="0"/>
          <w:sz w:val="24"/>
        </w:rPr>
        <w:lastRenderedPageBreak/>
        <w:t>风险管理委员会总体负责中国农业银行的风险管理与内部控制工作</w:t>
      </w:r>
      <w:r w:rsidRPr="00E903A9">
        <w:rPr>
          <w:rFonts w:hAnsi="宋体" w:hint="eastAsia"/>
          <w:kern w:val="0"/>
          <w:sz w:val="24"/>
        </w:rPr>
        <w:t>,</w:t>
      </w:r>
      <w:r w:rsidRPr="00E903A9">
        <w:rPr>
          <w:rFonts w:hAnsi="宋体" w:hint="eastAsia"/>
          <w:kern w:val="0"/>
          <w:sz w:val="24"/>
        </w:rPr>
        <w:t>对托管业务风险管理和内部控制工作进行监督和评价。托管业务部专门设置了风险管理处</w:t>
      </w:r>
      <w:r w:rsidRPr="00E903A9">
        <w:rPr>
          <w:rFonts w:hAnsi="宋体" w:hint="eastAsia"/>
          <w:kern w:val="0"/>
          <w:sz w:val="24"/>
        </w:rPr>
        <w:t>,</w:t>
      </w:r>
      <w:r w:rsidRPr="00E903A9">
        <w:rPr>
          <w:rFonts w:hAnsi="宋体" w:hint="eastAsia"/>
          <w:kern w:val="0"/>
          <w:sz w:val="24"/>
        </w:rPr>
        <w:t>配备了专职内控监督人员负责托管业务的内控监督工作</w:t>
      </w:r>
      <w:r w:rsidRPr="00E903A9">
        <w:rPr>
          <w:rFonts w:hAnsi="宋体" w:hint="eastAsia"/>
          <w:kern w:val="0"/>
          <w:sz w:val="24"/>
        </w:rPr>
        <w:t>,</w:t>
      </w:r>
      <w:r w:rsidRPr="00E903A9">
        <w:rPr>
          <w:rFonts w:hAnsi="宋体" w:hint="eastAsia"/>
          <w:kern w:val="0"/>
          <w:sz w:val="24"/>
        </w:rPr>
        <w:t>独立行使监督稽核职权。</w:t>
      </w:r>
    </w:p>
    <w:p w14:paraId="3E662B4F" w14:textId="77777777" w:rsidR="00E52BF5" w:rsidRPr="00E903A9" w:rsidRDefault="00E52BF5" w:rsidP="00E52BF5">
      <w:pPr>
        <w:widowControl/>
        <w:spacing w:line="360" w:lineRule="auto"/>
        <w:ind w:rightChars="-85" w:right="-178" w:firstLineChars="200" w:firstLine="480"/>
        <w:jc w:val="left"/>
        <w:rPr>
          <w:rFonts w:hAnsi="宋体"/>
          <w:kern w:val="0"/>
          <w:sz w:val="24"/>
        </w:rPr>
      </w:pPr>
      <w:r w:rsidRPr="00E903A9">
        <w:rPr>
          <w:rFonts w:hAnsi="宋体" w:hint="eastAsia"/>
          <w:kern w:val="0"/>
          <w:sz w:val="24"/>
        </w:rPr>
        <w:t>3</w:t>
      </w:r>
      <w:r w:rsidRPr="00E903A9">
        <w:rPr>
          <w:rFonts w:hAnsi="宋体" w:hint="eastAsia"/>
          <w:kern w:val="0"/>
          <w:sz w:val="24"/>
        </w:rPr>
        <w:t>、内部控制制度及措施</w:t>
      </w:r>
    </w:p>
    <w:p w14:paraId="709849D7" w14:textId="77777777" w:rsidR="00E52BF5" w:rsidRDefault="00E52BF5" w:rsidP="00E52BF5">
      <w:pPr>
        <w:widowControl/>
        <w:spacing w:line="360" w:lineRule="auto"/>
        <w:ind w:rightChars="-85" w:right="-178" w:firstLineChars="200" w:firstLine="480"/>
        <w:jc w:val="left"/>
        <w:rPr>
          <w:rFonts w:hAnsi="宋体"/>
          <w:kern w:val="0"/>
          <w:sz w:val="24"/>
        </w:rPr>
      </w:pPr>
      <w:r w:rsidRPr="00E903A9">
        <w:rPr>
          <w:rFonts w:hAnsi="宋体" w:hint="eastAsia"/>
          <w:kern w:val="0"/>
          <w:sz w:val="24"/>
        </w:rPr>
        <w:t>具备系统、完善的制度控制体系，建立了管理制度、控制制度、岗位职责、业务操作流程，可以保证托管业务的规范操作和顺利进行；业务人员具备从业资格；业务管理实行严格的复核、审核、检查制度，授权工作实行集中控制，业务印章按规程保管、存放、使用，账户资料严格保管，制约机制严格有效；业务操作区专门设置，封闭管理</w:t>
      </w:r>
      <w:r w:rsidRPr="00E903A9">
        <w:rPr>
          <w:rFonts w:hAnsi="宋体" w:hint="eastAsia"/>
          <w:kern w:val="0"/>
          <w:sz w:val="24"/>
        </w:rPr>
        <w:t>,</w:t>
      </w:r>
      <w:r w:rsidRPr="00E903A9">
        <w:rPr>
          <w:rFonts w:hAnsi="宋体" w:hint="eastAsia"/>
          <w:kern w:val="0"/>
          <w:sz w:val="24"/>
        </w:rPr>
        <w:t>实施音像监控；业务信息由专职信息披露人负责</w:t>
      </w:r>
      <w:r w:rsidRPr="00E903A9">
        <w:rPr>
          <w:rFonts w:hAnsi="宋体" w:hint="eastAsia"/>
          <w:kern w:val="0"/>
          <w:sz w:val="24"/>
        </w:rPr>
        <w:t>,</w:t>
      </w:r>
      <w:r w:rsidRPr="00E903A9">
        <w:rPr>
          <w:rFonts w:hAnsi="宋体" w:hint="eastAsia"/>
          <w:kern w:val="0"/>
          <w:sz w:val="24"/>
        </w:rPr>
        <w:t>防止泄密；业务实现自动化操作，防止人为事故的发生，技术系统完整、独立。</w:t>
      </w:r>
    </w:p>
    <w:p w14:paraId="1D55BCA3" w14:textId="77777777" w:rsidR="00E52BF5" w:rsidRPr="00E903A9" w:rsidRDefault="00E52BF5" w:rsidP="00E52BF5">
      <w:pPr>
        <w:widowControl/>
        <w:spacing w:line="360" w:lineRule="auto"/>
        <w:ind w:rightChars="-85" w:right="-178" w:firstLineChars="200" w:firstLine="482"/>
        <w:jc w:val="left"/>
        <w:rPr>
          <w:rFonts w:hAnsi="宋体"/>
          <w:b/>
          <w:kern w:val="0"/>
          <w:sz w:val="24"/>
        </w:rPr>
      </w:pPr>
      <w:r w:rsidRPr="00E903A9">
        <w:rPr>
          <w:rFonts w:hAnsi="宋体" w:hint="eastAsia"/>
          <w:b/>
          <w:kern w:val="0"/>
          <w:sz w:val="24"/>
        </w:rPr>
        <w:t>（三）基金托管人对基金管理人运作基金进行监督的方法和程序</w:t>
      </w:r>
    </w:p>
    <w:p w14:paraId="7D3272AE" w14:textId="77777777" w:rsidR="00E52BF5" w:rsidRPr="00E903A9" w:rsidRDefault="00E52BF5" w:rsidP="00E52BF5">
      <w:pPr>
        <w:widowControl/>
        <w:spacing w:line="360" w:lineRule="auto"/>
        <w:ind w:rightChars="-85" w:right="-178" w:firstLineChars="200" w:firstLine="480"/>
        <w:jc w:val="left"/>
        <w:rPr>
          <w:rFonts w:hAnsi="宋体"/>
          <w:kern w:val="0"/>
          <w:sz w:val="24"/>
        </w:rPr>
      </w:pPr>
      <w:r w:rsidRPr="00E903A9">
        <w:rPr>
          <w:rFonts w:hAnsi="宋体" w:hint="eastAsia"/>
          <w:kern w:val="0"/>
          <w:sz w:val="24"/>
        </w:rPr>
        <w:t>基金托管人通过参数设置将《基金法》、《运作办法》、基金合同、托管协议规定的投资比例和禁止投资品种输入监控系统，每日登录监控系统监督基金管理人的投资运作，并通过基金资金账户、基金管理人的投资指令等监督基金管理人的其他行为。</w:t>
      </w:r>
    </w:p>
    <w:p w14:paraId="136689A1" w14:textId="77777777" w:rsidR="00E52BF5" w:rsidRPr="00E903A9" w:rsidRDefault="00E52BF5" w:rsidP="00E52BF5">
      <w:pPr>
        <w:widowControl/>
        <w:spacing w:line="360" w:lineRule="auto"/>
        <w:ind w:rightChars="-85" w:right="-178" w:firstLineChars="200" w:firstLine="480"/>
        <w:jc w:val="left"/>
        <w:rPr>
          <w:rFonts w:hAnsi="宋体"/>
          <w:kern w:val="0"/>
          <w:sz w:val="24"/>
        </w:rPr>
      </w:pPr>
      <w:r w:rsidRPr="00E903A9">
        <w:rPr>
          <w:rFonts w:hAnsi="宋体" w:hint="eastAsia"/>
          <w:kern w:val="0"/>
          <w:sz w:val="24"/>
        </w:rPr>
        <w:t>当基金出现异常交易行为时，基金托管人应当针对不同情况进行以下方式的处理：</w:t>
      </w:r>
    </w:p>
    <w:p w14:paraId="5FBAA83F" w14:textId="77777777" w:rsidR="00E52BF5" w:rsidRPr="00E903A9" w:rsidRDefault="00E52BF5" w:rsidP="00E52BF5">
      <w:pPr>
        <w:widowControl/>
        <w:spacing w:line="360" w:lineRule="auto"/>
        <w:ind w:rightChars="-85" w:right="-178" w:firstLineChars="200" w:firstLine="480"/>
        <w:jc w:val="left"/>
        <w:rPr>
          <w:rFonts w:hAnsi="宋体"/>
          <w:kern w:val="0"/>
          <w:sz w:val="24"/>
        </w:rPr>
      </w:pPr>
      <w:r w:rsidRPr="00E903A9">
        <w:rPr>
          <w:rFonts w:hAnsi="宋体" w:hint="eastAsia"/>
          <w:kern w:val="0"/>
          <w:sz w:val="24"/>
        </w:rPr>
        <w:t>1</w:t>
      </w:r>
      <w:r w:rsidRPr="00E903A9">
        <w:rPr>
          <w:rFonts w:hAnsi="宋体" w:hint="eastAsia"/>
          <w:kern w:val="0"/>
          <w:sz w:val="24"/>
        </w:rPr>
        <w:t>、电话提示。对媒体和舆论反映集中的问题，电话提示基金管理人；</w:t>
      </w:r>
    </w:p>
    <w:p w14:paraId="16D57306" w14:textId="77777777" w:rsidR="00E52BF5" w:rsidRPr="00E903A9" w:rsidRDefault="00E52BF5" w:rsidP="00E52BF5">
      <w:pPr>
        <w:widowControl/>
        <w:spacing w:line="360" w:lineRule="auto"/>
        <w:ind w:rightChars="-85" w:right="-178" w:firstLineChars="200" w:firstLine="480"/>
        <w:jc w:val="left"/>
        <w:rPr>
          <w:rFonts w:hAnsi="宋体"/>
          <w:kern w:val="0"/>
          <w:sz w:val="24"/>
        </w:rPr>
      </w:pPr>
      <w:r w:rsidRPr="00E903A9">
        <w:rPr>
          <w:rFonts w:hAnsi="宋体" w:hint="eastAsia"/>
          <w:kern w:val="0"/>
          <w:sz w:val="24"/>
        </w:rPr>
        <w:t>2</w:t>
      </w:r>
      <w:r w:rsidRPr="00E903A9">
        <w:rPr>
          <w:rFonts w:hAnsi="宋体" w:hint="eastAsia"/>
          <w:kern w:val="0"/>
          <w:sz w:val="24"/>
        </w:rPr>
        <w:t>、书面警示。对本基金投资比例接近超标、资金头寸不足等问题，以书面方式对基金管理人进行提示；</w:t>
      </w:r>
    </w:p>
    <w:p w14:paraId="15AA6381" w14:textId="77777777" w:rsidR="00E52BF5" w:rsidRPr="00E903A9" w:rsidRDefault="00E52BF5" w:rsidP="00E52BF5">
      <w:pPr>
        <w:widowControl/>
        <w:spacing w:line="360" w:lineRule="auto"/>
        <w:ind w:rightChars="-85" w:right="-178" w:firstLineChars="200" w:firstLine="480"/>
        <w:jc w:val="left"/>
        <w:rPr>
          <w:rFonts w:hAnsi="宋体"/>
          <w:kern w:val="0"/>
          <w:sz w:val="24"/>
        </w:rPr>
      </w:pPr>
      <w:r w:rsidRPr="00E903A9">
        <w:rPr>
          <w:rFonts w:hAnsi="宋体" w:hint="eastAsia"/>
          <w:kern w:val="0"/>
          <w:sz w:val="24"/>
        </w:rPr>
        <w:t>3</w:t>
      </w:r>
      <w:r w:rsidRPr="00E903A9">
        <w:rPr>
          <w:rFonts w:hAnsi="宋体" w:hint="eastAsia"/>
          <w:kern w:val="0"/>
          <w:sz w:val="24"/>
        </w:rPr>
        <w:t>、书面报告。对投资比例超标、清算资金透支以及其他涉嫌违规交易等行为，书面提示有关基金管理人并报中国证监会。</w:t>
      </w:r>
    </w:p>
    <w:p w14:paraId="44B819CA" w14:textId="77777777" w:rsidR="00E52BF5" w:rsidRPr="00E52BF5" w:rsidRDefault="00E52BF5" w:rsidP="00B13D46">
      <w:pPr>
        <w:widowControl/>
        <w:spacing w:line="360" w:lineRule="auto"/>
        <w:ind w:firstLineChars="200" w:firstLine="482"/>
        <w:rPr>
          <w:rFonts w:ascii="宋体" w:hAnsi="宋体"/>
          <w:b/>
          <w:kern w:val="0"/>
          <w:sz w:val="24"/>
          <w:szCs w:val="20"/>
        </w:rPr>
      </w:pPr>
    </w:p>
    <w:p w14:paraId="65C230A0" w14:textId="77777777" w:rsidR="00CF57A4" w:rsidRDefault="00B13D46">
      <w:pPr>
        <w:pStyle w:val="af1"/>
        <w:rPr>
          <w:rFonts w:eastAsia="黑体"/>
          <w:color w:val="000000"/>
          <w:kern w:val="0"/>
          <w:sz w:val="30"/>
        </w:rPr>
      </w:pPr>
      <w:bookmarkStart w:id="58" w:name="_Toc109537383"/>
      <w:bookmarkEnd w:id="55"/>
      <w:bookmarkEnd w:id="56"/>
      <w:bookmarkEnd w:id="57"/>
      <w:r>
        <w:rPr>
          <w:rFonts w:ascii="宋体" w:hAnsi="宋体"/>
          <w:color w:val="000000"/>
          <w:kern w:val="0"/>
          <w:sz w:val="24"/>
        </w:rPr>
        <w:br w:type="page"/>
      </w:r>
      <w:bookmarkStart w:id="59" w:name="_Toc320703945"/>
      <w:bookmarkStart w:id="60" w:name="_Toc320703997"/>
      <w:bookmarkStart w:id="61" w:name="_Toc320704070"/>
      <w:bookmarkStart w:id="62" w:name="_Toc320704357"/>
      <w:bookmarkStart w:id="63" w:name="_Toc322002721"/>
      <w:bookmarkStart w:id="64" w:name="_Toc322519872"/>
      <w:r>
        <w:rPr>
          <w:rFonts w:eastAsia="黑体" w:hint="eastAsia"/>
          <w:color w:val="000000"/>
          <w:kern w:val="0"/>
          <w:sz w:val="30"/>
        </w:rPr>
        <w:lastRenderedPageBreak/>
        <w:t>五、相关服务机构</w:t>
      </w:r>
      <w:bookmarkEnd w:id="58"/>
      <w:bookmarkEnd w:id="59"/>
      <w:bookmarkEnd w:id="60"/>
      <w:bookmarkEnd w:id="61"/>
      <w:bookmarkEnd w:id="62"/>
      <w:bookmarkEnd w:id="63"/>
      <w:bookmarkEnd w:id="64"/>
    </w:p>
    <w:p w14:paraId="65D04696" w14:textId="77777777" w:rsidR="00CF57A4" w:rsidRPr="000B1B3C" w:rsidRDefault="00B13D46" w:rsidP="000B1B3C">
      <w:pPr>
        <w:widowControl/>
        <w:spacing w:line="360" w:lineRule="auto"/>
        <w:ind w:firstLineChars="200" w:firstLine="482"/>
        <w:outlineLvl w:val="1"/>
        <w:rPr>
          <w:rFonts w:ascii="宋体" w:hAnsi="宋体" w:cs="宋体"/>
          <w:b/>
          <w:color w:val="000000"/>
          <w:kern w:val="0"/>
          <w:sz w:val="24"/>
        </w:rPr>
      </w:pPr>
      <w:r>
        <w:rPr>
          <w:rFonts w:ascii="宋体" w:hAnsi="宋体" w:cs="宋体"/>
          <w:b/>
          <w:color w:val="000000"/>
          <w:kern w:val="0"/>
          <w:sz w:val="24"/>
        </w:rPr>
        <w:t>（一）基金份额</w:t>
      </w:r>
      <w:r>
        <w:rPr>
          <w:rFonts w:ascii="宋体" w:hAnsi="宋体" w:cs="宋体" w:hint="eastAsia"/>
          <w:b/>
          <w:color w:val="000000"/>
          <w:kern w:val="0"/>
          <w:sz w:val="24"/>
        </w:rPr>
        <w:t>销</w:t>
      </w:r>
      <w:r>
        <w:rPr>
          <w:rFonts w:ascii="宋体" w:hAnsi="宋体" w:cs="宋体"/>
          <w:b/>
          <w:color w:val="000000"/>
          <w:kern w:val="0"/>
          <w:sz w:val="24"/>
        </w:rPr>
        <w:t xml:space="preserve">售机构 </w:t>
      </w:r>
    </w:p>
    <w:p w14:paraId="0230C7E1" w14:textId="77777777" w:rsidR="00CF57A4" w:rsidRDefault="00B13D46">
      <w:pPr>
        <w:spacing w:line="360" w:lineRule="auto"/>
        <w:ind w:firstLineChars="200" w:firstLine="480"/>
        <w:rPr>
          <w:rFonts w:ascii="宋体" w:hAnsi="宋体"/>
          <w:sz w:val="24"/>
          <w:szCs w:val="20"/>
        </w:rPr>
      </w:pPr>
      <w:r>
        <w:rPr>
          <w:rFonts w:ascii="宋体" w:hAnsi="宋体" w:hint="eastAsia"/>
          <w:sz w:val="24"/>
          <w:szCs w:val="20"/>
        </w:rPr>
        <w:t>1、申购赎回代理券商（简称“一级交易商”）</w:t>
      </w:r>
    </w:p>
    <w:p w14:paraId="2470BEFC" w14:textId="77777777" w:rsidR="00C5750B" w:rsidRPr="008D7D57" w:rsidRDefault="00C5750B" w:rsidP="00C5750B">
      <w:pPr>
        <w:spacing w:line="360" w:lineRule="auto"/>
        <w:ind w:firstLineChars="200" w:firstLine="480"/>
        <w:rPr>
          <w:sz w:val="24"/>
        </w:rPr>
      </w:pPr>
      <w:r w:rsidRPr="008D7D57">
        <w:rPr>
          <w:rFonts w:hint="eastAsia"/>
          <w:sz w:val="24"/>
        </w:rPr>
        <w:t>（</w:t>
      </w:r>
      <w:r w:rsidRPr="008D7D57">
        <w:rPr>
          <w:rFonts w:hint="eastAsia"/>
          <w:sz w:val="24"/>
        </w:rPr>
        <w:t>1</w:t>
      </w:r>
      <w:r w:rsidRPr="008D7D57">
        <w:rPr>
          <w:rFonts w:hint="eastAsia"/>
          <w:sz w:val="24"/>
        </w:rPr>
        <w:t>）</w:t>
      </w:r>
      <w:r w:rsidRPr="008D7D57">
        <w:rPr>
          <w:rFonts w:hint="eastAsia"/>
          <w:sz w:val="24"/>
        </w:rPr>
        <w:t xml:space="preserve"> </w:t>
      </w:r>
      <w:r w:rsidRPr="008D7D57">
        <w:rPr>
          <w:rFonts w:hint="eastAsia"/>
          <w:sz w:val="24"/>
        </w:rPr>
        <w:t>光大证券股份有限公司</w:t>
      </w:r>
    </w:p>
    <w:p w14:paraId="145B7E87" w14:textId="77777777" w:rsidR="00C5750B" w:rsidRPr="008D7D57" w:rsidRDefault="00C5750B" w:rsidP="00C5750B">
      <w:pPr>
        <w:spacing w:line="360" w:lineRule="auto"/>
        <w:ind w:firstLineChars="200" w:firstLine="480"/>
        <w:rPr>
          <w:sz w:val="24"/>
        </w:rPr>
      </w:pPr>
      <w:r w:rsidRPr="008D7D57">
        <w:rPr>
          <w:rFonts w:hint="eastAsia"/>
          <w:sz w:val="24"/>
        </w:rPr>
        <w:t>住所：上海市静安区新闸路</w:t>
      </w:r>
      <w:r w:rsidRPr="008D7D57">
        <w:rPr>
          <w:rFonts w:hint="eastAsia"/>
          <w:sz w:val="24"/>
        </w:rPr>
        <w:t>1508</w:t>
      </w:r>
      <w:r w:rsidRPr="008D7D57">
        <w:rPr>
          <w:rFonts w:hint="eastAsia"/>
          <w:sz w:val="24"/>
        </w:rPr>
        <w:t>号</w:t>
      </w:r>
    </w:p>
    <w:p w14:paraId="1511B545" w14:textId="77777777" w:rsidR="00C5750B" w:rsidRPr="008D7D57" w:rsidRDefault="00C5750B" w:rsidP="00C5750B">
      <w:pPr>
        <w:spacing w:line="360" w:lineRule="auto"/>
        <w:ind w:firstLineChars="200" w:firstLine="480"/>
        <w:rPr>
          <w:sz w:val="24"/>
        </w:rPr>
      </w:pPr>
      <w:r w:rsidRPr="008D7D57">
        <w:rPr>
          <w:rFonts w:hint="eastAsia"/>
          <w:sz w:val="24"/>
        </w:rPr>
        <w:t>办公地址：上海市静安区新闸路</w:t>
      </w:r>
      <w:r w:rsidRPr="008D7D57">
        <w:rPr>
          <w:rFonts w:hint="eastAsia"/>
          <w:sz w:val="24"/>
        </w:rPr>
        <w:t>1508</w:t>
      </w:r>
      <w:r w:rsidRPr="008D7D57">
        <w:rPr>
          <w:rFonts w:hint="eastAsia"/>
          <w:sz w:val="24"/>
        </w:rPr>
        <w:t>号</w:t>
      </w:r>
    </w:p>
    <w:p w14:paraId="6363E2B1" w14:textId="77777777" w:rsidR="00C5750B" w:rsidRPr="008D7D57" w:rsidRDefault="00C5750B" w:rsidP="00C5750B">
      <w:pPr>
        <w:spacing w:line="360" w:lineRule="auto"/>
        <w:ind w:firstLineChars="200" w:firstLine="480"/>
        <w:rPr>
          <w:sz w:val="24"/>
        </w:rPr>
      </w:pPr>
      <w:r w:rsidRPr="008D7D57">
        <w:rPr>
          <w:rFonts w:hint="eastAsia"/>
          <w:sz w:val="24"/>
        </w:rPr>
        <w:t>法定代表人：薛峰</w:t>
      </w:r>
    </w:p>
    <w:p w14:paraId="09FC9D36" w14:textId="77777777" w:rsidR="00C5750B" w:rsidRPr="008D7D57" w:rsidRDefault="00C5750B" w:rsidP="00C5750B">
      <w:pPr>
        <w:spacing w:line="360" w:lineRule="auto"/>
        <w:ind w:firstLineChars="200" w:firstLine="480"/>
        <w:rPr>
          <w:sz w:val="24"/>
        </w:rPr>
      </w:pPr>
      <w:r w:rsidRPr="008D7D57">
        <w:rPr>
          <w:rFonts w:hint="eastAsia"/>
          <w:sz w:val="24"/>
        </w:rPr>
        <w:t>电话：（</w:t>
      </w:r>
      <w:r w:rsidRPr="008D7D57">
        <w:rPr>
          <w:rFonts w:hint="eastAsia"/>
          <w:sz w:val="24"/>
        </w:rPr>
        <w:t>021</w:t>
      </w:r>
      <w:r w:rsidRPr="008D7D57">
        <w:rPr>
          <w:rFonts w:hint="eastAsia"/>
          <w:sz w:val="24"/>
        </w:rPr>
        <w:t>）</w:t>
      </w:r>
      <w:r w:rsidRPr="008D7D57">
        <w:rPr>
          <w:rFonts w:hint="eastAsia"/>
          <w:sz w:val="24"/>
        </w:rPr>
        <w:t>22169999</w:t>
      </w:r>
    </w:p>
    <w:p w14:paraId="3B27CC3A" w14:textId="77777777" w:rsidR="00C5750B" w:rsidRPr="008D7D57" w:rsidRDefault="00C5750B" w:rsidP="00C5750B">
      <w:pPr>
        <w:spacing w:line="360" w:lineRule="auto"/>
        <w:ind w:firstLineChars="200" w:firstLine="480"/>
        <w:rPr>
          <w:sz w:val="24"/>
        </w:rPr>
      </w:pPr>
      <w:r w:rsidRPr="008D7D57">
        <w:rPr>
          <w:rFonts w:hint="eastAsia"/>
          <w:sz w:val="24"/>
        </w:rPr>
        <w:t>传真：（</w:t>
      </w:r>
      <w:r w:rsidRPr="008D7D57">
        <w:rPr>
          <w:rFonts w:hint="eastAsia"/>
          <w:sz w:val="24"/>
        </w:rPr>
        <w:t>021</w:t>
      </w:r>
      <w:r w:rsidRPr="008D7D57">
        <w:rPr>
          <w:rFonts w:hint="eastAsia"/>
          <w:sz w:val="24"/>
        </w:rPr>
        <w:t>）</w:t>
      </w:r>
      <w:r w:rsidRPr="008D7D57">
        <w:rPr>
          <w:rFonts w:hint="eastAsia"/>
          <w:sz w:val="24"/>
        </w:rPr>
        <w:t>22169134</w:t>
      </w:r>
    </w:p>
    <w:p w14:paraId="00D29BF9" w14:textId="77777777" w:rsidR="00C5750B" w:rsidRPr="008D7D57" w:rsidRDefault="00C5750B" w:rsidP="00C5750B">
      <w:pPr>
        <w:spacing w:line="360" w:lineRule="auto"/>
        <w:ind w:firstLineChars="200" w:firstLine="480"/>
        <w:rPr>
          <w:sz w:val="24"/>
        </w:rPr>
      </w:pPr>
      <w:r w:rsidRPr="008D7D57">
        <w:rPr>
          <w:rFonts w:hint="eastAsia"/>
          <w:sz w:val="24"/>
        </w:rPr>
        <w:t>联系人：刘晨</w:t>
      </w:r>
    </w:p>
    <w:p w14:paraId="2AB65D33" w14:textId="77777777" w:rsidR="00C5750B" w:rsidRPr="008D7D57" w:rsidRDefault="00C5750B" w:rsidP="00C5750B">
      <w:pPr>
        <w:spacing w:line="360" w:lineRule="auto"/>
        <w:ind w:firstLineChars="200" w:firstLine="480"/>
        <w:rPr>
          <w:sz w:val="24"/>
        </w:rPr>
      </w:pPr>
      <w:r w:rsidRPr="008D7D57">
        <w:rPr>
          <w:rFonts w:hint="eastAsia"/>
          <w:sz w:val="24"/>
        </w:rPr>
        <w:t>客户服务电话：</w:t>
      </w:r>
      <w:r w:rsidRPr="008D7D57">
        <w:rPr>
          <w:rFonts w:hint="eastAsia"/>
          <w:sz w:val="24"/>
        </w:rPr>
        <w:t xml:space="preserve"> 10108998</w:t>
      </w:r>
    </w:p>
    <w:p w14:paraId="31223AC8" w14:textId="77777777" w:rsidR="00C5750B" w:rsidRPr="008D7D57" w:rsidRDefault="00C5750B" w:rsidP="00C5750B">
      <w:pPr>
        <w:spacing w:line="360" w:lineRule="auto"/>
        <w:ind w:firstLineChars="200" w:firstLine="480"/>
        <w:rPr>
          <w:sz w:val="24"/>
        </w:rPr>
      </w:pPr>
      <w:r w:rsidRPr="008D7D57">
        <w:rPr>
          <w:rFonts w:hint="eastAsia"/>
          <w:sz w:val="24"/>
        </w:rPr>
        <w:t>网址：</w:t>
      </w:r>
      <w:r w:rsidRPr="008D7D57">
        <w:rPr>
          <w:rFonts w:hint="eastAsia"/>
          <w:sz w:val="24"/>
        </w:rPr>
        <w:t>www.ebscn.com</w:t>
      </w:r>
    </w:p>
    <w:p w14:paraId="0935D40D" w14:textId="77777777" w:rsidR="00C5750B" w:rsidRPr="008D7D57" w:rsidRDefault="00C5750B" w:rsidP="00C5750B">
      <w:pPr>
        <w:spacing w:line="360" w:lineRule="auto"/>
        <w:ind w:firstLineChars="200" w:firstLine="480"/>
        <w:rPr>
          <w:sz w:val="24"/>
        </w:rPr>
      </w:pPr>
      <w:r w:rsidRPr="008D7D57">
        <w:rPr>
          <w:rFonts w:hint="eastAsia"/>
          <w:sz w:val="24"/>
        </w:rPr>
        <w:t>（</w:t>
      </w:r>
      <w:r w:rsidRPr="008D7D57">
        <w:rPr>
          <w:rFonts w:hint="eastAsia"/>
          <w:sz w:val="24"/>
        </w:rPr>
        <w:t>2</w:t>
      </w:r>
      <w:r w:rsidRPr="008D7D57">
        <w:rPr>
          <w:rFonts w:hint="eastAsia"/>
          <w:sz w:val="24"/>
        </w:rPr>
        <w:t>）</w:t>
      </w:r>
      <w:r w:rsidRPr="008D7D57">
        <w:rPr>
          <w:rFonts w:hint="eastAsia"/>
          <w:sz w:val="24"/>
        </w:rPr>
        <w:t xml:space="preserve"> </w:t>
      </w:r>
      <w:r w:rsidRPr="008D7D57">
        <w:rPr>
          <w:rFonts w:hint="eastAsia"/>
          <w:sz w:val="24"/>
        </w:rPr>
        <w:t>国泰君安证券股份有限公司</w:t>
      </w:r>
    </w:p>
    <w:p w14:paraId="7114BA31" w14:textId="77777777" w:rsidR="00C5750B" w:rsidRPr="008D7D57" w:rsidRDefault="00C5750B" w:rsidP="00C5750B">
      <w:pPr>
        <w:spacing w:line="360" w:lineRule="auto"/>
        <w:ind w:firstLineChars="200" w:firstLine="480"/>
        <w:rPr>
          <w:sz w:val="24"/>
        </w:rPr>
      </w:pPr>
      <w:r w:rsidRPr="008D7D57">
        <w:rPr>
          <w:rFonts w:hint="eastAsia"/>
          <w:sz w:val="24"/>
        </w:rPr>
        <w:t>住所：上海市浦东新区商城路</w:t>
      </w:r>
      <w:r w:rsidRPr="008D7D57">
        <w:rPr>
          <w:rFonts w:hint="eastAsia"/>
          <w:sz w:val="24"/>
        </w:rPr>
        <w:t>618</w:t>
      </w:r>
      <w:r w:rsidRPr="008D7D57">
        <w:rPr>
          <w:rFonts w:hint="eastAsia"/>
          <w:sz w:val="24"/>
        </w:rPr>
        <w:t>号</w:t>
      </w:r>
    </w:p>
    <w:p w14:paraId="4337EC97" w14:textId="77777777" w:rsidR="00C5750B" w:rsidRPr="008D7D57" w:rsidRDefault="00C5750B" w:rsidP="00C5750B">
      <w:pPr>
        <w:spacing w:line="360" w:lineRule="auto"/>
        <w:ind w:firstLineChars="200" w:firstLine="480"/>
        <w:rPr>
          <w:sz w:val="24"/>
        </w:rPr>
      </w:pPr>
      <w:r w:rsidRPr="008D7D57">
        <w:rPr>
          <w:rFonts w:hint="eastAsia"/>
          <w:sz w:val="24"/>
        </w:rPr>
        <w:t>办公地址：上海市浦东新区银城中路</w:t>
      </w:r>
      <w:r w:rsidRPr="008D7D57">
        <w:rPr>
          <w:rFonts w:hint="eastAsia"/>
          <w:sz w:val="24"/>
        </w:rPr>
        <w:t>168</w:t>
      </w:r>
      <w:r w:rsidRPr="008D7D57">
        <w:rPr>
          <w:rFonts w:hint="eastAsia"/>
          <w:sz w:val="24"/>
        </w:rPr>
        <w:t>号上海银行大厦</w:t>
      </w:r>
      <w:r w:rsidRPr="008D7D57">
        <w:rPr>
          <w:rFonts w:hint="eastAsia"/>
          <w:sz w:val="24"/>
        </w:rPr>
        <w:t>29</w:t>
      </w:r>
      <w:r w:rsidRPr="008D7D57">
        <w:rPr>
          <w:rFonts w:hint="eastAsia"/>
          <w:sz w:val="24"/>
        </w:rPr>
        <w:t>层</w:t>
      </w:r>
    </w:p>
    <w:p w14:paraId="537C259C" w14:textId="77777777" w:rsidR="00C5750B" w:rsidRPr="008D7D57" w:rsidRDefault="00C5750B" w:rsidP="00C5750B">
      <w:pPr>
        <w:spacing w:line="360" w:lineRule="auto"/>
        <w:ind w:firstLineChars="200" w:firstLine="480"/>
        <w:rPr>
          <w:sz w:val="24"/>
        </w:rPr>
      </w:pPr>
      <w:r w:rsidRPr="008D7D57">
        <w:rPr>
          <w:rFonts w:hint="eastAsia"/>
          <w:sz w:val="24"/>
        </w:rPr>
        <w:t>法定代表人：万建华</w:t>
      </w:r>
    </w:p>
    <w:p w14:paraId="5CBBB9D2" w14:textId="77777777" w:rsidR="00C5750B" w:rsidRPr="008D7D57" w:rsidRDefault="00C5750B" w:rsidP="00C5750B">
      <w:pPr>
        <w:spacing w:line="360" w:lineRule="auto"/>
        <w:ind w:firstLineChars="200" w:firstLine="480"/>
        <w:rPr>
          <w:sz w:val="24"/>
        </w:rPr>
      </w:pPr>
      <w:r w:rsidRPr="008D7D57">
        <w:rPr>
          <w:rFonts w:hint="eastAsia"/>
          <w:sz w:val="24"/>
        </w:rPr>
        <w:t>电话：（</w:t>
      </w:r>
      <w:r w:rsidRPr="008D7D57">
        <w:rPr>
          <w:rFonts w:hint="eastAsia"/>
          <w:sz w:val="24"/>
        </w:rPr>
        <w:t>021</w:t>
      </w:r>
      <w:r w:rsidRPr="008D7D57">
        <w:rPr>
          <w:rFonts w:hint="eastAsia"/>
          <w:sz w:val="24"/>
        </w:rPr>
        <w:t>）</w:t>
      </w:r>
      <w:r w:rsidRPr="008D7D57">
        <w:rPr>
          <w:rFonts w:hint="eastAsia"/>
          <w:sz w:val="24"/>
        </w:rPr>
        <w:t xml:space="preserve">38676161 </w:t>
      </w:r>
    </w:p>
    <w:p w14:paraId="28D49990" w14:textId="77777777" w:rsidR="00C5750B" w:rsidRPr="008D7D57" w:rsidRDefault="00C5750B" w:rsidP="00C5750B">
      <w:pPr>
        <w:spacing w:line="360" w:lineRule="auto"/>
        <w:ind w:firstLineChars="200" w:firstLine="480"/>
        <w:rPr>
          <w:sz w:val="24"/>
        </w:rPr>
      </w:pPr>
      <w:r w:rsidRPr="008D7D57">
        <w:rPr>
          <w:rFonts w:hint="eastAsia"/>
          <w:sz w:val="24"/>
        </w:rPr>
        <w:t>传真：（</w:t>
      </w:r>
      <w:r w:rsidRPr="008D7D57">
        <w:rPr>
          <w:rFonts w:hint="eastAsia"/>
          <w:sz w:val="24"/>
        </w:rPr>
        <w:t>021</w:t>
      </w:r>
      <w:r w:rsidRPr="008D7D57">
        <w:rPr>
          <w:rFonts w:hint="eastAsia"/>
          <w:sz w:val="24"/>
        </w:rPr>
        <w:t>）</w:t>
      </w:r>
      <w:r w:rsidRPr="008D7D57">
        <w:rPr>
          <w:rFonts w:hint="eastAsia"/>
          <w:sz w:val="24"/>
        </w:rPr>
        <w:t>38670161</w:t>
      </w:r>
    </w:p>
    <w:p w14:paraId="7F13EED8" w14:textId="77777777" w:rsidR="00C5750B" w:rsidRPr="008D7D57" w:rsidRDefault="00C5750B" w:rsidP="00C5750B">
      <w:pPr>
        <w:spacing w:line="360" w:lineRule="auto"/>
        <w:ind w:firstLineChars="200" w:firstLine="480"/>
        <w:rPr>
          <w:sz w:val="24"/>
        </w:rPr>
      </w:pPr>
      <w:r w:rsidRPr="008D7D57">
        <w:rPr>
          <w:rFonts w:hint="eastAsia"/>
          <w:sz w:val="24"/>
        </w:rPr>
        <w:t>联系人：芮敏棋</w:t>
      </w:r>
    </w:p>
    <w:p w14:paraId="3ABEC3E3" w14:textId="77777777" w:rsidR="00C5750B" w:rsidRPr="008D7D57" w:rsidRDefault="00C5750B" w:rsidP="00C5750B">
      <w:pPr>
        <w:spacing w:line="360" w:lineRule="auto"/>
        <w:ind w:firstLineChars="200" w:firstLine="480"/>
        <w:rPr>
          <w:sz w:val="24"/>
        </w:rPr>
      </w:pPr>
      <w:r w:rsidRPr="008D7D57">
        <w:rPr>
          <w:rFonts w:hint="eastAsia"/>
          <w:sz w:val="24"/>
        </w:rPr>
        <w:t>客户服务电话：</w:t>
      </w:r>
      <w:r w:rsidRPr="008D7D57">
        <w:rPr>
          <w:rFonts w:hint="eastAsia"/>
          <w:sz w:val="24"/>
        </w:rPr>
        <w:t>95521</w:t>
      </w:r>
      <w:r w:rsidRPr="008D7D57">
        <w:rPr>
          <w:rFonts w:hint="eastAsia"/>
          <w:sz w:val="24"/>
        </w:rPr>
        <w:t>，</w:t>
      </w:r>
      <w:r w:rsidRPr="008D7D57">
        <w:rPr>
          <w:rFonts w:hint="eastAsia"/>
          <w:sz w:val="24"/>
        </w:rPr>
        <w:t>400-8888-666</w:t>
      </w:r>
    </w:p>
    <w:p w14:paraId="436DB933" w14:textId="77777777" w:rsidR="00C5750B" w:rsidRPr="008D7D57" w:rsidRDefault="00C5750B" w:rsidP="00C5750B">
      <w:pPr>
        <w:spacing w:line="360" w:lineRule="auto"/>
        <w:ind w:firstLineChars="200" w:firstLine="480"/>
        <w:rPr>
          <w:sz w:val="24"/>
        </w:rPr>
      </w:pPr>
      <w:r w:rsidRPr="008D7D57">
        <w:rPr>
          <w:rFonts w:hint="eastAsia"/>
          <w:sz w:val="24"/>
        </w:rPr>
        <w:t>网址：</w:t>
      </w:r>
      <w:r w:rsidRPr="008D7D57">
        <w:rPr>
          <w:rFonts w:hint="eastAsia"/>
          <w:sz w:val="24"/>
        </w:rPr>
        <w:t>www.gtja.com</w:t>
      </w:r>
    </w:p>
    <w:p w14:paraId="6366BC48" w14:textId="77777777" w:rsidR="00C5750B" w:rsidRPr="008D7D57" w:rsidRDefault="00C5750B" w:rsidP="00C5750B">
      <w:pPr>
        <w:spacing w:line="360" w:lineRule="auto"/>
        <w:ind w:firstLineChars="200" w:firstLine="480"/>
        <w:rPr>
          <w:sz w:val="24"/>
        </w:rPr>
      </w:pPr>
      <w:r w:rsidRPr="008D7D57">
        <w:rPr>
          <w:rFonts w:hint="eastAsia"/>
          <w:sz w:val="24"/>
        </w:rPr>
        <w:t>（</w:t>
      </w:r>
      <w:r w:rsidRPr="008D7D57">
        <w:rPr>
          <w:rFonts w:hint="eastAsia"/>
          <w:sz w:val="24"/>
        </w:rPr>
        <w:t>3</w:t>
      </w:r>
      <w:r w:rsidRPr="008D7D57">
        <w:rPr>
          <w:rFonts w:hint="eastAsia"/>
          <w:sz w:val="24"/>
        </w:rPr>
        <w:t>）</w:t>
      </w:r>
      <w:r w:rsidRPr="008D7D57">
        <w:rPr>
          <w:rFonts w:hint="eastAsia"/>
          <w:sz w:val="24"/>
        </w:rPr>
        <w:t xml:space="preserve"> </w:t>
      </w:r>
      <w:r w:rsidRPr="008D7D57">
        <w:rPr>
          <w:rFonts w:hint="eastAsia"/>
          <w:sz w:val="24"/>
        </w:rPr>
        <w:t>中信建投证券股份有限公司</w:t>
      </w:r>
    </w:p>
    <w:p w14:paraId="7751FF6D" w14:textId="77777777" w:rsidR="00C5750B" w:rsidRPr="008D7D57" w:rsidRDefault="00C5750B" w:rsidP="00C5750B">
      <w:pPr>
        <w:spacing w:line="360" w:lineRule="auto"/>
        <w:ind w:firstLineChars="200" w:firstLine="480"/>
        <w:rPr>
          <w:sz w:val="24"/>
        </w:rPr>
      </w:pPr>
      <w:r w:rsidRPr="008D7D57">
        <w:rPr>
          <w:rFonts w:hint="eastAsia"/>
          <w:sz w:val="24"/>
        </w:rPr>
        <w:t>住所：北京市朝阳区安立路</w:t>
      </w:r>
      <w:r w:rsidRPr="008D7D57">
        <w:rPr>
          <w:rFonts w:hint="eastAsia"/>
          <w:sz w:val="24"/>
        </w:rPr>
        <w:t>66</w:t>
      </w:r>
      <w:r w:rsidRPr="008D7D57">
        <w:rPr>
          <w:rFonts w:hint="eastAsia"/>
          <w:sz w:val="24"/>
        </w:rPr>
        <w:t>号</w:t>
      </w:r>
      <w:r w:rsidRPr="008D7D57">
        <w:rPr>
          <w:rFonts w:hint="eastAsia"/>
          <w:sz w:val="24"/>
        </w:rPr>
        <w:t>4</w:t>
      </w:r>
      <w:r w:rsidRPr="008D7D57">
        <w:rPr>
          <w:rFonts w:hint="eastAsia"/>
          <w:sz w:val="24"/>
        </w:rPr>
        <w:t>号楼</w:t>
      </w:r>
    </w:p>
    <w:p w14:paraId="1FC100AB" w14:textId="77777777" w:rsidR="00C5750B" w:rsidRPr="008D7D57" w:rsidRDefault="00C5750B" w:rsidP="00C5750B">
      <w:pPr>
        <w:spacing w:line="360" w:lineRule="auto"/>
        <w:ind w:firstLineChars="200" w:firstLine="480"/>
        <w:rPr>
          <w:sz w:val="24"/>
        </w:rPr>
      </w:pPr>
      <w:r w:rsidRPr="008D7D57">
        <w:rPr>
          <w:rFonts w:hint="eastAsia"/>
          <w:sz w:val="24"/>
        </w:rPr>
        <w:t>办公地址：北京市朝阳门内大街</w:t>
      </w:r>
      <w:r w:rsidRPr="008D7D57">
        <w:rPr>
          <w:rFonts w:hint="eastAsia"/>
          <w:sz w:val="24"/>
        </w:rPr>
        <w:t>188</w:t>
      </w:r>
      <w:r w:rsidRPr="008D7D57">
        <w:rPr>
          <w:rFonts w:hint="eastAsia"/>
          <w:sz w:val="24"/>
        </w:rPr>
        <w:t>号</w:t>
      </w:r>
    </w:p>
    <w:p w14:paraId="4A437491" w14:textId="77777777" w:rsidR="00C5750B" w:rsidRPr="008D7D57" w:rsidRDefault="00C5750B" w:rsidP="00C5750B">
      <w:pPr>
        <w:spacing w:line="360" w:lineRule="auto"/>
        <w:ind w:firstLineChars="200" w:firstLine="480"/>
        <w:rPr>
          <w:sz w:val="24"/>
        </w:rPr>
      </w:pPr>
      <w:r w:rsidRPr="008D7D57">
        <w:rPr>
          <w:rFonts w:hint="eastAsia"/>
          <w:sz w:val="24"/>
        </w:rPr>
        <w:t>法定代表人：王常青</w:t>
      </w:r>
    </w:p>
    <w:p w14:paraId="18DBAD5A" w14:textId="77777777" w:rsidR="00C5750B" w:rsidRPr="008D7D57" w:rsidRDefault="00C5750B" w:rsidP="00C5750B">
      <w:pPr>
        <w:spacing w:line="360" w:lineRule="auto"/>
        <w:ind w:firstLineChars="200" w:firstLine="480"/>
        <w:rPr>
          <w:sz w:val="24"/>
        </w:rPr>
      </w:pPr>
      <w:r w:rsidRPr="008D7D57">
        <w:rPr>
          <w:rFonts w:hint="eastAsia"/>
          <w:sz w:val="24"/>
        </w:rPr>
        <w:t>电话：（</w:t>
      </w:r>
      <w:r w:rsidRPr="008D7D57">
        <w:rPr>
          <w:rFonts w:hint="eastAsia"/>
          <w:sz w:val="24"/>
        </w:rPr>
        <w:t>010</w:t>
      </w:r>
      <w:r w:rsidRPr="008D7D57">
        <w:rPr>
          <w:rFonts w:hint="eastAsia"/>
          <w:sz w:val="24"/>
        </w:rPr>
        <w:t>）</w:t>
      </w:r>
      <w:r w:rsidRPr="008D7D57">
        <w:rPr>
          <w:rFonts w:hint="eastAsia"/>
          <w:sz w:val="24"/>
        </w:rPr>
        <w:t xml:space="preserve">85130588 </w:t>
      </w:r>
    </w:p>
    <w:p w14:paraId="3E9624E5" w14:textId="77777777" w:rsidR="00C5750B" w:rsidRPr="008D7D57" w:rsidRDefault="00C5750B" w:rsidP="00C5750B">
      <w:pPr>
        <w:spacing w:line="360" w:lineRule="auto"/>
        <w:ind w:firstLineChars="200" w:firstLine="480"/>
        <w:rPr>
          <w:sz w:val="24"/>
        </w:rPr>
      </w:pPr>
      <w:r w:rsidRPr="008D7D57">
        <w:rPr>
          <w:rFonts w:hint="eastAsia"/>
          <w:sz w:val="24"/>
        </w:rPr>
        <w:t>传真：（</w:t>
      </w:r>
      <w:r w:rsidRPr="008D7D57">
        <w:rPr>
          <w:rFonts w:hint="eastAsia"/>
          <w:sz w:val="24"/>
        </w:rPr>
        <w:t>010</w:t>
      </w:r>
      <w:r w:rsidRPr="008D7D57">
        <w:rPr>
          <w:rFonts w:hint="eastAsia"/>
          <w:sz w:val="24"/>
        </w:rPr>
        <w:t>）</w:t>
      </w:r>
      <w:r w:rsidRPr="008D7D57">
        <w:rPr>
          <w:rFonts w:hint="eastAsia"/>
          <w:sz w:val="24"/>
        </w:rPr>
        <w:t xml:space="preserve">65182261 </w:t>
      </w:r>
    </w:p>
    <w:p w14:paraId="21123ECF" w14:textId="77777777" w:rsidR="00C5750B" w:rsidRPr="008D7D57" w:rsidRDefault="00C5750B" w:rsidP="00C5750B">
      <w:pPr>
        <w:spacing w:line="360" w:lineRule="auto"/>
        <w:ind w:firstLineChars="200" w:firstLine="480"/>
        <w:rPr>
          <w:sz w:val="24"/>
        </w:rPr>
      </w:pPr>
      <w:r w:rsidRPr="008D7D57">
        <w:rPr>
          <w:rFonts w:hint="eastAsia"/>
          <w:sz w:val="24"/>
        </w:rPr>
        <w:t>联系人：魏明</w:t>
      </w:r>
      <w:r w:rsidRPr="008D7D57">
        <w:rPr>
          <w:rFonts w:hint="eastAsia"/>
          <w:sz w:val="24"/>
        </w:rPr>
        <w:t xml:space="preserve"> </w:t>
      </w:r>
    </w:p>
    <w:p w14:paraId="540047F7" w14:textId="77777777" w:rsidR="00C5750B" w:rsidRPr="008D7D57" w:rsidRDefault="00C5750B" w:rsidP="00C5750B">
      <w:pPr>
        <w:spacing w:line="360" w:lineRule="auto"/>
        <w:ind w:firstLineChars="200" w:firstLine="480"/>
        <w:rPr>
          <w:sz w:val="24"/>
        </w:rPr>
      </w:pPr>
      <w:r w:rsidRPr="008D7D57">
        <w:rPr>
          <w:rFonts w:hint="eastAsia"/>
          <w:sz w:val="24"/>
        </w:rPr>
        <w:t>客户服务电话：</w:t>
      </w:r>
      <w:r w:rsidRPr="008D7D57">
        <w:rPr>
          <w:rFonts w:hint="eastAsia"/>
          <w:sz w:val="24"/>
        </w:rPr>
        <w:t>4008-888-108</w:t>
      </w:r>
    </w:p>
    <w:p w14:paraId="29D5B47C" w14:textId="77777777" w:rsidR="00C5750B" w:rsidRPr="008D7D57" w:rsidRDefault="00C5750B" w:rsidP="00C5750B">
      <w:pPr>
        <w:spacing w:line="360" w:lineRule="auto"/>
        <w:ind w:firstLineChars="200" w:firstLine="480"/>
        <w:rPr>
          <w:sz w:val="24"/>
        </w:rPr>
      </w:pPr>
      <w:r w:rsidRPr="008D7D57">
        <w:rPr>
          <w:rFonts w:hint="eastAsia"/>
          <w:sz w:val="24"/>
        </w:rPr>
        <w:lastRenderedPageBreak/>
        <w:t>网址：</w:t>
      </w:r>
      <w:r w:rsidRPr="008D7D57">
        <w:rPr>
          <w:rFonts w:hint="eastAsia"/>
          <w:sz w:val="24"/>
        </w:rPr>
        <w:t>www.csc108.com</w:t>
      </w:r>
    </w:p>
    <w:p w14:paraId="0679C627" w14:textId="77777777" w:rsidR="00C5750B" w:rsidRPr="008D7D57" w:rsidRDefault="00C5750B" w:rsidP="00C5750B">
      <w:pPr>
        <w:spacing w:line="360" w:lineRule="auto"/>
        <w:ind w:firstLineChars="200" w:firstLine="480"/>
        <w:rPr>
          <w:sz w:val="24"/>
        </w:rPr>
      </w:pPr>
      <w:r w:rsidRPr="008D7D57">
        <w:rPr>
          <w:rFonts w:hint="eastAsia"/>
          <w:sz w:val="24"/>
        </w:rPr>
        <w:t>（</w:t>
      </w:r>
      <w:r w:rsidRPr="008D7D57">
        <w:rPr>
          <w:rFonts w:hint="eastAsia"/>
          <w:sz w:val="24"/>
        </w:rPr>
        <w:t>4</w:t>
      </w:r>
      <w:r w:rsidRPr="008D7D57">
        <w:rPr>
          <w:rFonts w:hint="eastAsia"/>
          <w:sz w:val="24"/>
        </w:rPr>
        <w:t>）</w:t>
      </w:r>
      <w:r w:rsidRPr="008D7D57">
        <w:rPr>
          <w:rFonts w:hint="eastAsia"/>
          <w:sz w:val="24"/>
        </w:rPr>
        <w:t xml:space="preserve"> </w:t>
      </w:r>
      <w:r w:rsidRPr="008D7D57">
        <w:rPr>
          <w:rFonts w:hint="eastAsia"/>
          <w:sz w:val="24"/>
        </w:rPr>
        <w:t>海通证券股份有限公司</w:t>
      </w:r>
    </w:p>
    <w:p w14:paraId="08B37620" w14:textId="77777777" w:rsidR="00C5750B" w:rsidRPr="008D7D57" w:rsidRDefault="00C5750B" w:rsidP="00C5750B">
      <w:pPr>
        <w:spacing w:line="360" w:lineRule="auto"/>
        <w:ind w:firstLineChars="200" w:firstLine="480"/>
        <w:rPr>
          <w:sz w:val="24"/>
        </w:rPr>
      </w:pPr>
      <w:r w:rsidRPr="008D7D57">
        <w:rPr>
          <w:rFonts w:hint="eastAsia"/>
          <w:sz w:val="24"/>
        </w:rPr>
        <w:t>住所：上海市淮海中路</w:t>
      </w:r>
      <w:r w:rsidRPr="008D7D57">
        <w:rPr>
          <w:rFonts w:hint="eastAsia"/>
          <w:sz w:val="24"/>
        </w:rPr>
        <w:t>98</w:t>
      </w:r>
      <w:r w:rsidRPr="008D7D57">
        <w:rPr>
          <w:rFonts w:hint="eastAsia"/>
          <w:sz w:val="24"/>
        </w:rPr>
        <w:t>号</w:t>
      </w:r>
    </w:p>
    <w:p w14:paraId="67C766B1" w14:textId="77777777" w:rsidR="00C5750B" w:rsidRPr="008D7D57" w:rsidRDefault="00C5750B" w:rsidP="00C5750B">
      <w:pPr>
        <w:spacing w:line="360" w:lineRule="auto"/>
        <w:ind w:firstLineChars="200" w:firstLine="480"/>
        <w:rPr>
          <w:sz w:val="24"/>
        </w:rPr>
      </w:pPr>
      <w:r w:rsidRPr="008D7D57">
        <w:rPr>
          <w:rFonts w:hint="eastAsia"/>
          <w:sz w:val="24"/>
        </w:rPr>
        <w:t>办公地址：上海市广东路</w:t>
      </w:r>
      <w:r w:rsidRPr="008D7D57">
        <w:rPr>
          <w:rFonts w:hint="eastAsia"/>
          <w:sz w:val="24"/>
        </w:rPr>
        <w:t>689</w:t>
      </w:r>
      <w:r w:rsidRPr="008D7D57">
        <w:rPr>
          <w:rFonts w:hint="eastAsia"/>
          <w:sz w:val="24"/>
        </w:rPr>
        <w:t>号</w:t>
      </w:r>
    </w:p>
    <w:p w14:paraId="67BB6F90" w14:textId="77777777" w:rsidR="00C5750B" w:rsidRPr="008D7D57" w:rsidRDefault="00C5750B" w:rsidP="00C5750B">
      <w:pPr>
        <w:spacing w:line="360" w:lineRule="auto"/>
        <w:ind w:firstLineChars="200" w:firstLine="480"/>
        <w:rPr>
          <w:sz w:val="24"/>
        </w:rPr>
      </w:pPr>
      <w:r w:rsidRPr="008D7D57">
        <w:rPr>
          <w:rFonts w:hint="eastAsia"/>
          <w:sz w:val="24"/>
        </w:rPr>
        <w:t>法定代表人：王开国</w:t>
      </w:r>
    </w:p>
    <w:p w14:paraId="1CB3CA4C" w14:textId="77777777" w:rsidR="00C5750B" w:rsidRPr="008D7D57" w:rsidRDefault="00C5750B" w:rsidP="00C5750B">
      <w:pPr>
        <w:spacing w:line="360" w:lineRule="auto"/>
        <w:ind w:firstLineChars="200" w:firstLine="480"/>
        <w:rPr>
          <w:sz w:val="24"/>
        </w:rPr>
      </w:pPr>
      <w:r w:rsidRPr="008D7D57">
        <w:rPr>
          <w:rFonts w:hint="eastAsia"/>
          <w:sz w:val="24"/>
        </w:rPr>
        <w:t>电话：（</w:t>
      </w:r>
      <w:r w:rsidRPr="008D7D57">
        <w:rPr>
          <w:rFonts w:hint="eastAsia"/>
          <w:sz w:val="24"/>
        </w:rPr>
        <w:t>021</w:t>
      </w:r>
      <w:r w:rsidRPr="008D7D57">
        <w:rPr>
          <w:rFonts w:hint="eastAsia"/>
          <w:sz w:val="24"/>
        </w:rPr>
        <w:t>）</w:t>
      </w:r>
      <w:r w:rsidRPr="008D7D57">
        <w:rPr>
          <w:rFonts w:hint="eastAsia"/>
          <w:sz w:val="24"/>
        </w:rPr>
        <w:t>23219000</w:t>
      </w:r>
    </w:p>
    <w:p w14:paraId="38647710" w14:textId="77777777" w:rsidR="00C5750B" w:rsidRPr="008D7D57" w:rsidRDefault="00C5750B" w:rsidP="00C5750B">
      <w:pPr>
        <w:spacing w:line="360" w:lineRule="auto"/>
        <w:ind w:firstLineChars="200" w:firstLine="480"/>
        <w:rPr>
          <w:sz w:val="24"/>
        </w:rPr>
      </w:pPr>
      <w:r w:rsidRPr="008D7D57">
        <w:rPr>
          <w:rFonts w:hint="eastAsia"/>
          <w:sz w:val="24"/>
        </w:rPr>
        <w:t>传真：（</w:t>
      </w:r>
      <w:r w:rsidRPr="008D7D57">
        <w:rPr>
          <w:rFonts w:hint="eastAsia"/>
          <w:sz w:val="24"/>
        </w:rPr>
        <w:t>021</w:t>
      </w:r>
      <w:r w:rsidRPr="008D7D57">
        <w:rPr>
          <w:rFonts w:hint="eastAsia"/>
          <w:sz w:val="24"/>
        </w:rPr>
        <w:t>）</w:t>
      </w:r>
      <w:r w:rsidRPr="008D7D57">
        <w:rPr>
          <w:rFonts w:hint="eastAsia"/>
          <w:sz w:val="24"/>
        </w:rPr>
        <w:t>23219100</w:t>
      </w:r>
    </w:p>
    <w:p w14:paraId="01387629" w14:textId="77777777" w:rsidR="00C5750B" w:rsidRPr="008D7D57" w:rsidRDefault="00C5750B" w:rsidP="00C5750B">
      <w:pPr>
        <w:spacing w:line="360" w:lineRule="auto"/>
        <w:ind w:firstLineChars="200" w:firstLine="480"/>
        <w:rPr>
          <w:sz w:val="24"/>
        </w:rPr>
      </w:pPr>
      <w:r w:rsidRPr="008D7D57">
        <w:rPr>
          <w:rFonts w:hint="eastAsia"/>
          <w:sz w:val="24"/>
        </w:rPr>
        <w:t>联系人：李笑鸣</w:t>
      </w:r>
    </w:p>
    <w:p w14:paraId="6E19B219" w14:textId="77777777" w:rsidR="00C5750B" w:rsidRPr="008D7D57" w:rsidRDefault="00C5750B" w:rsidP="00C5750B">
      <w:pPr>
        <w:spacing w:line="360" w:lineRule="auto"/>
        <w:ind w:firstLineChars="200" w:firstLine="480"/>
        <w:rPr>
          <w:sz w:val="24"/>
        </w:rPr>
      </w:pPr>
      <w:r w:rsidRPr="008D7D57">
        <w:rPr>
          <w:rFonts w:hint="eastAsia"/>
          <w:sz w:val="24"/>
        </w:rPr>
        <w:t>客户服务电话：</w:t>
      </w:r>
      <w:r w:rsidRPr="008D7D57">
        <w:rPr>
          <w:rFonts w:hint="eastAsia"/>
          <w:sz w:val="24"/>
        </w:rPr>
        <w:t>95553</w:t>
      </w:r>
      <w:r w:rsidRPr="008D7D57">
        <w:rPr>
          <w:rFonts w:hint="eastAsia"/>
          <w:sz w:val="24"/>
        </w:rPr>
        <w:t>或拨打各城市营业网点咨询电话</w:t>
      </w:r>
    </w:p>
    <w:p w14:paraId="6AD2538E" w14:textId="77777777" w:rsidR="00C5750B" w:rsidRPr="008D7D57" w:rsidRDefault="00C5750B" w:rsidP="00C5750B">
      <w:pPr>
        <w:spacing w:line="360" w:lineRule="auto"/>
        <w:ind w:firstLineChars="200" w:firstLine="480"/>
        <w:rPr>
          <w:sz w:val="24"/>
        </w:rPr>
      </w:pPr>
      <w:r w:rsidRPr="008D7D57">
        <w:rPr>
          <w:rFonts w:hint="eastAsia"/>
          <w:sz w:val="24"/>
        </w:rPr>
        <w:t>网址：</w:t>
      </w:r>
      <w:r w:rsidRPr="008D7D57">
        <w:rPr>
          <w:rFonts w:hint="eastAsia"/>
          <w:sz w:val="24"/>
        </w:rPr>
        <w:t>www.htsec.com</w:t>
      </w:r>
    </w:p>
    <w:p w14:paraId="21DC5850" w14:textId="77777777" w:rsidR="00C5750B" w:rsidRPr="008D7D57" w:rsidRDefault="00C5750B" w:rsidP="00C5750B">
      <w:pPr>
        <w:spacing w:line="360" w:lineRule="auto"/>
        <w:ind w:firstLineChars="200" w:firstLine="480"/>
        <w:rPr>
          <w:sz w:val="24"/>
        </w:rPr>
      </w:pPr>
      <w:r w:rsidRPr="008D7D57">
        <w:rPr>
          <w:rFonts w:hint="eastAsia"/>
          <w:sz w:val="24"/>
        </w:rPr>
        <w:t>（</w:t>
      </w:r>
      <w:r w:rsidRPr="008D7D57">
        <w:rPr>
          <w:rFonts w:hint="eastAsia"/>
          <w:sz w:val="24"/>
        </w:rPr>
        <w:t>5</w:t>
      </w:r>
      <w:r w:rsidRPr="008D7D57">
        <w:rPr>
          <w:rFonts w:hint="eastAsia"/>
          <w:sz w:val="24"/>
        </w:rPr>
        <w:t>）</w:t>
      </w:r>
      <w:r w:rsidRPr="008D7D57">
        <w:rPr>
          <w:rFonts w:hint="eastAsia"/>
          <w:sz w:val="24"/>
        </w:rPr>
        <w:t xml:space="preserve"> </w:t>
      </w:r>
      <w:r w:rsidRPr="008D7D57">
        <w:rPr>
          <w:rFonts w:hint="eastAsia"/>
          <w:sz w:val="24"/>
        </w:rPr>
        <w:t>中国银河证券股份有限公司</w:t>
      </w:r>
    </w:p>
    <w:p w14:paraId="1D34B3EE" w14:textId="77777777" w:rsidR="00C5750B" w:rsidRPr="008D7D57" w:rsidRDefault="00C5750B" w:rsidP="00C5750B">
      <w:pPr>
        <w:spacing w:line="360" w:lineRule="auto"/>
        <w:ind w:firstLineChars="200" w:firstLine="480"/>
        <w:rPr>
          <w:sz w:val="24"/>
        </w:rPr>
      </w:pPr>
      <w:r w:rsidRPr="008D7D57">
        <w:rPr>
          <w:rFonts w:hint="eastAsia"/>
          <w:sz w:val="24"/>
        </w:rPr>
        <w:t>住所：北京市西城区金融大街</w:t>
      </w:r>
      <w:r w:rsidRPr="008D7D57">
        <w:rPr>
          <w:rFonts w:hint="eastAsia"/>
          <w:sz w:val="24"/>
        </w:rPr>
        <w:t>35</w:t>
      </w:r>
      <w:r w:rsidRPr="008D7D57">
        <w:rPr>
          <w:rFonts w:hint="eastAsia"/>
          <w:sz w:val="24"/>
        </w:rPr>
        <w:t>号国际企业大厦</w:t>
      </w:r>
      <w:r w:rsidRPr="008D7D57">
        <w:rPr>
          <w:rFonts w:hint="eastAsia"/>
          <w:sz w:val="24"/>
        </w:rPr>
        <w:t>C</w:t>
      </w:r>
      <w:r w:rsidRPr="008D7D57">
        <w:rPr>
          <w:rFonts w:hint="eastAsia"/>
          <w:sz w:val="24"/>
        </w:rPr>
        <w:t>座</w:t>
      </w:r>
    </w:p>
    <w:p w14:paraId="09E77427" w14:textId="77777777" w:rsidR="00C5750B" w:rsidRPr="008D7D57" w:rsidRDefault="00C5750B" w:rsidP="00C5750B">
      <w:pPr>
        <w:spacing w:line="360" w:lineRule="auto"/>
        <w:ind w:firstLineChars="200" w:firstLine="480"/>
        <w:rPr>
          <w:sz w:val="24"/>
        </w:rPr>
      </w:pPr>
      <w:r w:rsidRPr="008D7D57">
        <w:rPr>
          <w:rFonts w:hint="eastAsia"/>
          <w:sz w:val="24"/>
        </w:rPr>
        <w:t>办公地址：北京市西城区金融大街</w:t>
      </w:r>
      <w:r w:rsidRPr="008D7D57">
        <w:rPr>
          <w:rFonts w:hint="eastAsia"/>
          <w:sz w:val="24"/>
        </w:rPr>
        <w:t>35</w:t>
      </w:r>
      <w:r w:rsidRPr="008D7D57">
        <w:rPr>
          <w:rFonts w:hint="eastAsia"/>
          <w:sz w:val="24"/>
        </w:rPr>
        <w:t>号国际企业大厦</w:t>
      </w:r>
      <w:r w:rsidRPr="008D7D57">
        <w:rPr>
          <w:rFonts w:hint="eastAsia"/>
          <w:sz w:val="24"/>
        </w:rPr>
        <w:t>C</w:t>
      </w:r>
      <w:r w:rsidRPr="008D7D57">
        <w:rPr>
          <w:rFonts w:hint="eastAsia"/>
          <w:sz w:val="24"/>
        </w:rPr>
        <w:t>座</w:t>
      </w:r>
    </w:p>
    <w:p w14:paraId="0F5FA29C" w14:textId="77777777" w:rsidR="00C5750B" w:rsidRPr="008D7D57" w:rsidRDefault="00C5750B" w:rsidP="00C5750B">
      <w:pPr>
        <w:spacing w:line="360" w:lineRule="auto"/>
        <w:ind w:firstLineChars="200" w:firstLine="480"/>
        <w:rPr>
          <w:sz w:val="24"/>
        </w:rPr>
      </w:pPr>
      <w:r w:rsidRPr="008D7D57">
        <w:rPr>
          <w:rFonts w:hint="eastAsia"/>
          <w:sz w:val="24"/>
        </w:rPr>
        <w:t>法定代表人：陈有安</w:t>
      </w:r>
    </w:p>
    <w:p w14:paraId="62EDF51D" w14:textId="77777777" w:rsidR="00C5750B" w:rsidRPr="008D7D57" w:rsidRDefault="00C5750B" w:rsidP="00C5750B">
      <w:pPr>
        <w:spacing w:line="360" w:lineRule="auto"/>
        <w:ind w:firstLineChars="200" w:firstLine="480"/>
        <w:rPr>
          <w:sz w:val="24"/>
        </w:rPr>
      </w:pPr>
      <w:r w:rsidRPr="008D7D57">
        <w:rPr>
          <w:rFonts w:hint="eastAsia"/>
          <w:sz w:val="24"/>
        </w:rPr>
        <w:t>电话：（</w:t>
      </w:r>
      <w:r w:rsidRPr="008D7D57">
        <w:rPr>
          <w:rFonts w:hint="eastAsia"/>
          <w:sz w:val="24"/>
        </w:rPr>
        <w:t>010</w:t>
      </w:r>
      <w:r w:rsidRPr="008D7D57">
        <w:rPr>
          <w:rFonts w:hint="eastAsia"/>
          <w:sz w:val="24"/>
        </w:rPr>
        <w:t>）</w:t>
      </w:r>
      <w:r w:rsidRPr="008D7D57">
        <w:rPr>
          <w:rFonts w:hint="eastAsia"/>
          <w:sz w:val="24"/>
        </w:rPr>
        <w:t>66568292</w:t>
      </w:r>
    </w:p>
    <w:p w14:paraId="5DE14D73" w14:textId="77777777" w:rsidR="00C5750B" w:rsidRPr="008D7D57" w:rsidRDefault="00C5750B" w:rsidP="00C5750B">
      <w:pPr>
        <w:spacing w:line="360" w:lineRule="auto"/>
        <w:ind w:firstLineChars="200" w:firstLine="480"/>
        <w:rPr>
          <w:sz w:val="24"/>
        </w:rPr>
      </w:pPr>
      <w:r w:rsidRPr="008D7D57">
        <w:rPr>
          <w:rFonts w:hint="eastAsia"/>
          <w:sz w:val="24"/>
        </w:rPr>
        <w:t>联系人：邓颜</w:t>
      </w:r>
    </w:p>
    <w:p w14:paraId="27650E8B" w14:textId="77777777" w:rsidR="00C5750B" w:rsidRPr="008D7D57" w:rsidRDefault="00C5750B" w:rsidP="00C5750B">
      <w:pPr>
        <w:spacing w:line="360" w:lineRule="auto"/>
        <w:ind w:firstLineChars="200" w:firstLine="480"/>
        <w:rPr>
          <w:sz w:val="24"/>
        </w:rPr>
      </w:pPr>
      <w:r w:rsidRPr="008D7D57">
        <w:rPr>
          <w:rFonts w:hint="eastAsia"/>
          <w:sz w:val="24"/>
        </w:rPr>
        <w:t>客户服务电话：</w:t>
      </w:r>
      <w:r w:rsidRPr="008D7D57">
        <w:rPr>
          <w:rFonts w:hint="eastAsia"/>
          <w:sz w:val="24"/>
        </w:rPr>
        <w:t>400-888-8888</w:t>
      </w:r>
    </w:p>
    <w:p w14:paraId="6AEBB533" w14:textId="77777777" w:rsidR="00C5750B" w:rsidRPr="008D7D57" w:rsidRDefault="00C5750B" w:rsidP="00C5750B">
      <w:pPr>
        <w:spacing w:line="360" w:lineRule="auto"/>
        <w:ind w:firstLineChars="200" w:firstLine="480"/>
        <w:rPr>
          <w:sz w:val="24"/>
        </w:rPr>
      </w:pPr>
      <w:r w:rsidRPr="008D7D57">
        <w:rPr>
          <w:rFonts w:hint="eastAsia"/>
          <w:sz w:val="24"/>
        </w:rPr>
        <w:t>网址：</w:t>
      </w:r>
      <w:r w:rsidRPr="008D7D57">
        <w:rPr>
          <w:rFonts w:hint="eastAsia"/>
          <w:sz w:val="24"/>
        </w:rPr>
        <w:t xml:space="preserve">www.chinastock.com.cn </w:t>
      </w:r>
    </w:p>
    <w:p w14:paraId="6F934309" w14:textId="77777777" w:rsidR="00C5750B" w:rsidRPr="008D7D57" w:rsidRDefault="00C5750B" w:rsidP="00C5750B">
      <w:pPr>
        <w:spacing w:line="360" w:lineRule="auto"/>
        <w:ind w:firstLineChars="200" w:firstLine="480"/>
        <w:rPr>
          <w:sz w:val="24"/>
        </w:rPr>
      </w:pPr>
      <w:r w:rsidRPr="008D7D57">
        <w:rPr>
          <w:rFonts w:hint="eastAsia"/>
          <w:sz w:val="24"/>
        </w:rPr>
        <w:t>（</w:t>
      </w:r>
      <w:r w:rsidRPr="008D7D57">
        <w:rPr>
          <w:rFonts w:hint="eastAsia"/>
          <w:sz w:val="24"/>
        </w:rPr>
        <w:t>6</w:t>
      </w:r>
      <w:r w:rsidRPr="008D7D57">
        <w:rPr>
          <w:rFonts w:hint="eastAsia"/>
          <w:sz w:val="24"/>
        </w:rPr>
        <w:t>）</w:t>
      </w:r>
      <w:r w:rsidRPr="008D7D57">
        <w:rPr>
          <w:rFonts w:hint="eastAsia"/>
          <w:sz w:val="24"/>
        </w:rPr>
        <w:t xml:space="preserve"> </w:t>
      </w:r>
      <w:r w:rsidRPr="008D7D57">
        <w:rPr>
          <w:rFonts w:hint="eastAsia"/>
          <w:sz w:val="24"/>
        </w:rPr>
        <w:t>招商证券股份有限公司</w:t>
      </w:r>
    </w:p>
    <w:p w14:paraId="7F7FA47B" w14:textId="77777777" w:rsidR="00C5750B" w:rsidRPr="008D7D57" w:rsidRDefault="00C5750B" w:rsidP="00C5750B">
      <w:pPr>
        <w:spacing w:line="360" w:lineRule="auto"/>
        <w:ind w:firstLineChars="200" w:firstLine="480"/>
        <w:rPr>
          <w:sz w:val="24"/>
        </w:rPr>
      </w:pPr>
      <w:r w:rsidRPr="008D7D57">
        <w:rPr>
          <w:rFonts w:hint="eastAsia"/>
          <w:sz w:val="24"/>
        </w:rPr>
        <w:t>住所：深圳市福田区益田路江苏大厦</w:t>
      </w:r>
      <w:r w:rsidRPr="008D7D57">
        <w:rPr>
          <w:rFonts w:hint="eastAsia"/>
          <w:sz w:val="24"/>
        </w:rPr>
        <w:t>A</w:t>
      </w:r>
      <w:r w:rsidRPr="008D7D57">
        <w:rPr>
          <w:rFonts w:hint="eastAsia"/>
          <w:sz w:val="24"/>
        </w:rPr>
        <w:t>座</w:t>
      </w:r>
      <w:r w:rsidRPr="008D7D57">
        <w:rPr>
          <w:rFonts w:hint="eastAsia"/>
          <w:sz w:val="24"/>
        </w:rPr>
        <w:t>38</w:t>
      </w:r>
      <w:r w:rsidRPr="008D7D57">
        <w:rPr>
          <w:rFonts w:hint="eastAsia"/>
          <w:sz w:val="24"/>
        </w:rPr>
        <w:t>－</w:t>
      </w:r>
      <w:r w:rsidRPr="008D7D57">
        <w:rPr>
          <w:rFonts w:hint="eastAsia"/>
          <w:sz w:val="24"/>
        </w:rPr>
        <w:t>45</w:t>
      </w:r>
      <w:r w:rsidRPr="008D7D57">
        <w:rPr>
          <w:rFonts w:hint="eastAsia"/>
          <w:sz w:val="24"/>
        </w:rPr>
        <w:t>层</w:t>
      </w:r>
    </w:p>
    <w:p w14:paraId="5ED5F865" w14:textId="77777777" w:rsidR="00C5750B" w:rsidRPr="008D7D57" w:rsidRDefault="00C5750B" w:rsidP="00C5750B">
      <w:pPr>
        <w:spacing w:line="360" w:lineRule="auto"/>
        <w:ind w:firstLineChars="200" w:firstLine="480"/>
        <w:rPr>
          <w:sz w:val="24"/>
        </w:rPr>
      </w:pPr>
      <w:r w:rsidRPr="008D7D57">
        <w:rPr>
          <w:rFonts w:hint="eastAsia"/>
          <w:sz w:val="24"/>
        </w:rPr>
        <w:t>办公地址：深圳市福田区益田路江苏大厦</w:t>
      </w:r>
      <w:r w:rsidRPr="008D7D57">
        <w:rPr>
          <w:rFonts w:hint="eastAsia"/>
          <w:sz w:val="24"/>
        </w:rPr>
        <w:t>A</w:t>
      </w:r>
      <w:r w:rsidRPr="008D7D57">
        <w:rPr>
          <w:rFonts w:hint="eastAsia"/>
          <w:sz w:val="24"/>
        </w:rPr>
        <w:t>座</w:t>
      </w:r>
      <w:r w:rsidRPr="008D7D57">
        <w:rPr>
          <w:rFonts w:hint="eastAsia"/>
          <w:sz w:val="24"/>
        </w:rPr>
        <w:t>38-45</w:t>
      </w:r>
      <w:r w:rsidRPr="008D7D57">
        <w:rPr>
          <w:rFonts w:hint="eastAsia"/>
          <w:sz w:val="24"/>
        </w:rPr>
        <w:t>层</w:t>
      </w:r>
    </w:p>
    <w:p w14:paraId="51A72251" w14:textId="77777777" w:rsidR="00C5750B" w:rsidRPr="008D7D57" w:rsidRDefault="00C5750B" w:rsidP="00C5750B">
      <w:pPr>
        <w:spacing w:line="360" w:lineRule="auto"/>
        <w:ind w:firstLineChars="200" w:firstLine="480"/>
        <w:rPr>
          <w:sz w:val="24"/>
        </w:rPr>
      </w:pPr>
      <w:r w:rsidRPr="008D7D57">
        <w:rPr>
          <w:rFonts w:hint="eastAsia"/>
          <w:sz w:val="24"/>
        </w:rPr>
        <w:t>法定代表人：宫少林</w:t>
      </w:r>
    </w:p>
    <w:p w14:paraId="13DC5F49" w14:textId="77777777" w:rsidR="00C5750B" w:rsidRPr="008D7D57" w:rsidRDefault="00C5750B" w:rsidP="00C5750B">
      <w:pPr>
        <w:spacing w:line="360" w:lineRule="auto"/>
        <w:ind w:firstLineChars="200" w:firstLine="480"/>
        <w:rPr>
          <w:sz w:val="24"/>
        </w:rPr>
      </w:pPr>
      <w:r w:rsidRPr="008D7D57">
        <w:rPr>
          <w:rFonts w:hint="eastAsia"/>
          <w:sz w:val="24"/>
        </w:rPr>
        <w:t>电话：（</w:t>
      </w:r>
      <w:r w:rsidRPr="008D7D57">
        <w:rPr>
          <w:rFonts w:hint="eastAsia"/>
          <w:sz w:val="24"/>
        </w:rPr>
        <w:t>0755</w:t>
      </w:r>
      <w:r w:rsidRPr="008D7D57">
        <w:rPr>
          <w:rFonts w:hint="eastAsia"/>
          <w:sz w:val="24"/>
        </w:rPr>
        <w:t>）</w:t>
      </w:r>
      <w:r w:rsidRPr="008D7D57">
        <w:rPr>
          <w:rFonts w:hint="eastAsia"/>
          <w:sz w:val="24"/>
        </w:rPr>
        <w:t>82943666</w:t>
      </w:r>
    </w:p>
    <w:p w14:paraId="08402F8A" w14:textId="77777777" w:rsidR="00C5750B" w:rsidRPr="008D7D57" w:rsidRDefault="00C5750B" w:rsidP="00C5750B">
      <w:pPr>
        <w:spacing w:line="360" w:lineRule="auto"/>
        <w:ind w:firstLineChars="200" w:firstLine="480"/>
        <w:rPr>
          <w:sz w:val="24"/>
        </w:rPr>
      </w:pPr>
      <w:r w:rsidRPr="008D7D57">
        <w:rPr>
          <w:rFonts w:hint="eastAsia"/>
          <w:sz w:val="24"/>
        </w:rPr>
        <w:t>传真：（</w:t>
      </w:r>
      <w:r w:rsidRPr="008D7D57">
        <w:rPr>
          <w:rFonts w:hint="eastAsia"/>
          <w:sz w:val="24"/>
        </w:rPr>
        <w:t>0755</w:t>
      </w:r>
      <w:r w:rsidRPr="008D7D57">
        <w:rPr>
          <w:rFonts w:hint="eastAsia"/>
          <w:sz w:val="24"/>
        </w:rPr>
        <w:t>）</w:t>
      </w:r>
      <w:r w:rsidRPr="008D7D57">
        <w:rPr>
          <w:rFonts w:hint="eastAsia"/>
          <w:sz w:val="24"/>
        </w:rPr>
        <w:t>82943636</w:t>
      </w:r>
    </w:p>
    <w:p w14:paraId="216C8791" w14:textId="77777777" w:rsidR="00C5750B" w:rsidRPr="008D7D57" w:rsidRDefault="00C5750B" w:rsidP="00C5750B">
      <w:pPr>
        <w:spacing w:line="360" w:lineRule="auto"/>
        <w:ind w:firstLineChars="200" w:firstLine="480"/>
        <w:rPr>
          <w:sz w:val="24"/>
        </w:rPr>
      </w:pPr>
      <w:r w:rsidRPr="008D7D57">
        <w:rPr>
          <w:rFonts w:hint="eastAsia"/>
          <w:sz w:val="24"/>
        </w:rPr>
        <w:t>联系人：黄健</w:t>
      </w:r>
    </w:p>
    <w:p w14:paraId="5B99959F" w14:textId="77777777" w:rsidR="00C5750B" w:rsidRPr="008D7D57" w:rsidRDefault="00C5750B" w:rsidP="00C5750B">
      <w:pPr>
        <w:spacing w:line="360" w:lineRule="auto"/>
        <w:ind w:firstLineChars="200" w:firstLine="480"/>
        <w:rPr>
          <w:sz w:val="24"/>
        </w:rPr>
      </w:pPr>
      <w:r w:rsidRPr="008D7D57">
        <w:rPr>
          <w:rFonts w:hint="eastAsia"/>
          <w:sz w:val="24"/>
        </w:rPr>
        <w:t>客户服务电话：</w:t>
      </w:r>
      <w:r w:rsidRPr="008D7D57">
        <w:rPr>
          <w:rFonts w:hint="eastAsia"/>
          <w:sz w:val="24"/>
        </w:rPr>
        <w:t>400-8888-111</w:t>
      </w:r>
      <w:r w:rsidRPr="008D7D57">
        <w:rPr>
          <w:rFonts w:hint="eastAsia"/>
          <w:sz w:val="24"/>
        </w:rPr>
        <w:t>，</w:t>
      </w:r>
      <w:r w:rsidRPr="008D7D57">
        <w:rPr>
          <w:rFonts w:hint="eastAsia"/>
          <w:sz w:val="24"/>
        </w:rPr>
        <w:t>95565</w:t>
      </w:r>
    </w:p>
    <w:p w14:paraId="2E0DEDB3" w14:textId="77777777" w:rsidR="00C5750B" w:rsidRPr="008D7D57" w:rsidRDefault="00C5750B" w:rsidP="00C5750B">
      <w:pPr>
        <w:spacing w:line="360" w:lineRule="auto"/>
        <w:ind w:firstLineChars="200" w:firstLine="480"/>
        <w:rPr>
          <w:sz w:val="24"/>
        </w:rPr>
      </w:pPr>
      <w:r w:rsidRPr="008D7D57">
        <w:rPr>
          <w:rFonts w:hint="eastAsia"/>
          <w:sz w:val="24"/>
        </w:rPr>
        <w:t>网址：</w:t>
      </w:r>
      <w:r w:rsidRPr="008D7D57">
        <w:rPr>
          <w:rFonts w:hint="eastAsia"/>
          <w:sz w:val="24"/>
        </w:rPr>
        <w:t>www.newone.com.cn</w:t>
      </w:r>
    </w:p>
    <w:p w14:paraId="6764A5F2" w14:textId="77777777" w:rsidR="00C5750B" w:rsidRPr="008D7D57" w:rsidRDefault="00C5750B" w:rsidP="00C5750B">
      <w:pPr>
        <w:spacing w:line="360" w:lineRule="auto"/>
        <w:ind w:firstLineChars="200" w:firstLine="480"/>
        <w:rPr>
          <w:sz w:val="24"/>
        </w:rPr>
      </w:pPr>
      <w:r w:rsidRPr="008D7D57">
        <w:rPr>
          <w:rFonts w:hint="eastAsia"/>
          <w:sz w:val="24"/>
        </w:rPr>
        <w:t>（</w:t>
      </w:r>
      <w:r w:rsidRPr="008D7D57">
        <w:rPr>
          <w:rFonts w:hint="eastAsia"/>
          <w:sz w:val="24"/>
        </w:rPr>
        <w:t>7</w:t>
      </w:r>
      <w:r w:rsidRPr="008D7D57">
        <w:rPr>
          <w:rFonts w:hint="eastAsia"/>
          <w:sz w:val="24"/>
        </w:rPr>
        <w:t>）</w:t>
      </w:r>
      <w:r w:rsidRPr="008D7D57">
        <w:rPr>
          <w:rFonts w:hint="eastAsia"/>
          <w:sz w:val="24"/>
        </w:rPr>
        <w:t xml:space="preserve"> </w:t>
      </w:r>
      <w:r w:rsidRPr="008D7D57">
        <w:rPr>
          <w:rFonts w:hint="eastAsia"/>
          <w:sz w:val="24"/>
        </w:rPr>
        <w:t>兴业证券股份有限公司</w:t>
      </w:r>
      <w:r w:rsidRPr="008D7D57">
        <w:rPr>
          <w:rFonts w:hint="eastAsia"/>
          <w:sz w:val="24"/>
        </w:rPr>
        <w:t xml:space="preserve"> </w:t>
      </w:r>
    </w:p>
    <w:p w14:paraId="1B3F1E6A" w14:textId="77777777" w:rsidR="00C5750B" w:rsidRPr="008D7D57" w:rsidRDefault="00C5750B" w:rsidP="00C5750B">
      <w:pPr>
        <w:spacing w:line="360" w:lineRule="auto"/>
        <w:ind w:firstLineChars="200" w:firstLine="480"/>
        <w:rPr>
          <w:sz w:val="24"/>
        </w:rPr>
      </w:pPr>
      <w:r w:rsidRPr="008D7D57">
        <w:rPr>
          <w:rFonts w:hint="eastAsia"/>
          <w:sz w:val="24"/>
        </w:rPr>
        <w:t>住所：福州市湖东路</w:t>
      </w:r>
      <w:r w:rsidRPr="008D7D57">
        <w:rPr>
          <w:rFonts w:hint="eastAsia"/>
          <w:sz w:val="24"/>
        </w:rPr>
        <w:t>268</w:t>
      </w:r>
      <w:r w:rsidRPr="008D7D57">
        <w:rPr>
          <w:rFonts w:hint="eastAsia"/>
          <w:sz w:val="24"/>
        </w:rPr>
        <w:t>号</w:t>
      </w:r>
    </w:p>
    <w:p w14:paraId="5F7E98C1" w14:textId="77777777" w:rsidR="00C5750B" w:rsidRPr="008D7D57" w:rsidRDefault="00C5750B" w:rsidP="00C5750B">
      <w:pPr>
        <w:spacing w:line="360" w:lineRule="auto"/>
        <w:ind w:firstLineChars="200" w:firstLine="480"/>
        <w:rPr>
          <w:sz w:val="24"/>
        </w:rPr>
      </w:pPr>
      <w:r w:rsidRPr="008D7D57">
        <w:rPr>
          <w:rFonts w:hint="eastAsia"/>
          <w:sz w:val="24"/>
        </w:rPr>
        <w:lastRenderedPageBreak/>
        <w:t>办公地址：上海市浦东民生路</w:t>
      </w:r>
      <w:r w:rsidRPr="008D7D57">
        <w:rPr>
          <w:rFonts w:hint="eastAsia"/>
          <w:sz w:val="24"/>
        </w:rPr>
        <w:t>1199</w:t>
      </w:r>
      <w:r w:rsidRPr="008D7D57">
        <w:rPr>
          <w:rFonts w:hint="eastAsia"/>
          <w:sz w:val="24"/>
        </w:rPr>
        <w:t>弄五道口广场</w:t>
      </w:r>
      <w:r w:rsidRPr="008D7D57">
        <w:rPr>
          <w:rFonts w:hint="eastAsia"/>
          <w:sz w:val="24"/>
        </w:rPr>
        <w:t>1</w:t>
      </w:r>
      <w:r w:rsidRPr="008D7D57">
        <w:rPr>
          <w:rFonts w:hint="eastAsia"/>
          <w:sz w:val="24"/>
        </w:rPr>
        <w:t>号楼</w:t>
      </w:r>
      <w:r w:rsidRPr="008D7D57">
        <w:rPr>
          <w:rFonts w:hint="eastAsia"/>
          <w:sz w:val="24"/>
        </w:rPr>
        <w:t>21</w:t>
      </w:r>
      <w:r w:rsidRPr="008D7D57">
        <w:rPr>
          <w:rFonts w:hint="eastAsia"/>
          <w:sz w:val="24"/>
        </w:rPr>
        <w:t>层</w:t>
      </w:r>
    </w:p>
    <w:p w14:paraId="16B7128F" w14:textId="77777777" w:rsidR="00C5750B" w:rsidRPr="008D7D57" w:rsidRDefault="00C5750B" w:rsidP="00C5750B">
      <w:pPr>
        <w:spacing w:line="360" w:lineRule="auto"/>
        <w:ind w:firstLineChars="200" w:firstLine="480"/>
        <w:rPr>
          <w:sz w:val="24"/>
        </w:rPr>
      </w:pPr>
      <w:r w:rsidRPr="008D7D57">
        <w:rPr>
          <w:rFonts w:hint="eastAsia"/>
          <w:sz w:val="24"/>
        </w:rPr>
        <w:t>法定代表人：兰荣</w:t>
      </w:r>
    </w:p>
    <w:p w14:paraId="084FC7C0" w14:textId="77777777" w:rsidR="00C5750B" w:rsidRPr="008D7D57" w:rsidRDefault="00C5750B" w:rsidP="00C5750B">
      <w:pPr>
        <w:spacing w:line="360" w:lineRule="auto"/>
        <w:ind w:firstLineChars="200" w:firstLine="480"/>
        <w:rPr>
          <w:sz w:val="24"/>
        </w:rPr>
      </w:pPr>
      <w:r w:rsidRPr="008D7D57">
        <w:rPr>
          <w:rFonts w:hint="eastAsia"/>
          <w:sz w:val="24"/>
        </w:rPr>
        <w:t>电话：（</w:t>
      </w:r>
      <w:r w:rsidRPr="008D7D57">
        <w:rPr>
          <w:rFonts w:hint="eastAsia"/>
          <w:sz w:val="24"/>
        </w:rPr>
        <w:t>021</w:t>
      </w:r>
      <w:r w:rsidRPr="008D7D57">
        <w:rPr>
          <w:rFonts w:hint="eastAsia"/>
          <w:sz w:val="24"/>
        </w:rPr>
        <w:t>）</w:t>
      </w:r>
      <w:r w:rsidRPr="008D7D57">
        <w:rPr>
          <w:rFonts w:hint="eastAsia"/>
          <w:sz w:val="24"/>
        </w:rPr>
        <w:t>38565785</w:t>
      </w:r>
    </w:p>
    <w:p w14:paraId="77AED562" w14:textId="77777777" w:rsidR="00C5750B" w:rsidRPr="008D7D57" w:rsidRDefault="00C5750B" w:rsidP="00C5750B">
      <w:pPr>
        <w:spacing w:line="360" w:lineRule="auto"/>
        <w:ind w:firstLineChars="200" w:firstLine="480"/>
        <w:rPr>
          <w:sz w:val="24"/>
        </w:rPr>
      </w:pPr>
      <w:r w:rsidRPr="008D7D57">
        <w:rPr>
          <w:rFonts w:hint="eastAsia"/>
          <w:sz w:val="24"/>
        </w:rPr>
        <w:t>传真：（</w:t>
      </w:r>
      <w:r w:rsidRPr="008D7D57">
        <w:rPr>
          <w:rFonts w:hint="eastAsia"/>
          <w:sz w:val="24"/>
        </w:rPr>
        <w:t>021</w:t>
      </w:r>
      <w:r w:rsidRPr="008D7D57">
        <w:rPr>
          <w:rFonts w:hint="eastAsia"/>
          <w:sz w:val="24"/>
        </w:rPr>
        <w:t>）</w:t>
      </w:r>
      <w:r w:rsidRPr="008D7D57">
        <w:rPr>
          <w:rFonts w:hint="eastAsia"/>
          <w:sz w:val="24"/>
        </w:rPr>
        <w:t>38565955</w:t>
      </w:r>
    </w:p>
    <w:p w14:paraId="093CF921" w14:textId="77777777" w:rsidR="00C5750B" w:rsidRPr="008D7D57" w:rsidRDefault="00C5750B" w:rsidP="00C5750B">
      <w:pPr>
        <w:spacing w:line="360" w:lineRule="auto"/>
        <w:ind w:firstLineChars="200" w:firstLine="480"/>
        <w:rPr>
          <w:sz w:val="24"/>
        </w:rPr>
      </w:pPr>
      <w:r w:rsidRPr="008D7D57">
        <w:rPr>
          <w:rFonts w:hint="eastAsia"/>
          <w:sz w:val="24"/>
        </w:rPr>
        <w:t>联系人：谢高得</w:t>
      </w:r>
    </w:p>
    <w:p w14:paraId="032E2974" w14:textId="77777777" w:rsidR="00C5750B" w:rsidRPr="008D7D57" w:rsidRDefault="00C5750B" w:rsidP="00C5750B">
      <w:pPr>
        <w:spacing w:line="360" w:lineRule="auto"/>
        <w:ind w:firstLineChars="200" w:firstLine="480"/>
        <w:rPr>
          <w:sz w:val="24"/>
        </w:rPr>
      </w:pPr>
      <w:r w:rsidRPr="008D7D57">
        <w:rPr>
          <w:rFonts w:hint="eastAsia"/>
          <w:sz w:val="24"/>
        </w:rPr>
        <w:t>客户服务电话：</w:t>
      </w:r>
      <w:r w:rsidRPr="008D7D57">
        <w:rPr>
          <w:rFonts w:hint="eastAsia"/>
          <w:sz w:val="24"/>
        </w:rPr>
        <w:t>400-8888-123</w:t>
      </w:r>
    </w:p>
    <w:p w14:paraId="1CF8FF0A" w14:textId="77777777" w:rsidR="00C5750B" w:rsidRPr="008D7D57" w:rsidRDefault="00C5750B" w:rsidP="00C5750B">
      <w:pPr>
        <w:spacing w:line="360" w:lineRule="auto"/>
        <w:ind w:firstLineChars="200" w:firstLine="480"/>
        <w:rPr>
          <w:sz w:val="24"/>
        </w:rPr>
      </w:pPr>
      <w:r w:rsidRPr="008D7D57">
        <w:rPr>
          <w:rFonts w:hint="eastAsia"/>
          <w:sz w:val="24"/>
        </w:rPr>
        <w:t>网址：</w:t>
      </w:r>
      <w:r w:rsidRPr="008D7D57">
        <w:rPr>
          <w:rFonts w:hint="eastAsia"/>
          <w:sz w:val="24"/>
        </w:rPr>
        <w:t>www.xyzq.com.cn</w:t>
      </w:r>
    </w:p>
    <w:p w14:paraId="175CE972" w14:textId="77777777" w:rsidR="00C5750B" w:rsidRPr="008D7D57" w:rsidRDefault="00C5750B" w:rsidP="00C5750B">
      <w:pPr>
        <w:spacing w:line="360" w:lineRule="auto"/>
        <w:ind w:firstLineChars="200" w:firstLine="480"/>
        <w:rPr>
          <w:sz w:val="24"/>
        </w:rPr>
      </w:pPr>
      <w:r w:rsidRPr="008D7D57">
        <w:rPr>
          <w:rFonts w:hint="eastAsia"/>
          <w:sz w:val="24"/>
        </w:rPr>
        <w:t>（</w:t>
      </w:r>
      <w:r w:rsidRPr="008D7D57">
        <w:rPr>
          <w:rFonts w:hint="eastAsia"/>
          <w:sz w:val="24"/>
        </w:rPr>
        <w:t>8</w:t>
      </w:r>
      <w:r w:rsidRPr="008D7D57">
        <w:rPr>
          <w:rFonts w:hint="eastAsia"/>
          <w:sz w:val="24"/>
        </w:rPr>
        <w:t>）</w:t>
      </w:r>
      <w:r w:rsidRPr="008D7D57">
        <w:rPr>
          <w:rFonts w:hint="eastAsia"/>
          <w:sz w:val="24"/>
        </w:rPr>
        <w:t xml:space="preserve"> </w:t>
      </w:r>
      <w:r w:rsidRPr="008D7D57">
        <w:rPr>
          <w:rFonts w:hint="eastAsia"/>
          <w:sz w:val="24"/>
        </w:rPr>
        <w:t>申万宏源证券有限公司</w:t>
      </w:r>
    </w:p>
    <w:p w14:paraId="6274777B" w14:textId="77777777" w:rsidR="00C5750B" w:rsidRPr="008D7D57" w:rsidRDefault="00C5750B" w:rsidP="00C5750B">
      <w:pPr>
        <w:spacing w:line="360" w:lineRule="auto"/>
        <w:ind w:firstLineChars="200" w:firstLine="480"/>
        <w:rPr>
          <w:sz w:val="24"/>
        </w:rPr>
      </w:pPr>
      <w:r w:rsidRPr="008D7D57">
        <w:rPr>
          <w:rFonts w:hint="eastAsia"/>
          <w:sz w:val="24"/>
        </w:rPr>
        <w:t>住所：上海市徐汇区长乐路</w:t>
      </w:r>
      <w:r w:rsidRPr="008D7D57">
        <w:rPr>
          <w:rFonts w:hint="eastAsia"/>
          <w:sz w:val="24"/>
        </w:rPr>
        <w:t>989</w:t>
      </w:r>
      <w:r w:rsidRPr="008D7D57">
        <w:rPr>
          <w:rFonts w:hint="eastAsia"/>
          <w:sz w:val="24"/>
        </w:rPr>
        <w:t>号世纪商贸广场</w:t>
      </w:r>
      <w:r w:rsidRPr="008D7D57">
        <w:rPr>
          <w:rFonts w:hint="eastAsia"/>
          <w:sz w:val="24"/>
        </w:rPr>
        <w:t>45</w:t>
      </w:r>
      <w:r w:rsidRPr="008D7D57">
        <w:rPr>
          <w:rFonts w:hint="eastAsia"/>
          <w:sz w:val="24"/>
        </w:rPr>
        <w:t>层</w:t>
      </w:r>
      <w:r w:rsidRPr="008D7D57">
        <w:rPr>
          <w:rFonts w:hint="eastAsia"/>
          <w:sz w:val="24"/>
        </w:rPr>
        <w:t xml:space="preserve"> </w:t>
      </w:r>
    </w:p>
    <w:p w14:paraId="291884F3" w14:textId="77777777" w:rsidR="00C5750B" w:rsidRPr="008D7D57" w:rsidRDefault="00C5750B" w:rsidP="00C5750B">
      <w:pPr>
        <w:spacing w:line="360" w:lineRule="auto"/>
        <w:ind w:firstLineChars="200" w:firstLine="480"/>
        <w:rPr>
          <w:sz w:val="24"/>
        </w:rPr>
      </w:pPr>
      <w:r w:rsidRPr="008D7D57">
        <w:rPr>
          <w:rFonts w:hint="eastAsia"/>
          <w:sz w:val="24"/>
        </w:rPr>
        <w:t>办公地址：上海市徐汇区长乐路</w:t>
      </w:r>
      <w:r w:rsidRPr="008D7D57">
        <w:rPr>
          <w:rFonts w:hint="eastAsia"/>
          <w:sz w:val="24"/>
        </w:rPr>
        <w:t>989</w:t>
      </w:r>
      <w:r w:rsidRPr="008D7D57">
        <w:rPr>
          <w:rFonts w:hint="eastAsia"/>
          <w:sz w:val="24"/>
        </w:rPr>
        <w:t>号世纪商贸广场</w:t>
      </w:r>
      <w:r w:rsidRPr="008D7D57">
        <w:rPr>
          <w:rFonts w:hint="eastAsia"/>
          <w:sz w:val="24"/>
        </w:rPr>
        <w:t>45</w:t>
      </w:r>
      <w:r w:rsidRPr="008D7D57">
        <w:rPr>
          <w:rFonts w:hint="eastAsia"/>
          <w:sz w:val="24"/>
        </w:rPr>
        <w:t>层</w:t>
      </w:r>
    </w:p>
    <w:p w14:paraId="2CB11AE5" w14:textId="77777777" w:rsidR="00C5750B" w:rsidRPr="008D7D57" w:rsidRDefault="00C5750B" w:rsidP="00C5750B">
      <w:pPr>
        <w:spacing w:line="360" w:lineRule="auto"/>
        <w:ind w:firstLineChars="200" w:firstLine="480"/>
        <w:rPr>
          <w:sz w:val="24"/>
        </w:rPr>
      </w:pPr>
      <w:r w:rsidRPr="008D7D57">
        <w:rPr>
          <w:rFonts w:hint="eastAsia"/>
          <w:sz w:val="24"/>
        </w:rPr>
        <w:t>法定代表人：李梅</w:t>
      </w:r>
    </w:p>
    <w:p w14:paraId="21619B02" w14:textId="77777777" w:rsidR="00C5750B" w:rsidRPr="008D7D57" w:rsidRDefault="00C5750B" w:rsidP="00C5750B">
      <w:pPr>
        <w:spacing w:line="360" w:lineRule="auto"/>
        <w:ind w:firstLineChars="200" w:firstLine="480"/>
        <w:rPr>
          <w:sz w:val="24"/>
        </w:rPr>
      </w:pPr>
      <w:r w:rsidRPr="008D7D57">
        <w:rPr>
          <w:rFonts w:hint="eastAsia"/>
          <w:sz w:val="24"/>
        </w:rPr>
        <w:t>电话：（</w:t>
      </w:r>
      <w:r w:rsidRPr="008D7D57">
        <w:rPr>
          <w:rFonts w:hint="eastAsia"/>
          <w:sz w:val="24"/>
        </w:rPr>
        <w:t>021</w:t>
      </w:r>
      <w:r w:rsidRPr="008D7D57">
        <w:rPr>
          <w:rFonts w:hint="eastAsia"/>
          <w:sz w:val="24"/>
        </w:rPr>
        <w:t>）</w:t>
      </w:r>
      <w:r w:rsidRPr="008D7D57">
        <w:rPr>
          <w:rFonts w:hint="eastAsia"/>
          <w:sz w:val="24"/>
        </w:rPr>
        <w:t>33389888</w:t>
      </w:r>
    </w:p>
    <w:p w14:paraId="38847112" w14:textId="77777777" w:rsidR="00C5750B" w:rsidRPr="008D7D57" w:rsidRDefault="00C5750B" w:rsidP="00C5750B">
      <w:pPr>
        <w:spacing w:line="360" w:lineRule="auto"/>
        <w:ind w:firstLineChars="200" w:firstLine="480"/>
        <w:rPr>
          <w:sz w:val="24"/>
        </w:rPr>
      </w:pPr>
      <w:r w:rsidRPr="008D7D57">
        <w:rPr>
          <w:rFonts w:hint="eastAsia"/>
          <w:sz w:val="24"/>
        </w:rPr>
        <w:t>联系人：李清怡</w:t>
      </w:r>
    </w:p>
    <w:p w14:paraId="4BF2951B" w14:textId="77777777" w:rsidR="00C5750B" w:rsidRPr="008D7D57" w:rsidRDefault="00C5750B" w:rsidP="00C5750B">
      <w:pPr>
        <w:spacing w:line="360" w:lineRule="auto"/>
        <w:ind w:firstLineChars="200" w:firstLine="480"/>
        <w:rPr>
          <w:sz w:val="24"/>
        </w:rPr>
      </w:pPr>
      <w:r w:rsidRPr="008D7D57">
        <w:rPr>
          <w:rFonts w:hint="eastAsia"/>
          <w:sz w:val="24"/>
        </w:rPr>
        <w:t>客户服务电话：</w:t>
      </w:r>
      <w:r w:rsidRPr="008D7D57">
        <w:rPr>
          <w:rFonts w:hint="eastAsia"/>
          <w:sz w:val="24"/>
        </w:rPr>
        <w:t>95523</w:t>
      </w:r>
      <w:r w:rsidRPr="008D7D57">
        <w:rPr>
          <w:rFonts w:hint="eastAsia"/>
          <w:sz w:val="24"/>
        </w:rPr>
        <w:t>或</w:t>
      </w:r>
      <w:r w:rsidRPr="008D7D57">
        <w:rPr>
          <w:rFonts w:hint="eastAsia"/>
          <w:sz w:val="24"/>
        </w:rPr>
        <w:t>4008895523</w:t>
      </w:r>
    </w:p>
    <w:p w14:paraId="344F1748" w14:textId="77777777" w:rsidR="00C5750B" w:rsidRPr="008D7D57" w:rsidRDefault="00C5750B" w:rsidP="00C5750B">
      <w:pPr>
        <w:spacing w:line="360" w:lineRule="auto"/>
        <w:ind w:firstLineChars="200" w:firstLine="480"/>
        <w:rPr>
          <w:sz w:val="24"/>
        </w:rPr>
      </w:pPr>
      <w:r w:rsidRPr="008D7D57">
        <w:rPr>
          <w:rFonts w:hint="eastAsia"/>
          <w:sz w:val="24"/>
        </w:rPr>
        <w:t>网址：</w:t>
      </w:r>
      <w:r w:rsidRPr="008D7D57">
        <w:rPr>
          <w:rFonts w:hint="eastAsia"/>
          <w:sz w:val="24"/>
        </w:rPr>
        <w:t>www.sywg.com</w:t>
      </w:r>
    </w:p>
    <w:p w14:paraId="593D0344" w14:textId="77777777" w:rsidR="00C5750B" w:rsidRPr="008D7D57" w:rsidRDefault="00C5750B" w:rsidP="00C5750B">
      <w:pPr>
        <w:spacing w:line="360" w:lineRule="auto"/>
        <w:ind w:firstLineChars="200" w:firstLine="480"/>
        <w:rPr>
          <w:sz w:val="24"/>
        </w:rPr>
      </w:pPr>
      <w:r w:rsidRPr="008D7D57">
        <w:rPr>
          <w:rFonts w:hint="eastAsia"/>
          <w:sz w:val="24"/>
        </w:rPr>
        <w:t>（</w:t>
      </w:r>
      <w:r w:rsidRPr="008D7D57">
        <w:rPr>
          <w:rFonts w:hint="eastAsia"/>
          <w:sz w:val="24"/>
        </w:rPr>
        <w:t>9</w:t>
      </w:r>
      <w:r w:rsidRPr="008D7D57">
        <w:rPr>
          <w:rFonts w:hint="eastAsia"/>
          <w:sz w:val="24"/>
        </w:rPr>
        <w:t>）</w:t>
      </w:r>
      <w:r w:rsidRPr="008D7D57">
        <w:rPr>
          <w:rFonts w:hint="eastAsia"/>
          <w:sz w:val="24"/>
        </w:rPr>
        <w:t xml:space="preserve"> </w:t>
      </w:r>
      <w:r w:rsidRPr="008D7D57">
        <w:rPr>
          <w:rFonts w:hint="eastAsia"/>
          <w:sz w:val="24"/>
        </w:rPr>
        <w:t>国都证券股份有限公司</w:t>
      </w:r>
    </w:p>
    <w:p w14:paraId="14B326F1" w14:textId="77777777" w:rsidR="00C5750B" w:rsidRPr="008D7D57" w:rsidRDefault="00C5750B" w:rsidP="00C5750B">
      <w:pPr>
        <w:spacing w:line="360" w:lineRule="auto"/>
        <w:ind w:firstLineChars="200" w:firstLine="480"/>
        <w:rPr>
          <w:sz w:val="24"/>
        </w:rPr>
      </w:pPr>
      <w:r w:rsidRPr="008D7D57">
        <w:rPr>
          <w:rFonts w:hint="eastAsia"/>
          <w:sz w:val="24"/>
        </w:rPr>
        <w:t>住所：北京市东城区东直门南大街</w:t>
      </w:r>
      <w:r w:rsidRPr="008D7D57">
        <w:rPr>
          <w:rFonts w:hint="eastAsia"/>
          <w:sz w:val="24"/>
        </w:rPr>
        <w:t>3</w:t>
      </w:r>
      <w:r w:rsidRPr="008D7D57">
        <w:rPr>
          <w:rFonts w:hint="eastAsia"/>
          <w:sz w:val="24"/>
        </w:rPr>
        <w:t>号国华投资大厦</w:t>
      </w:r>
      <w:r w:rsidRPr="008D7D57">
        <w:rPr>
          <w:rFonts w:hint="eastAsia"/>
          <w:sz w:val="24"/>
        </w:rPr>
        <w:t>9</w:t>
      </w:r>
      <w:r w:rsidRPr="008D7D57">
        <w:rPr>
          <w:rFonts w:hint="eastAsia"/>
          <w:sz w:val="24"/>
        </w:rPr>
        <w:t>层</w:t>
      </w:r>
      <w:r w:rsidRPr="008D7D57">
        <w:rPr>
          <w:rFonts w:hint="eastAsia"/>
          <w:sz w:val="24"/>
        </w:rPr>
        <w:t>10</w:t>
      </w:r>
      <w:r w:rsidRPr="008D7D57">
        <w:rPr>
          <w:rFonts w:hint="eastAsia"/>
          <w:sz w:val="24"/>
        </w:rPr>
        <w:t>层</w:t>
      </w:r>
    </w:p>
    <w:p w14:paraId="37E999DB" w14:textId="77777777" w:rsidR="00C5750B" w:rsidRPr="008D7D57" w:rsidRDefault="00C5750B" w:rsidP="00C5750B">
      <w:pPr>
        <w:spacing w:line="360" w:lineRule="auto"/>
        <w:ind w:firstLineChars="200" w:firstLine="480"/>
        <w:rPr>
          <w:sz w:val="24"/>
        </w:rPr>
      </w:pPr>
      <w:r w:rsidRPr="008D7D57">
        <w:rPr>
          <w:rFonts w:hint="eastAsia"/>
          <w:sz w:val="24"/>
        </w:rPr>
        <w:t>办公地址：北京市东城区东直门南大街</w:t>
      </w:r>
      <w:r w:rsidRPr="008D7D57">
        <w:rPr>
          <w:rFonts w:hint="eastAsia"/>
          <w:sz w:val="24"/>
        </w:rPr>
        <w:t>3</w:t>
      </w:r>
      <w:r w:rsidRPr="008D7D57">
        <w:rPr>
          <w:rFonts w:hint="eastAsia"/>
          <w:sz w:val="24"/>
        </w:rPr>
        <w:t>号国华投资大厦</w:t>
      </w:r>
      <w:r w:rsidRPr="008D7D57">
        <w:rPr>
          <w:rFonts w:hint="eastAsia"/>
          <w:sz w:val="24"/>
        </w:rPr>
        <w:t>9</w:t>
      </w:r>
      <w:r w:rsidRPr="008D7D57">
        <w:rPr>
          <w:rFonts w:hint="eastAsia"/>
          <w:sz w:val="24"/>
        </w:rPr>
        <w:t>层</w:t>
      </w:r>
      <w:r w:rsidRPr="008D7D57">
        <w:rPr>
          <w:rFonts w:hint="eastAsia"/>
          <w:sz w:val="24"/>
        </w:rPr>
        <w:t>10</w:t>
      </w:r>
      <w:r w:rsidRPr="008D7D57">
        <w:rPr>
          <w:rFonts w:hint="eastAsia"/>
          <w:sz w:val="24"/>
        </w:rPr>
        <w:t>层</w:t>
      </w:r>
    </w:p>
    <w:p w14:paraId="17C04A24" w14:textId="77777777" w:rsidR="00C5750B" w:rsidRPr="008D7D57" w:rsidRDefault="00C5750B" w:rsidP="00C5750B">
      <w:pPr>
        <w:spacing w:line="360" w:lineRule="auto"/>
        <w:ind w:firstLineChars="200" w:firstLine="480"/>
        <w:rPr>
          <w:sz w:val="24"/>
        </w:rPr>
      </w:pPr>
      <w:r w:rsidRPr="008D7D57">
        <w:rPr>
          <w:rFonts w:hint="eastAsia"/>
          <w:sz w:val="24"/>
        </w:rPr>
        <w:t>法定代表人：常喆</w:t>
      </w:r>
    </w:p>
    <w:p w14:paraId="46E909EA" w14:textId="77777777" w:rsidR="00C5750B" w:rsidRPr="008D7D57" w:rsidRDefault="00C5750B" w:rsidP="00C5750B">
      <w:pPr>
        <w:spacing w:line="360" w:lineRule="auto"/>
        <w:ind w:firstLineChars="200" w:firstLine="480"/>
        <w:rPr>
          <w:sz w:val="24"/>
        </w:rPr>
      </w:pPr>
      <w:r w:rsidRPr="008D7D57">
        <w:rPr>
          <w:rFonts w:hint="eastAsia"/>
          <w:sz w:val="24"/>
        </w:rPr>
        <w:t>客户服务电话：</w:t>
      </w:r>
      <w:r w:rsidRPr="008D7D57">
        <w:rPr>
          <w:rFonts w:hint="eastAsia"/>
          <w:sz w:val="24"/>
        </w:rPr>
        <w:t>400-818-8118</w:t>
      </w:r>
    </w:p>
    <w:p w14:paraId="752E30BE" w14:textId="77777777" w:rsidR="00C5750B" w:rsidRPr="008D7D57" w:rsidRDefault="00C5750B" w:rsidP="00C5750B">
      <w:pPr>
        <w:spacing w:line="360" w:lineRule="auto"/>
        <w:ind w:firstLineChars="200" w:firstLine="480"/>
        <w:rPr>
          <w:sz w:val="24"/>
        </w:rPr>
      </w:pPr>
      <w:r w:rsidRPr="008D7D57">
        <w:rPr>
          <w:rFonts w:hint="eastAsia"/>
          <w:sz w:val="24"/>
        </w:rPr>
        <w:t>网址：</w:t>
      </w:r>
      <w:r w:rsidRPr="008D7D57">
        <w:rPr>
          <w:rFonts w:hint="eastAsia"/>
          <w:sz w:val="24"/>
        </w:rPr>
        <w:t>www.guodu.com</w:t>
      </w:r>
    </w:p>
    <w:p w14:paraId="0810E7F5" w14:textId="77777777" w:rsidR="00C5750B" w:rsidRPr="008D7D57" w:rsidRDefault="00C5750B" w:rsidP="00C5750B">
      <w:pPr>
        <w:spacing w:line="360" w:lineRule="auto"/>
        <w:ind w:firstLineChars="200" w:firstLine="480"/>
        <w:rPr>
          <w:sz w:val="24"/>
        </w:rPr>
      </w:pPr>
      <w:r w:rsidRPr="008D7D57">
        <w:rPr>
          <w:rFonts w:hint="eastAsia"/>
          <w:sz w:val="24"/>
        </w:rPr>
        <w:t>（</w:t>
      </w:r>
      <w:r w:rsidRPr="008D7D57">
        <w:rPr>
          <w:rFonts w:hint="eastAsia"/>
          <w:sz w:val="24"/>
        </w:rPr>
        <w:t>10</w:t>
      </w:r>
      <w:r w:rsidRPr="008D7D57">
        <w:rPr>
          <w:rFonts w:hint="eastAsia"/>
          <w:sz w:val="24"/>
        </w:rPr>
        <w:t>）</w:t>
      </w:r>
      <w:r w:rsidRPr="008D7D57">
        <w:rPr>
          <w:rFonts w:hint="eastAsia"/>
          <w:sz w:val="24"/>
        </w:rPr>
        <w:t xml:space="preserve"> </w:t>
      </w:r>
      <w:r w:rsidRPr="008D7D57">
        <w:rPr>
          <w:rFonts w:hint="eastAsia"/>
          <w:sz w:val="24"/>
        </w:rPr>
        <w:t>华泰证券股份有限公司</w:t>
      </w:r>
    </w:p>
    <w:p w14:paraId="0B9F4A18" w14:textId="77777777" w:rsidR="00C5750B" w:rsidRPr="008D7D57" w:rsidRDefault="00C5750B" w:rsidP="00C5750B">
      <w:pPr>
        <w:spacing w:line="360" w:lineRule="auto"/>
        <w:ind w:firstLineChars="200" w:firstLine="480"/>
        <w:rPr>
          <w:sz w:val="24"/>
        </w:rPr>
      </w:pPr>
      <w:r w:rsidRPr="008D7D57">
        <w:rPr>
          <w:rFonts w:hint="eastAsia"/>
          <w:sz w:val="24"/>
        </w:rPr>
        <w:t>住所：江苏省南京市中山东路</w:t>
      </w:r>
      <w:r w:rsidRPr="008D7D57">
        <w:rPr>
          <w:rFonts w:hint="eastAsia"/>
          <w:sz w:val="24"/>
        </w:rPr>
        <w:t>90</w:t>
      </w:r>
      <w:r w:rsidRPr="008D7D57">
        <w:rPr>
          <w:rFonts w:hint="eastAsia"/>
          <w:sz w:val="24"/>
        </w:rPr>
        <w:t>号华泰证券大厦</w:t>
      </w:r>
    </w:p>
    <w:p w14:paraId="78EA3503" w14:textId="77777777" w:rsidR="00C5750B" w:rsidRPr="008D7D57" w:rsidRDefault="00C5750B" w:rsidP="00C5750B">
      <w:pPr>
        <w:spacing w:line="360" w:lineRule="auto"/>
        <w:ind w:firstLineChars="200" w:firstLine="480"/>
        <w:rPr>
          <w:sz w:val="24"/>
        </w:rPr>
      </w:pPr>
      <w:r w:rsidRPr="008D7D57">
        <w:rPr>
          <w:rFonts w:hint="eastAsia"/>
          <w:sz w:val="24"/>
        </w:rPr>
        <w:t>办公地址：江苏省南京市中山东路</w:t>
      </w:r>
      <w:r w:rsidRPr="008D7D57">
        <w:rPr>
          <w:rFonts w:hint="eastAsia"/>
          <w:sz w:val="24"/>
        </w:rPr>
        <w:t>90</w:t>
      </w:r>
      <w:r w:rsidRPr="008D7D57">
        <w:rPr>
          <w:rFonts w:hint="eastAsia"/>
          <w:sz w:val="24"/>
        </w:rPr>
        <w:t>号华泰证券大厦</w:t>
      </w:r>
    </w:p>
    <w:p w14:paraId="4C009A11" w14:textId="77777777" w:rsidR="00C5750B" w:rsidRPr="008D7D57" w:rsidRDefault="00C5750B" w:rsidP="00C5750B">
      <w:pPr>
        <w:spacing w:line="360" w:lineRule="auto"/>
        <w:ind w:firstLineChars="200" w:firstLine="480"/>
        <w:rPr>
          <w:sz w:val="24"/>
        </w:rPr>
      </w:pPr>
      <w:r w:rsidRPr="008D7D57">
        <w:rPr>
          <w:rFonts w:hint="eastAsia"/>
          <w:sz w:val="24"/>
        </w:rPr>
        <w:t>法定代表人：吴万善</w:t>
      </w:r>
    </w:p>
    <w:p w14:paraId="4E236042" w14:textId="77777777" w:rsidR="00C5750B" w:rsidRPr="008D7D57" w:rsidRDefault="00C5750B" w:rsidP="00C5750B">
      <w:pPr>
        <w:spacing w:line="360" w:lineRule="auto"/>
        <w:ind w:firstLineChars="200" w:firstLine="480"/>
        <w:rPr>
          <w:sz w:val="24"/>
        </w:rPr>
      </w:pPr>
      <w:r w:rsidRPr="008D7D57">
        <w:rPr>
          <w:rFonts w:hint="eastAsia"/>
          <w:sz w:val="24"/>
        </w:rPr>
        <w:t>电话：（</w:t>
      </w:r>
      <w:r w:rsidRPr="008D7D57">
        <w:rPr>
          <w:rFonts w:hint="eastAsia"/>
          <w:sz w:val="24"/>
        </w:rPr>
        <w:t>025</w:t>
      </w:r>
      <w:r w:rsidRPr="008D7D57">
        <w:rPr>
          <w:rFonts w:hint="eastAsia"/>
          <w:sz w:val="24"/>
        </w:rPr>
        <w:t>）</w:t>
      </w:r>
      <w:r w:rsidRPr="008D7D57">
        <w:rPr>
          <w:rFonts w:hint="eastAsia"/>
          <w:sz w:val="24"/>
        </w:rPr>
        <w:t>83290979</w:t>
      </w:r>
    </w:p>
    <w:p w14:paraId="3E3094E6" w14:textId="77777777" w:rsidR="00C5750B" w:rsidRPr="008D7D57" w:rsidRDefault="00C5750B" w:rsidP="00C5750B">
      <w:pPr>
        <w:spacing w:line="360" w:lineRule="auto"/>
        <w:ind w:firstLineChars="200" w:firstLine="480"/>
        <w:rPr>
          <w:sz w:val="24"/>
        </w:rPr>
      </w:pPr>
      <w:r w:rsidRPr="008D7D57">
        <w:rPr>
          <w:rFonts w:hint="eastAsia"/>
          <w:sz w:val="24"/>
        </w:rPr>
        <w:t>传真：（</w:t>
      </w:r>
      <w:r w:rsidRPr="008D7D57">
        <w:rPr>
          <w:rFonts w:hint="eastAsia"/>
          <w:sz w:val="24"/>
        </w:rPr>
        <w:t>025</w:t>
      </w:r>
      <w:r w:rsidRPr="008D7D57">
        <w:rPr>
          <w:rFonts w:hint="eastAsia"/>
          <w:sz w:val="24"/>
        </w:rPr>
        <w:t>）</w:t>
      </w:r>
      <w:r w:rsidRPr="008D7D57">
        <w:rPr>
          <w:rFonts w:hint="eastAsia"/>
          <w:sz w:val="24"/>
        </w:rPr>
        <w:t>51863323</w:t>
      </w:r>
    </w:p>
    <w:p w14:paraId="68CD1BFC" w14:textId="77777777" w:rsidR="00C5750B" w:rsidRPr="008D7D57" w:rsidRDefault="00C5750B" w:rsidP="00C5750B">
      <w:pPr>
        <w:spacing w:line="360" w:lineRule="auto"/>
        <w:ind w:firstLineChars="200" w:firstLine="480"/>
        <w:rPr>
          <w:sz w:val="24"/>
        </w:rPr>
      </w:pPr>
      <w:r w:rsidRPr="008D7D57">
        <w:rPr>
          <w:rFonts w:hint="eastAsia"/>
          <w:sz w:val="24"/>
        </w:rPr>
        <w:t>联系人：万鸣</w:t>
      </w:r>
    </w:p>
    <w:p w14:paraId="1FB789FC" w14:textId="77777777" w:rsidR="00C5750B" w:rsidRPr="008D7D57" w:rsidRDefault="00C5750B" w:rsidP="00C5750B">
      <w:pPr>
        <w:spacing w:line="360" w:lineRule="auto"/>
        <w:ind w:firstLineChars="200" w:firstLine="480"/>
        <w:rPr>
          <w:sz w:val="24"/>
        </w:rPr>
      </w:pPr>
      <w:r w:rsidRPr="008D7D57">
        <w:rPr>
          <w:rFonts w:hint="eastAsia"/>
          <w:sz w:val="24"/>
        </w:rPr>
        <w:t>客户服务电话：</w:t>
      </w:r>
      <w:r w:rsidRPr="008D7D57">
        <w:rPr>
          <w:rFonts w:hint="eastAsia"/>
          <w:sz w:val="24"/>
        </w:rPr>
        <w:t>95597</w:t>
      </w:r>
    </w:p>
    <w:p w14:paraId="5F35508D" w14:textId="77777777" w:rsidR="00C5750B" w:rsidRPr="008D7D57" w:rsidRDefault="00C5750B" w:rsidP="00C5750B">
      <w:pPr>
        <w:spacing w:line="360" w:lineRule="auto"/>
        <w:ind w:firstLineChars="200" w:firstLine="480"/>
        <w:rPr>
          <w:sz w:val="24"/>
        </w:rPr>
      </w:pPr>
      <w:r w:rsidRPr="008D7D57">
        <w:rPr>
          <w:rFonts w:hint="eastAsia"/>
          <w:sz w:val="24"/>
        </w:rPr>
        <w:lastRenderedPageBreak/>
        <w:t>网址：</w:t>
      </w:r>
      <w:r w:rsidRPr="008D7D57">
        <w:rPr>
          <w:rFonts w:hint="eastAsia"/>
          <w:sz w:val="24"/>
        </w:rPr>
        <w:t>www.htsc.com.cn</w:t>
      </w:r>
    </w:p>
    <w:p w14:paraId="1B60206B" w14:textId="77777777" w:rsidR="00C5750B" w:rsidRPr="008D7D57" w:rsidRDefault="00C5750B" w:rsidP="00C5750B">
      <w:pPr>
        <w:spacing w:line="360" w:lineRule="auto"/>
        <w:ind w:firstLineChars="200" w:firstLine="480"/>
        <w:rPr>
          <w:sz w:val="24"/>
        </w:rPr>
      </w:pPr>
      <w:r w:rsidRPr="008D7D57">
        <w:rPr>
          <w:rFonts w:hint="eastAsia"/>
          <w:sz w:val="24"/>
        </w:rPr>
        <w:t>（</w:t>
      </w:r>
      <w:r w:rsidRPr="008D7D57">
        <w:rPr>
          <w:rFonts w:hint="eastAsia"/>
          <w:sz w:val="24"/>
        </w:rPr>
        <w:t>11</w:t>
      </w:r>
      <w:r w:rsidRPr="008D7D57">
        <w:rPr>
          <w:rFonts w:hint="eastAsia"/>
          <w:sz w:val="24"/>
        </w:rPr>
        <w:t>）</w:t>
      </w:r>
      <w:r w:rsidRPr="008D7D57">
        <w:rPr>
          <w:rFonts w:hint="eastAsia"/>
          <w:sz w:val="24"/>
        </w:rPr>
        <w:t xml:space="preserve"> </w:t>
      </w:r>
      <w:r w:rsidRPr="008D7D57">
        <w:rPr>
          <w:rFonts w:hint="eastAsia"/>
          <w:sz w:val="24"/>
        </w:rPr>
        <w:t>中银国际证券有限责任公司</w:t>
      </w:r>
    </w:p>
    <w:p w14:paraId="51C871A0" w14:textId="77777777" w:rsidR="00C5750B" w:rsidRPr="008D7D57" w:rsidRDefault="00C5750B" w:rsidP="00C5750B">
      <w:pPr>
        <w:spacing w:line="360" w:lineRule="auto"/>
        <w:ind w:firstLineChars="200" w:firstLine="480"/>
        <w:rPr>
          <w:sz w:val="24"/>
        </w:rPr>
      </w:pPr>
      <w:r w:rsidRPr="008D7D57">
        <w:rPr>
          <w:rFonts w:hint="eastAsia"/>
          <w:sz w:val="24"/>
        </w:rPr>
        <w:t>住所：上海市银城中路</w:t>
      </w:r>
      <w:r w:rsidRPr="008D7D57">
        <w:rPr>
          <w:rFonts w:hint="eastAsia"/>
          <w:sz w:val="24"/>
        </w:rPr>
        <w:t>200</w:t>
      </w:r>
      <w:r w:rsidRPr="008D7D57">
        <w:rPr>
          <w:rFonts w:hint="eastAsia"/>
          <w:sz w:val="24"/>
        </w:rPr>
        <w:t>号</w:t>
      </w:r>
      <w:r w:rsidRPr="008D7D57">
        <w:rPr>
          <w:rFonts w:hint="eastAsia"/>
          <w:sz w:val="24"/>
        </w:rPr>
        <w:t>39</w:t>
      </w:r>
      <w:r w:rsidRPr="008D7D57">
        <w:rPr>
          <w:rFonts w:hint="eastAsia"/>
          <w:sz w:val="24"/>
        </w:rPr>
        <w:t>层</w:t>
      </w:r>
    </w:p>
    <w:p w14:paraId="11BBEF47" w14:textId="77777777" w:rsidR="00C5750B" w:rsidRPr="008D7D57" w:rsidRDefault="00C5750B" w:rsidP="00C5750B">
      <w:pPr>
        <w:spacing w:line="360" w:lineRule="auto"/>
        <w:ind w:firstLineChars="200" w:firstLine="480"/>
        <w:rPr>
          <w:sz w:val="24"/>
        </w:rPr>
      </w:pPr>
      <w:r w:rsidRPr="008D7D57">
        <w:rPr>
          <w:rFonts w:hint="eastAsia"/>
          <w:sz w:val="24"/>
        </w:rPr>
        <w:t>办公地址：中国上海浦东银城中路</w:t>
      </w:r>
      <w:r w:rsidRPr="008D7D57">
        <w:rPr>
          <w:rFonts w:hint="eastAsia"/>
          <w:sz w:val="24"/>
        </w:rPr>
        <w:t>200</w:t>
      </w:r>
      <w:r w:rsidRPr="008D7D57">
        <w:rPr>
          <w:rFonts w:hint="eastAsia"/>
          <w:sz w:val="24"/>
        </w:rPr>
        <w:t>号中银大厦</w:t>
      </w:r>
      <w:r w:rsidRPr="008D7D57">
        <w:rPr>
          <w:rFonts w:hint="eastAsia"/>
          <w:sz w:val="24"/>
        </w:rPr>
        <w:t>39-40</w:t>
      </w:r>
      <w:r w:rsidRPr="008D7D57">
        <w:rPr>
          <w:rFonts w:hint="eastAsia"/>
          <w:sz w:val="24"/>
        </w:rPr>
        <w:t>层</w:t>
      </w:r>
    </w:p>
    <w:p w14:paraId="71D73CB3" w14:textId="77777777" w:rsidR="00C5750B" w:rsidRPr="008D7D57" w:rsidRDefault="00C5750B" w:rsidP="00C5750B">
      <w:pPr>
        <w:spacing w:line="360" w:lineRule="auto"/>
        <w:ind w:firstLineChars="200" w:firstLine="480"/>
        <w:rPr>
          <w:sz w:val="24"/>
        </w:rPr>
      </w:pPr>
      <w:r w:rsidRPr="008D7D57">
        <w:rPr>
          <w:rFonts w:hint="eastAsia"/>
          <w:sz w:val="24"/>
        </w:rPr>
        <w:t>法定代表人：许刚</w:t>
      </w:r>
    </w:p>
    <w:p w14:paraId="69408AEC" w14:textId="77777777" w:rsidR="00C5750B" w:rsidRPr="008D7D57" w:rsidRDefault="00C5750B" w:rsidP="00C5750B">
      <w:pPr>
        <w:spacing w:line="360" w:lineRule="auto"/>
        <w:ind w:firstLineChars="200" w:firstLine="480"/>
        <w:rPr>
          <w:sz w:val="24"/>
        </w:rPr>
      </w:pPr>
      <w:r w:rsidRPr="008D7D57">
        <w:rPr>
          <w:rFonts w:hint="eastAsia"/>
          <w:sz w:val="24"/>
        </w:rPr>
        <w:t>联系人：李丹</w:t>
      </w:r>
    </w:p>
    <w:p w14:paraId="6C1E6F26" w14:textId="77777777" w:rsidR="00C5750B" w:rsidRPr="008D7D57" w:rsidRDefault="00C5750B" w:rsidP="00C5750B">
      <w:pPr>
        <w:spacing w:line="360" w:lineRule="auto"/>
        <w:ind w:firstLineChars="200" w:firstLine="480"/>
        <w:rPr>
          <w:sz w:val="24"/>
        </w:rPr>
      </w:pPr>
      <w:r w:rsidRPr="008D7D57">
        <w:rPr>
          <w:rFonts w:hint="eastAsia"/>
          <w:sz w:val="24"/>
        </w:rPr>
        <w:t>客户服务电话：</w:t>
      </w:r>
      <w:r w:rsidRPr="008D7D57">
        <w:rPr>
          <w:rFonts w:hint="eastAsia"/>
          <w:sz w:val="24"/>
        </w:rPr>
        <w:t>400-620-8888</w:t>
      </w:r>
    </w:p>
    <w:p w14:paraId="669B08D4" w14:textId="77777777" w:rsidR="00C5750B" w:rsidRPr="008D7D57" w:rsidRDefault="00C5750B" w:rsidP="00C5750B">
      <w:pPr>
        <w:spacing w:line="360" w:lineRule="auto"/>
        <w:ind w:firstLineChars="200" w:firstLine="480"/>
        <w:rPr>
          <w:sz w:val="24"/>
        </w:rPr>
      </w:pPr>
      <w:r w:rsidRPr="008D7D57">
        <w:rPr>
          <w:rFonts w:hint="eastAsia"/>
          <w:sz w:val="24"/>
        </w:rPr>
        <w:t>网址：</w:t>
      </w:r>
      <w:r w:rsidRPr="008D7D57">
        <w:rPr>
          <w:rFonts w:hint="eastAsia"/>
          <w:sz w:val="24"/>
        </w:rPr>
        <w:t>www.bocichina.com</w:t>
      </w:r>
    </w:p>
    <w:p w14:paraId="64AE88F3" w14:textId="77777777" w:rsidR="00C5750B" w:rsidRPr="008D7D57" w:rsidRDefault="00C5750B" w:rsidP="00C5750B">
      <w:pPr>
        <w:spacing w:line="360" w:lineRule="auto"/>
        <w:ind w:firstLineChars="200" w:firstLine="480"/>
        <w:rPr>
          <w:sz w:val="24"/>
        </w:rPr>
      </w:pPr>
      <w:r w:rsidRPr="008D7D57">
        <w:rPr>
          <w:rFonts w:hint="eastAsia"/>
          <w:sz w:val="24"/>
        </w:rPr>
        <w:t>（</w:t>
      </w:r>
      <w:r w:rsidRPr="008D7D57">
        <w:rPr>
          <w:rFonts w:hint="eastAsia"/>
          <w:sz w:val="24"/>
        </w:rPr>
        <w:t>12</w:t>
      </w:r>
      <w:r w:rsidRPr="008D7D57">
        <w:rPr>
          <w:rFonts w:hint="eastAsia"/>
          <w:sz w:val="24"/>
        </w:rPr>
        <w:t>）</w:t>
      </w:r>
      <w:r w:rsidRPr="008D7D57">
        <w:rPr>
          <w:rFonts w:hint="eastAsia"/>
          <w:sz w:val="24"/>
        </w:rPr>
        <w:t xml:space="preserve"> </w:t>
      </w:r>
      <w:r w:rsidRPr="008D7D57">
        <w:rPr>
          <w:rFonts w:hint="eastAsia"/>
          <w:sz w:val="24"/>
        </w:rPr>
        <w:t>中信证券（山东）有限责任公司</w:t>
      </w:r>
    </w:p>
    <w:p w14:paraId="16C8CD9D" w14:textId="77777777" w:rsidR="00C5750B" w:rsidRPr="008D7D57" w:rsidRDefault="00C5750B" w:rsidP="00C5750B">
      <w:pPr>
        <w:spacing w:line="360" w:lineRule="auto"/>
        <w:ind w:firstLineChars="200" w:firstLine="480"/>
        <w:rPr>
          <w:sz w:val="24"/>
        </w:rPr>
      </w:pPr>
      <w:r w:rsidRPr="008D7D57">
        <w:rPr>
          <w:rFonts w:hint="eastAsia"/>
          <w:sz w:val="24"/>
        </w:rPr>
        <w:t>住所：青岛市崂山区苗岭路</w:t>
      </w:r>
      <w:r w:rsidRPr="008D7D57">
        <w:rPr>
          <w:rFonts w:hint="eastAsia"/>
          <w:sz w:val="24"/>
        </w:rPr>
        <w:t>29</w:t>
      </w:r>
      <w:r w:rsidRPr="008D7D57">
        <w:rPr>
          <w:rFonts w:hint="eastAsia"/>
          <w:sz w:val="24"/>
        </w:rPr>
        <w:t>号澳柯玛大厦</w:t>
      </w:r>
      <w:r w:rsidRPr="008D7D57">
        <w:rPr>
          <w:rFonts w:hint="eastAsia"/>
          <w:sz w:val="24"/>
        </w:rPr>
        <w:t>15</w:t>
      </w:r>
      <w:r w:rsidRPr="008D7D57">
        <w:rPr>
          <w:rFonts w:hint="eastAsia"/>
          <w:sz w:val="24"/>
        </w:rPr>
        <w:t>层（</w:t>
      </w:r>
      <w:r w:rsidRPr="008D7D57">
        <w:rPr>
          <w:rFonts w:hint="eastAsia"/>
          <w:sz w:val="24"/>
        </w:rPr>
        <w:t>1507</w:t>
      </w:r>
      <w:r w:rsidRPr="008D7D57">
        <w:rPr>
          <w:rFonts w:hint="eastAsia"/>
          <w:sz w:val="24"/>
        </w:rPr>
        <w:t>－</w:t>
      </w:r>
      <w:r w:rsidRPr="008D7D57">
        <w:rPr>
          <w:rFonts w:hint="eastAsia"/>
          <w:sz w:val="24"/>
        </w:rPr>
        <w:t>1510</w:t>
      </w:r>
      <w:r w:rsidRPr="008D7D57">
        <w:rPr>
          <w:rFonts w:hint="eastAsia"/>
          <w:sz w:val="24"/>
        </w:rPr>
        <w:t>室）</w:t>
      </w:r>
    </w:p>
    <w:p w14:paraId="3084B2C3" w14:textId="77777777" w:rsidR="00C5750B" w:rsidRPr="008D7D57" w:rsidRDefault="00C5750B" w:rsidP="00C5750B">
      <w:pPr>
        <w:spacing w:line="360" w:lineRule="auto"/>
        <w:ind w:firstLineChars="200" w:firstLine="480"/>
        <w:rPr>
          <w:sz w:val="24"/>
        </w:rPr>
      </w:pPr>
      <w:r w:rsidRPr="008D7D57">
        <w:rPr>
          <w:rFonts w:hint="eastAsia"/>
          <w:sz w:val="24"/>
        </w:rPr>
        <w:t>办公地址：青岛市崂山区深圳路</w:t>
      </w:r>
      <w:r w:rsidRPr="008D7D57">
        <w:rPr>
          <w:rFonts w:hint="eastAsia"/>
          <w:sz w:val="24"/>
        </w:rPr>
        <w:t>222</w:t>
      </w:r>
      <w:r w:rsidRPr="008D7D57">
        <w:rPr>
          <w:rFonts w:hint="eastAsia"/>
          <w:sz w:val="24"/>
        </w:rPr>
        <w:t>号青岛国际金融广场</w:t>
      </w:r>
      <w:r w:rsidRPr="008D7D57">
        <w:rPr>
          <w:rFonts w:hint="eastAsia"/>
          <w:sz w:val="24"/>
        </w:rPr>
        <w:t>1</w:t>
      </w:r>
      <w:r w:rsidRPr="008D7D57">
        <w:rPr>
          <w:rFonts w:hint="eastAsia"/>
          <w:sz w:val="24"/>
        </w:rPr>
        <w:t>号楼第</w:t>
      </w:r>
      <w:r w:rsidRPr="008D7D57">
        <w:rPr>
          <w:rFonts w:hint="eastAsia"/>
          <w:sz w:val="24"/>
        </w:rPr>
        <w:t>20</w:t>
      </w:r>
      <w:r w:rsidRPr="008D7D57">
        <w:rPr>
          <w:rFonts w:hint="eastAsia"/>
          <w:sz w:val="24"/>
        </w:rPr>
        <w:t>层</w:t>
      </w:r>
    </w:p>
    <w:p w14:paraId="6DCABB8D" w14:textId="77777777" w:rsidR="00C5750B" w:rsidRPr="008D7D57" w:rsidRDefault="00C5750B" w:rsidP="00C5750B">
      <w:pPr>
        <w:spacing w:line="360" w:lineRule="auto"/>
        <w:ind w:firstLineChars="200" w:firstLine="480"/>
        <w:rPr>
          <w:sz w:val="24"/>
        </w:rPr>
      </w:pPr>
      <w:r w:rsidRPr="008D7D57">
        <w:rPr>
          <w:rFonts w:hint="eastAsia"/>
          <w:sz w:val="24"/>
        </w:rPr>
        <w:t>法定代表人：杨宝林</w:t>
      </w:r>
    </w:p>
    <w:p w14:paraId="158A12D3" w14:textId="77777777" w:rsidR="00C5750B" w:rsidRPr="008D7D57" w:rsidRDefault="00C5750B" w:rsidP="00C5750B">
      <w:pPr>
        <w:spacing w:line="360" w:lineRule="auto"/>
        <w:ind w:firstLineChars="200" w:firstLine="480"/>
        <w:rPr>
          <w:sz w:val="24"/>
        </w:rPr>
      </w:pPr>
      <w:r w:rsidRPr="008D7D57">
        <w:rPr>
          <w:rFonts w:hint="eastAsia"/>
          <w:sz w:val="24"/>
        </w:rPr>
        <w:t>电话：（</w:t>
      </w:r>
      <w:r w:rsidRPr="008D7D57">
        <w:rPr>
          <w:rFonts w:hint="eastAsia"/>
          <w:sz w:val="24"/>
        </w:rPr>
        <w:t>0532</w:t>
      </w:r>
      <w:r w:rsidRPr="008D7D57">
        <w:rPr>
          <w:rFonts w:hint="eastAsia"/>
          <w:sz w:val="24"/>
        </w:rPr>
        <w:t>）</w:t>
      </w:r>
      <w:r w:rsidRPr="008D7D57">
        <w:rPr>
          <w:rFonts w:hint="eastAsia"/>
          <w:sz w:val="24"/>
        </w:rPr>
        <w:t>85022326</w:t>
      </w:r>
    </w:p>
    <w:p w14:paraId="6D00F334" w14:textId="77777777" w:rsidR="00C5750B" w:rsidRPr="008D7D57" w:rsidRDefault="00C5750B" w:rsidP="00C5750B">
      <w:pPr>
        <w:spacing w:line="360" w:lineRule="auto"/>
        <w:ind w:firstLineChars="200" w:firstLine="480"/>
        <w:rPr>
          <w:sz w:val="24"/>
        </w:rPr>
      </w:pPr>
      <w:r w:rsidRPr="008D7D57">
        <w:rPr>
          <w:rFonts w:hint="eastAsia"/>
          <w:sz w:val="24"/>
        </w:rPr>
        <w:t>传真：（</w:t>
      </w:r>
      <w:r w:rsidRPr="008D7D57">
        <w:rPr>
          <w:rFonts w:hint="eastAsia"/>
          <w:sz w:val="24"/>
        </w:rPr>
        <w:t>0532</w:t>
      </w:r>
      <w:r w:rsidRPr="008D7D57">
        <w:rPr>
          <w:rFonts w:hint="eastAsia"/>
          <w:sz w:val="24"/>
        </w:rPr>
        <w:t>）</w:t>
      </w:r>
      <w:r w:rsidRPr="008D7D57">
        <w:rPr>
          <w:rFonts w:hint="eastAsia"/>
          <w:sz w:val="24"/>
        </w:rPr>
        <w:t>85022605</w:t>
      </w:r>
    </w:p>
    <w:p w14:paraId="587F07D4" w14:textId="77777777" w:rsidR="00C5750B" w:rsidRPr="008D7D57" w:rsidRDefault="00C5750B" w:rsidP="00C5750B">
      <w:pPr>
        <w:spacing w:line="360" w:lineRule="auto"/>
        <w:ind w:firstLineChars="200" w:firstLine="480"/>
        <w:rPr>
          <w:sz w:val="24"/>
        </w:rPr>
      </w:pPr>
      <w:r w:rsidRPr="008D7D57">
        <w:rPr>
          <w:rFonts w:hint="eastAsia"/>
          <w:sz w:val="24"/>
        </w:rPr>
        <w:t>联系人：吴忠超</w:t>
      </w:r>
    </w:p>
    <w:p w14:paraId="1C5C2643" w14:textId="77777777" w:rsidR="00C5750B" w:rsidRPr="008D7D57" w:rsidRDefault="00C5750B" w:rsidP="00C5750B">
      <w:pPr>
        <w:spacing w:line="360" w:lineRule="auto"/>
        <w:ind w:firstLineChars="200" w:firstLine="480"/>
        <w:rPr>
          <w:sz w:val="24"/>
        </w:rPr>
      </w:pPr>
      <w:r w:rsidRPr="008D7D57">
        <w:rPr>
          <w:rFonts w:hint="eastAsia"/>
          <w:sz w:val="24"/>
        </w:rPr>
        <w:t>客户服务电话：（</w:t>
      </w:r>
      <w:r w:rsidRPr="008D7D57">
        <w:rPr>
          <w:rFonts w:hint="eastAsia"/>
          <w:sz w:val="24"/>
        </w:rPr>
        <w:t>0532</w:t>
      </w:r>
      <w:r w:rsidRPr="008D7D57">
        <w:rPr>
          <w:rFonts w:hint="eastAsia"/>
          <w:sz w:val="24"/>
        </w:rPr>
        <w:t>）</w:t>
      </w:r>
      <w:r w:rsidRPr="008D7D57">
        <w:rPr>
          <w:rFonts w:hint="eastAsia"/>
          <w:sz w:val="24"/>
        </w:rPr>
        <w:t>96577</w:t>
      </w:r>
    </w:p>
    <w:p w14:paraId="16348E71" w14:textId="77777777" w:rsidR="00C5750B" w:rsidRPr="008D7D57" w:rsidRDefault="00C5750B" w:rsidP="00C5750B">
      <w:pPr>
        <w:spacing w:line="360" w:lineRule="auto"/>
        <w:ind w:firstLineChars="200" w:firstLine="480"/>
        <w:rPr>
          <w:sz w:val="24"/>
        </w:rPr>
      </w:pPr>
      <w:r w:rsidRPr="008D7D57">
        <w:rPr>
          <w:rFonts w:hint="eastAsia"/>
          <w:sz w:val="24"/>
        </w:rPr>
        <w:t>网址：</w:t>
      </w:r>
      <w:r w:rsidRPr="008D7D57">
        <w:rPr>
          <w:rFonts w:hint="eastAsia"/>
          <w:sz w:val="24"/>
        </w:rPr>
        <w:t>www.zxwt.com.cn</w:t>
      </w:r>
    </w:p>
    <w:p w14:paraId="79493E11" w14:textId="77777777" w:rsidR="00C5750B" w:rsidRPr="008D7D57" w:rsidRDefault="00C5750B" w:rsidP="00C5750B">
      <w:pPr>
        <w:spacing w:line="360" w:lineRule="auto"/>
        <w:ind w:firstLineChars="200" w:firstLine="480"/>
        <w:rPr>
          <w:sz w:val="24"/>
        </w:rPr>
      </w:pPr>
      <w:r w:rsidRPr="008D7D57">
        <w:rPr>
          <w:rFonts w:hint="eastAsia"/>
          <w:sz w:val="24"/>
        </w:rPr>
        <w:t>（</w:t>
      </w:r>
      <w:r w:rsidRPr="008D7D57">
        <w:rPr>
          <w:rFonts w:hint="eastAsia"/>
          <w:sz w:val="24"/>
        </w:rPr>
        <w:t>13</w:t>
      </w:r>
      <w:r w:rsidRPr="008D7D57">
        <w:rPr>
          <w:rFonts w:hint="eastAsia"/>
          <w:sz w:val="24"/>
        </w:rPr>
        <w:t>）</w:t>
      </w:r>
      <w:r w:rsidRPr="008D7D57">
        <w:rPr>
          <w:rFonts w:hint="eastAsia"/>
          <w:sz w:val="24"/>
        </w:rPr>
        <w:t xml:space="preserve"> </w:t>
      </w:r>
      <w:r w:rsidRPr="008D7D57">
        <w:rPr>
          <w:rFonts w:hint="eastAsia"/>
          <w:sz w:val="24"/>
        </w:rPr>
        <w:t>国信证券股份有限公司</w:t>
      </w:r>
    </w:p>
    <w:p w14:paraId="09DF1B26" w14:textId="77777777" w:rsidR="00C5750B" w:rsidRPr="008D7D57" w:rsidRDefault="00C5750B" w:rsidP="00C5750B">
      <w:pPr>
        <w:spacing w:line="360" w:lineRule="auto"/>
        <w:ind w:firstLineChars="200" w:firstLine="480"/>
        <w:rPr>
          <w:sz w:val="24"/>
        </w:rPr>
      </w:pPr>
      <w:r w:rsidRPr="008D7D57">
        <w:rPr>
          <w:rFonts w:hint="eastAsia"/>
          <w:sz w:val="24"/>
        </w:rPr>
        <w:t>住所：深圳市罗湖区红岭中路</w:t>
      </w:r>
      <w:r w:rsidRPr="008D7D57">
        <w:rPr>
          <w:rFonts w:hint="eastAsia"/>
          <w:sz w:val="24"/>
        </w:rPr>
        <w:t>1012</w:t>
      </w:r>
      <w:r w:rsidRPr="008D7D57">
        <w:rPr>
          <w:rFonts w:hint="eastAsia"/>
          <w:sz w:val="24"/>
        </w:rPr>
        <w:t>号国信证券大厦</w:t>
      </w:r>
      <w:r w:rsidRPr="008D7D57">
        <w:rPr>
          <w:rFonts w:hint="eastAsia"/>
          <w:sz w:val="24"/>
        </w:rPr>
        <w:t>16-26</w:t>
      </w:r>
      <w:r w:rsidRPr="008D7D57">
        <w:rPr>
          <w:rFonts w:hint="eastAsia"/>
          <w:sz w:val="24"/>
        </w:rPr>
        <w:t>楼</w:t>
      </w:r>
    </w:p>
    <w:p w14:paraId="4F2135C7" w14:textId="77777777" w:rsidR="00C5750B" w:rsidRPr="008D7D57" w:rsidRDefault="00C5750B" w:rsidP="00C5750B">
      <w:pPr>
        <w:spacing w:line="360" w:lineRule="auto"/>
        <w:ind w:firstLineChars="200" w:firstLine="480"/>
        <w:rPr>
          <w:sz w:val="24"/>
        </w:rPr>
      </w:pPr>
      <w:r w:rsidRPr="008D7D57">
        <w:rPr>
          <w:rFonts w:hint="eastAsia"/>
          <w:sz w:val="24"/>
        </w:rPr>
        <w:t>办公地址：深圳市罗湖区红岭中路</w:t>
      </w:r>
      <w:r w:rsidRPr="008D7D57">
        <w:rPr>
          <w:rFonts w:hint="eastAsia"/>
          <w:sz w:val="24"/>
        </w:rPr>
        <w:t>1012</w:t>
      </w:r>
      <w:r w:rsidRPr="008D7D57">
        <w:rPr>
          <w:rFonts w:hint="eastAsia"/>
          <w:sz w:val="24"/>
        </w:rPr>
        <w:t>号国信证券大厦</w:t>
      </w:r>
      <w:r w:rsidRPr="008D7D57">
        <w:rPr>
          <w:rFonts w:hint="eastAsia"/>
          <w:sz w:val="24"/>
        </w:rPr>
        <w:t>16-26</w:t>
      </w:r>
      <w:r w:rsidRPr="008D7D57">
        <w:rPr>
          <w:rFonts w:hint="eastAsia"/>
          <w:sz w:val="24"/>
        </w:rPr>
        <w:t>楼</w:t>
      </w:r>
    </w:p>
    <w:p w14:paraId="4818FD3E" w14:textId="77777777" w:rsidR="00C5750B" w:rsidRPr="008D7D57" w:rsidRDefault="00C5750B" w:rsidP="00C5750B">
      <w:pPr>
        <w:spacing w:line="360" w:lineRule="auto"/>
        <w:ind w:firstLineChars="200" w:firstLine="480"/>
        <w:rPr>
          <w:sz w:val="24"/>
        </w:rPr>
      </w:pPr>
      <w:r w:rsidRPr="008D7D57">
        <w:rPr>
          <w:rFonts w:hint="eastAsia"/>
          <w:sz w:val="24"/>
        </w:rPr>
        <w:t>法定代表人：何如</w:t>
      </w:r>
    </w:p>
    <w:p w14:paraId="01B80739" w14:textId="77777777" w:rsidR="00C5750B" w:rsidRPr="008D7D57" w:rsidRDefault="00C5750B" w:rsidP="00C5750B">
      <w:pPr>
        <w:spacing w:line="360" w:lineRule="auto"/>
        <w:ind w:firstLineChars="200" w:firstLine="480"/>
        <w:rPr>
          <w:sz w:val="24"/>
        </w:rPr>
      </w:pPr>
      <w:r w:rsidRPr="008D7D57">
        <w:rPr>
          <w:rFonts w:hint="eastAsia"/>
          <w:sz w:val="24"/>
        </w:rPr>
        <w:t>电话：（</w:t>
      </w:r>
      <w:r w:rsidRPr="008D7D57">
        <w:rPr>
          <w:rFonts w:hint="eastAsia"/>
          <w:sz w:val="24"/>
        </w:rPr>
        <w:t>0755</w:t>
      </w:r>
      <w:r w:rsidRPr="008D7D57">
        <w:rPr>
          <w:rFonts w:hint="eastAsia"/>
          <w:sz w:val="24"/>
        </w:rPr>
        <w:t>）</w:t>
      </w:r>
      <w:r w:rsidRPr="008D7D57">
        <w:rPr>
          <w:rFonts w:hint="eastAsia"/>
          <w:sz w:val="24"/>
        </w:rPr>
        <w:t>82130833</w:t>
      </w:r>
    </w:p>
    <w:p w14:paraId="0BF9C511" w14:textId="77777777" w:rsidR="00C5750B" w:rsidRPr="008D7D57" w:rsidRDefault="00C5750B" w:rsidP="00C5750B">
      <w:pPr>
        <w:spacing w:line="360" w:lineRule="auto"/>
        <w:ind w:firstLineChars="200" w:firstLine="480"/>
        <w:rPr>
          <w:sz w:val="24"/>
        </w:rPr>
      </w:pPr>
      <w:r w:rsidRPr="008D7D57">
        <w:rPr>
          <w:rFonts w:hint="eastAsia"/>
          <w:sz w:val="24"/>
        </w:rPr>
        <w:t>传真：（</w:t>
      </w:r>
      <w:r w:rsidRPr="008D7D57">
        <w:rPr>
          <w:rFonts w:hint="eastAsia"/>
          <w:sz w:val="24"/>
        </w:rPr>
        <w:t>0755</w:t>
      </w:r>
      <w:r w:rsidRPr="008D7D57">
        <w:rPr>
          <w:rFonts w:hint="eastAsia"/>
          <w:sz w:val="24"/>
        </w:rPr>
        <w:t>）</w:t>
      </w:r>
      <w:r w:rsidRPr="008D7D57">
        <w:rPr>
          <w:rFonts w:hint="eastAsia"/>
          <w:sz w:val="24"/>
        </w:rPr>
        <w:t>82133952</w:t>
      </w:r>
    </w:p>
    <w:p w14:paraId="0809C8DD" w14:textId="77777777" w:rsidR="00C5750B" w:rsidRPr="008D7D57" w:rsidRDefault="00C5750B" w:rsidP="00C5750B">
      <w:pPr>
        <w:spacing w:line="360" w:lineRule="auto"/>
        <w:ind w:firstLineChars="200" w:firstLine="480"/>
        <w:rPr>
          <w:sz w:val="24"/>
        </w:rPr>
      </w:pPr>
      <w:r w:rsidRPr="008D7D57">
        <w:rPr>
          <w:rFonts w:hint="eastAsia"/>
          <w:sz w:val="24"/>
        </w:rPr>
        <w:t>联系人：周杨</w:t>
      </w:r>
    </w:p>
    <w:p w14:paraId="7A6B8CC8" w14:textId="77777777" w:rsidR="00C5750B" w:rsidRPr="008D7D57" w:rsidRDefault="00C5750B" w:rsidP="00C5750B">
      <w:pPr>
        <w:spacing w:line="360" w:lineRule="auto"/>
        <w:ind w:firstLineChars="200" w:firstLine="480"/>
        <w:rPr>
          <w:sz w:val="24"/>
        </w:rPr>
      </w:pPr>
      <w:r w:rsidRPr="008D7D57">
        <w:rPr>
          <w:rFonts w:hint="eastAsia"/>
          <w:sz w:val="24"/>
        </w:rPr>
        <w:t>客户服务电话：</w:t>
      </w:r>
      <w:r w:rsidRPr="008D7D57">
        <w:rPr>
          <w:rFonts w:hint="eastAsia"/>
          <w:sz w:val="24"/>
        </w:rPr>
        <w:t>95536</w:t>
      </w:r>
    </w:p>
    <w:p w14:paraId="0B04C2AF" w14:textId="77777777" w:rsidR="00C5750B" w:rsidRPr="008D7D57" w:rsidRDefault="00C5750B" w:rsidP="00C5750B">
      <w:pPr>
        <w:spacing w:line="360" w:lineRule="auto"/>
        <w:ind w:firstLineChars="200" w:firstLine="480"/>
        <w:rPr>
          <w:sz w:val="24"/>
        </w:rPr>
      </w:pPr>
      <w:r w:rsidRPr="008D7D57">
        <w:rPr>
          <w:rFonts w:hint="eastAsia"/>
          <w:sz w:val="24"/>
        </w:rPr>
        <w:t>网址：</w:t>
      </w:r>
      <w:r w:rsidRPr="008D7D57">
        <w:rPr>
          <w:rFonts w:hint="eastAsia"/>
          <w:sz w:val="24"/>
        </w:rPr>
        <w:t>www.guosen.com.cn</w:t>
      </w:r>
    </w:p>
    <w:p w14:paraId="50AD610E" w14:textId="77777777" w:rsidR="00C5750B" w:rsidRPr="008D7D57" w:rsidRDefault="00C5750B" w:rsidP="00C5750B">
      <w:pPr>
        <w:spacing w:line="360" w:lineRule="auto"/>
        <w:ind w:firstLineChars="200" w:firstLine="480"/>
        <w:rPr>
          <w:sz w:val="24"/>
        </w:rPr>
      </w:pPr>
      <w:r w:rsidRPr="008D7D57">
        <w:rPr>
          <w:rFonts w:hint="eastAsia"/>
          <w:sz w:val="24"/>
        </w:rPr>
        <w:t>（</w:t>
      </w:r>
      <w:r w:rsidRPr="008D7D57">
        <w:rPr>
          <w:rFonts w:hint="eastAsia"/>
          <w:sz w:val="24"/>
        </w:rPr>
        <w:t>14</w:t>
      </w:r>
      <w:r w:rsidRPr="008D7D57">
        <w:rPr>
          <w:rFonts w:hint="eastAsia"/>
          <w:sz w:val="24"/>
        </w:rPr>
        <w:t>）</w:t>
      </w:r>
      <w:r w:rsidRPr="008D7D57">
        <w:rPr>
          <w:rFonts w:hint="eastAsia"/>
          <w:sz w:val="24"/>
        </w:rPr>
        <w:t xml:space="preserve"> </w:t>
      </w:r>
      <w:r w:rsidRPr="008D7D57">
        <w:rPr>
          <w:rFonts w:hint="eastAsia"/>
          <w:sz w:val="24"/>
        </w:rPr>
        <w:t>安信证券股份有限公司</w:t>
      </w:r>
    </w:p>
    <w:p w14:paraId="267139BE" w14:textId="77777777" w:rsidR="00C5750B" w:rsidRPr="008D7D57" w:rsidRDefault="00C5750B" w:rsidP="00C5750B">
      <w:pPr>
        <w:spacing w:line="360" w:lineRule="auto"/>
        <w:ind w:firstLineChars="200" w:firstLine="480"/>
        <w:rPr>
          <w:sz w:val="24"/>
        </w:rPr>
      </w:pPr>
      <w:r w:rsidRPr="008D7D57">
        <w:rPr>
          <w:rFonts w:hint="eastAsia"/>
          <w:sz w:val="24"/>
        </w:rPr>
        <w:t>住所：深圳市福田区金田路</w:t>
      </w:r>
      <w:r w:rsidRPr="008D7D57">
        <w:rPr>
          <w:rFonts w:hint="eastAsia"/>
          <w:sz w:val="24"/>
        </w:rPr>
        <w:t>4018</w:t>
      </w:r>
      <w:r w:rsidRPr="008D7D57">
        <w:rPr>
          <w:rFonts w:hint="eastAsia"/>
          <w:sz w:val="24"/>
        </w:rPr>
        <w:t>号安联大厦</w:t>
      </w:r>
      <w:r w:rsidRPr="008D7D57">
        <w:rPr>
          <w:rFonts w:hint="eastAsia"/>
          <w:sz w:val="24"/>
        </w:rPr>
        <w:t>35</w:t>
      </w:r>
      <w:r w:rsidRPr="008D7D57">
        <w:rPr>
          <w:rFonts w:hint="eastAsia"/>
          <w:sz w:val="24"/>
        </w:rPr>
        <w:t>层、</w:t>
      </w:r>
      <w:r w:rsidRPr="008D7D57">
        <w:rPr>
          <w:rFonts w:hint="eastAsia"/>
          <w:sz w:val="24"/>
        </w:rPr>
        <w:t>28</w:t>
      </w:r>
      <w:r w:rsidRPr="008D7D57">
        <w:rPr>
          <w:rFonts w:hint="eastAsia"/>
          <w:sz w:val="24"/>
        </w:rPr>
        <w:t>层</w:t>
      </w:r>
      <w:r w:rsidRPr="008D7D57">
        <w:rPr>
          <w:rFonts w:hint="eastAsia"/>
          <w:sz w:val="24"/>
        </w:rPr>
        <w:t>A02</w:t>
      </w:r>
      <w:r w:rsidRPr="008D7D57">
        <w:rPr>
          <w:rFonts w:hint="eastAsia"/>
          <w:sz w:val="24"/>
        </w:rPr>
        <w:t>单元</w:t>
      </w:r>
    </w:p>
    <w:p w14:paraId="60C0F7D3" w14:textId="77777777" w:rsidR="00C5750B" w:rsidRPr="008D7D57" w:rsidRDefault="00C5750B" w:rsidP="00C5750B">
      <w:pPr>
        <w:spacing w:line="360" w:lineRule="auto"/>
        <w:ind w:firstLineChars="200" w:firstLine="480"/>
        <w:rPr>
          <w:sz w:val="24"/>
        </w:rPr>
      </w:pPr>
      <w:r w:rsidRPr="008D7D57">
        <w:rPr>
          <w:rFonts w:hint="eastAsia"/>
          <w:sz w:val="24"/>
        </w:rPr>
        <w:t>办公地址：深圳市福田区金田路</w:t>
      </w:r>
      <w:r w:rsidRPr="008D7D57">
        <w:rPr>
          <w:rFonts w:hint="eastAsia"/>
          <w:sz w:val="24"/>
        </w:rPr>
        <w:t>4018</w:t>
      </w:r>
      <w:r w:rsidRPr="008D7D57">
        <w:rPr>
          <w:rFonts w:hint="eastAsia"/>
          <w:sz w:val="24"/>
        </w:rPr>
        <w:t>号安联大厦</w:t>
      </w:r>
      <w:r w:rsidRPr="008D7D57">
        <w:rPr>
          <w:rFonts w:hint="eastAsia"/>
          <w:sz w:val="24"/>
        </w:rPr>
        <w:t>35</w:t>
      </w:r>
      <w:r w:rsidRPr="008D7D57">
        <w:rPr>
          <w:rFonts w:hint="eastAsia"/>
          <w:sz w:val="24"/>
        </w:rPr>
        <w:t>层、</w:t>
      </w:r>
      <w:r w:rsidRPr="008D7D57">
        <w:rPr>
          <w:rFonts w:hint="eastAsia"/>
          <w:sz w:val="24"/>
        </w:rPr>
        <w:t>28</w:t>
      </w:r>
      <w:r w:rsidRPr="008D7D57">
        <w:rPr>
          <w:rFonts w:hint="eastAsia"/>
          <w:sz w:val="24"/>
        </w:rPr>
        <w:t>层</w:t>
      </w:r>
      <w:r w:rsidRPr="008D7D57">
        <w:rPr>
          <w:rFonts w:hint="eastAsia"/>
          <w:sz w:val="24"/>
        </w:rPr>
        <w:t>A02</w:t>
      </w:r>
      <w:r w:rsidRPr="008D7D57">
        <w:rPr>
          <w:rFonts w:hint="eastAsia"/>
          <w:sz w:val="24"/>
        </w:rPr>
        <w:t>单元</w:t>
      </w:r>
    </w:p>
    <w:p w14:paraId="65F056A1" w14:textId="77777777" w:rsidR="00C5750B" w:rsidRPr="008D7D57" w:rsidRDefault="00C5750B" w:rsidP="00C5750B">
      <w:pPr>
        <w:spacing w:line="360" w:lineRule="auto"/>
        <w:ind w:firstLineChars="200" w:firstLine="480"/>
        <w:rPr>
          <w:sz w:val="24"/>
        </w:rPr>
      </w:pPr>
      <w:r w:rsidRPr="008D7D57">
        <w:rPr>
          <w:rFonts w:hint="eastAsia"/>
          <w:sz w:val="24"/>
        </w:rPr>
        <w:lastRenderedPageBreak/>
        <w:t>法定代表人：牛冠兴</w:t>
      </w:r>
    </w:p>
    <w:p w14:paraId="50385DCA" w14:textId="77777777" w:rsidR="00C5750B" w:rsidRPr="008D7D57" w:rsidRDefault="00C5750B" w:rsidP="00C5750B">
      <w:pPr>
        <w:spacing w:line="360" w:lineRule="auto"/>
        <w:ind w:firstLineChars="200" w:firstLine="480"/>
        <w:rPr>
          <w:sz w:val="24"/>
        </w:rPr>
      </w:pPr>
      <w:r w:rsidRPr="008D7D57">
        <w:rPr>
          <w:rFonts w:hint="eastAsia"/>
          <w:sz w:val="24"/>
        </w:rPr>
        <w:t>电话：（</w:t>
      </w:r>
      <w:r w:rsidRPr="008D7D57">
        <w:rPr>
          <w:rFonts w:hint="eastAsia"/>
          <w:sz w:val="24"/>
        </w:rPr>
        <w:t>0755</w:t>
      </w:r>
      <w:r w:rsidRPr="008D7D57">
        <w:rPr>
          <w:rFonts w:hint="eastAsia"/>
          <w:sz w:val="24"/>
        </w:rPr>
        <w:t>）</w:t>
      </w:r>
      <w:r w:rsidRPr="008D7D57">
        <w:rPr>
          <w:rFonts w:hint="eastAsia"/>
          <w:sz w:val="24"/>
        </w:rPr>
        <w:t>82558305</w:t>
      </w:r>
    </w:p>
    <w:p w14:paraId="1D72FF87" w14:textId="77777777" w:rsidR="00C5750B" w:rsidRPr="008D7D57" w:rsidRDefault="00C5750B" w:rsidP="00C5750B">
      <w:pPr>
        <w:spacing w:line="360" w:lineRule="auto"/>
        <w:ind w:firstLineChars="200" w:firstLine="480"/>
        <w:rPr>
          <w:sz w:val="24"/>
        </w:rPr>
      </w:pPr>
      <w:r w:rsidRPr="008D7D57">
        <w:rPr>
          <w:rFonts w:hint="eastAsia"/>
          <w:sz w:val="24"/>
        </w:rPr>
        <w:t>传真：（</w:t>
      </w:r>
      <w:r w:rsidRPr="008D7D57">
        <w:rPr>
          <w:rFonts w:hint="eastAsia"/>
          <w:sz w:val="24"/>
        </w:rPr>
        <w:t>0755</w:t>
      </w:r>
      <w:r w:rsidRPr="008D7D57">
        <w:rPr>
          <w:rFonts w:hint="eastAsia"/>
          <w:sz w:val="24"/>
        </w:rPr>
        <w:t>）</w:t>
      </w:r>
      <w:r w:rsidRPr="008D7D57">
        <w:rPr>
          <w:rFonts w:hint="eastAsia"/>
          <w:sz w:val="24"/>
        </w:rPr>
        <w:t>82558355</w:t>
      </w:r>
    </w:p>
    <w:p w14:paraId="5FC19C28" w14:textId="77777777" w:rsidR="00C5750B" w:rsidRPr="008D7D57" w:rsidRDefault="00C5750B" w:rsidP="00C5750B">
      <w:pPr>
        <w:spacing w:line="360" w:lineRule="auto"/>
        <w:ind w:firstLineChars="200" w:firstLine="480"/>
        <w:rPr>
          <w:sz w:val="24"/>
        </w:rPr>
      </w:pPr>
      <w:r w:rsidRPr="008D7D57">
        <w:rPr>
          <w:rFonts w:hint="eastAsia"/>
          <w:sz w:val="24"/>
        </w:rPr>
        <w:t>联系人：陈剑虹</w:t>
      </w:r>
    </w:p>
    <w:p w14:paraId="21909AA0" w14:textId="77777777" w:rsidR="00C5750B" w:rsidRPr="008D7D57" w:rsidRDefault="00C5750B" w:rsidP="00C5750B">
      <w:pPr>
        <w:spacing w:line="360" w:lineRule="auto"/>
        <w:ind w:firstLineChars="200" w:firstLine="480"/>
        <w:rPr>
          <w:sz w:val="24"/>
        </w:rPr>
      </w:pPr>
      <w:r w:rsidRPr="008D7D57">
        <w:rPr>
          <w:rFonts w:hint="eastAsia"/>
          <w:sz w:val="24"/>
        </w:rPr>
        <w:t>客户服务电话：</w:t>
      </w:r>
      <w:r w:rsidRPr="008D7D57">
        <w:rPr>
          <w:rFonts w:hint="eastAsia"/>
          <w:sz w:val="24"/>
        </w:rPr>
        <w:t>400-800-1001</w:t>
      </w:r>
    </w:p>
    <w:p w14:paraId="4388BBC6" w14:textId="77777777" w:rsidR="00C5750B" w:rsidRPr="008D7D57" w:rsidRDefault="00C5750B" w:rsidP="00C5750B">
      <w:pPr>
        <w:spacing w:line="360" w:lineRule="auto"/>
        <w:ind w:firstLineChars="200" w:firstLine="480"/>
        <w:rPr>
          <w:sz w:val="24"/>
        </w:rPr>
      </w:pPr>
      <w:r w:rsidRPr="008D7D57">
        <w:rPr>
          <w:rFonts w:hint="eastAsia"/>
          <w:sz w:val="24"/>
        </w:rPr>
        <w:t>网址：</w:t>
      </w:r>
      <w:r w:rsidRPr="008D7D57">
        <w:rPr>
          <w:rFonts w:hint="eastAsia"/>
          <w:sz w:val="24"/>
        </w:rPr>
        <w:t>www.essence.com.cn</w:t>
      </w:r>
    </w:p>
    <w:p w14:paraId="6F9877FD" w14:textId="77777777" w:rsidR="00C5750B" w:rsidRPr="008D7D57" w:rsidRDefault="00C5750B" w:rsidP="00C5750B">
      <w:pPr>
        <w:spacing w:line="360" w:lineRule="auto"/>
        <w:ind w:firstLineChars="200" w:firstLine="480"/>
        <w:rPr>
          <w:sz w:val="24"/>
        </w:rPr>
      </w:pPr>
      <w:r w:rsidRPr="008D7D57">
        <w:rPr>
          <w:rFonts w:hint="eastAsia"/>
          <w:sz w:val="24"/>
        </w:rPr>
        <w:t>（</w:t>
      </w:r>
      <w:r w:rsidRPr="008D7D57">
        <w:rPr>
          <w:rFonts w:hint="eastAsia"/>
          <w:sz w:val="24"/>
        </w:rPr>
        <w:t>15</w:t>
      </w:r>
      <w:r w:rsidRPr="008D7D57">
        <w:rPr>
          <w:rFonts w:hint="eastAsia"/>
          <w:sz w:val="24"/>
        </w:rPr>
        <w:t>）</w:t>
      </w:r>
      <w:r w:rsidRPr="008D7D57">
        <w:rPr>
          <w:rFonts w:hint="eastAsia"/>
          <w:sz w:val="24"/>
        </w:rPr>
        <w:t xml:space="preserve"> </w:t>
      </w:r>
      <w:r w:rsidRPr="008D7D57">
        <w:rPr>
          <w:rFonts w:hint="eastAsia"/>
          <w:sz w:val="24"/>
        </w:rPr>
        <w:t>申万宏源西部证券有限公司</w:t>
      </w:r>
    </w:p>
    <w:p w14:paraId="474015AD" w14:textId="77777777" w:rsidR="00C5750B" w:rsidRPr="008D7D57" w:rsidRDefault="00C5750B" w:rsidP="00C5750B">
      <w:pPr>
        <w:spacing w:line="360" w:lineRule="auto"/>
        <w:ind w:firstLineChars="200" w:firstLine="480"/>
        <w:rPr>
          <w:sz w:val="24"/>
        </w:rPr>
      </w:pPr>
      <w:r w:rsidRPr="008D7D57">
        <w:rPr>
          <w:rFonts w:hint="eastAsia"/>
          <w:sz w:val="24"/>
        </w:rPr>
        <w:t>住所：新疆乌鲁木齐市建设路</w:t>
      </w:r>
      <w:r w:rsidRPr="008D7D57">
        <w:rPr>
          <w:rFonts w:hint="eastAsia"/>
          <w:sz w:val="24"/>
        </w:rPr>
        <w:t>2</w:t>
      </w:r>
      <w:r w:rsidRPr="008D7D57">
        <w:rPr>
          <w:rFonts w:hint="eastAsia"/>
          <w:sz w:val="24"/>
        </w:rPr>
        <w:t>号</w:t>
      </w:r>
    </w:p>
    <w:p w14:paraId="008C75ED" w14:textId="77777777" w:rsidR="00C5750B" w:rsidRPr="008D7D57" w:rsidRDefault="00C5750B" w:rsidP="00C5750B">
      <w:pPr>
        <w:spacing w:line="360" w:lineRule="auto"/>
        <w:ind w:firstLineChars="200" w:firstLine="480"/>
        <w:rPr>
          <w:sz w:val="24"/>
        </w:rPr>
      </w:pPr>
      <w:r w:rsidRPr="008D7D57">
        <w:rPr>
          <w:rFonts w:hint="eastAsia"/>
          <w:sz w:val="24"/>
        </w:rPr>
        <w:t>办公地址：北京市西城区太平桥大街</w:t>
      </w:r>
      <w:r w:rsidRPr="008D7D57">
        <w:rPr>
          <w:rFonts w:hint="eastAsia"/>
          <w:sz w:val="24"/>
        </w:rPr>
        <w:t>19</w:t>
      </w:r>
      <w:r w:rsidRPr="008D7D57">
        <w:rPr>
          <w:rFonts w:hint="eastAsia"/>
          <w:sz w:val="24"/>
        </w:rPr>
        <w:t>号宏源证券</w:t>
      </w:r>
    </w:p>
    <w:p w14:paraId="2794C40A" w14:textId="77777777" w:rsidR="00C5750B" w:rsidRPr="008D7D57" w:rsidRDefault="00C5750B" w:rsidP="00C5750B">
      <w:pPr>
        <w:spacing w:line="360" w:lineRule="auto"/>
        <w:ind w:firstLineChars="200" w:firstLine="480"/>
        <w:rPr>
          <w:sz w:val="24"/>
        </w:rPr>
      </w:pPr>
      <w:r w:rsidRPr="008D7D57">
        <w:rPr>
          <w:rFonts w:hint="eastAsia"/>
          <w:sz w:val="24"/>
        </w:rPr>
        <w:t>法定代表人：冯戎</w:t>
      </w:r>
    </w:p>
    <w:p w14:paraId="11317D4B" w14:textId="77777777" w:rsidR="00C5750B" w:rsidRPr="008D7D57" w:rsidRDefault="00C5750B" w:rsidP="00C5750B">
      <w:pPr>
        <w:spacing w:line="360" w:lineRule="auto"/>
        <w:ind w:firstLineChars="200" w:firstLine="480"/>
        <w:rPr>
          <w:sz w:val="24"/>
        </w:rPr>
      </w:pPr>
      <w:r w:rsidRPr="008D7D57">
        <w:rPr>
          <w:rFonts w:hint="eastAsia"/>
          <w:sz w:val="24"/>
        </w:rPr>
        <w:t>电话：（</w:t>
      </w:r>
      <w:r w:rsidRPr="008D7D57">
        <w:rPr>
          <w:rFonts w:hint="eastAsia"/>
          <w:sz w:val="24"/>
        </w:rPr>
        <w:t>010</w:t>
      </w:r>
      <w:r w:rsidRPr="008D7D57">
        <w:rPr>
          <w:rFonts w:hint="eastAsia"/>
          <w:sz w:val="24"/>
        </w:rPr>
        <w:t>）</w:t>
      </w:r>
      <w:r w:rsidRPr="008D7D57">
        <w:rPr>
          <w:rFonts w:hint="eastAsia"/>
          <w:sz w:val="24"/>
        </w:rPr>
        <w:t>88085858</w:t>
      </w:r>
    </w:p>
    <w:p w14:paraId="32A05411" w14:textId="77777777" w:rsidR="00C5750B" w:rsidRPr="008D7D57" w:rsidRDefault="00C5750B" w:rsidP="00C5750B">
      <w:pPr>
        <w:spacing w:line="360" w:lineRule="auto"/>
        <w:ind w:firstLineChars="200" w:firstLine="480"/>
        <w:rPr>
          <w:sz w:val="24"/>
        </w:rPr>
      </w:pPr>
      <w:r w:rsidRPr="008D7D57">
        <w:rPr>
          <w:rFonts w:hint="eastAsia"/>
          <w:sz w:val="24"/>
        </w:rPr>
        <w:t>传真：（</w:t>
      </w:r>
      <w:r w:rsidRPr="008D7D57">
        <w:rPr>
          <w:rFonts w:hint="eastAsia"/>
          <w:sz w:val="24"/>
        </w:rPr>
        <w:t>010</w:t>
      </w:r>
      <w:r w:rsidRPr="008D7D57">
        <w:rPr>
          <w:rFonts w:hint="eastAsia"/>
          <w:sz w:val="24"/>
        </w:rPr>
        <w:t>）</w:t>
      </w:r>
      <w:r w:rsidRPr="008D7D57">
        <w:rPr>
          <w:rFonts w:hint="eastAsia"/>
          <w:sz w:val="24"/>
        </w:rPr>
        <w:t>88085195</w:t>
      </w:r>
    </w:p>
    <w:p w14:paraId="4BC5D9A5" w14:textId="77777777" w:rsidR="00C5750B" w:rsidRPr="008D7D57" w:rsidRDefault="00C5750B" w:rsidP="00C5750B">
      <w:pPr>
        <w:spacing w:line="360" w:lineRule="auto"/>
        <w:ind w:firstLineChars="200" w:firstLine="480"/>
        <w:rPr>
          <w:sz w:val="24"/>
        </w:rPr>
      </w:pPr>
      <w:r w:rsidRPr="008D7D57">
        <w:rPr>
          <w:rFonts w:hint="eastAsia"/>
          <w:sz w:val="24"/>
        </w:rPr>
        <w:t>联系人：李巍</w:t>
      </w:r>
    </w:p>
    <w:p w14:paraId="003B5963" w14:textId="77777777" w:rsidR="00C5750B" w:rsidRPr="008D7D57" w:rsidRDefault="00C5750B" w:rsidP="00C5750B">
      <w:pPr>
        <w:spacing w:line="360" w:lineRule="auto"/>
        <w:ind w:firstLineChars="200" w:firstLine="480"/>
        <w:rPr>
          <w:sz w:val="24"/>
        </w:rPr>
      </w:pPr>
      <w:r w:rsidRPr="008D7D57">
        <w:rPr>
          <w:rFonts w:hint="eastAsia"/>
          <w:sz w:val="24"/>
        </w:rPr>
        <w:t>客户服务电话：</w:t>
      </w:r>
      <w:r w:rsidRPr="008D7D57">
        <w:rPr>
          <w:rFonts w:hint="eastAsia"/>
          <w:sz w:val="24"/>
        </w:rPr>
        <w:t>4008-000-562</w:t>
      </w:r>
    </w:p>
    <w:p w14:paraId="7FE0DCDD" w14:textId="77777777" w:rsidR="00C5750B" w:rsidRPr="008D7D57" w:rsidRDefault="00C5750B" w:rsidP="00C5750B">
      <w:pPr>
        <w:spacing w:line="360" w:lineRule="auto"/>
        <w:ind w:firstLineChars="200" w:firstLine="480"/>
        <w:rPr>
          <w:sz w:val="24"/>
        </w:rPr>
      </w:pPr>
      <w:r w:rsidRPr="008D7D57">
        <w:rPr>
          <w:rFonts w:hint="eastAsia"/>
          <w:sz w:val="24"/>
        </w:rPr>
        <w:t>网址：</w:t>
      </w:r>
      <w:r w:rsidRPr="008D7D57">
        <w:rPr>
          <w:rFonts w:hint="eastAsia"/>
          <w:sz w:val="24"/>
        </w:rPr>
        <w:t>www.hysec.com</w:t>
      </w:r>
    </w:p>
    <w:p w14:paraId="70860970" w14:textId="77777777" w:rsidR="00C5750B" w:rsidRPr="008D7D57" w:rsidRDefault="00C5750B" w:rsidP="00C5750B">
      <w:pPr>
        <w:spacing w:line="360" w:lineRule="auto"/>
        <w:ind w:firstLineChars="200" w:firstLine="480"/>
        <w:rPr>
          <w:sz w:val="24"/>
        </w:rPr>
      </w:pPr>
      <w:r w:rsidRPr="008D7D57">
        <w:rPr>
          <w:rFonts w:hint="eastAsia"/>
          <w:sz w:val="24"/>
        </w:rPr>
        <w:t>（</w:t>
      </w:r>
      <w:r w:rsidRPr="008D7D57">
        <w:rPr>
          <w:rFonts w:hint="eastAsia"/>
          <w:sz w:val="24"/>
        </w:rPr>
        <w:t>16</w:t>
      </w:r>
      <w:r w:rsidRPr="008D7D57">
        <w:rPr>
          <w:rFonts w:hint="eastAsia"/>
          <w:sz w:val="24"/>
        </w:rPr>
        <w:t>）中泰证券股份有限公司</w:t>
      </w:r>
    </w:p>
    <w:p w14:paraId="6124FF5A" w14:textId="77777777" w:rsidR="00C5750B" w:rsidRPr="008D7D57" w:rsidRDefault="00C5750B" w:rsidP="00C5750B">
      <w:pPr>
        <w:spacing w:line="360" w:lineRule="auto"/>
        <w:ind w:firstLineChars="200" w:firstLine="480"/>
        <w:rPr>
          <w:sz w:val="24"/>
        </w:rPr>
      </w:pPr>
      <w:r w:rsidRPr="008D7D57">
        <w:rPr>
          <w:rFonts w:hint="eastAsia"/>
          <w:sz w:val="24"/>
        </w:rPr>
        <w:t>住所：山东省济南市市中区经七路</w:t>
      </w:r>
      <w:r w:rsidRPr="008D7D57">
        <w:rPr>
          <w:rFonts w:hint="eastAsia"/>
          <w:sz w:val="24"/>
        </w:rPr>
        <w:t>86</w:t>
      </w:r>
      <w:r w:rsidRPr="008D7D57">
        <w:rPr>
          <w:rFonts w:hint="eastAsia"/>
          <w:sz w:val="24"/>
        </w:rPr>
        <w:t>号</w:t>
      </w:r>
    </w:p>
    <w:p w14:paraId="63650EAA" w14:textId="77777777" w:rsidR="00C5750B" w:rsidRPr="008D7D57" w:rsidRDefault="00C5750B" w:rsidP="00C5750B">
      <w:pPr>
        <w:spacing w:line="360" w:lineRule="auto"/>
        <w:ind w:firstLineChars="200" w:firstLine="480"/>
        <w:rPr>
          <w:sz w:val="24"/>
        </w:rPr>
      </w:pPr>
      <w:r w:rsidRPr="008D7D57">
        <w:rPr>
          <w:rFonts w:hint="eastAsia"/>
          <w:sz w:val="24"/>
        </w:rPr>
        <w:t>办公地址：山东省济南市市中区经七路</w:t>
      </w:r>
      <w:r w:rsidRPr="008D7D57">
        <w:rPr>
          <w:rFonts w:hint="eastAsia"/>
          <w:sz w:val="24"/>
        </w:rPr>
        <w:t>86</w:t>
      </w:r>
      <w:r w:rsidRPr="008D7D57">
        <w:rPr>
          <w:rFonts w:hint="eastAsia"/>
          <w:sz w:val="24"/>
        </w:rPr>
        <w:t>号</w:t>
      </w:r>
    </w:p>
    <w:p w14:paraId="36F069F9" w14:textId="77777777" w:rsidR="00C5750B" w:rsidRPr="008D7D57" w:rsidRDefault="00C5750B" w:rsidP="00C5750B">
      <w:pPr>
        <w:spacing w:line="360" w:lineRule="auto"/>
        <w:ind w:firstLineChars="200" w:firstLine="480"/>
        <w:rPr>
          <w:sz w:val="24"/>
        </w:rPr>
      </w:pPr>
      <w:r w:rsidRPr="008D7D57">
        <w:rPr>
          <w:rFonts w:hint="eastAsia"/>
          <w:sz w:val="24"/>
        </w:rPr>
        <w:t>法定代表人：李玮</w:t>
      </w:r>
    </w:p>
    <w:p w14:paraId="401E439C" w14:textId="77777777" w:rsidR="00C5750B" w:rsidRPr="008D7D57" w:rsidRDefault="00C5750B" w:rsidP="00C5750B">
      <w:pPr>
        <w:spacing w:line="360" w:lineRule="auto"/>
        <w:ind w:firstLineChars="200" w:firstLine="480"/>
        <w:rPr>
          <w:sz w:val="24"/>
        </w:rPr>
      </w:pPr>
      <w:r w:rsidRPr="008D7D57">
        <w:rPr>
          <w:rFonts w:hint="eastAsia"/>
          <w:sz w:val="24"/>
        </w:rPr>
        <w:t>电话：（</w:t>
      </w:r>
      <w:r w:rsidRPr="008D7D57">
        <w:rPr>
          <w:rFonts w:hint="eastAsia"/>
          <w:sz w:val="24"/>
        </w:rPr>
        <w:t>0531</w:t>
      </w:r>
      <w:r w:rsidRPr="008D7D57">
        <w:rPr>
          <w:rFonts w:hint="eastAsia"/>
          <w:sz w:val="24"/>
        </w:rPr>
        <w:t>）</w:t>
      </w:r>
      <w:r w:rsidRPr="008D7D57">
        <w:rPr>
          <w:rFonts w:hint="eastAsia"/>
          <w:sz w:val="24"/>
        </w:rPr>
        <w:t>68889155</w:t>
      </w:r>
    </w:p>
    <w:p w14:paraId="64147C74" w14:textId="77777777" w:rsidR="00C5750B" w:rsidRPr="008D7D57" w:rsidRDefault="00C5750B" w:rsidP="00C5750B">
      <w:pPr>
        <w:spacing w:line="360" w:lineRule="auto"/>
        <w:ind w:firstLineChars="200" w:firstLine="480"/>
        <w:rPr>
          <w:sz w:val="24"/>
        </w:rPr>
      </w:pPr>
      <w:r w:rsidRPr="008D7D57">
        <w:rPr>
          <w:rFonts w:hint="eastAsia"/>
          <w:sz w:val="24"/>
        </w:rPr>
        <w:t>传真：（</w:t>
      </w:r>
      <w:r w:rsidRPr="008D7D57">
        <w:rPr>
          <w:rFonts w:hint="eastAsia"/>
          <w:sz w:val="24"/>
        </w:rPr>
        <w:t>0531</w:t>
      </w:r>
      <w:r w:rsidRPr="008D7D57">
        <w:rPr>
          <w:rFonts w:hint="eastAsia"/>
          <w:sz w:val="24"/>
        </w:rPr>
        <w:t>）</w:t>
      </w:r>
      <w:r w:rsidRPr="008D7D57">
        <w:rPr>
          <w:rFonts w:hint="eastAsia"/>
          <w:sz w:val="24"/>
        </w:rPr>
        <w:t>68889752</w:t>
      </w:r>
    </w:p>
    <w:p w14:paraId="00F7649B" w14:textId="77777777" w:rsidR="00C5750B" w:rsidRPr="008D7D57" w:rsidRDefault="00C5750B" w:rsidP="00C5750B">
      <w:pPr>
        <w:spacing w:line="360" w:lineRule="auto"/>
        <w:ind w:firstLineChars="200" w:firstLine="480"/>
        <w:rPr>
          <w:sz w:val="24"/>
        </w:rPr>
      </w:pPr>
      <w:r w:rsidRPr="008D7D57">
        <w:rPr>
          <w:rFonts w:hint="eastAsia"/>
          <w:sz w:val="24"/>
        </w:rPr>
        <w:t>联系人：吴阳</w:t>
      </w:r>
    </w:p>
    <w:p w14:paraId="2DDB4874" w14:textId="77777777" w:rsidR="00C5750B" w:rsidRPr="008D7D57" w:rsidRDefault="00C5750B" w:rsidP="00C5750B">
      <w:pPr>
        <w:spacing w:line="360" w:lineRule="auto"/>
        <w:ind w:firstLineChars="200" w:firstLine="480"/>
        <w:rPr>
          <w:sz w:val="24"/>
        </w:rPr>
      </w:pPr>
      <w:r w:rsidRPr="008D7D57">
        <w:rPr>
          <w:rFonts w:hint="eastAsia"/>
          <w:sz w:val="24"/>
        </w:rPr>
        <w:t>客户服务电话：</w:t>
      </w:r>
      <w:r w:rsidRPr="008D7D57">
        <w:rPr>
          <w:rFonts w:hint="eastAsia"/>
          <w:sz w:val="24"/>
        </w:rPr>
        <w:t>95538</w:t>
      </w:r>
    </w:p>
    <w:p w14:paraId="5077622F" w14:textId="77777777" w:rsidR="00C5750B" w:rsidRPr="008D7D57" w:rsidRDefault="00C5750B" w:rsidP="00C5750B">
      <w:pPr>
        <w:spacing w:line="360" w:lineRule="auto"/>
        <w:ind w:firstLineChars="200" w:firstLine="480"/>
        <w:rPr>
          <w:sz w:val="24"/>
        </w:rPr>
      </w:pPr>
      <w:r w:rsidRPr="008D7D57">
        <w:rPr>
          <w:rFonts w:hint="eastAsia"/>
          <w:sz w:val="24"/>
        </w:rPr>
        <w:t>网址：</w:t>
      </w:r>
      <w:r w:rsidRPr="008D7D57">
        <w:rPr>
          <w:rFonts w:hint="eastAsia"/>
          <w:sz w:val="24"/>
        </w:rPr>
        <w:t>www.qlzq.com.cn</w:t>
      </w:r>
    </w:p>
    <w:p w14:paraId="0EFE7477" w14:textId="77777777" w:rsidR="00C5750B" w:rsidRPr="008D7D57" w:rsidRDefault="00C5750B" w:rsidP="00C5750B">
      <w:pPr>
        <w:spacing w:line="360" w:lineRule="auto"/>
        <w:ind w:firstLineChars="200" w:firstLine="480"/>
        <w:rPr>
          <w:sz w:val="24"/>
        </w:rPr>
      </w:pPr>
      <w:r w:rsidRPr="008D7D57">
        <w:rPr>
          <w:rFonts w:hint="eastAsia"/>
          <w:sz w:val="24"/>
        </w:rPr>
        <w:t>（</w:t>
      </w:r>
      <w:r w:rsidRPr="008D7D57">
        <w:rPr>
          <w:rFonts w:hint="eastAsia"/>
          <w:sz w:val="24"/>
        </w:rPr>
        <w:t>17</w:t>
      </w:r>
      <w:r w:rsidRPr="008D7D57">
        <w:rPr>
          <w:rFonts w:hint="eastAsia"/>
          <w:sz w:val="24"/>
        </w:rPr>
        <w:t>）</w:t>
      </w:r>
      <w:r w:rsidRPr="008D7D57">
        <w:rPr>
          <w:rFonts w:hint="eastAsia"/>
          <w:sz w:val="24"/>
        </w:rPr>
        <w:t xml:space="preserve"> </w:t>
      </w:r>
      <w:r w:rsidRPr="008D7D57">
        <w:rPr>
          <w:rFonts w:hint="eastAsia"/>
          <w:sz w:val="24"/>
        </w:rPr>
        <w:t>平安证券有限责任公司</w:t>
      </w:r>
    </w:p>
    <w:p w14:paraId="52C6AAAF" w14:textId="77777777" w:rsidR="00C5750B" w:rsidRPr="008D7D57" w:rsidRDefault="00C5750B" w:rsidP="00C5750B">
      <w:pPr>
        <w:spacing w:line="360" w:lineRule="auto"/>
        <w:ind w:firstLineChars="200" w:firstLine="480"/>
        <w:rPr>
          <w:sz w:val="24"/>
        </w:rPr>
      </w:pPr>
      <w:r w:rsidRPr="008D7D57">
        <w:rPr>
          <w:rFonts w:hint="eastAsia"/>
          <w:sz w:val="24"/>
        </w:rPr>
        <w:t>住所：深圳市福田区金田路大中华国际交易广场裙楼</w:t>
      </w:r>
      <w:r w:rsidRPr="008D7D57">
        <w:rPr>
          <w:rFonts w:hint="eastAsia"/>
          <w:sz w:val="24"/>
        </w:rPr>
        <w:t>8</w:t>
      </w:r>
      <w:r w:rsidRPr="008D7D57">
        <w:rPr>
          <w:rFonts w:hint="eastAsia"/>
          <w:sz w:val="24"/>
        </w:rPr>
        <w:t>楼</w:t>
      </w:r>
    </w:p>
    <w:p w14:paraId="2A8ED0EB" w14:textId="77777777" w:rsidR="00C5750B" w:rsidRPr="008D7D57" w:rsidRDefault="00C5750B" w:rsidP="00C5750B">
      <w:pPr>
        <w:spacing w:line="360" w:lineRule="auto"/>
        <w:ind w:firstLineChars="200" w:firstLine="480"/>
        <w:rPr>
          <w:sz w:val="24"/>
        </w:rPr>
      </w:pPr>
      <w:r w:rsidRPr="008D7D57">
        <w:rPr>
          <w:rFonts w:hint="eastAsia"/>
          <w:sz w:val="24"/>
        </w:rPr>
        <w:t>办公地址：深圳市福田区金田路大中华国际交易广场裙楼</w:t>
      </w:r>
      <w:r w:rsidRPr="008D7D57">
        <w:rPr>
          <w:rFonts w:hint="eastAsia"/>
          <w:sz w:val="24"/>
        </w:rPr>
        <w:t>8</w:t>
      </w:r>
      <w:r w:rsidRPr="008D7D57">
        <w:rPr>
          <w:rFonts w:hint="eastAsia"/>
          <w:sz w:val="24"/>
        </w:rPr>
        <w:t>楼</w:t>
      </w:r>
      <w:r w:rsidRPr="008D7D57">
        <w:rPr>
          <w:rFonts w:hint="eastAsia"/>
          <w:sz w:val="24"/>
        </w:rPr>
        <w:t>(518048)</w:t>
      </w:r>
    </w:p>
    <w:p w14:paraId="43F19CF0" w14:textId="77777777" w:rsidR="00C5750B" w:rsidRPr="008D7D57" w:rsidRDefault="00C5750B" w:rsidP="00C5750B">
      <w:pPr>
        <w:spacing w:line="360" w:lineRule="auto"/>
        <w:ind w:firstLineChars="200" w:firstLine="480"/>
        <w:rPr>
          <w:sz w:val="24"/>
        </w:rPr>
      </w:pPr>
      <w:r w:rsidRPr="008D7D57">
        <w:rPr>
          <w:rFonts w:hint="eastAsia"/>
          <w:sz w:val="24"/>
        </w:rPr>
        <w:t>法定代表人：杨宇翔</w:t>
      </w:r>
    </w:p>
    <w:p w14:paraId="271E8DAA" w14:textId="77777777" w:rsidR="00C5750B" w:rsidRPr="008D7D57" w:rsidRDefault="00C5750B" w:rsidP="00C5750B">
      <w:pPr>
        <w:spacing w:line="360" w:lineRule="auto"/>
        <w:ind w:firstLineChars="200" w:firstLine="480"/>
        <w:rPr>
          <w:sz w:val="24"/>
        </w:rPr>
      </w:pPr>
      <w:r w:rsidRPr="008D7D57">
        <w:rPr>
          <w:rFonts w:hint="eastAsia"/>
          <w:sz w:val="24"/>
        </w:rPr>
        <w:t>电话：（</w:t>
      </w:r>
      <w:r w:rsidRPr="008D7D57">
        <w:rPr>
          <w:rFonts w:hint="eastAsia"/>
          <w:sz w:val="24"/>
        </w:rPr>
        <w:t>0755</w:t>
      </w:r>
      <w:r w:rsidRPr="008D7D57">
        <w:rPr>
          <w:rFonts w:hint="eastAsia"/>
          <w:sz w:val="24"/>
        </w:rPr>
        <w:t>）</w:t>
      </w:r>
      <w:r w:rsidRPr="008D7D57">
        <w:rPr>
          <w:rFonts w:hint="eastAsia"/>
          <w:sz w:val="24"/>
        </w:rPr>
        <w:t>22627802</w:t>
      </w:r>
    </w:p>
    <w:p w14:paraId="5A2D6A81" w14:textId="77777777" w:rsidR="00C5750B" w:rsidRPr="008D7D57" w:rsidRDefault="00C5750B" w:rsidP="00C5750B">
      <w:pPr>
        <w:spacing w:line="360" w:lineRule="auto"/>
        <w:ind w:firstLineChars="200" w:firstLine="480"/>
        <w:rPr>
          <w:sz w:val="24"/>
        </w:rPr>
      </w:pPr>
      <w:r w:rsidRPr="008D7D57">
        <w:rPr>
          <w:rFonts w:hint="eastAsia"/>
          <w:sz w:val="24"/>
        </w:rPr>
        <w:lastRenderedPageBreak/>
        <w:t>传真：（</w:t>
      </w:r>
      <w:r w:rsidRPr="008D7D57">
        <w:rPr>
          <w:rFonts w:hint="eastAsia"/>
          <w:sz w:val="24"/>
        </w:rPr>
        <w:t>0755</w:t>
      </w:r>
      <w:r w:rsidRPr="008D7D57">
        <w:rPr>
          <w:rFonts w:hint="eastAsia"/>
          <w:sz w:val="24"/>
        </w:rPr>
        <w:t>）</w:t>
      </w:r>
      <w:r w:rsidRPr="008D7D57">
        <w:rPr>
          <w:rFonts w:hint="eastAsia"/>
          <w:sz w:val="24"/>
        </w:rPr>
        <w:t>82400862</w:t>
      </w:r>
    </w:p>
    <w:p w14:paraId="1B5BB61A" w14:textId="77777777" w:rsidR="00C5750B" w:rsidRPr="008D7D57" w:rsidRDefault="00C5750B" w:rsidP="00C5750B">
      <w:pPr>
        <w:spacing w:line="360" w:lineRule="auto"/>
        <w:ind w:firstLineChars="200" w:firstLine="480"/>
        <w:rPr>
          <w:sz w:val="24"/>
        </w:rPr>
      </w:pPr>
      <w:r w:rsidRPr="008D7D57">
        <w:rPr>
          <w:rFonts w:hint="eastAsia"/>
          <w:sz w:val="24"/>
        </w:rPr>
        <w:t>联系人：郑舒丽</w:t>
      </w:r>
    </w:p>
    <w:p w14:paraId="2865B1C1" w14:textId="77777777" w:rsidR="00C5750B" w:rsidRPr="008D7D57" w:rsidRDefault="00C5750B" w:rsidP="00C5750B">
      <w:pPr>
        <w:spacing w:line="360" w:lineRule="auto"/>
        <w:ind w:firstLineChars="200" w:firstLine="480"/>
        <w:rPr>
          <w:sz w:val="24"/>
        </w:rPr>
      </w:pPr>
      <w:r w:rsidRPr="008D7D57">
        <w:rPr>
          <w:rFonts w:hint="eastAsia"/>
          <w:sz w:val="24"/>
        </w:rPr>
        <w:t>客户服务电话：</w:t>
      </w:r>
      <w:r w:rsidRPr="008D7D57">
        <w:rPr>
          <w:rFonts w:hint="eastAsia"/>
          <w:sz w:val="24"/>
        </w:rPr>
        <w:t>95511-8</w:t>
      </w:r>
    </w:p>
    <w:p w14:paraId="6060F654" w14:textId="77777777" w:rsidR="00C5750B" w:rsidRPr="008D7D57" w:rsidRDefault="00C5750B" w:rsidP="00C5750B">
      <w:pPr>
        <w:spacing w:line="360" w:lineRule="auto"/>
        <w:ind w:firstLineChars="200" w:firstLine="480"/>
        <w:rPr>
          <w:sz w:val="24"/>
        </w:rPr>
      </w:pPr>
      <w:r w:rsidRPr="008D7D57">
        <w:rPr>
          <w:rFonts w:hint="eastAsia"/>
          <w:sz w:val="24"/>
        </w:rPr>
        <w:t>网址：</w:t>
      </w:r>
      <w:r w:rsidRPr="008D7D57">
        <w:rPr>
          <w:rFonts w:hint="eastAsia"/>
          <w:sz w:val="24"/>
        </w:rPr>
        <w:t>www.pingan.com</w:t>
      </w:r>
    </w:p>
    <w:p w14:paraId="02D6DDB8" w14:textId="77777777" w:rsidR="00C5750B" w:rsidRPr="008D7D57" w:rsidRDefault="00C5750B" w:rsidP="00C5750B">
      <w:pPr>
        <w:spacing w:line="360" w:lineRule="auto"/>
        <w:ind w:firstLineChars="200" w:firstLine="480"/>
        <w:rPr>
          <w:sz w:val="24"/>
        </w:rPr>
      </w:pPr>
      <w:r w:rsidRPr="008D7D57">
        <w:rPr>
          <w:rFonts w:hint="eastAsia"/>
          <w:sz w:val="24"/>
        </w:rPr>
        <w:t>（</w:t>
      </w:r>
      <w:r w:rsidRPr="008D7D57">
        <w:rPr>
          <w:rFonts w:hint="eastAsia"/>
          <w:sz w:val="24"/>
        </w:rPr>
        <w:t>18</w:t>
      </w:r>
      <w:r w:rsidRPr="008D7D57">
        <w:rPr>
          <w:rFonts w:hint="eastAsia"/>
          <w:sz w:val="24"/>
        </w:rPr>
        <w:t>）</w:t>
      </w:r>
      <w:r w:rsidRPr="008D7D57">
        <w:rPr>
          <w:rFonts w:hint="eastAsia"/>
          <w:sz w:val="24"/>
        </w:rPr>
        <w:t xml:space="preserve"> </w:t>
      </w:r>
      <w:r w:rsidRPr="008D7D57">
        <w:rPr>
          <w:rFonts w:hint="eastAsia"/>
          <w:sz w:val="24"/>
        </w:rPr>
        <w:t>华宝证券有限责任公司</w:t>
      </w:r>
    </w:p>
    <w:p w14:paraId="08049039" w14:textId="77777777" w:rsidR="00C5750B" w:rsidRPr="008D7D57" w:rsidRDefault="00C5750B" w:rsidP="00C5750B">
      <w:pPr>
        <w:spacing w:line="360" w:lineRule="auto"/>
        <w:ind w:firstLineChars="200" w:firstLine="480"/>
        <w:rPr>
          <w:sz w:val="24"/>
        </w:rPr>
      </w:pPr>
      <w:r w:rsidRPr="008D7D57">
        <w:rPr>
          <w:rFonts w:hint="eastAsia"/>
          <w:sz w:val="24"/>
        </w:rPr>
        <w:t>住所：中国上海市陆家嘴环路</w:t>
      </w:r>
      <w:r w:rsidRPr="008D7D57">
        <w:rPr>
          <w:rFonts w:hint="eastAsia"/>
          <w:sz w:val="24"/>
        </w:rPr>
        <w:t>166</w:t>
      </w:r>
      <w:r w:rsidRPr="008D7D57">
        <w:rPr>
          <w:rFonts w:hint="eastAsia"/>
          <w:sz w:val="24"/>
        </w:rPr>
        <w:t>号未来资产大厦</w:t>
      </w:r>
      <w:r w:rsidRPr="008D7D57">
        <w:rPr>
          <w:rFonts w:hint="eastAsia"/>
          <w:sz w:val="24"/>
        </w:rPr>
        <w:t>27</w:t>
      </w:r>
      <w:r w:rsidRPr="008D7D57">
        <w:rPr>
          <w:rFonts w:hint="eastAsia"/>
          <w:sz w:val="24"/>
        </w:rPr>
        <w:t>楼</w:t>
      </w:r>
    </w:p>
    <w:p w14:paraId="321D8CEA" w14:textId="77777777" w:rsidR="00C5750B" w:rsidRPr="008D7D57" w:rsidRDefault="00C5750B" w:rsidP="00C5750B">
      <w:pPr>
        <w:spacing w:line="360" w:lineRule="auto"/>
        <w:ind w:firstLineChars="200" w:firstLine="480"/>
        <w:rPr>
          <w:sz w:val="24"/>
        </w:rPr>
      </w:pPr>
      <w:r w:rsidRPr="008D7D57">
        <w:rPr>
          <w:rFonts w:hint="eastAsia"/>
          <w:sz w:val="24"/>
        </w:rPr>
        <w:t>办公地址：中国上海市浦东新区世纪大道</w:t>
      </w:r>
      <w:r w:rsidRPr="008D7D57">
        <w:rPr>
          <w:rFonts w:hint="eastAsia"/>
          <w:sz w:val="24"/>
        </w:rPr>
        <w:t>100</w:t>
      </w:r>
      <w:r w:rsidRPr="008D7D57">
        <w:rPr>
          <w:rFonts w:hint="eastAsia"/>
          <w:sz w:val="24"/>
        </w:rPr>
        <w:t>号上海环球金融中心</w:t>
      </w:r>
      <w:r w:rsidRPr="008D7D57">
        <w:rPr>
          <w:rFonts w:hint="eastAsia"/>
          <w:sz w:val="24"/>
        </w:rPr>
        <w:t>57</w:t>
      </w:r>
      <w:r w:rsidRPr="008D7D57">
        <w:rPr>
          <w:rFonts w:hint="eastAsia"/>
          <w:sz w:val="24"/>
        </w:rPr>
        <w:t>楼</w:t>
      </w:r>
    </w:p>
    <w:p w14:paraId="32B3ABF0" w14:textId="77777777" w:rsidR="00C5750B" w:rsidRPr="008D7D57" w:rsidRDefault="00C5750B" w:rsidP="00C5750B">
      <w:pPr>
        <w:spacing w:line="360" w:lineRule="auto"/>
        <w:ind w:firstLineChars="200" w:firstLine="480"/>
        <w:rPr>
          <w:sz w:val="24"/>
        </w:rPr>
      </w:pPr>
      <w:r w:rsidRPr="008D7D57">
        <w:rPr>
          <w:rFonts w:hint="eastAsia"/>
          <w:sz w:val="24"/>
        </w:rPr>
        <w:t>法定代表人：</w:t>
      </w:r>
      <w:r w:rsidRPr="008D7D57">
        <w:rPr>
          <w:rFonts w:hint="eastAsia"/>
          <w:sz w:val="24"/>
        </w:rPr>
        <w:t xml:space="preserve"> </w:t>
      </w:r>
      <w:r w:rsidRPr="008D7D57">
        <w:rPr>
          <w:rFonts w:hint="eastAsia"/>
          <w:sz w:val="24"/>
        </w:rPr>
        <w:t>陈林</w:t>
      </w:r>
    </w:p>
    <w:p w14:paraId="31D7F6F5" w14:textId="77777777" w:rsidR="00C5750B" w:rsidRPr="008D7D57" w:rsidRDefault="00C5750B" w:rsidP="00C5750B">
      <w:pPr>
        <w:spacing w:line="360" w:lineRule="auto"/>
        <w:ind w:firstLineChars="200" w:firstLine="480"/>
        <w:rPr>
          <w:sz w:val="24"/>
        </w:rPr>
      </w:pPr>
      <w:r w:rsidRPr="008D7D57">
        <w:rPr>
          <w:rFonts w:hint="eastAsia"/>
          <w:sz w:val="24"/>
        </w:rPr>
        <w:t>电话：（</w:t>
      </w:r>
      <w:r w:rsidRPr="008D7D57">
        <w:rPr>
          <w:rFonts w:hint="eastAsia"/>
          <w:sz w:val="24"/>
        </w:rPr>
        <w:t>021</w:t>
      </w:r>
      <w:r w:rsidRPr="008D7D57">
        <w:rPr>
          <w:rFonts w:hint="eastAsia"/>
          <w:sz w:val="24"/>
        </w:rPr>
        <w:t>）</w:t>
      </w:r>
      <w:r w:rsidRPr="008D7D57">
        <w:rPr>
          <w:rFonts w:hint="eastAsia"/>
          <w:sz w:val="24"/>
        </w:rPr>
        <w:t>68777222</w:t>
      </w:r>
    </w:p>
    <w:p w14:paraId="4529F241" w14:textId="77777777" w:rsidR="00C5750B" w:rsidRPr="008D7D57" w:rsidRDefault="00C5750B" w:rsidP="00C5750B">
      <w:pPr>
        <w:spacing w:line="360" w:lineRule="auto"/>
        <w:ind w:firstLineChars="200" w:firstLine="480"/>
        <w:rPr>
          <w:sz w:val="24"/>
        </w:rPr>
      </w:pPr>
      <w:r w:rsidRPr="008D7D57">
        <w:rPr>
          <w:rFonts w:hint="eastAsia"/>
          <w:sz w:val="24"/>
        </w:rPr>
        <w:t>传真：（</w:t>
      </w:r>
      <w:r w:rsidRPr="008D7D57">
        <w:rPr>
          <w:rFonts w:hint="eastAsia"/>
          <w:sz w:val="24"/>
        </w:rPr>
        <w:t>021</w:t>
      </w:r>
      <w:r w:rsidRPr="008D7D57">
        <w:rPr>
          <w:rFonts w:hint="eastAsia"/>
          <w:sz w:val="24"/>
        </w:rPr>
        <w:t>）</w:t>
      </w:r>
      <w:r w:rsidRPr="008D7D57">
        <w:rPr>
          <w:rFonts w:hint="eastAsia"/>
          <w:sz w:val="24"/>
        </w:rPr>
        <w:t>68777822</w:t>
      </w:r>
    </w:p>
    <w:p w14:paraId="753F7041" w14:textId="77777777" w:rsidR="00C5750B" w:rsidRPr="008D7D57" w:rsidRDefault="00C5750B" w:rsidP="00C5750B">
      <w:pPr>
        <w:spacing w:line="360" w:lineRule="auto"/>
        <w:ind w:firstLineChars="200" w:firstLine="480"/>
        <w:rPr>
          <w:sz w:val="24"/>
        </w:rPr>
      </w:pPr>
      <w:r w:rsidRPr="008D7D57">
        <w:rPr>
          <w:rFonts w:hint="eastAsia"/>
          <w:sz w:val="24"/>
        </w:rPr>
        <w:t>联系人：赵洁</w:t>
      </w:r>
    </w:p>
    <w:p w14:paraId="1DC25E75" w14:textId="77777777" w:rsidR="00C5750B" w:rsidRPr="008D7D57" w:rsidRDefault="00C5750B" w:rsidP="00C5750B">
      <w:pPr>
        <w:spacing w:line="360" w:lineRule="auto"/>
        <w:ind w:firstLineChars="200" w:firstLine="480"/>
        <w:rPr>
          <w:sz w:val="24"/>
        </w:rPr>
      </w:pPr>
      <w:r w:rsidRPr="008D7D57">
        <w:rPr>
          <w:rFonts w:hint="eastAsia"/>
          <w:sz w:val="24"/>
        </w:rPr>
        <w:t>客户服务电话：</w:t>
      </w:r>
      <w:r w:rsidRPr="008D7D57">
        <w:rPr>
          <w:rFonts w:hint="eastAsia"/>
          <w:sz w:val="24"/>
        </w:rPr>
        <w:t>400-820-9898</w:t>
      </w:r>
    </w:p>
    <w:p w14:paraId="44AE7742" w14:textId="77777777" w:rsidR="00C5750B" w:rsidRPr="008D7D57" w:rsidRDefault="00C5750B" w:rsidP="00C5750B">
      <w:pPr>
        <w:spacing w:line="360" w:lineRule="auto"/>
        <w:ind w:firstLineChars="200" w:firstLine="480"/>
        <w:rPr>
          <w:sz w:val="24"/>
        </w:rPr>
      </w:pPr>
      <w:r w:rsidRPr="008D7D57">
        <w:rPr>
          <w:rFonts w:hint="eastAsia"/>
          <w:sz w:val="24"/>
        </w:rPr>
        <w:t>网址：</w:t>
      </w:r>
      <w:r w:rsidRPr="008D7D57">
        <w:rPr>
          <w:rFonts w:hint="eastAsia"/>
          <w:sz w:val="24"/>
        </w:rPr>
        <w:t>www.cnhbstock.com</w:t>
      </w:r>
    </w:p>
    <w:p w14:paraId="74220720" w14:textId="77777777" w:rsidR="00C5750B" w:rsidRPr="008D7D57" w:rsidRDefault="00C5750B" w:rsidP="00C5750B">
      <w:pPr>
        <w:spacing w:line="360" w:lineRule="auto"/>
        <w:ind w:firstLineChars="200" w:firstLine="480"/>
        <w:rPr>
          <w:sz w:val="24"/>
        </w:rPr>
      </w:pPr>
      <w:r w:rsidRPr="008D7D57">
        <w:rPr>
          <w:rFonts w:hint="eastAsia"/>
          <w:sz w:val="24"/>
        </w:rPr>
        <w:t>（</w:t>
      </w:r>
      <w:r w:rsidRPr="008D7D57">
        <w:rPr>
          <w:rFonts w:hint="eastAsia"/>
          <w:sz w:val="24"/>
        </w:rPr>
        <w:t>19</w:t>
      </w:r>
      <w:r w:rsidRPr="008D7D57">
        <w:rPr>
          <w:rFonts w:hint="eastAsia"/>
          <w:sz w:val="24"/>
        </w:rPr>
        <w:t>）</w:t>
      </w:r>
      <w:r w:rsidRPr="008D7D57">
        <w:rPr>
          <w:rFonts w:hint="eastAsia"/>
          <w:sz w:val="24"/>
        </w:rPr>
        <w:t xml:space="preserve"> </w:t>
      </w:r>
      <w:r w:rsidRPr="008D7D57">
        <w:rPr>
          <w:rFonts w:hint="eastAsia"/>
          <w:sz w:val="24"/>
        </w:rPr>
        <w:t>国金证券股份有限公司</w:t>
      </w:r>
    </w:p>
    <w:p w14:paraId="587842E5" w14:textId="77777777" w:rsidR="00C5750B" w:rsidRPr="008D7D57" w:rsidRDefault="00C5750B" w:rsidP="00C5750B">
      <w:pPr>
        <w:spacing w:line="360" w:lineRule="auto"/>
        <w:ind w:firstLineChars="200" w:firstLine="480"/>
        <w:rPr>
          <w:sz w:val="24"/>
        </w:rPr>
      </w:pPr>
      <w:r w:rsidRPr="008D7D57">
        <w:rPr>
          <w:rFonts w:hint="eastAsia"/>
          <w:sz w:val="24"/>
        </w:rPr>
        <w:t>住所：成都市东城根上街</w:t>
      </w:r>
      <w:r w:rsidRPr="008D7D57">
        <w:rPr>
          <w:rFonts w:hint="eastAsia"/>
          <w:sz w:val="24"/>
        </w:rPr>
        <w:t>95</w:t>
      </w:r>
      <w:r w:rsidRPr="008D7D57">
        <w:rPr>
          <w:rFonts w:hint="eastAsia"/>
          <w:sz w:val="24"/>
        </w:rPr>
        <w:t>号</w:t>
      </w:r>
    </w:p>
    <w:p w14:paraId="18AB372A" w14:textId="77777777" w:rsidR="00C5750B" w:rsidRPr="008D7D57" w:rsidRDefault="00C5750B" w:rsidP="00C5750B">
      <w:pPr>
        <w:spacing w:line="360" w:lineRule="auto"/>
        <w:ind w:firstLineChars="200" w:firstLine="480"/>
        <w:rPr>
          <w:sz w:val="24"/>
        </w:rPr>
      </w:pPr>
      <w:r w:rsidRPr="008D7D57">
        <w:rPr>
          <w:rFonts w:hint="eastAsia"/>
          <w:sz w:val="24"/>
        </w:rPr>
        <w:t>办公地址：成都市东城根上街</w:t>
      </w:r>
      <w:r w:rsidRPr="008D7D57">
        <w:rPr>
          <w:rFonts w:hint="eastAsia"/>
          <w:sz w:val="24"/>
        </w:rPr>
        <w:t>95</w:t>
      </w:r>
      <w:r w:rsidRPr="008D7D57">
        <w:rPr>
          <w:rFonts w:hint="eastAsia"/>
          <w:sz w:val="24"/>
        </w:rPr>
        <w:t>号</w:t>
      </w:r>
    </w:p>
    <w:p w14:paraId="7B701647" w14:textId="77777777" w:rsidR="00C5750B" w:rsidRPr="008D7D57" w:rsidRDefault="00C5750B" w:rsidP="00C5750B">
      <w:pPr>
        <w:spacing w:line="360" w:lineRule="auto"/>
        <w:ind w:firstLineChars="200" w:firstLine="480"/>
        <w:rPr>
          <w:sz w:val="24"/>
        </w:rPr>
      </w:pPr>
      <w:r w:rsidRPr="008D7D57">
        <w:rPr>
          <w:rFonts w:hint="eastAsia"/>
          <w:sz w:val="24"/>
        </w:rPr>
        <w:t>法定代表人：冉云</w:t>
      </w:r>
      <w:r w:rsidRPr="008D7D57">
        <w:rPr>
          <w:rFonts w:hint="eastAsia"/>
          <w:sz w:val="24"/>
        </w:rPr>
        <w:t xml:space="preserve"> </w:t>
      </w:r>
    </w:p>
    <w:p w14:paraId="1613A1B3" w14:textId="77777777" w:rsidR="00C5750B" w:rsidRPr="008D7D57" w:rsidRDefault="00C5750B" w:rsidP="00C5750B">
      <w:pPr>
        <w:spacing w:line="360" w:lineRule="auto"/>
        <w:ind w:firstLineChars="200" w:firstLine="480"/>
        <w:rPr>
          <w:sz w:val="24"/>
        </w:rPr>
      </w:pPr>
      <w:r w:rsidRPr="008D7D57">
        <w:rPr>
          <w:rFonts w:hint="eastAsia"/>
          <w:sz w:val="24"/>
        </w:rPr>
        <w:t>电话：（</w:t>
      </w:r>
      <w:r w:rsidRPr="008D7D57">
        <w:rPr>
          <w:rFonts w:hint="eastAsia"/>
          <w:sz w:val="24"/>
        </w:rPr>
        <w:t>028</w:t>
      </w:r>
      <w:r w:rsidRPr="008D7D57">
        <w:rPr>
          <w:rFonts w:hint="eastAsia"/>
          <w:sz w:val="24"/>
        </w:rPr>
        <w:t>）</w:t>
      </w:r>
      <w:r w:rsidRPr="008D7D57">
        <w:rPr>
          <w:rFonts w:hint="eastAsia"/>
          <w:sz w:val="24"/>
        </w:rPr>
        <w:t>86690126</w:t>
      </w:r>
    </w:p>
    <w:p w14:paraId="0A2F05E8" w14:textId="77777777" w:rsidR="00C5750B" w:rsidRPr="008D7D57" w:rsidRDefault="00C5750B" w:rsidP="00C5750B">
      <w:pPr>
        <w:spacing w:line="360" w:lineRule="auto"/>
        <w:ind w:firstLineChars="200" w:firstLine="480"/>
        <w:rPr>
          <w:sz w:val="24"/>
        </w:rPr>
      </w:pPr>
      <w:r w:rsidRPr="008D7D57">
        <w:rPr>
          <w:rFonts w:hint="eastAsia"/>
          <w:sz w:val="24"/>
        </w:rPr>
        <w:t>传真：（</w:t>
      </w:r>
      <w:r w:rsidRPr="008D7D57">
        <w:rPr>
          <w:rFonts w:hint="eastAsia"/>
          <w:sz w:val="24"/>
        </w:rPr>
        <w:t>028</w:t>
      </w:r>
      <w:r w:rsidRPr="008D7D57">
        <w:rPr>
          <w:rFonts w:hint="eastAsia"/>
          <w:sz w:val="24"/>
        </w:rPr>
        <w:t>）</w:t>
      </w:r>
      <w:r w:rsidRPr="008D7D57">
        <w:rPr>
          <w:rFonts w:hint="eastAsia"/>
          <w:sz w:val="24"/>
        </w:rPr>
        <w:t>86690126</w:t>
      </w:r>
    </w:p>
    <w:p w14:paraId="49023965" w14:textId="77777777" w:rsidR="00C5750B" w:rsidRPr="008D7D57" w:rsidRDefault="00C5750B" w:rsidP="00C5750B">
      <w:pPr>
        <w:spacing w:line="360" w:lineRule="auto"/>
        <w:ind w:firstLineChars="200" w:firstLine="480"/>
        <w:rPr>
          <w:sz w:val="24"/>
        </w:rPr>
      </w:pPr>
      <w:r w:rsidRPr="008D7D57">
        <w:rPr>
          <w:rFonts w:hint="eastAsia"/>
          <w:sz w:val="24"/>
        </w:rPr>
        <w:t>联系人：金喆</w:t>
      </w:r>
    </w:p>
    <w:p w14:paraId="7560C6A8" w14:textId="77777777" w:rsidR="00C5750B" w:rsidRPr="008D7D57" w:rsidRDefault="00C5750B" w:rsidP="00C5750B">
      <w:pPr>
        <w:spacing w:line="360" w:lineRule="auto"/>
        <w:ind w:firstLineChars="200" w:firstLine="480"/>
        <w:rPr>
          <w:sz w:val="24"/>
        </w:rPr>
      </w:pPr>
      <w:r w:rsidRPr="008D7D57">
        <w:rPr>
          <w:rFonts w:hint="eastAsia"/>
          <w:sz w:val="24"/>
        </w:rPr>
        <w:t>客户服务电话：</w:t>
      </w:r>
      <w:r w:rsidRPr="008D7D57">
        <w:rPr>
          <w:rFonts w:hint="eastAsia"/>
          <w:sz w:val="24"/>
        </w:rPr>
        <w:t>400-6600-109</w:t>
      </w:r>
    </w:p>
    <w:p w14:paraId="1CB21B9C" w14:textId="77777777" w:rsidR="00C5750B" w:rsidRPr="008D7D57" w:rsidRDefault="00C5750B" w:rsidP="00C5750B">
      <w:pPr>
        <w:spacing w:line="360" w:lineRule="auto"/>
        <w:ind w:firstLineChars="200" w:firstLine="480"/>
        <w:rPr>
          <w:sz w:val="24"/>
        </w:rPr>
      </w:pPr>
      <w:r w:rsidRPr="008D7D57">
        <w:rPr>
          <w:rFonts w:hint="eastAsia"/>
          <w:sz w:val="24"/>
        </w:rPr>
        <w:t>网址：</w:t>
      </w:r>
      <w:r w:rsidRPr="008D7D57">
        <w:rPr>
          <w:rFonts w:hint="eastAsia"/>
          <w:sz w:val="24"/>
        </w:rPr>
        <w:t>www.gjzq.com.cn</w:t>
      </w:r>
    </w:p>
    <w:p w14:paraId="77D9FDD2" w14:textId="77777777" w:rsidR="00C5750B" w:rsidRPr="008D7D57" w:rsidRDefault="00C5750B" w:rsidP="00C5750B">
      <w:pPr>
        <w:spacing w:line="360" w:lineRule="auto"/>
        <w:ind w:firstLineChars="200" w:firstLine="480"/>
        <w:rPr>
          <w:sz w:val="24"/>
        </w:rPr>
      </w:pPr>
      <w:r w:rsidRPr="008D7D57">
        <w:rPr>
          <w:rFonts w:hint="eastAsia"/>
          <w:sz w:val="24"/>
        </w:rPr>
        <w:t>（</w:t>
      </w:r>
      <w:r w:rsidRPr="008D7D57">
        <w:rPr>
          <w:rFonts w:hint="eastAsia"/>
          <w:sz w:val="24"/>
        </w:rPr>
        <w:t>20</w:t>
      </w:r>
      <w:r w:rsidRPr="008D7D57">
        <w:rPr>
          <w:rFonts w:hint="eastAsia"/>
          <w:sz w:val="24"/>
        </w:rPr>
        <w:t>）</w:t>
      </w:r>
      <w:r w:rsidRPr="008D7D57">
        <w:rPr>
          <w:rFonts w:hint="eastAsia"/>
          <w:sz w:val="24"/>
        </w:rPr>
        <w:t xml:space="preserve"> </w:t>
      </w:r>
      <w:r w:rsidRPr="008D7D57">
        <w:rPr>
          <w:rFonts w:hint="eastAsia"/>
          <w:sz w:val="24"/>
        </w:rPr>
        <w:t>方正证券股份有限公司</w:t>
      </w:r>
    </w:p>
    <w:p w14:paraId="00EB4C71" w14:textId="77777777" w:rsidR="00C5750B" w:rsidRPr="008D7D57" w:rsidRDefault="00C5750B" w:rsidP="00C5750B">
      <w:pPr>
        <w:spacing w:line="360" w:lineRule="auto"/>
        <w:ind w:firstLineChars="200" w:firstLine="480"/>
        <w:rPr>
          <w:sz w:val="24"/>
        </w:rPr>
      </w:pPr>
      <w:r w:rsidRPr="008D7D57">
        <w:rPr>
          <w:rFonts w:hint="eastAsia"/>
          <w:sz w:val="24"/>
        </w:rPr>
        <w:t>住所：湖南长沙芙蓉中路二段华侨国际大厦</w:t>
      </w:r>
      <w:r w:rsidRPr="008D7D57">
        <w:rPr>
          <w:rFonts w:hint="eastAsia"/>
          <w:sz w:val="24"/>
        </w:rPr>
        <w:t>22-24</w:t>
      </w:r>
      <w:r w:rsidRPr="008D7D57">
        <w:rPr>
          <w:rFonts w:hint="eastAsia"/>
          <w:sz w:val="24"/>
        </w:rPr>
        <w:t>层</w:t>
      </w:r>
    </w:p>
    <w:p w14:paraId="5DE034EF" w14:textId="77777777" w:rsidR="00C5750B" w:rsidRPr="008D7D57" w:rsidRDefault="00C5750B" w:rsidP="00C5750B">
      <w:pPr>
        <w:spacing w:line="360" w:lineRule="auto"/>
        <w:ind w:firstLineChars="200" w:firstLine="480"/>
        <w:rPr>
          <w:sz w:val="24"/>
        </w:rPr>
      </w:pPr>
      <w:r w:rsidRPr="008D7D57">
        <w:rPr>
          <w:rFonts w:hint="eastAsia"/>
          <w:sz w:val="24"/>
        </w:rPr>
        <w:t>办公地址：湖南长沙芙蓉中路二段华侨国际大厦</w:t>
      </w:r>
      <w:r w:rsidRPr="008D7D57">
        <w:rPr>
          <w:rFonts w:hint="eastAsia"/>
          <w:sz w:val="24"/>
        </w:rPr>
        <w:t>22-24</w:t>
      </w:r>
      <w:r w:rsidRPr="008D7D57">
        <w:rPr>
          <w:rFonts w:hint="eastAsia"/>
          <w:sz w:val="24"/>
        </w:rPr>
        <w:t>层</w:t>
      </w:r>
    </w:p>
    <w:p w14:paraId="7D5BA344" w14:textId="77777777" w:rsidR="00C5750B" w:rsidRPr="008D7D57" w:rsidRDefault="00C5750B" w:rsidP="00C5750B">
      <w:pPr>
        <w:spacing w:line="360" w:lineRule="auto"/>
        <w:ind w:firstLineChars="200" w:firstLine="480"/>
        <w:rPr>
          <w:sz w:val="24"/>
        </w:rPr>
      </w:pPr>
      <w:r w:rsidRPr="008D7D57">
        <w:rPr>
          <w:rFonts w:hint="eastAsia"/>
          <w:sz w:val="24"/>
        </w:rPr>
        <w:t>法定代表人：雷杰</w:t>
      </w:r>
    </w:p>
    <w:p w14:paraId="3F936954" w14:textId="77777777" w:rsidR="00C5750B" w:rsidRPr="008D7D57" w:rsidRDefault="00C5750B" w:rsidP="00C5750B">
      <w:pPr>
        <w:spacing w:line="360" w:lineRule="auto"/>
        <w:ind w:firstLineChars="200" w:firstLine="480"/>
        <w:rPr>
          <w:sz w:val="24"/>
        </w:rPr>
      </w:pPr>
      <w:r w:rsidRPr="008D7D57">
        <w:rPr>
          <w:rFonts w:hint="eastAsia"/>
          <w:sz w:val="24"/>
        </w:rPr>
        <w:t>电话：（</w:t>
      </w:r>
      <w:r w:rsidRPr="008D7D57">
        <w:rPr>
          <w:rFonts w:hint="eastAsia"/>
          <w:sz w:val="24"/>
        </w:rPr>
        <w:t>010</w:t>
      </w:r>
      <w:r w:rsidRPr="008D7D57">
        <w:rPr>
          <w:rFonts w:hint="eastAsia"/>
          <w:sz w:val="24"/>
        </w:rPr>
        <w:t>）</w:t>
      </w:r>
      <w:r w:rsidRPr="008D7D57">
        <w:rPr>
          <w:rFonts w:hint="eastAsia"/>
          <w:sz w:val="24"/>
        </w:rPr>
        <w:t>68546765</w:t>
      </w:r>
    </w:p>
    <w:p w14:paraId="153C9EA6" w14:textId="77777777" w:rsidR="00C5750B" w:rsidRPr="008D7D57" w:rsidRDefault="00C5750B" w:rsidP="00C5750B">
      <w:pPr>
        <w:spacing w:line="360" w:lineRule="auto"/>
        <w:ind w:firstLineChars="200" w:firstLine="480"/>
        <w:rPr>
          <w:sz w:val="24"/>
        </w:rPr>
      </w:pPr>
      <w:r w:rsidRPr="008D7D57">
        <w:rPr>
          <w:rFonts w:hint="eastAsia"/>
          <w:sz w:val="24"/>
        </w:rPr>
        <w:t>传真：（</w:t>
      </w:r>
      <w:r w:rsidRPr="008D7D57">
        <w:rPr>
          <w:rFonts w:hint="eastAsia"/>
          <w:sz w:val="24"/>
        </w:rPr>
        <w:t>010</w:t>
      </w:r>
      <w:r w:rsidRPr="008D7D57">
        <w:rPr>
          <w:rFonts w:hint="eastAsia"/>
          <w:sz w:val="24"/>
        </w:rPr>
        <w:t>）</w:t>
      </w:r>
      <w:r w:rsidRPr="008D7D57">
        <w:rPr>
          <w:rFonts w:hint="eastAsia"/>
          <w:sz w:val="24"/>
        </w:rPr>
        <w:t>68546792</w:t>
      </w:r>
    </w:p>
    <w:p w14:paraId="519F05B1" w14:textId="77777777" w:rsidR="00C5750B" w:rsidRPr="008D7D57" w:rsidRDefault="00C5750B" w:rsidP="00C5750B">
      <w:pPr>
        <w:spacing w:line="360" w:lineRule="auto"/>
        <w:ind w:firstLineChars="200" w:firstLine="480"/>
        <w:rPr>
          <w:sz w:val="24"/>
        </w:rPr>
      </w:pPr>
      <w:r w:rsidRPr="008D7D57">
        <w:rPr>
          <w:rFonts w:hint="eastAsia"/>
          <w:sz w:val="24"/>
        </w:rPr>
        <w:t>联系人：徐锦福</w:t>
      </w:r>
    </w:p>
    <w:p w14:paraId="5CAA4AC4" w14:textId="77777777" w:rsidR="00C5750B" w:rsidRPr="008D7D57" w:rsidRDefault="00C5750B" w:rsidP="00C5750B">
      <w:pPr>
        <w:spacing w:line="360" w:lineRule="auto"/>
        <w:ind w:firstLineChars="200" w:firstLine="480"/>
        <w:rPr>
          <w:sz w:val="24"/>
        </w:rPr>
      </w:pPr>
      <w:r w:rsidRPr="008D7D57">
        <w:rPr>
          <w:rFonts w:hint="eastAsia"/>
          <w:sz w:val="24"/>
        </w:rPr>
        <w:lastRenderedPageBreak/>
        <w:t>客户服务电话：</w:t>
      </w:r>
      <w:r w:rsidRPr="008D7D57">
        <w:rPr>
          <w:rFonts w:hint="eastAsia"/>
          <w:sz w:val="24"/>
        </w:rPr>
        <w:t>95571</w:t>
      </w:r>
    </w:p>
    <w:p w14:paraId="0C031786" w14:textId="77777777" w:rsidR="00C5750B" w:rsidRPr="008D7D57" w:rsidRDefault="00C5750B" w:rsidP="00C5750B">
      <w:pPr>
        <w:spacing w:line="360" w:lineRule="auto"/>
        <w:ind w:firstLineChars="200" w:firstLine="480"/>
        <w:rPr>
          <w:sz w:val="24"/>
        </w:rPr>
      </w:pPr>
      <w:r w:rsidRPr="008D7D57">
        <w:rPr>
          <w:rFonts w:hint="eastAsia"/>
          <w:sz w:val="24"/>
        </w:rPr>
        <w:t>网址：</w:t>
      </w:r>
      <w:r w:rsidRPr="008D7D57">
        <w:rPr>
          <w:rFonts w:hint="eastAsia"/>
          <w:sz w:val="24"/>
        </w:rPr>
        <w:t>www.foundersc.com</w:t>
      </w:r>
    </w:p>
    <w:p w14:paraId="6DAA2CBE" w14:textId="77777777" w:rsidR="00C5750B" w:rsidRPr="008D7D57" w:rsidRDefault="00C5750B" w:rsidP="00C5750B">
      <w:pPr>
        <w:spacing w:line="360" w:lineRule="auto"/>
        <w:ind w:firstLineChars="200" w:firstLine="480"/>
        <w:rPr>
          <w:sz w:val="24"/>
        </w:rPr>
      </w:pPr>
      <w:r w:rsidRPr="008D7D57">
        <w:rPr>
          <w:rFonts w:hint="eastAsia"/>
          <w:sz w:val="24"/>
        </w:rPr>
        <w:t>（</w:t>
      </w:r>
      <w:r w:rsidRPr="008D7D57">
        <w:rPr>
          <w:rFonts w:hint="eastAsia"/>
          <w:sz w:val="24"/>
        </w:rPr>
        <w:t>21</w:t>
      </w:r>
      <w:r w:rsidRPr="008D7D57">
        <w:rPr>
          <w:rFonts w:hint="eastAsia"/>
          <w:sz w:val="24"/>
        </w:rPr>
        <w:t>）</w:t>
      </w:r>
      <w:r w:rsidRPr="008D7D57">
        <w:rPr>
          <w:rFonts w:hint="eastAsia"/>
          <w:sz w:val="24"/>
        </w:rPr>
        <w:t xml:space="preserve"> </w:t>
      </w:r>
      <w:r w:rsidRPr="008D7D57">
        <w:rPr>
          <w:rFonts w:hint="eastAsia"/>
          <w:sz w:val="24"/>
        </w:rPr>
        <w:t>渤海证券股份有限公司</w:t>
      </w:r>
    </w:p>
    <w:p w14:paraId="348376A7" w14:textId="77777777" w:rsidR="00C5750B" w:rsidRPr="008D7D57" w:rsidRDefault="00C5750B" w:rsidP="00C5750B">
      <w:pPr>
        <w:spacing w:line="360" w:lineRule="auto"/>
        <w:ind w:firstLineChars="200" w:firstLine="480"/>
        <w:rPr>
          <w:sz w:val="24"/>
        </w:rPr>
      </w:pPr>
      <w:r w:rsidRPr="008D7D57">
        <w:rPr>
          <w:rFonts w:hint="eastAsia"/>
          <w:sz w:val="24"/>
        </w:rPr>
        <w:t>住所：天津经济技术开发区第二大街</w:t>
      </w:r>
      <w:r w:rsidRPr="008D7D57">
        <w:rPr>
          <w:rFonts w:hint="eastAsia"/>
          <w:sz w:val="24"/>
        </w:rPr>
        <w:t>42</w:t>
      </w:r>
      <w:r w:rsidRPr="008D7D57">
        <w:rPr>
          <w:rFonts w:hint="eastAsia"/>
          <w:sz w:val="24"/>
        </w:rPr>
        <w:t>号写字楼</w:t>
      </w:r>
      <w:r w:rsidRPr="008D7D57">
        <w:rPr>
          <w:rFonts w:hint="eastAsia"/>
          <w:sz w:val="24"/>
        </w:rPr>
        <w:t>101</w:t>
      </w:r>
      <w:r w:rsidRPr="008D7D57">
        <w:rPr>
          <w:rFonts w:hint="eastAsia"/>
          <w:sz w:val="24"/>
        </w:rPr>
        <w:t>室</w:t>
      </w:r>
    </w:p>
    <w:p w14:paraId="326BA170" w14:textId="77777777" w:rsidR="00C5750B" w:rsidRPr="008D7D57" w:rsidRDefault="00C5750B" w:rsidP="00C5750B">
      <w:pPr>
        <w:spacing w:line="360" w:lineRule="auto"/>
        <w:ind w:firstLineChars="200" w:firstLine="480"/>
        <w:rPr>
          <w:sz w:val="24"/>
        </w:rPr>
      </w:pPr>
      <w:r w:rsidRPr="008D7D57">
        <w:rPr>
          <w:rFonts w:hint="eastAsia"/>
          <w:sz w:val="24"/>
        </w:rPr>
        <w:t>办公地址：天津市南开区宾水西道</w:t>
      </w:r>
      <w:r w:rsidRPr="008D7D57">
        <w:rPr>
          <w:rFonts w:hint="eastAsia"/>
          <w:sz w:val="24"/>
        </w:rPr>
        <w:t>8</w:t>
      </w:r>
      <w:r w:rsidRPr="008D7D57">
        <w:rPr>
          <w:rFonts w:hint="eastAsia"/>
          <w:sz w:val="24"/>
        </w:rPr>
        <w:t>号</w:t>
      </w:r>
    </w:p>
    <w:p w14:paraId="661D0513" w14:textId="77777777" w:rsidR="00C5750B" w:rsidRPr="008D7D57" w:rsidRDefault="00C5750B" w:rsidP="00C5750B">
      <w:pPr>
        <w:spacing w:line="360" w:lineRule="auto"/>
        <w:ind w:firstLineChars="200" w:firstLine="480"/>
        <w:rPr>
          <w:sz w:val="24"/>
        </w:rPr>
      </w:pPr>
      <w:r w:rsidRPr="008D7D57">
        <w:rPr>
          <w:rFonts w:hint="eastAsia"/>
          <w:sz w:val="24"/>
        </w:rPr>
        <w:t>法定代表人：王春峰</w:t>
      </w:r>
    </w:p>
    <w:p w14:paraId="02589D5F" w14:textId="77777777" w:rsidR="00C5750B" w:rsidRPr="008D7D57" w:rsidRDefault="00C5750B" w:rsidP="00C5750B">
      <w:pPr>
        <w:spacing w:line="360" w:lineRule="auto"/>
        <w:ind w:firstLineChars="200" w:firstLine="480"/>
        <w:rPr>
          <w:sz w:val="24"/>
        </w:rPr>
      </w:pPr>
      <w:r w:rsidRPr="008D7D57">
        <w:rPr>
          <w:rFonts w:hint="eastAsia"/>
          <w:sz w:val="24"/>
        </w:rPr>
        <w:t>电话：（</w:t>
      </w:r>
      <w:r w:rsidRPr="008D7D57">
        <w:rPr>
          <w:rFonts w:hint="eastAsia"/>
          <w:sz w:val="24"/>
        </w:rPr>
        <w:t>022</w:t>
      </w:r>
      <w:r w:rsidRPr="008D7D57">
        <w:rPr>
          <w:rFonts w:hint="eastAsia"/>
          <w:sz w:val="24"/>
        </w:rPr>
        <w:t>）</w:t>
      </w:r>
      <w:r w:rsidRPr="008D7D57">
        <w:rPr>
          <w:rFonts w:hint="eastAsia"/>
          <w:sz w:val="24"/>
        </w:rPr>
        <w:t>28451991</w:t>
      </w:r>
    </w:p>
    <w:p w14:paraId="1C99F578" w14:textId="77777777" w:rsidR="00C5750B" w:rsidRPr="008D7D57" w:rsidRDefault="00C5750B" w:rsidP="00C5750B">
      <w:pPr>
        <w:spacing w:line="360" w:lineRule="auto"/>
        <w:ind w:firstLineChars="200" w:firstLine="480"/>
        <w:rPr>
          <w:sz w:val="24"/>
        </w:rPr>
      </w:pPr>
      <w:r w:rsidRPr="008D7D57">
        <w:rPr>
          <w:rFonts w:hint="eastAsia"/>
          <w:sz w:val="24"/>
        </w:rPr>
        <w:t>传真：（</w:t>
      </w:r>
      <w:r w:rsidRPr="008D7D57">
        <w:rPr>
          <w:rFonts w:hint="eastAsia"/>
          <w:sz w:val="24"/>
        </w:rPr>
        <w:t>022</w:t>
      </w:r>
      <w:r w:rsidRPr="008D7D57">
        <w:rPr>
          <w:rFonts w:hint="eastAsia"/>
          <w:sz w:val="24"/>
        </w:rPr>
        <w:t>）</w:t>
      </w:r>
      <w:r w:rsidRPr="008D7D57">
        <w:rPr>
          <w:rFonts w:hint="eastAsia"/>
          <w:sz w:val="24"/>
        </w:rPr>
        <w:t>28451892</w:t>
      </w:r>
    </w:p>
    <w:p w14:paraId="596AB9A9" w14:textId="77777777" w:rsidR="00C5750B" w:rsidRPr="008D7D57" w:rsidRDefault="00C5750B" w:rsidP="00C5750B">
      <w:pPr>
        <w:spacing w:line="360" w:lineRule="auto"/>
        <w:ind w:firstLineChars="200" w:firstLine="480"/>
        <w:rPr>
          <w:sz w:val="24"/>
        </w:rPr>
      </w:pPr>
      <w:r w:rsidRPr="008D7D57">
        <w:rPr>
          <w:rFonts w:hint="eastAsia"/>
          <w:sz w:val="24"/>
        </w:rPr>
        <w:t>联系人：蔡霆</w:t>
      </w:r>
    </w:p>
    <w:p w14:paraId="6E617AA8" w14:textId="77777777" w:rsidR="00C5750B" w:rsidRPr="008D7D57" w:rsidRDefault="00C5750B" w:rsidP="00C5750B">
      <w:pPr>
        <w:spacing w:line="360" w:lineRule="auto"/>
        <w:ind w:firstLineChars="200" w:firstLine="480"/>
        <w:rPr>
          <w:sz w:val="24"/>
        </w:rPr>
      </w:pPr>
      <w:r w:rsidRPr="008D7D57">
        <w:rPr>
          <w:rFonts w:hint="eastAsia"/>
          <w:sz w:val="24"/>
        </w:rPr>
        <w:t>客户服务电话</w:t>
      </w:r>
      <w:r w:rsidRPr="008D7D57">
        <w:rPr>
          <w:rFonts w:hint="eastAsia"/>
          <w:sz w:val="24"/>
        </w:rPr>
        <w:t>: 400-651-5988</w:t>
      </w:r>
    </w:p>
    <w:p w14:paraId="2CAB7F4F" w14:textId="77777777" w:rsidR="00C5750B" w:rsidRPr="008D7D57" w:rsidRDefault="00C5750B" w:rsidP="00C5750B">
      <w:pPr>
        <w:spacing w:line="360" w:lineRule="auto"/>
        <w:ind w:firstLineChars="200" w:firstLine="480"/>
        <w:rPr>
          <w:sz w:val="24"/>
        </w:rPr>
      </w:pPr>
      <w:r w:rsidRPr="008D7D57">
        <w:rPr>
          <w:rFonts w:hint="eastAsia"/>
          <w:sz w:val="24"/>
        </w:rPr>
        <w:t>网址：</w:t>
      </w:r>
      <w:r w:rsidRPr="008D7D57">
        <w:rPr>
          <w:rFonts w:hint="eastAsia"/>
          <w:sz w:val="24"/>
        </w:rPr>
        <w:t>www.bhzq.com</w:t>
      </w:r>
    </w:p>
    <w:p w14:paraId="4A3FD257" w14:textId="77777777" w:rsidR="00C5750B" w:rsidRPr="008D7D57" w:rsidRDefault="00C5750B" w:rsidP="00C5750B">
      <w:pPr>
        <w:spacing w:line="360" w:lineRule="auto"/>
        <w:ind w:firstLineChars="200" w:firstLine="480"/>
        <w:rPr>
          <w:sz w:val="24"/>
        </w:rPr>
      </w:pPr>
      <w:r w:rsidRPr="008D7D57">
        <w:rPr>
          <w:rFonts w:hint="eastAsia"/>
          <w:sz w:val="24"/>
        </w:rPr>
        <w:t>（</w:t>
      </w:r>
      <w:r w:rsidRPr="008D7D57">
        <w:rPr>
          <w:rFonts w:hint="eastAsia"/>
          <w:sz w:val="24"/>
        </w:rPr>
        <w:t>22</w:t>
      </w:r>
      <w:r w:rsidRPr="008D7D57">
        <w:rPr>
          <w:rFonts w:hint="eastAsia"/>
          <w:sz w:val="24"/>
        </w:rPr>
        <w:t>）</w:t>
      </w:r>
      <w:r w:rsidRPr="008D7D57">
        <w:rPr>
          <w:rFonts w:hint="eastAsia"/>
          <w:sz w:val="24"/>
        </w:rPr>
        <w:t xml:space="preserve"> </w:t>
      </w:r>
      <w:r w:rsidRPr="008D7D57">
        <w:rPr>
          <w:rFonts w:hint="eastAsia"/>
          <w:sz w:val="24"/>
        </w:rPr>
        <w:t>信达证券股份有限公司</w:t>
      </w:r>
    </w:p>
    <w:p w14:paraId="0D7528E1" w14:textId="77777777" w:rsidR="00C5750B" w:rsidRPr="008D7D57" w:rsidRDefault="00C5750B" w:rsidP="00C5750B">
      <w:pPr>
        <w:spacing w:line="360" w:lineRule="auto"/>
        <w:ind w:firstLineChars="200" w:firstLine="480"/>
        <w:rPr>
          <w:sz w:val="24"/>
        </w:rPr>
      </w:pPr>
      <w:r w:rsidRPr="008D7D57">
        <w:rPr>
          <w:rFonts w:hint="eastAsia"/>
          <w:sz w:val="24"/>
        </w:rPr>
        <w:t>住所：北京市西城区闹市口大街</w:t>
      </w:r>
      <w:r w:rsidRPr="008D7D57">
        <w:rPr>
          <w:rFonts w:hint="eastAsia"/>
          <w:sz w:val="24"/>
        </w:rPr>
        <w:t>9</w:t>
      </w:r>
      <w:r w:rsidRPr="008D7D57">
        <w:rPr>
          <w:rFonts w:hint="eastAsia"/>
          <w:sz w:val="24"/>
        </w:rPr>
        <w:t>号院</w:t>
      </w:r>
      <w:r w:rsidRPr="008D7D57">
        <w:rPr>
          <w:rFonts w:hint="eastAsia"/>
          <w:sz w:val="24"/>
        </w:rPr>
        <w:t>1</w:t>
      </w:r>
      <w:r w:rsidRPr="008D7D57">
        <w:rPr>
          <w:rFonts w:hint="eastAsia"/>
          <w:sz w:val="24"/>
        </w:rPr>
        <w:t>号楼信达金融中心</w:t>
      </w:r>
    </w:p>
    <w:p w14:paraId="62ADE7F9" w14:textId="77777777" w:rsidR="00C5750B" w:rsidRPr="008D7D57" w:rsidRDefault="00C5750B" w:rsidP="00C5750B">
      <w:pPr>
        <w:spacing w:line="360" w:lineRule="auto"/>
        <w:ind w:firstLineChars="200" w:firstLine="480"/>
        <w:rPr>
          <w:sz w:val="24"/>
        </w:rPr>
      </w:pPr>
      <w:r w:rsidRPr="008D7D57">
        <w:rPr>
          <w:rFonts w:hint="eastAsia"/>
          <w:sz w:val="24"/>
        </w:rPr>
        <w:t>办公地址：北京市西城区闹市口大街</w:t>
      </w:r>
      <w:r w:rsidRPr="008D7D57">
        <w:rPr>
          <w:rFonts w:hint="eastAsia"/>
          <w:sz w:val="24"/>
        </w:rPr>
        <w:t>9</w:t>
      </w:r>
      <w:r w:rsidRPr="008D7D57">
        <w:rPr>
          <w:rFonts w:hint="eastAsia"/>
          <w:sz w:val="24"/>
        </w:rPr>
        <w:t>号院</w:t>
      </w:r>
      <w:r w:rsidRPr="008D7D57">
        <w:rPr>
          <w:rFonts w:hint="eastAsia"/>
          <w:sz w:val="24"/>
        </w:rPr>
        <w:t>1</w:t>
      </w:r>
      <w:r w:rsidRPr="008D7D57">
        <w:rPr>
          <w:rFonts w:hint="eastAsia"/>
          <w:sz w:val="24"/>
        </w:rPr>
        <w:t>号楼信达金融中心</w:t>
      </w:r>
    </w:p>
    <w:p w14:paraId="44A92A0D" w14:textId="77777777" w:rsidR="00C5750B" w:rsidRPr="008D7D57" w:rsidRDefault="00C5750B" w:rsidP="00C5750B">
      <w:pPr>
        <w:spacing w:line="360" w:lineRule="auto"/>
        <w:ind w:firstLineChars="200" w:firstLine="480"/>
        <w:rPr>
          <w:sz w:val="24"/>
        </w:rPr>
      </w:pPr>
      <w:r w:rsidRPr="008D7D57">
        <w:rPr>
          <w:rFonts w:hint="eastAsia"/>
          <w:sz w:val="24"/>
        </w:rPr>
        <w:t>法定代表人：高冠江</w:t>
      </w:r>
    </w:p>
    <w:p w14:paraId="28BF1276" w14:textId="77777777" w:rsidR="00C5750B" w:rsidRPr="008D7D57" w:rsidRDefault="00C5750B" w:rsidP="00C5750B">
      <w:pPr>
        <w:spacing w:line="360" w:lineRule="auto"/>
        <w:ind w:firstLineChars="200" w:firstLine="480"/>
        <w:rPr>
          <w:sz w:val="24"/>
        </w:rPr>
      </w:pPr>
      <w:r w:rsidRPr="008D7D57">
        <w:rPr>
          <w:rFonts w:hint="eastAsia"/>
          <w:sz w:val="24"/>
        </w:rPr>
        <w:t>电话：（</w:t>
      </w:r>
      <w:r w:rsidRPr="008D7D57">
        <w:rPr>
          <w:rFonts w:hint="eastAsia"/>
          <w:sz w:val="24"/>
        </w:rPr>
        <w:t>010</w:t>
      </w:r>
      <w:r w:rsidRPr="008D7D57">
        <w:rPr>
          <w:rFonts w:hint="eastAsia"/>
          <w:sz w:val="24"/>
        </w:rPr>
        <w:t>）</w:t>
      </w:r>
      <w:r w:rsidRPr="008D7D57">
        <w:rPr>
          <w:rFonts w:hint="eastAsia"/>
          <w:sz w:val="24"/>
        </w:rPr>
        <w:t>63081000</w:t>
      </w:r>
    </w:p>
    <w:p w14:paraId="4533F542" w14:textId="77777777" w:rsidR="00C5750B" w:rsidRPr="008D7D57" w:rsidRDefault="00C5750B" w:rsidP="00C5750B">
      <w:pPr>
        <w:spacing w:line="360" w:lineRule="auto"/>
        <w:ind w:firstLineChars="200" w:firstLine="480"/>
        <w:rPr>
          <w:sz w:val="24"/>
        </w:rPr>
      </w:pPr>
      <w:r w:rsidRPr="008D7D57">
        <w:rPr>
          <w:rFonts w:hint="eastAsia"/>
          <w:sz w:val="24"/>
        </w:rPr>
        <w:t>传真：（</w:t>
      </w:r>
      <w:r w:rsidRPr="008D7D57">
        <w:rPr>
          <w:rFonts w:hint="eastAsia"/>
          <w:sz w:val="24"/>
        </w:rPr>
        <w:t>010</w:t>
      </w:r>
      <w:r w:rsidRPr="008D7D57">
        <w:rPr>
          <w:rFonts w:hint="eastAsia"/>
          <w:sz w:val="24"/>
        </w:rPr>
        <w:t>）</w:t>
      </w:r>
      <w:r w:rsidRPr="008D7D57">
        <w:rPr>
          <w:rFonts w:hint="eastAsia"/>
          <w:sz w:val="24"/>
        </w:rPr>
        <w:t>63080978</w:t>
      </w:r>
    </w:p>
    <w:p w14:paraId="7554CE3F" w14:textId="77777777" w:rsidR="00C5750B" w:rsidRPr="008D7D57" w:rsidRDefault="00C5750B" w:rsidP="00C5750B">
      <w:pPr>
        <w:spacing w:line="360" w:lineRule="auto"/>
        <w:ind w:firstLineChars="200" w:firstLine="480"/>
        <w:rPr>
          <w:sz w:val="24"/>
        </w:rPr>
      </w:pPr>
      <w:r w:rsidRPr="008D7D57">
        <w:rPr>
          <w:rFonts w:hint="eastAsia"/>
          <w:sz w:val="24"/>
        </w:rPr>
        <w:t>联系人：唐静</w:t>
      </w:r>
    </w:p>
    <w:p w14:paraId="51794EF5" w14:textId="77777777" w:rsidR="00C5750B" w:rsidRPr="008D7D57" w:rsidRDefault="00C5750B" w:rsidP="00C5750B">
      <w:pPr>
        <w:spacing w:line="360" w:lineRule="auto"/>
        <w:ind w:firstLineChars="200" w:firstLine="480"/>
        <w:rPr>
          <w:sz w:val="24"/>
        </w:rPr>
      </w:pPr>
      <w:r w:rsidRPr="008D7D57">
        <w:rPr>
          <w:rFonts w:hint="eastAsia"/>
          <w:sz w:val="24"/>
        </w:rPr>
        <w:t>客户服务电话：</w:t>
      </w:r>
      <w:r w:rsidRPr="008D7D57">
        <w:rPr>
          <w:rFonts w:hint="eastAsia"/>
          <w:sz w:val="24"/>
        </w:rPr>
        <w:t>95321</w:t>
      </w:r>
    </w:p>
    <w:p w14:paraId="35D6E173" w14:textId="77777777" w:rsidR="00C5750B" w:rsidRPr="008D7D57" w:rsidRDefault="00C5750B" w:rsidP="00C5750B">
      <w:pPr>
        <w:spacing w:line="360" w:lineRule="auto"/>
        <w:ind w:firstLineChars="200" w:firstLine="480"/>
        <w:rPr>
          <w:sz w:val="24"/>
        </w:rPr>
      </w:pPr>
      <w:r w:rsidRPr="008D7D57">
        <w:rPr>
          <w:rFonts w:hint="eastAsia"/>
          <w:sz w:val="24"/>
        </w:rPr>
        <w:t>网址：</w:t>
      </w:r>
      <w:r w:rsidRPr="008D7D57">
        <w:rPr>
          <w:rFonts w:hint="eastAsia"/>
          <w:sz w:val="24"/>
        </w:rPr>
        <w:t>www.cindasc.com</w:t>
      </w:r>
    </w:p>
    <w:p w14:paraId="0F93C775" w14:textId="77777777" w:rsidR="00C5750B" w:rsidRPr="008D7D57" w:rsidRDefault="00C5750B" w:rsidP="00C5750B">
      <w:pPr>
        <w:spacing w:line="360" w:lineRule="auto"/>
        <w:ind w:firstLineChars="200" w:firstLine="480"/>
        <w:rPr>
          <w:sz w:val="24"/>
        </w:rPr>
      </w:pPr>
      <w:r w:rsidRPr="008D7D57">
        <w:rPr>
          <w:rFonts w:hint="eastAsia"/>
          <w:sz w:val="24"/>
        </w:rPr>
        <w:t>（</w:t>
      </w:r>
      <w:r w:rsidRPr="008D7D57">
        <w:rPr>
          <w:rFonts w:hint="eastAsia"/>
          <w:sz w:val="24"/>
        </w:rPr>
        <w:t>23</w:t>
      </w:r>
      <w:r w:rsidRPr="008D7D57">
        <w:rPr>
          <w:rFonts w:hint="eastAsia"/>
          <w:sz w:val="24"/>
        </w:rPr>
        <w:t>）</w:t>
      </w:r>
      <w:r w:rsidRPr="008D7D57">
        <w:rPr>
          <w:rFonts w:hint="eastAsia"/>
          <w:sz w:val="24"/>
        </w:rPr>
        <w:t xml:space="preserve"> </w:t>
      </w:r>
      <w:r w:rsidRPr="008D7D57">
        <w:rPr>
          <w:rFonts w:hint="eastAsia"/>
          <w:sz w:val="24"/>
        </w:rPr>
        <w:t>东方证券股份有限公司</w:t>
      </w:r>
    </w:p>
    <w:p w14:paraId="33577C57" w14:textId="77777777" w:rsidR="00C5750B" w:rsidRPr="008D7D57" w:rsidRDefault="00C5750B" w:rsidP="00C5750B">
      <w:pPr>
        <w:spacing w:line="360" w:lineRule="auto"/>
        <w:ind w:firstLineChars="200" w:firstLine="480"/>
        <w:rPr>
          <w:sz w:val="24"/>
        </w:rPr>
      </w:pPr>
      <w:r w:rsidRPr="008D7D57">
        <w:rPr>
          <w:rFonts w:hint="eastAsia"/>
          <w:sz w:val="24"/>
        </w:rPr>
        <w:t>住所：上海市中山南路</w:t>
      </w:r>
      <w:r w:rsidRPr="008D7D57">
        <w:rPr>
          <w:rFonts w:hint="eastAsia"/>
          <w:sz w:val="24"/>
        </w:rPr>
        <w:t>318</w:t>
      </w:r>
      <w:r w:rsidRPr="008D7D57">
        <w:rPr>
          <w:rFonts w:hint="eastAsia"/>
          <w:sz w:val="24"/>
        </w:rPr>
        <w:t>号</w:t>
      </w:r>
      <w:r w:rsidRPr="008D7D57">
        <w:rPr>
          <w:rFonts w:hint="eastAsia"/>
          <w:sz w:val="24"/>
        </w:rPr>
        <w:t>2</w:t>
      </w:r>
      <w:r w:rsidRPr="008D7D57">
        <w:rPr>
          <w:rFonts w:hint="eastAsia"/>
          <w:sz w:val="24"/>
        </w:rPr>
        <w:t>号楼</w:t>
      </w:r>
      <w:r w:rsidRPr="008D7D57">
        <w:rPr>
          <w:rFonts w:hint="eastAsia"/>
          <w:sz w:val="24"/>
        </w:rPr>
        <w:t>22</w:t>
      </w:r>
      <w:r w:rsidRPr="008D7D57">
        <w:rPr>
          <w:rFonts w:hint="eastAsia"/>
          <w:sz w:val="24"/>
        </w:rPr>
        <w:t>层</w:t>
      </w:r>
      <w:r w:rsidRPr="008D7D57">
        <w:rPr>
          <w:rFonts w:hint="eastAsia"/>
          <w:sz w:val="24"/>
        </w:rPr>
        <w:t>-29</w:t>
      </w:r>
      <w:r w:rsidRPr="008D7D57">
        <w:rPr>
          <w:rFonts w:hint="eastAsia"/>
          <w:sz w:val="24"/>
        </w:rPr>
        <w:t>层</w:t>
      </w:r>
    </w:p>
    <w:p w14:paraId="3E49EF38" w14:textId="77777777" w:rsidR="00C5750B" w:rsidRPr="008D7D57" w:rsidRDefault="00C5750B" w:rsidP="00C5750B">
      <w:pPr>
        <w:spacing w:line="360" w:lineRule="auto"/>
        <w:ind w:firstLineChars="200" w:firstLine="480"/>
        <w:rPr>
          <w:sz w:val="24"/>
        </w:rPr>
      </w:pPr>
      <w:r w:rsidRPr="008D7D57">
        <w:rPr>
          <w:rFonts w:hint="eastAsia"/>
          <w:sz w:val="24"/>
        </w:rPr>
        <w:t>法定代表人：王益民</w:t>
      </w:r>
    </w:p>
    <w:p w14:paraId="356B1A7A" w14:textId="77777777" w:rsidR="00C5750B" w:rsidRPr="008D7D57" w:rsidRDefault="00C5750B" w:rsidP="00C5750B">
      <w:pPr>
        <w:spacing w:line="360" w:lineRule="auto"/>
        <w:ind w:firstLineChars="200" w:firstLine="480"/>
        <w:rPr>
          <w:sz w:val="24"/>
        </w:rPr>
      </w:pPr>
      <w:r w:rsidRPr="008D7D57">
        <w:rPr>
          <w:rFonts w:hint="eastAsia"/>
          <w:sz w:val="24"/>
        </w:rPr>
        <w:t>电话：（</w:t>
      </w:r>
      <w:r w:rsidRPr="008D7D57">
        <w:rPr>
          <w:rFonts w:hint="eastAsia"/>
          <w:sz w:val="24"/>
        </w:rPr>
        <w:t>021</w:t>
      </w:r>
      <w:r w:rsidRPr="008D7D57">
        <w:rPr>
          <w:rFonts w:hint="eastAsia"/>
          <w:sz w:val="24"/>
        </w:rPr>
        <w:t>）</w:t>
      </w:r>
      <w:r w:rsidRPr="008D7D57">
        <w:rPr>
          <w:rFonts w:hint="eastAsia"/>
          <w:sz w:val="24"/>
        </w:rPr>
        <w:t>63325888</w:t>
      </w:r>
    </w:p>
    <w:p w14:paraId="68E379B5" w14:textId="77777777" w:rsidR="00C5750B" w:rsidRPr="008D7D57" w:rsidRDefault="00C5750B" w:rsidP="00C5750B">
      <w:pPr>
        <w:spacing w:line="360" w:lineRule="auto"/>
        <w:ind w:firstLineChars="200" w:firstLine="480"/>
        <w:rPr>
          <w:sz w:val="24"/>
        </w:rPr>
      </w:pPr>
      <w:r w:rsidRPr="008D7D57">
        <w:rPr>
          <w:rFonts w:hint="eastAsia"/>
          <w:sz w:val="24"/>
        </w:rPr>
        <w:t>传真：（</w:t>
      </w:r>
      <w:r w:rsidRPr="008D7D57">
        <w:rPr>
          <w:rFonts w:hint="eastAsia"/>
          <w:sz w:val="24"/>
        </w:rPr>
        <w:t>021</w:t>
      </w:r>
      <w:r w:rsidRPr="008D7D57">
        <w:rPr>
          <w:rFonts w:hint="eastAsia"/>
          <w:sz w:val="24"/>
        </w:rPr>
        <w:t>）</w:t>
      </w:r>
      <w:r w:rsidRPr="008D7D57">
        <w:rPr>
          <w:rFonts w:hint="eastAsia"/>
          <w:sz w:val="24"/>
        </w:rPr>
        <w:t>63326173</w:t>
      </w:r>
    </w:p>
    <w:p w14:paraId="79C10837" w14:textId="77777777" w:rsidR="00C5750B" w:rsidRPr="008D7D57" w:rsidRDefault="00C5750B" w:rsidP="00C5750B">
      <w:pPr>
        <w:spacing w:line="360" w:lineRule="auto"/>
        <w:ind w:firstLineChars="200" w:firstLine="480"/>
        <w:rPr>
          <w:sz w:val="24"/>
        </w:rPr>
      </w:pPr>
      <w:r w:rsidRPr="008D7D57">
        <w:rPr>
          <w:rFonts w:hint="eastAsia"/>
          <w:sz w:val="24"/>
        </w:rPr>
        <w:t>联系人：吴宇</w:t>
      </w:r>
    </w:p>
    <w:p w14:paraId="7D6522A8" w14:textId="77777777" w:rsidR="00C5750B" w:rsidRPr="008D7D57" w:rsidRDefault="00C5750B" w:rsidP="00C5750B">
      <w:pPr>
        <w:spacing w:line="360" w:lineRule="auto"/>
        <w:ind w:firstLineChars="200" w:firstLine="480"/>
        <w:rPr>
          <w:sz w:val="24"/>
        </w:rPr>
      </w:pPr>
      <w:r w:rsidRPr="008D7D57">
        <w:rPr>
          <w:rFonts w:hint="eastAsia"/>
          <w:sz w:val="24"/>
        </w:rPr>
        <w:t>客户服务电话：</w:t>
      </w:r>
      <w:r w:rsidRPr="008D7D57">
        <w:rPr>
          <w:rFonts w:hint="eastAsia"/>
          <w:sz w:val="24"/>
        </w:rPr>
        <w:t>95503</w:t>
      </w:r>
    </w:p>
    <w:p w14:paraId="2BEF90D3" w14:textId="77777777" w:rsidR="00C5750B" w:rsidRPr="008D7D57" w:rsidRDefault="00C5750B" w:rsidP="00C5750B">
      <w:pPr>
        <w:spacing w:line="360" w:lineRule="auto"/>
        <w:ind w:firstLineChars="200" w:firstLine="480"/>
        <w:rPr>
          <w:sz w:val="24"/>
        </w:rPr>
      </w:pPr>
      <w:r w:rsidRPr="008D7D57">
        <w:rPr>
          <w:rFonts w:hint="eastAsia"/>
          <w:sz w:val="24"/>
        </w:rPr>
        <w:t>网址：</w:t>
      </w:r>
      <w:r w:rsidRPr="008D7D57">
        <w:rPr>
          <w:rFonts w:hint="eastAsia"/>
          <w:sz w:val="24"/>
        </w:rPr>
        <w:t>www.dfzq.com.cn</w:t>
      </w:r>
    </w:p>
    <w:p w14:paraId="2093C9FE" w14:textId="77777777" w:rsidR="00C5750B" w:rsidRPr="008D7D57" w:rsidRDefault="00C5750B" w:rsidP="00C5750B">
      <w:pPr>
        <w:spacing w:line="360" w:lineRule="auto"/>
        <w:ind w:firstLineChars="200" w:firstLine="480"/>
        <w:rPr>
          <w:sz w:val="24"/>
        </w:rPr>
      </w:pPr>
      <w:r w:rsidRPr="008D7D57">
        <w:rPr>
          <w:rFonts w:hint="eastAsia"/>
          <w:sz w:val="24"/>
        </w:rPr>
        <w:t>（</w:t>
      </w:r>
      <w:r w:rsidRPr="008D7D57">
        <w:rPr>
          <w:rFonts w:hint="eastAsia"/>
          <w:sz w:val="24"/>
        </w:rPr>
        <w:t>24</w:t>
      </w:r>
      <w:r w:rsidRPr="008D7D57">
        <w:rPr>
          <w:rFonts w:hint="eastAsia"/>
          <w:sz w:val="24"/>
        </w:rPr>
        <w:t>）</w:t>
      </w:r>
      <w:r w:rsidRPr="008D7D57">
        <w:rPr>
          <w:rFonts w:hint="eastAsia"/>
          <w:sz w:val="24"/>
        </w:rPr>
        <w:t xml:space="preserve"> </w:t>
      </w:r>
      <w:r w:rsidRPr="008D7D57">
        <w:rPr>
          <w:rFonts w:hint="eastAsia"/>
          <w:sz w:val="24"/>
        </w:rPr>
        <w:t>东兴证券股份有限公司</w:t>
      </w:r>
    </w:p>
    <w:p w14:paraId="60B8D8DB" w14:textId="77777777" w:rsidR="00C5750B" w:rsidRPr="008D7D57" w:rsidRDefault="00C5750B" w:rsidP="00C5750B">
      <w:pPr>
        <w:spacing w:line="360" w:lineRule="auto"/>
        <w:ind w:firstLineChars="200" w:firstLine="480"/>
        <w:rPr>
          <w:sz w:val="24"/>
        </w:rPr>
      </w:pPr>
      <w:r w:rsidRPr="008D7D57">
        <w:rPr>
          <w:rFonts w:hint="eastAsia"/>
          <w:sz w:val="24"/>
        </w:rPr>
        <w:lastRenderedPageBreak/>
        <w:t>住所：北京市西城区金融大街</w:t>
      </w:r>
      <w:r w:rsidRPr="008D7D57">
        <w:rPr>
          <w:rFonts w:hint="eastAsia"/>
          <w:sz w:val="24"/>
        </w:rPr>
        <w:t>5</w:t>
      </w:r>
      <w:r w:rsidRPr="008D7D57">
        <w:rPr>
          <w:rFonts w:hint="eastAsia"/>
          <w:sz w:val="24"/>
        </w:rPr>
        <w:t>号新盛大厦</w:t>
      </w:r>
      <w:r w:rsidRPr="008D7D57">
        <w:rPr>
          <w:rFonts w:hint="eastAsia"/>
          <w:sz w:val="24"/>
        </w:rPr>
        <w:t>B</w:t>
      </w:r>
      <w:r w:rsidRPr="008D7D57">
        <w:rPr>
          <w:rFonts w:hint="eastAsia"/>
          <w:sz w:val="24"/>
        </w:rPr>
        <w:t>座</w:t>
      </w:r>
      <w:r w:rsidRPr="008D7D57">
        <w:rPr>
          <w:rFonts w:hint="eastAsia"/>
          <w:sz w:val="24"/>
        </w:rPr>
        <w:t>12-15</w:t>
      </w:r>
      <w:r w:rsidRPr="008D7D57">
        <w:rPr>
          <w:rFonts w:hint="eastAsia"/>
          <w:sz w:val="24"/>
        </w:rPr>
        <w:t>层</w:t>
      </w:r>
    </w:p>
    <w:p w14:paraId="2E64439E" w14:textId="77777777" w:rsidR="00C5750B" w:rsidRPr="008D7D57" w:rsidRDefault="00C5750B" w:rsidP="00C5750B">
      <w:pPr>
        <w:spacing w:line="360" w:lineRule="auto"/>
        <w:ind w:firstLineChars="200" w:firstLine="480"/>
        <w:rPr>
          <w:sz w:val="24"/>
        </w:rPr>
      </w:pPr>
      <w:r w:rsidRPr="008D7D57">
        <w:rPr>
          <w:rFonts w:hint="eastAsia"/>
          <w:sz w:val="24"/>
        </w:rPr>
        <w:t>法定代表人：徐勇力</w:t>
      </w:r>
    </w:p>
    <w:p w14:paraId="5782DA1E" w14:textId="77777777" w:rsidR="00C5750B" w:rsidRPr="008D7D57" w:rsidRDefault="00C5750B" w:rsidP="00C5750B">
      <w:pPr>
        <w:spacing w:line="360" w:lineRule="auto"/>
        <w:ind w:firstLineChars="200" w:firstLine="480"/>
        <w:rPr>
          <w:sz w:val="24"/>
        </w:rPr>
      </w:pPr>
      <w:r w:rsidRPr="008D7D57">
        <w:rPr>
          <w:rFonts w:hint="eastAsia"/>
          <w:sz w:val="24"/>
        </w:rPr>
        <w:t>电话：（</w:t>
      </w:r>
      <w:r w:rsidRPr="008D7D57">
        <w:rPr>
          <w:rFonts w:hint="eastAsia"/>
          <w:sz w:val="24"/>
        </w:rPr>
        <w:t>010</w:t>
      </w:r>
      <w:r w:rsidRPr="008D7D57">
        <w:rPr>
          <w:rFonts w:hint="eastAsia"/>
          <w:sz w:val="24"/>
        </w:rPr>
        <w:t>）</w:t>
      </w:r>
      <w:r w:rsidRPr="008D7D57">
        <w:rPr>
          <w:rFonts w:hint="eastAsia"/>
          <w:sz w:val="24"/>
        </w:rPr>
        <w:t>66555316</w:t>
      </w:r>
    </w:p>
    <w:p w14:paraId="51F682F2" w14:textId="77777777" w:rsidR="00C5750B" w:rsidRPr="008D7D57" w:rsidRDefault="00C5750B" w:rsidP="00C5750B">
      <w:pPr>
        <w:spacing w:line="360" w:lineRule="auto"/>
        <w:ind w:firstLineChars="200" w:firstLine="480"/>
        <w:rPr>
          <w:sz w:val="24"/>
        </w:rPr>
      </w:pPr>
      <w:r w:rsidRPr="008D7D57">
        <w:rPr>
          <w:rFonts w:hint="eastAsia"/>
          <w:sz w:val="24"/>
        </w:rPr>
        <w:t>传真：（</w:t>
      </w:r>
      <w:r w:rsidRPr="008D7D57">
        <w:rPr>
          <w:rFonts w:hint="eastAsia"/>
          <w:sz w:val="24"/>
        </w:rPr>
        <w:t>010</w:t>
      </w:r>
      <w:r w:rsidRPr="008D7D57">
        <w:rPr>
          <w:rFonts w:hint="eastAsia"/>
          <w:sz w:val="24"/>
        </w:rPr>
        <w:t>）</w:t>
      </w:r>
      <w:r w:rsidRPr="008D7D57">
        <w:rPr>
          <w:rFonts w:hint="eastAsia"/>
          <w:sz w:val="24"/>
        </w:rPr>
        <w:t>66555246</w:t>
      </w:r>
    </w:p>
    <w:p w14:paraId="790A53C7" w14:textId="77777777" w:rsidR="00C5750B" w:rsidRPr="008D7D57" w:rsidRDefault="00C5750B" w:rsidP="00C5750B">
      <w:pPr>
        <w:spacing w:line="360" w:lineRule="auto"/>
        <w:ind w:firstLineChars="200" w:firstLine="480"/>
        <w:rPr>
          <w:sz w:val="24"/>
        </w:rPr>
      </w:pPr>
      <w:r w:rsidRPr="008D7D57">
        <w:rPr>
          <w:rFonts w:hint="eastAsia"/>
          <w:sz w:val="24"/>
        </w:rPr>
        <w:t>联系人：汤漫川</w:t>
      </w:r>
    </w:p>
    <w:p w14:paraId="1C3CFFA4" w14:textId="77777777" w:rsidR="00C5750B" w:rsidRPr="008D7D57" w:rsidRDefault="00C5750B" w:rsidP="00C5750B">
      <w:pPr>
        <w:spacing w:line="360" w:lineRule="auto"/>
        <w:ind w:firstLineChars="200" w:firstLine="480"/>
        <w:rPr>
          <w:sz w:val="24"/>
        </w:rPr>
      </w:pPr>
      <w:r w:rsidRPr="008D7D57">
        <w:rPr>
          <w:rFonts w:hint="eastAsia"/>
          <w:sz w:val="24"/>
        </w:rPr>
        <w:t>客户服务电话</w:t>
      </w:r>
      <w:r w:rsidRPr="008D7D57">
        <w:rPr>
          <w:rFonts w:hint="eastAsia"/>
          <w:sz w:val="24"/>
        </w:rPr>
        <w:t>: 400-8888-993</w:t>
      </w:r>
    </w:p>
    <w:p w14:paraId="6B280447" w14:textId="77777777" w:rsidR="00C5750B" w:rsidRPr="008D7D57" w:rsidRDefault="00C5750B" w:rsidP="00C5750B">
      <w:pPr>
        <w:spacing w:line="360" w:lineRule="auto"/>
        <w:ind w:firstLineChars="200" w:firstLine="480"/>
        <w:rPr>
          <w:sz w:val="24"/>
        </w:rPr>
      </w:pPr>
      <w:r w:rsidRPr="008D7D57">
        <w:rPr>
          <w:rFonts w:hint="eastAsia"/>
          <w:sz w:val="24"/>
        </w:rPr>
        <w:t>网址：</w:t>
      </w:r>
      <w:r w:rsidRPr="008D7D57">
        <w:rPr>
          <w:rFonts w:hint="eastAsia"/>
          <w:sz w:val="24"/>
        </w:rPr>
        <w:t>www.dxzq.net</w:t>
      </w:r>
    </w:p>
    <w:p w14:paraId="7938FF7E" w14:textId="77777777" w:rsidR="00C5750B" w:rsidRPr="008D7D57" w:rsidRDefault="00C5750B" w:rsidP="00C5750B">
      <w:pPr>
        <w:spacing w:line="360" w:lineRule="auto"/>
        <w:ind w:firstLineChars="200" w:firstLine="480"/>
        <w:rPr>
          <w:sz w:val="24"/>
        </w:rPr>
      </w:pPr>
      <w:r w:rsidRPr="008D7D57">
        <w:rPr>
          <w:rFonts w:hint="eastAsia"/>
          <w:sz w:val="24"/>
        </w:rPr>
        <w:t>（</w:t>
      </w:r>
      <w:r w:rsidRPr="008D7D57">
        <w:rPr>
          <w:rFonts w:hint="eastAsia"/>
          <w:sz w:val="24"/>
        </w:rPr>
        <w:t>25</w:t>
      </w:r>
      <w:r w:rsidRPr="008D7D57">
        <w:rPr>
          <w:rFonts w:hint="eastAsia"/>
          <w:sz w:val="24"/>
        </w:rPr>
        <w:t>）</w:t>
      </w:r>
      <w:r w:rsidRPr="008D7D57">
        <w:rPr>
          <w:rFonts w:hint="eastAsia"/>
          <w:sz w:val="24"/>
        </w:rPr>
        <w:t xml:space="preserve"> </w:t>
      </w:r>
      <w:r w:rsidRPr="008D7D57">
        <w:rPr>
          <w:rFonts w:hint="eastAsia"/>
          <w:sz w:val="24"/>
        </w:rPr>
        <w:t>华福证券有限责任公司</w:t>
      </w:r>
    </w:p>
    <w:p w14:paraId="1AAE6D9A" w14:textId="77777777" w:rsidR="00C5750B" w:rsidRPr="008D7D57" w:rsidRDefault="00C5750B" w:rsidP="00C5750B">
      <w:pPr>
        <w:spacing w:line="360" w:lineRule="auto"/>
        <w:ind w:firstLineChars="200" w:firstLine="480"/>
        <w:rPr>
          <w:sz w:val="24"/>
        </w:rPr>
      </w:pPr>
      <w:r w:rsidRPr="008D7D57">
        <w:rPr>
          <w:rFonts w:hint="eastAsia"/>
          <w:sz w:val="24"/>
        </w:rPr>
        <w:t>住所：福州市五四路</w:t>
      </w:r>
      <w:r w:rsidRPr="008D7D57">
        <w:rPr>
          <w:rFonts w:hint="eastAsia"/>
          <w:sz w:val="24"/>
        </w:rPr>
        <w:t>157</w:t>
      </w:r>
      <w:r w:rsidRPr="008D7D57">
        <w:rPr>
          <w:rFonts w:hint="eastAsia"/>
          <w:sz w:val="24"/>
        </w:rPr>
        <w:t>号新天地大厦</w:t>
      </w:r>
      <w:r w:rsidRPr="008D7D57">
        <w:rPr>
          <w:rFonts w:hint="eastAsia"/>
          <w:sz w:val="24"/>
        </w:rPr>
        <w:t>7</w:t>
      </w:r>
      <w:r w:rsidRPr="008D7D57">
        <w:rPr>
          <w:rFonts w:hint="eastAsia"/>
          <w:sz w:val="24"/>
        </w:rPr>
        <w:t>、</w:t>
      </w:r>
      <w:r w:rsidRPr="008D7D57">
        <w:rPr>
          <w:rFonts w:hint="eastAsia"/>
          <w:sz w:val="24"/>
        </w:rPr>
        <w:t>8</w:t>
      </w:r>
      <w:r w:rsidRPr="008D7D57">
        <w:rPr>
          <w:rFonts w:hint="eastAsia"/>
          <w:sz w:val="24"/>
        </w:rPr>
        <w:t>层</w:t>
      </w:r>
    </w:p>
    <w:p w14:paraId="30AF64EB" w14:textId="77777777" w:rsidR="00C5750B" w:rsidRPr="008D7D57" w:rsidRDefault="00C5750B" w:rsidP="00C5750B">
      <w:pPr>
        <w:spacing w:line="360" w:lineRule="auto"/>
        <w:ind w:firstLineChars="200" w:firstLine="480"/>
        <w:rPr>
          <w:sz w:val="24"/>
        </w:rPr>
      </w:pPr>
      <w:r w:rsidRPr="008D7D57">
        <w:rPr>
          <w:rFonts w:hint="eastAsia"/>
          <w:sz w:val="24"/>
        </w:rPr>
        <w:t>办公地址：福州市五四路新天地大厦</w:t>
      </w:r>
      <w:r w:rsidRPr="008D7D57">
        <w:rPr>
          <w:rFonts w:hint="eastAsia"/>
          <w:sz w:val="24"/>
        </w:rPr>
        <w:t>7</w:t>
      </w:r>
      <w:r w:rsidRPr="008D7D57">
        <w:rPr>
          <w:rFonts w:hint="eastAsia"/>
          <w:sz w:val="24"/>
        </w:rPr>
        <w:t>至</w:t>
      </w:r>
      <w:r w:rsidRPr="008D7D57">
        <w:rPr>
          <w:rFonts w:hint="eastAsia"/>
          <w:sz w:val="24"/>
        </w:rPr>
        <w:t>10</w:t>
      </w:r>
      <w:r w:rsidRPr="008D7D57">
        <w:rPr>
          <w:rFonts w:hint="eastAsia"/>
          <w:sz w:val="24"/>
        </w:rPr>
        <w:t>层</w:t>
      </w:r>
    </w:p>
    <w:p w14:paraId="53BF5925" w14:textId="77777777" w:rsidR="00C5750B" w:rsidRPr="008D7D57" w:rsidRDefault="00C5750B" w:rsidP="00C5750B">
      <w:pPr>
        <w:spacing w:line="360" w:lineRule="auto"/>
        <w:ind w:firstLineChars="200" w:firstLine="480"/>
        <w:rPr>
          <w:sz w:val="24"/>
        </w:rPr>
      </w:pPr>
      <w:r w:rsidRPr="008D7D57">
        <w:rPr>
          <w:rFonts w:hint="eastAsia"/>
          <w:sz w:val="24"/>
        </w:rPr>
        <w:t>法定代表人：黄金琳</w:t>
      </w:r>
    </w:p>
    <w:p w14:paraId="6ECBCF1C" w14:textId="77777777" w:rsidR="00C5750B" w:rsidRPr="008D7D57" w:rsidRDefault="00C5750B" w:rsidP="00C5750B">
      <w:pPr>
        <w:spacing w:line="360" w:lineRule="auto"/>
        <w:ind w:firstLineChars="200" w:firstLine="480"/>
        <w:rPr>
          <w:sz w:val="24"/>
        </w:rPr>
      </w:pPr>
      <w:r w:rsidRPr="008D7D57">
        <w:rPr>
          <w:rFonts w:hint="eastAsia"/>
          <w:sz w:val="24"/>
        </w:rPr>
        <w:t>电话：（</w:t>
      </w:r>
      <w:r w:rsidRPr="008D7D57">
        <w:rPr>
          <w:rFonts w:hint="eastAsia"/>
          <w:sz w:val="24"/>
        </w:rPr>
        <w:t>0591</w:t>
      </w:r>
      <w:r w:rsidRPr="008D7D57">
        <w:rPr>
          <w:rFonts w:hint="eastAsia"/>
          <w:sz w:val="24"/>
        </w:rPr>
        <w:t>）</w:t>
      </w:r>
      <w:r w:rsidRPr="008D7D57">
        <w:rPr>
          <w:rFonts w:hint="eastAsia"/>
          <w:sz w:val="24"/>
        </w:rPr>
        <w:t>87383623</w:t>
      </w:r>
    </w:p>
    <w:p w14:paraId="1BD549E1" w14:textId="77777777" w:rsidR="00C5750B" w:rsidRPr="008D7D57" w:rsidRDefault="00C5750B" w:rsidP="00C5750B">
      <w:pPr>
        <w:spacing w:line="360" w:lineRule="auto"/>
        <w:ind w:firstLineChars="200" w:firstLine="480"/>
        <w:rPr>
          <w:sz w:val="24"/>
        </w:rPr>
      </w:pPr>
      <w:r w:rsidRPr="008D7D57">
        <w:rPr>
          <w:rFonts w:hint="eastAsia"/>
          <w:sz w:val="24"/>
        </w:rPr>
        <w:t>传真：（</w:t>
      </w:r>
      <w:r w:rsidRPr="008D7D57">
        <w:rPr>
          <w:rFonts w:hint="eastAsia"/>
          <w:sz w:val="24"/>
        </w:rPr>
        <w:t>0591</w:t>
      </w:r>
      <w:r w:rsidRPr="008D7D57">
        <w:rPr>
          <w:rFonts w:hint="eastAsia"/>
          <w:sz w:val="24"/>
        </w:rPr>
        <w:t>）</w:t>
      </w:r>
      <w:r w:rsidRPr="008D7D57">
        <w:rPr>
          <w:rFonts w:hint="eastAsia"/>
          <w:sz w:val="24"/>
        </w:rPr>
        <w:t>87383610</w:t>
      </w:r>
    </w:p>
    <w:p w14:paraId="607FF502" w14:textId="77777777" w:rsidR="00C5750B" w:rsidRPr="008D7D57" w:rsidRDefault="00C5750B" w:rsidP="00C5750B">
      <w:pPr>
        <w:spacing w:line="360" w:lineRule="auto"/>
        <w:ind w:firstLineChars="200" w:firstLine="480"/>
        <w:rPr>
          <w:sz w:val="24"/>
        </w:rPr>
      </w:pPr>
      <w:r w:rsidRPr="008D7D57">
        <w:rPr>
          <w:rFonts w:hint="eastAsia"/>
          <w:sz w:val="24"/>
        </w:rPr>
        <w:t>客户服务电话：（</w:t>
      </w:r>
      <w:r w:rsidRPr="008D7D57">
        <w:rPr>
          <w:rFonts w:hint="eastAsia"/>
          <w:sz w:val="24"/>
        </w:rPr>
        <w:t>0591</w:t>
      </w:r>
      <w:r w:rsidRPr="008D7D57">
        <w:rPr>
          <w:rFonts w:hint="eastAsia"/>
          <w:sz w:val="24"/>
        </w:rPr>
        <w:t>）</w:t>
      </w:r>
      <w:r w:rsidRPr="008D7D57">
        <w:rPr>
          <w:rFonts w:hint="eastAsia"/>
          <w:sz w:val="24"/>
        </w:rPr>
        <w:t>96326</w:t>
      </w:r>
    </w:p>
    <w:p w14:paraId="27E73761" w14:textId="77777777" w:rsidR="00C5750B" w:rsidRPr="008D7D57" w:rsidRDefault="00C5750B" w:rsidP="00C5750B">
      <w:pPr>
        <w:spacing w:line="360" w:lineRule="auto"/>
        <w:ind w:firstLineChars="200" w:firstLine="480"/>
        <w:rPr>
          <w:sz w:val="24"/>
        </w:rPr>
      </w:pPr>
      <w:r w:rsidRPr="008D7D57">
        <w:rPr>
          <w:rFonts w:hint="eastAsia"/>
          <w:sz w:val="24"/>
        </w:rPr>
        <w:t>网址：</w:t>
      </w:r>
      <w:r w:rsidRPr="008D7D57">
        <w:rPr>
          <w:rFonts w:hint="eastAsia"/>
          <w:sz w:val="24"/>
        </w:rPr>
        <w:t>www.hfzq.com.cn</w:t>
      </w:r>
    </w:p>
    <w:p w14:paraId="6C443C0F" w14:textId="77777777" w:rsidR="00C5750B" w:rsidRPr="008D7D57" w:rsidRDefault="00C5750B" w:rsidP="00C5750B">
      <w:pPr>
        <w:spacing w:line="360" w:lineRule="auto"/>
        <w:ind w:firstLineChars="200" w:firstLine="480"/>
        <w:rPr>
          <w:sz w:val="24"/>
        </w:rPr>
      </w:pPr>
      <w:r w:rsidRPr="008D7D57">
        <w:rPr>
          <w:rFonts w:hint="eastAsia"/>
          <w:sz w:val="24"/>
        </w:rPr>
        <w:t>（</w:t>
      </w:r>
      <w:r w:rsidRPr="008D7D57">
        <w:rPr>
          <w:rFonts w:hint="eastAsia"/>
          <w:sz w:val="24"/>
        </w:rPr>
        <w:t>26</w:t>
      </w:r>
      <w:r w:rsidRPr="008D7D57">
        <w:rPr>
          <w:rFonts w:hint="eastAsia"/>
          <w:sz w:val="24"/>
        </w:rPr>
        <w:t>）</w:t>
      </w:r>
      <w:r w:rsidRPr="008D7D57">
        <w:rPr>
          <w:rFonts w:hint="eastAsia"/>
          <w:sz w:val="24"/>
        </w:rPr>
        <w:t xml:space="preserve"> </w:t>
      </w:r>
      <w:r w:rsidRPr="008D7D57">
        <w:rPr>
          <w:rFonts w:hint="eastAsia"/>
          <w:sz w:val="24"/>
        </w:rPr>
        <w:t>中国中投证券有限责任公司</w:t>
      </w:r>
    </w:p>
    <w:p w14:paraId="10C0F1A8" w14:textId="77777777" w:rsidR="00C5750B" w:rsidRPr="008D7D57" w:rsidRDefault="00C5750B" w:rsidP="00C5750B">
      <w:pPr>
        <w:spacing w:line="360" w:lineRule="auto"/>
        <w:ind w:firstLineChars="200" w:firstLine="480"/>
        <w:rPr>
          <w:sz w:val="24"/>
        </w:rPr>
      </w:pPr>
      <w:r w:rsidRPr="008D7D57">
        <w:rPr>
          <w:rFonts w:hint="eastAsia"/>
          <w:sz w:val="24"/>
        </w:rPr>
        <w:t>住所：深圳市福田区益田路与福中路交界处荣超商务中心</w:t>
      </w:r>
      <w:r w:rsidRPr="008D7D57">
        <w:rPr>
          <w:rFonts w:hint="eastAsia"/>
          <w:sz w:val="24"/>
        </w:rPr>
        <w:t>A</w:t>
      </w:r>
      <w:r w:rsidRPr="008D7D57">
        <w:rPr>
          <w:rFonts w:hint="eastAsia"/>
          <w:sz w:val="24"/>
        </w:rPr>
        <w:t>栋第</w:t>
      </w:r>
      <w:r w:rsidRPr="008D7D57">
        <w:rPr>
          <w:rFonts w:hint="eastAsia"/>
          <w:sz w:val="24"/>
        </w:rPr>
        <w:t>18</w:t>
      </w:r>
      <w:r w:rsidRPr="008D7D57">
        <w:rPr>
          <w:rFonts w:hint="eastAsia"/>
          <w:sz w:val="24"/>
        </w:rPr>
        <w:t>层</w:t>
      </w:r>
      <w:r w:rsidRPr="008D7D57">
        <w:rPr>
          <w:rFonts w:hint="eastAsia"/>
          <w:sz w:val="24"/>
        </w:rPr>
        <w:t>-21</w:t>
      </w:r>
      <w:r w:rsidRPr="008D7D57">
        <w:rPr>
          <w:rFonts w:hint="eastAsia"/>
          <w:sz w:val="24"/>
        </w:rPr>
        <w:t>层及第</w:t>
      </w:r>
      <w:r w:rsidRPr="008D7D57">
        <w:rPr>
          <w:rFonts w:hint="eastAsia"/>
          <w:sz w:val="24"/>
        </w:rPr>
        <w:t>04</w:t>
      </w:r>
      <w:r w:rsidRPr="008D7D57">
        <w:rPr>
          <w:rFonts w:hint="eastAsia"/>
          <w:sz w:val="24"/>
        </w:rPr>
        <w:t>层</w:t>
      </w:r>
      <w:r w:rsidRPr="008D7D57">
        <w:rPr>
          <w:rFonts w:hint="eastAsia"/>
          <w:sz w:val="24"/>
        </w:rPr>
        <w:t>01.02.03.05.11.12.13.15.16.18.19.20.21.22.23</w:t>
      </w:r>
      <w:r w:rsidRPr="008D7D57">
        <w:rPr>
          <w:rFonts w:hint="eastAsia"/>
          <w:sz w:val="24"/>
        </w:rPr>
        <w:t>单元</w:t>
      </w:r>
    </w:p>
    <w:p w14:paraId="55036437" w14:textId="77777777" w:rsidR="00C5750B" w:rsidRPr="008D7D57" w:rsidRDefault="00C5750B" w:rsidP="00C5750B">
      <w:pPr>
        <w:spacing w:line="360" w:lineRule="auto"/>
        <w:ind w:firstLineChars="200" w:firstLine="480"/>
        <w:rPr>
          <w:sz w:val="24"/>
        </w:rPr>
      </w:pPr>
      <w:r w:rsidRPr="008D7D57">
        <w:rPr>
          <w:rFonts w:hint="eastAsia"/>
          <w:sz w:val="24"/>
        </w:rPr>
        <w:t>办公地址：深圳市福田区益田路</w:t>
      </w:r>
      <w:r w:rsidRPr="008D7D57">
        <w:rPr>
          <w:rFonts w:hint="eastAsia"/>
          <w:sz w:val="24"/>
        </w:rPr>
        <w:t>6003</w:t>
      </w:r>
      <w:r w:rsidRPr="008D7D57">
        <w:rPr>
          <w:rFonts w:hint="eastAsia"/>
          <w:sz w:val="24"/>
        </w:rPr>
        <w:t>号荣超商务中心</w:t>
      </w:r>
      <w:r w:rsidRPr="008D7D57">
        <w:rPr>
          <w:rFonts w:hint="eastAsia"/>
          <w:sz w:val="24"/>
        </w:rPr>
        <w:t>A</w:t>
      </w:r>
      <w:r w:rsidRPr="008D7D57">
        <w:rPr>
          <w:rFonts w:hint="eastAsia"/>
          <w:sz w:val="24"/>
        </w:rPr>
        <w:t>栋第</w:t>
      </w:r>
      <w:r w:rsidRPr="008D7D57">
        <w:rPr>
          <w:rFonts w:hint="eastAsia"/>
          <w:sz w:val="24"/>
        </w:rPr>
        <w:t>04</w:t>
      </w:r>
      <w:r w:rsidRPr="008D7D57">
        <w:rPr>
          <w:rFonts w:hint="eastAsia"/>
          <w:sz w:val="24"/>
        </w:rPr>
        <w:t>、</w:t>
      </w:r>
      <w:r w:rsidRPr="008D7D57">
        <w:rPr>
          <w:rFonts w:hint="eastAsia"/>
          <w:sz w:val="24"/>
        </w:rPr>
        <w:t>18</w:t>
      </w:r>
      <w:r w:rsidRPr="008D7D57">
        <w:rPr>
          <w:rFonts w:hint="eastAsia"/>
          <w:sz w:val="24"/>
        </w:rPr>
        <w:t>层至</w:t>
      </w:r>
      <w:r w:rsidRPr="008D7D57">
        <w:rPr>
          <w:rFonts w:hint="eastAsia"/>
          <w:sz w:val="24"/>
        </w:rPr>
        <w:t>21</w:t>
      </w:r>
      <w:r w:rsidRPr="008D7D57">
        <w:rPr>
          <w:rFonts w:hint="eastAsia"/>
          <w:sz w:val="24"/>
        </w:rPr>
        <w:t>层</w:t>
      </w:r>
    </w:p>
    <w:p w14:paraId="7E2875EE" w14:textId="77777777" w:rsidR="00C5750B" w:rsidRPr="008D7D57" w:rsidRDefault="00C5750B" w:rsidP="00C5750B">
      <w:pPr>
        <w:spacing w:line="360" w:lineRule="auto"/>
        <w:ind w:firstLineChars="200" w:firstLine="480"/>
        <w:rPr>
          <w:sz w:val="24"/>
        </w:rPr>
      </w:pPr>
      <w:r w:rsidRPr="008D7D57">
        <w:rPr>
          <w:rFonts w:hint="eastAsia"/>
          <w:sz w:val="24"/>
        </w:rPr>
        <w:t>法定代表人：龙增来</w:t>
      </w:r>
    </w:p>
    <w:p w14:paraId="71413780" w14:textId="77777777" w:rsidR="00C5750B" w:rsidRPr="008D7D57" w:rsidRDefault="00C5750B" w:rsidP="00C5750B">
      <w:pPr>
        <w:spacing w:line="360" w:lineRule="auto"/>
        <w:ind w:firstLineChars="200" w:firstLine="480"/>
        <w:rPr>
          <w:sz w:val="24"/>
        </w:rPr>
      </w:pPr>
      <w:r w:rsidRPr="008D7D57">
        <w:rPr>
          <w:rFonts w:hint="eastAsia"/>
          <w:sz w:val="24"/>
        </w:rPr>
        <w:t>电话：（</w:t>
      </w:r>
      <w:r w:rsidRPr="008D7D57">
        <w:rPr>
          <w:rFonts w:hint="eastAsia"/>
          <w:sz w:val="24"/>
        </w:rPr>
        <w:t>0755</w:t>
      </w:r>
      <w:r w:rsidRPr="008D7D57">
        <w:rPr>
          <w:rFonts w:hint="eastAsia"/>
          <w:sz w:val="24"/>
        </w:rPr>
        <w:t>）</w:t>
      </w:r>
      <w:r w:rsidRPr="008D7D57">
        <w:rPr>
          <w:rFonts w:hint="eastAsia"/>
          <w:sz w:val="24"/>
        </w:rPr>
        <w:t>82023442</w:t>
      </w:r>
    </w:p>
    <w:p w14:paraId="6DFB1612" w14:textId="77777777" w:rsidR="00C5750B" w:rsidRPr="008D7D57" w:rsidRDefault="00C5750B" w:rsidP="00C5750B">
      <w:pPr>
        <w:spacing w:line="360" w:lineRule="auto"/>
        <w:ind w:firstLineChars="200" w:firstLine="480"/>
        <w:rPr>
          <w:sz w:val="24"/>
        </w:rPr>
      </w:pPr>
      <w:r w:rsidRPr="008D7D57">
        <w:rPr>
          <w:rFonts w:hint="eastAsia"/>
          <w:sz w:val="24"/>
        </w:rPr>
        <w:t>传真：（</w:t>
      </w:r>
      <w:r w:rsidRPr="008D7D57">
        <w:rPr>
          <w:rFonts w:hint="eastAsia"/>
          <w:sz w:val="24"/>
        </w:rPr>
        <w:t>0755</w:t>
      </w:r>
      <w:r w:rsidRPr="008D7D57">
        <w:rPr>
          <w:rFonts w:hint="eastAsia"/>
          <w:sz w:val="24"/>
        </w:rPr>
        <w:t>）</w:t>
      </w:r>
      <w:r w:rsidRPr="008D7D57">
        <w:rPr>
          <w:rFonts w:hint="eastAsia"/>
          <w:sz w:val="24"/>
        </w:rPr>
        <w:t>82026539</w:t>
      </w:r>
    </w:p>
    <w:p w14:paraId="548A9205" w14:textId="77777777" w:rsidR="00C5750B" w:rsidRPr="008D7D57" w:rsidRDefault="00C5750B" w:rsidP="00C5750B">
      <w:pPr>
        <w:spacing w:line="360" w:lineRule="auto"/>
        <w:ind w:firstLineChars="200" w:firstLine="480"/>
        <w:rPr>
          <w:sz w:val="24"/>
        </w:rPr>
      </w:pPr>
      <w:r w:rsidRPr="008D7D57">
        <w:rPr>
          <w:rFonts w:hint="eastAsia"/>
          <w:sz w:val="24"/>
        </w:rPr>
        <w:t>联系人：刘毅</w:t>
      </w:r>
    </w:p>
    <w:p w14:paraId="6310AFCB" w14:textId="77777777" w:rsidR="00C5750B" w:rsidRPr="008D7D57" w:rsidRDefault="00C5750B" w:rsidP="00C5750B">
      <w:pPr>
        <w:spacing w:line="360" w:lineRule="auto"/>
        <w:ind w:firstLineChars="200" w:firstLine="480"/>
        <w:rPr>
          <w:sz w:val="24"/>
        </w:rPr>
      </w:pPr>
      <w:r w:rsidRPr="008D7D57">
        <w:rPr>
          <w:rFonts w:hint="eastAsia"/>
          <w:sz w:val="24"/>
        </w:rPr>
        <w:t>客户服务电话：</w:t>
      </w:r>
      <w:r w:rsidRPr="008D7D57">
        <w:rPr>
          <w:rFonts w:hint="eastAsia"/>
          <w:sz w:val="24"/>
        </w:rPr>
        <w:t>400-600-8008</w:t>
      </w:r>
    </w:p>
    <w:p w14:paraId="1234E0C1" w14:textId="77777777" w:rsidR="00C5750B" w:rsidRPr="008D7D57" w:rsidRDefault="00C5750B" w:rsidP="00C5750B">
      <w:pPr>
        <w:spacing w:line="360" w:lineRule="auto"/>
        <w:ind w:firstLineChars="200" w:firstLine="480"/>
        <w:rPr>
          <w:sz w:val="24"/>
        </w:rPr>
      </w:pPr>
      <w:r w:rsidRPr="008D7D57">
        <w:rPr>
          <w:rFonts w:hint="eastAsia"/>
          <w:sz w:val="24"/>
        </w:rPr>
        <w:t>网址：</w:t>
      </w:r>
      <w:r w:rsidRPr="008D7D57">
        <w:rPr>
          <w:rFonts w:hint="eastAsia"/>
          <w:sz w:val="24"/>
        </w:rPr>
        <w:t>www.china-invs.cn</w:t>
      </w:r>
    </w:p>
    <w:p w14:paraId="119F1612" w14:textId="77777777" w:rsidR="00C5750B" w:rsidRPr="008D7D57" w:rsidRDefault="00C5750B" w:rsidP="00C5750B">
      <w:pPr>
        <w:spacing w:line="360" w:lineRule="auto"/>
        <w:ind w:firstLineChars="200" w:firstLine="480"/>
        <w:rPr>
          <w:sz w:val="24"/>
        </w:rPr>
      </w:pPr>
      <w:r w:rsidRPr="008D7D57">
        <w:rPr>
          <w:rFonts w:hint="eastAsia"/>
          <w:sz w:val="24"/>
        </w:rPr>
        <w:t>（</w:t>
      </w:r>
      <w:r w:rsidRPr="008D7D57">
        <w:rPr>
          <w:rFonts w:hint="eastAsia"/>
          <w:sz w:val="24"/>
        </w:rPr>
        <w:t>27</w:t>
      </w:r>
      <w:r w:rsidRPr="008D7D57">
        <w:rPr>
          <w:rFonts w:hint="eastAsia"/>
          <w:sz w:val="24"/>
        </w:rPr>
        <w:t>）</w:t>
      </w:r>
      <w:r w:rsidRPr="008D7D57">
        <w:rPr>
          <w:rFonts w:hint="eastAsia"/>
          <w:sz w:val="24"/>
        </w:rPr>
        <w:t xml:space="preserve"> </w:t>
      </w:r>
      <w:r w:rsidRPr="008D7D57">
        <w:rPr>
          <w:rFonts w:hint="eastAsia"/>
          <w:sz w:val="24"/>
        </w:rPr>
        <w:t>中原证券股份有限公司</w:t>
      </w:r>
    </w:p>
    <w:p w14:paraId="1F1E6EBB" w14:textId="77777777" w:rsidR="00C5750B" w:rsidRPr="008D7D57" w:rsidRDefault="00C5750B" w:rsidP="00C5750B">
      <w:pPr>
        <w:spacing w:line="360" w:lineRule="auto"/>
        <w:ind w:firstLineChars="200" w:firstLine="480"/>
        <w:rPr>
          <w:sz w:val="24"/>
        </w:rPr>
      </w:pPr>
      <w:r w:rsidRPr="008D7D57">
        <w:rPr>
          <w:rFonts w:hint="eastAsia"/>
          <w:sz w:val="24"/>
        </w:rPr>
        <w:t>住所：郑州市郑东新区商务外环路</w:t>
      </w:r>
      <w:r w:rsidRPr="008D7D57">
        <w:rPr>
          <w:rFonts w:hint="eastAsia"/>
          <w:sz w:val="24"/>
        </w:rPr>
        <w:t>10</w:t>
      </w:r>
      <w:r w:rsidRPr="008D7D57">
        <w:rPr>
          <w:rFonts w:hint="eastAsia"/>
          <w:sz w:val="24"/>
        </w:rPr>
        <w:t>号</w:t>
      </w:r>
    </w:p>
    <w:p w14:paraId="6D8ACCA1" w14:textId="77777777" w:rsidR="00C5750B" w:rsidRPr="008D7D57" w:rsidRDefault="00C5750B" w:rsidP="00C5750B">
      <w:pPr>
        <w:spacing w:line="360" w:lineRule="auto"/>
        <w:ind w:firstLineChars="200" w:firstLine="480"/>
        <w:rPr>
          <w:sz w:val="24"/>
        </w:rPr>
      </w:pPr>
      <w:r w:rsidRPr="008D7D57">
        <w:rPr>
          <w:rFonts w:hint="eastAsia"/>
          <w:sz w:val="24"/>
        </w:rPr>
        <w:t>办公地址：郑州市郑东新区商务外环路</w:t>
      </w:r>
      <w:r w:rsidRPr="008D7D57">
        <w:rPr>
          <w:rFonts w:hint="eastAsia"/>
          <w:sz w:val="24"/>
        </w:rPr>
        <w:t>10</w:t>
      </w:r>
      <w:r w:rsidRPr="008D7D57">
        <w:rPr>
          <w:rFonts w:hint="eastAsia"/>
          <w:sz w:val="24"/>
        </w:rPr>
        <w:t>号中原广发金融大厦</w:t>
      </w:r>
      <w:r w:rsidRPr="008D7D57">
        <w:rPr>
          <w:rFonts w:hint="eastAsia"/>
          <w:sz w:val="24"/>
        </w:rPr>
        <w:t>17</w:t>
      </w:r>
      <w:r w:rsidRPr="008D7D57">
        <w:rPr>
          <w:rFonts w:hint="eastAsia"/>
          <w:sz w:val="24"/>
        </w:rPr>
        <w:t>层</w:t>
      </w:r>
    </w:p>
    <w:p w14:paraId="00D92E62" w14:textId="77777777" w:rsidR="00C5750B" w:rsidRPr="008D7D57" w:rsidRDefault="00C5750B" w:rsidP="00C5750B">
      <w:pPr>
        <w:spacing w:line="360" w:lineRule="auto"/>
        <w:ind w:firstLineChars="200" w:firstLine="480"/>
        <w:rPr>
          <w:sz w:val="24"/>
        </w:rPr>
      </w:pPr>
      <w:r w:rsidRPr="008D7D57">
        <w:rPr>
          <w:rFonts w:hint="eastAsia"/>
          <w:sz w:val="24"/>
        </w:rPr>
        <w:lastRenderedPageBreak/>
        <w:t>法定代表人：菅明军</w:t>
      </w:r>
    </w:p>
    <w:p w14:paraId="26D51CAD" w14:textId="77777777" w:rsidR="00C5750B" w:rsidRPr="008D7D57" w:rsidRDefault="00C5750B" w:rsidP="00C5750B">
      <w:pPr>
        <w:spacing w:line="360" w:lineRule="auto"/>
        <w:ind w:firstLineChars="200" w:firstLine="480"/>
        <w:rPr>
          <w:sz w:val="24"/>
        </w:rPr>
      </w:pPr>
      <w:r w:rsidRPr="008D7D57">
        <w:rPr>
          <w:rFonts w:hint="eastAsia"/>
          <w:sz w:val="24"/>
        </w:rPr>
        <w:t>电话：（</w:t>
      </w:r>
      <w:r w:rsidRPr="008D7D57">
        <w:rPr>
          <w:rFonts w:hint="eastAsia"/>
          <w:sz w:val="24"/>
        </w:rPr>
        <w:t>0371</w:t>
      </w:r>
      <w:r w:rsidRPr="008D7D57">
        <w:rPr>
          <w:rFonts w:hint="eastAsia"/>
          <w:sz w:val="24"/>
        </w:rPr>
        <w:t>）</w:t>
      </w:r>
      <w:r w:rsidRPr="008D7D57">
        <w:rPr>
          <w:rFonts w:hint="eastAsia"/>
          <w:sz w:val="24"/>
        </w:rPr>
        <w:t>69099882</w:t>
      </w:r>
    </w:p>
    <w:p w14:paraId="58B9DFBB" w14:textId="77777777" w:rsidR="00C5750B" w:rsidRPr="008D7D57" w:rsidRDefault="00C5750B" w:rsidP="00C5750B">
      <w:pPr>
        <w:spacing w:line="360" w:lineRule="auto"/>
        <w:ind w:firstLineChars="200" w:firstLine="480"/>
        <w:rPr>
          <w:sz w:val="24"/>
        </w:rPr>
      </w:pPr>
      <w:r w:rsidRPr="008D7D57">
        <w:rPr>
          <w:rFonts w:hint="eastAsia"/>
          <w:sz w:val="24"/>
        </w:rPr>
        <w:t>传真：（</w:t>
      </w:r>
      <w:r w:rsidRPr="008D7D57">
        <w:rPr>
          <w:rFonts w:hint="eastAsia"/>
          <w:sz w:val="24"/>
        </w:rPr>
        <w:t>0371</w:t>
      </w:r>
      <w:r w:rsidRPr="008D7D57">
        <w:rPr>
          <w:rFonts w:hint="eastAsia"/>
          <w:sz w:val="24"/>
        </w:rPr>
        <w:t>）</w:t>
      </w:r>
      <w:r w:rsidRPr="008D7D57">
        <w:rPr>
          <w:rFonts w:hint="eastAsia"/>
          <w:sz w:val="24"/>
        </w:rPr>
        <w:t>65585899</w:t>
      </w:r>
    </w:p>
    <w:p w14:paraId="6DC8E7D4" w14:textId="77777777" w:rsidR="00C5750B" w:rsidRPr="008D7D57" w:rsidRDefault="00C5750B" w:rsidP="00C5750B">
      <w:pPr>
        <w:spacing w:line="360" w:lineRule="auto"/>
        <w:ind w:firstLineChars="200" w:firstLine="480"/>
        <w:rPr>
          <w:sz w:val="24"/>
        </w:rPr>
      </w:pPr>
      <w:r w:rsidRPr="008D7D57">
        <w:rPr>
          <w:rFonts w:hint="eastAsia"/>
          <w:sz w:val="24"/>
        </w:rPr>
        <w:t>联系人：程月艳、范春艳</w:t>
      </w:r>
    </w:p>
    <w:p w14:paraId="4F729EE9" w14:textId="77777777" w:rsidR="00C5750B" w:rsidRPr="008D7D57" w:rsidRDefault="00C5750B" w:rsidP="00C5750B">
      <w:pPr>
        <w:spacing w:line="360" w:lineRule="auto"/>
        <w:ind w:firstLineChars="200" w:firstLine="480"/>
        <w:rPr>
          <w:sz w:val="24"/>
        </w:rPr>
      </w:pPr>
      <w:r w:rsidRPr="008D7D57">
        <w:rPr>
          <w:rFonts w:hint="eastAsia"/>
          <w:sz w:val="24"/>
        </w:rPr>
        <w:t>客户服务电话：（</w:t>
      </w:r>
      <w:r w:rsidRPr="008D7D57">
        <w:rPr>
          <w:rFonts w:hint="eastAsia"/>
          <w:sz w:val="24"/>
        </w:rPr>
        <w:t>0371</w:t>
      </w:r>
      <w:r w:rsidRPr="008D7D57">
        <w:rPr>
          <w:rFonts w:hint="eastAsia"/>
          <w:sz w:val="24"/>
        </w:rPr>
        <w:t>）</w:t>
      </w:r>
      <w:r w:rsidRPr="008D7D57">
        <w:rPr>
          <w:rFonts w:hint="eastAsia"/>
          <w:sz w:val="24"/>
        </w:rPr>
        <w:t>967218</w:t>
      </w:r>
      <w:r w:rsidRPr="008D7D57">
        <w:rPr>
          <w:rFonts w:hint="eastAsia"/>
          <w:sz w:val="24"/>
        </w:rPr>
        <w:t>，</w:t>
      </w:r>
      <w:r w:rsidRPr="008D7D57">
        <w:rPr>
          <w:rFonts w:hint="eastAsia"/>
          <w:sz w:val="24"/>
        </w:rPr>
        <w:t>400-813-9666</w:t>
      </w:r>
    </w:p>
    <w:p w14:paraId="7B4723E3" w14:textId="77777777" w:rsidR="00C5750B" w:rsidRPr="008D7D57" w:rsidRDefault="00C5750B" w:rsidP="00C5750B">
      <w:pPr>
        <w:spacing w:line="360" w:lineRule="auto"/>
        <w:ind w:firstLineChars="200" w:firstLine="480"/>
        <w:rPr>
          <w:sz w:val="24"/>
        </w:rPr>
      </w:pPr>
      <w:r w:rsidRPr="008D7D57">
        <w:rPr>
          <w:rFonts w:hint="eastAsia"/>
          <w:sz w:val="24"/>
        </w:rPr>
        <w:t>网址：</w:t>
      </w:r>
      <w:r w:rsidRPr="008D7D57">
        <w:rPr>
          <w:rFonts w:hint="eastAsia"/>
          <w:sz w:val="24"/>
        </w:rPr>
        <w:t>www.ccnew.com</w:t>
      </w:r>
    </w:p>
    <w:p w14:paraId="7338B419" w14:textId="77777777" w:rsidR="00C5750B" w:rsidRPr="008D7D57" w:rsidRDefault="00C5750B" w:rsidP="00C5750B">
      <w:pPr>
        <w:spacing w:line="360" w:lineRule="auto"/>
        <w:ind w:firstLineChars="200" w:firstLine="480"/>
        <w:rPr>
          <w:sz w:val="24"/>
        </w:rPr>
      </w:pPr>
      <w:r w:rsidRPr="008D7D57">
        <w:rPr>
          <w:rFonts w:hint="eastAsia"/>
          <w:sz w:val="24"/>
        </w:rPr>
        <w:t>（</w:t>
      </w:r>
      <w:r w:rsidRPr="008D7D57">
        <w:rPr>
          <w:rFonts w:hint="eastAsia"/>
          <w:sz w:val="24"/>
        </w:rPr>
        <w:t>28</w:t>
      </w:r>
      <w:r w:rsidRPr="008D7D57">
        <w:rPr>
          <w:rFonts w:hint="eastAsia"/>
          <w:sz w:val="24"/>
        </w:rPr>
        <w:t>）</w:t>
      </w:r>
      <w:r w:rsidRPr="008D7D57">
        <w:rPr>
          <w:rFonts w:hint="eastAsia"/>
          <w:sz w:val="24"/>
        </w:rPr>
        <w:t xml:space="preserve"> </w:t>
      </w:r>
      <w:r w:rsidRPr="008D7D57">
        <w:rPr>
          <w:rFonts w:hint="eastAsia"/>
          <w:sz w:val="24"/>
        </w:rPr>
        <w:t>红塔证券股份有限公司</w:t>
      </w:r>
    </w:p>
    <w:p w14:paraId="61620E01" w14:textId="77777777" w:rsidR="00C5750B" w:rsidRPr="008D7D57" w:rsidRDefault="00C5750B" w:rsidP="00C5750B">
      <w:pPr>
        <w:spacing w:line="360" w:lineRule="auto"/>
        <w:ind w:firstLineChars="200" w:firstLine="480"/>
        <w:rPr>
          <w:sz w:val="24"/>
        </w:rPr>
      </w:pPr>
      <w:r w:rsidRPr="008D7D57">
        <w:rPr>
          <w:rFonts w:hint="eastAsia"/>
          <w:sz w:val="24"/>
        </w:rPr>
        <w:t>住所：云南省昆明市北京路</w:t>
      </w:r>
      <w:r w:rsidRPr="008D7D57">
        <w:rPr>
          <w:rFonts w:hint="eastAsia"/>
          <w:sz w:val="24"/>
        </w:rPr>
        <w:t>155</w:t>
      </w:r>
      <w:r w:rsidRPr="008D7D57">
        <w:rPr>
          <w:rFonts w:hint="eastAsia"/>
          <w:sz w:val="24"/>
        </w:rPr>
        <w:t>号附</w:t>
      </w:r>
      <w:r w:rsidRPr="008D7D57">
        <w:rPr>
          <w:rFonts w:hint="eastAsia"/>
          <w:sz w:val="24"/>
        </w:rPr>
        <w:t>1</w:t>
      </w:r>
      <w:r w:rsidRPr="008D7D57">
        <w:rPr>
          <w:rFonts w:hint="eastAsia"/>
          <w:sz w:val="24"/>
        </w:rPr>
        <w:t>号红塔大厦</w:t>
      </w:r>
      <w:r w:rsidRPr="008D7D57">
        <w:rPr>
          <w:rFonts w:hint="eastAsia"/>
          <w:sz w:val="24"/>
        </w:rPr>
        <w:t>9</w:t>
      </w:r>
      <w:r w:rsidRPr="008D7D57">
        <w:rPr>
          <w:rFonts w:hint="eastAsia"/>
          <w:sz w:val="24"/>
        </w:rPr>
        <w:t>楼</w:t>
      </w:r>
    </w:p>
    <w:p w14:paraId="09C01E00" w14:textId="77777777" w:rsidR="00C5750B" w:rsidRPr="008D7D57" w:rsidRDefault="00C5750B" w:rsidP="00C5750B">
      <w:pPr>
        <w:spacing w:line="360" w:lineRule="auto"/>
        <w:ind w:firstLineChars="200" w:firstLine="480"/>
        <w:rPr>
          <w:sz w:val="24"/>
        </w:rPr>
      </w:pPr>
      <w:r w:rsidRPr="008D7D57">
        <w:rPr>
          <w:rFonts w:hint="eastAsia"/>
          <w:sz w:val="24"/>
        </w:rPr>
        <w:t>办公地址：云南省昆明市北京路</w:t>
      </w:r>
      <w:r w:rsidRPr="008D7D57">
        <w:rPr>
          <w:rFonts w:hint="eastAsia"/>
          <w:sz w:val="24"/>
        </w:rPr>
        <w:t>155</w:t>
      </w:r>
      <w:r w:rsidRPr="008D7D57">
        <w:rPr>
          <w:rFonts w:hint="eastAsia"/>
          <w:sz w:val="24"/>
        </w:rPr>
        <w:t>号附</w:t>
      </w:r>
      <w:r w:rsidRPr="008D7D57">
        <w:rPr>
          <w:rFonts w:hint="eastAsia"/>
          <w:sz w:val="24"/>
        </w:rPr>
        <w:t>1</w:t>
      </w:r>
      <w:r w:rsidRPr="008D7D57">
        <w:rPr>
          <w:rFonts w:hint="eastAsia"/>
          <w:sz w:val="24"/>
        </w:rPr>
        <w:t>号红塔大厦</w:t>
      </w:r>
      <w:r w:rsidRPr="008D7D57">
        <w:rPr>
          <w:rFonts w:hint="eastAsia"/>
          <w:sz w:val="24"/>
        </w:rPr>
        <w:t>9</w:t>
      </w:r>
      <w:r w:rsidRPr="008D7D57">
        <w:rPr>
          <w:rFonts w:hint="eastAsia"/>
          <w:sz w:val="24"/>
        </w:rPr>
        <w:t>楼</w:t>
      </w:r>
    </w:p>
    <w:p w14:paraId="2A4B8D1D" w14:textId="77777777" w:rsidR="00C5750B" w:rsidRPr="008D7D57" w:rsidRDefault="00C5750B" w:rsidP="00C5750B">
      <w:pPr>
        <w:spacing w:line="360" w:lineRule="auto"/>
        <w:ind w:firstLineChars="200" w:firstLine="480"/>
        <w:rPr>
          <w:sz w:val="24"/>
        </w:rPr>
      </w:pPr>
      <w:r w:rsidRPr="008D7D57">
        <w:rPr>
          <w:rFonts w:hint="eastAsia"/>
          <w:sz w:val="24"/>
        </w:rPr>
        <w:t>法定代表人：况雨林</w:t>
      </w:r>
    </w:p>
    <w:p w14:paraId="2F716455" w14:textId="77777777" w:rsidR="00C5750B" w:rsidRPr="008D7D57" w:rsidRDefault="00C5750B" w:rsidP="00C5750B">
      <w:pPr>
        <w:spacing w:line="360" w:lineRule="auto"/>
        <w:ind w:firstLineChars="200" w:firstLine="480"/>
        <w:rPr>
          <w:sz w:val="24"/>
        </w:rPr>
      </w:pPr>
      <w:r w:rsidRPr="008D7D57">
        <w:rPr>
          <w:rFonts w:hint="eastAsia"/>
          <w:sz w:val="24"/>
        </w:rPr>
        <w:t>客户服务电话：</w:t>
      </w:r>
      <w:r w:rsidRPr="008D7D57">
        <w:rPr>
          <w:rFonts w:hint="eastAsia"/>
          <w:sz w:val="24"/>
        </w:rPr>
        <w:t>0871-3577888</w:t>
      </w:r>
    </w:p>
    <w:p w14:paraId="2C22DFB4" w14:textId="77777777" w:rsidR="00C5750B" w:rsidRPr="008D7D57" w:rsidRDefault="00C5750B" w:rsidP="00C5750B">
      <w:pPr>
        <w:spacing w:line="360" w:lineRule="auto"/>
        <w:ind w:firstLineChars="200" w:firstLine="480"/>
        <w:rPr>
          <w:sz w:val="24"/>
        </w:rPr>
      </w:pPr>
      <w:r w:rsidRPr="008D7D57">
        <w:rPr>
          <w:rFonts w:hint="eastAsia"/>
          <w:sz w:val="24"/>
        </w:rPr>
        <w:t>网址：</w:t>
      </w:r>
      <w:r w:rsidRPr="008D7D57">
        <w:rPr>
          <w:rFonts w:hint="eastAsia"/>
          <w:sz w:val="24"/>
        </w:rPr>
        <w:t>www.hongtastock.com</w:t>
      </w:r>
    </w:p>
    <w:p w14:paraId="50ECD987" w14:textId="77777777" w:rsidR="00C5750B" w:rsidRPr="008D7D57" w:rsidRDefault="00C5750B" w:rsidP="00C5750B">
      <w:pPr>
        <w:spacing w:line="360" w:lineRule="auto"/>
        <w:ind w:firstLineChars="200" w:firstLine="480"/>
        <w:rPr>
          <w:sz w:val="24"/>
        </w:rPr>
      </w:pPr>
      <w:r w:rsidRPr="008D7D57">
        <w:rPr>
          <w:rFonts w:hint="eastAsia"/>
          <w:sz w:val="24"/>
        </w:rPr>
        <w:t>（</w:t>
      </w:r>
      <w:r w:rsidRPr="008D7D57">
        <w:rPr>
          <w:rFonts w:hint="eastAsia"/>
          <w:sz w:val="24"/>
        </w:rPr>
        <w:t>29</w:t>
      </w:r>
      <w:r w:rsidRPr="008D7D57">
        <w:rPr>
          <w:rFonts w:hint="eastAsia"/>
          <w:sz w:val="24"/>
        </w:rPr>
        <w:t>）</w:t>
      </w:r>
      <w:r w:rsidRPr="008D7D57">
        <w:rPr>
          <w:rFonts w:hint="eastAsia"/>
          <w:sz w:val="24"/>
        </w:rPr>
        <w:t xml:space="preserve"> </w:t>
      </w:r>
      <w:r w:rsidRPr="008D7D57">
        <w:rPr>
          <w:rFonts w:hint="eastAsia"/>
          <w:sz w:val="24"/>
        </w:rPr>
        <w:t>国海证券股份有限公司</w:t>
      </w:r>
    </w:p>
    <w:p w14:paraId="2961E16B" w14:textId="77777777" w:rsidR="00C5750B" w:rsidRPr="008D7D57" w:rsidRDefault="00C5750B" w:rsidP="00C5750B">
      <w:pPr>
        <w:spacing w:line="360" w:lineRule="auto"/>
        <w:ind w:firstLineChars="200" w:firstLine="480"/>
        <w:rPr>
          <w:sz w:val="24"/>
        </w:rPr>
      </w:pPr>
      <w:r w:rsidRPr="008D7D57">
        <w:rPr>
          <w:rFonts w:hint="eastAsia"/>
          <w:sz w:val="24"/>
        </w:rPr>
        <w:t>住所：广西桂林市辅星路</w:t>
      </w:r>
      <w:r w:rsidRPr="008D7D57">
        <w:rPr>
          <w:rFonts w:hint="eastAsia"/>
          <w:sz w:val="24"/>
        </w:rPr>
        <w:t>13</w:t>
      </w:r>
      <w:r w:rsidRPr="008D7D57">
        <w:rPr>
          <w:rFonts w:hint="eastAsia"/>
          <w:sz w:val="24"/>
        </w:rPr>
        <w:t>号</w:t>
      </w:r>
    </w:p>
    <w:p w14:paraId="2B118364" w14:textId="77777777" w:rsidR="00C5750B" w:rsidRPr="008D7D57" w:rsidRDefault="00C5750B" w:rsidP="00C5750B">
      <w:pPr>
        <w:spacing w:line="360" w:lineRule="auto"/>
        <w:ind w:firstLineChars="200" w:firstLine="480"/>
        <w:rPr>
          <w:sz w:val="24"/>
        </w:rPr>
      </w:pPr>
      <w:r w:rsidRPr="008D7D57">
        <w:rPr>
          <w:rFonts w:hint="eastAsia"/>
          <w:sz w:val="24"/>
        </w:rPr>
        <w:t>办公地址：深圳市福田区竹子林四路光大银行大厦</w:t>
      </w:r>
      <w:r w:rsidRPr="008D7D57">
        <w:rPr>
          <w:rFonts w:hint="eastAsia"/>
          <w:sz w:val="24"/>
        </w:rPr>
        <w:t>3</w:t>
      </w:r>
      <w:r w:rsidRPr="008D7D57">
        <w:rPr>
          <w:rFonts w:hint="eastAsia"/>
          <w:sz w:val="24"/>
        </w:rPr>
        <w:t>楼</w:t>
      </w:r>
    </w:p>
    <w:p w14:paraId="59EA4BAC" w14:textId="77777777" w:rsidR="00C5750B" w:rsidRPr="008D7D57" w:rsidRDefault="00C5750B" w:rsidP="00C5750B">
      <w:pPr>
        <w:spacing w:line="360" w:lineRule="auto"/>
        <w:ind w:firstLineChars="200" w:firstLine="480"/>
        <w:rPr>
          <w:sz w:val="24"/>
        </w:rPr>
      </w:pPr>
      <w:r w:rsidRPr="008D7D57">
        <w:rPr>
          <w:rFonts w:hint="eastAsia"/>
          <w:sz w:val="24"/>
        </w:rPr>
        <w:t>法定代表人：张雅锋</w:t>
      </w:r>
    </w:p>
    <w:p w14:paraId="0C65F61B" w14:textId="77777777" w:rsidR="00C5750B" w:rsidRPr="008D7D57" w:rsidRDefault="00C5750B" w:rsidP="00C5750B">
      <w:pPr>
        <w:spacing w:line="360" w:lineRule="auto"/>
        <w:ind w:firstLineChars="200" w:firstLine="480"/>
        <w:rPr>
          <w:sz w:val="24"/>
        </w:rPr>
      </w:pPr>
      <w:r w:rsidRPr="008D7D57">
        <w:rPr>
          <w:rFonts w:hint="eastAsia"/>
          <w:sz w:val="24"/>
        </w:rPr>
        <w:t>电话：（</w:t>
      </w:r>
      <w:r w:rsidRPr="008D7D57">
        <w:rPr>
          <w:rFonts w:hint="eastAsia"/>
          <w:sz w:val="24"/>
        </w:rPr>
        <w:t>0771</w:t>
      </w:r>
      <w:r w:rsidRPr="008D7D57">
        <w:rPr>
          <w:rFonts w:hint="eastAsia"/>
          <w:sz w:val="24"/>
        </w:rPr>
        <w:t>）</w:t>
      </w:r>
      <w:r w:rsidRPr="008D7D57">
        <w:rPr>
          <w:rFonts w:hint="eastAsia"/>
          <w:sz w:val="24"/>
        </w:rPr>
        <w:t>5550386</w:t>
      </w:r>
    </w:p>
    <w:p w14:paraId="3E9F1D82" w14:textId="77777777" w:rsidR="00C5750B" w:rsidRPr="008D7D57" w:rsidRDefault="00C5750B" w:rsidP="00C5750B">
      <w:pPr>
        <w:spacing w:line="360" w:lineRule="auto"/>
        <w:ind w:firstLineChars="200" w:firstLine="480"/>
        <w:rPr>
          <w:sz w:val="24"/>
        </w:rPr>
      </w:pPr>
      <w:r w:rsidRPr="008D7D57">
        <w:rPr>
          <w:rFonts w:hint="eastAsia"/>
          <w:sz w:val="24"/>
        </w:rPr>
        <w:t>客户服务电话：</w:t>
      </w:r>
      <w:r w:rsidRPr="008D7D57">
        <w:rPr>
          <w:rFonts w:hint="eastAsia"/>
          <w:sz w:val="24"/>
        </w:rPr>
        <w:t>95563</w:t>
      </w:r>
    </w:p>
    <w:p w14:paraId="793BEACD" w14:textId="77777777" w:rsidR="00C5750B" w:rsidRPr="004441C0" w:rsidRDefault="00C5750B" w:rsidP="00C5750B">
      <w:pPr>
        <w:spacing w:line="360" w:lineRule="auto"/>
        <w:ind w:firstLineChars="200" w:firstLine="480"/>
        <w:rPr>
          <w:sz w:val="24"/>
        </w:rPr>
      </w:pPr>
      <w:r w:rsidRPr="008D7D57">
        <w:rPr>
          <w:rFonts w:hint="eastAsia"/>
          <w:sz w:val="24"/>
        </w:rPr>
        <w:t>网址：</w:t>
      </w:r>
      <w:r w:rsidRPr="008D7D57">
        <w:rPr>
          <w:rFonts w:hint="eastAsia"/>
          <w:sz w:val="24"/>
        </w:rPr>
        <w:t>www.ghzq.com.cn</w:t>
      </w:r>
    </w:p>
    <w:p w14:paraId="0AABADDE" w14:textId="77777777" w:rsidR="00CF57A4" w:rsidRDefault="00B13D46">
      <w:pPr>
        <w:widowControl/>
        <w:spacing w:line="360" w:lineRule="auto"/>
        <w:ind w:leftChars="228" w:left="479"/>
        <w:rPr>
          <w:rFonts w:ascii="宋体" w:hAnsi="宋体" w:cs="宋体"/>
          <w:kern w:val="0"/>
          <w:sz w:val="24"/>
        </w:rPr>
      </w:pPr>
      <w:r>
        <w:rPr>
          <w:rFonts w:ascii="宋体" w:hAnsi="宋体" w:cs="宋体" w:hint="eastAsia"/>
          <w:kern w:val="0"/>
          <w:sz w:val="24"/>
        </w:rPr>
        <w:t>2、二级市场交易代理券商</w:t>
      </w:r>
    </w:p>
    <w:p w14:paraId="7739C6A2" w14:textId="77777777" w:rsidR="00CF57A4" w:rsidRDefault="00B13D46">
      <w:pPr>
        <w:widowControl/>
        <w:spacing w:line="360" w:lineRule="auto"/>
        <w:ind w:leftChars="228" w:left="479"/>
        <w:rPr>
          <w:rFonts w:ascii="宋体" w:hAnsi="宋体" w:cs="宋体"/>
          <w:kern w:val="0"/>
          <w:sz w:val="24"/>
        </w:rPr>
      </w:pPr>
      <w:r>
        <w:rPr>
          <w:rFonts w:ascii="宋体" w:hAnsi="宋体" w:cs="宋体" w:hint="eastAsia"/>
          <w:kern w:val="0"/>
          <w:sz w:val="24"/>
        </w:rPr>
        <w:t>包括具有经纪业务资格及深圳证券交易所会员资格的所有证券公司。</w:t>
      </w:r>
    </w:p>
    <w:p w14:paraId="7E861C66" w14:textId="77777777" w:rsidR="00CF57A4" w:rsidRDefault="00B13D46">
      <w:pPr>
        <w:spacing w:line="360" w:lineRule="auto"/>
        <w:ind w:firstLineChars="200" w:firstLine="480"/>
        <w:rPr>
          <w:rFonts w:ascii="宋体" w:hAnsi="宋体" w:cs="宋体"/>
          <w:kern w:val="0"/>
          <w:sz w:val="24"/>
        </w:rPr>
      </w:pPr>
      <w:r>
        <w:rPr>
          <w:rFonts w:ascii="宋体" w:hAnsi="宋体" w:cs="宋体" w:hint="eastAsia"/>
          <w:kern w:val="0"/>
          <w:sz w:val="24"/>
        </w:rPr>
        <w:t>3、基金管理人可根据有关法律法规的要求，选择其它符合要求的机构代理销售本基金，并及时公告。</w:t>
      </w:r>
    </w:p>
    <w:p w14:paraId="79FC7674" w14:textId="77777777" w:rsidR="00CF57A4" w:rsidRDefault="00B13D46">
      <w:pPr>
        <w:widowControl/>
        <w:spacing w:line="360" w:lineRule="auto"/>
        <w:ind w:firstLineChars="200" w:firstLine="482"/>
        <w:outlineLvl w:val="1"/>
        <w:rPr>
          <w:rFonts w:ascii="宋体" w:hAnsi="宋体" w:cs="宋体"/>
          <w:b/>
          <w:color w:val="000000"/>
          <w:kern w:val="0"/>
          <w:sz w:val="24"/>
        </w:rPr>
      </w:pPr>
      <w:r>
        <w:rPr>
          <w:rFonts w:ascii="宋体" w:hAnsi="宋体" w:cs="宋体"/>
          <w:b/>
          <w:color w:val="000000"/>
          <w:kern w:val="0"/>
          <w:sz w:val="24"/>
        </w:rPr>
        <w:t xml:space="preserve">（二）注册登记机构 </w:t>
      </w:r>
    </w:p>
    <w:p w14:paraId="655934A7" w14:textId="77777777" w:rsidR="00CF57A4" w:rsidRDefault="00B13D46">
      <w:pPr>
        <w:spacing w:line="360" w:lineRule="auto"/>
        <w:ind w:firstLineChars="200" w:firstLine="480"/>
        <w:rPr>
          <w:rFonts w:ascii="宋体" w:hAnsi="宋体" w:cs="宋体"/>
          <w:color w:val="000000"/>
          <w:kern w:val="0"/>
          <w:sz w:val="24"/>
        </w:rPr>
      </w:pPr>
      <w:r>
        <w:rPr>
          <w:rFonts w:ascii="宋体" w:hAnsi="宋体" w:cs="宋体"/>
          <w:color w:val="000000"/>
          <w:kern w:val="0"/>
          <w:sz w:val="24"/>
        </w:rPr>
        <w:t>名称：中国证券登记结算有限责任公司</w:t>
      </w:r>
    </w:p>
    <w:p w14:paraId="2A45D5E4" w14:textId="77777777" w:rsidR="00CF57A4" w:rsidRDefault="00B13D46">
      <w:pPr>
        <w:spacing w:line="360" w:lineRule="auto"/>
        <w:ind w:firstLineChars="200" w:firstLine="480"/>
        <w:rPr>
          <w:rFonts w:ascii="宋体" w:hAnsi="宋体" w:cs="宋体"/>
          <w:color w:val="000000"/>
          <w:kern w:val="0"/>
          <w:sz w:val="24"/>
        </w:rPr>
      </w:pPr>
      <w:r>
        <w:rPr>
          <w:rFonts w:ascii="宋体" w:hAnsi="宋体" w:cs="宋体"/>
          <w:color w:val="000000"/>
          <w:kern w:val="0"/>
          <w:sz w:val="24"/>
        </w:rPr>
        <w:t>住所：</w:t>
      </w:r>
      <w:r>
        <w:rPr>
          <w:rFonts w:ascii="宋体" w:hAnsi="宋体" w:cs="宋体" w:hint="eastAsia"/>
          <w:color w:val="000000"/>
          <w:kern w:val="0"/>
          <w:sz w:val="24"/>
        </w:rPr>
        <w:t>北京市西城区太平桥大街17号</w:t>
      </w:r>
    </w:p>
    <w:p w14:paraId="542B62E5" w14:textId="77777777" w:rsidR="00CF57A4" w:rsidRDefault="00B13D46">
      <w:pPr>
        <w:spacing w:line="360" w:lineRule="auto"/>
        <w:ind w:firstLineChars="200" w:firstLine="480"/>
        <w:rPr>
          <w:rFonts w:ascii="宋体" w:hAnsi="宋体" w:cs="宋体"/>
          <w:color w:val="000000"/>
          <w:kern w:val="0"/>
          <w:sz w:val="24"/>
        </w:rPr>
      </w:pPr>
      <w:r>
        <w:rPr>
          <w:rFonts w:ascii="宋体" w:hAnsi="宋体" w:cs="宋体"/>
          <w:color w:val="000000"/>
          <w:kern w:val="0"/>
          <w:sz w:val="24"/>
        </w:rPr>
        <w:t>办公地址：</w:t>
      </w:r>
      <w:r>
        <w:rPr>
          <w:rFonts w:ascii="宋体" w:hAnsi="宋体" w:cs="宋体" w:hint="eastAsia"/>
          <w:color w:val="000000"/>
          <w:kern w:val="0"/>
          <w:sz w:val="24"/>
        </w:rPr>
        <w:t>北京市西城区太平桥大街17号</w:t>
      </w:r>
    </w:p>
    <w:p w14:paraId="1F7DC795" w14:textId="77777777" w:rsidR="00CF57A4" w:rsidRDefault="00B13D46">
      <w:pPr>
        <w:spacing w:line="360" w:lineRule="auto"/>
        <w:ind w:firstLineChars="200" w:firstLine="480"/>
        <w:rPr>
          <w:rFonts w:ascii="宋体" w:hAnsi="宋体" w:cs="宋体"/>
          <w:color w:val="000000"/>
          <w:kern w:val="0"/>
          <w:sz w:val="24"/>
        </w:rPr>
      </w:pPr>
      <w:r>
        <w:rPr>
          <w:rFonts w:ascii="宋体" w:hAnsi="宋体" w:cs="宋体"/>
          <w:color w:val="000000"/>
          <w:kern w:val="0"/>
          <w:sz w:val="24"/>
        </w:rPr>
        <w:t>法定代表人：</w:t>
      </w:r>
      <w:r>
        <w:rPr>
          <w:rFonts w:ascii="宋体" w:hAnsi="宋体" w:cs="宋体" w:hint="eastAsia"/>
          <w:color w:val="000000"/>
          <w:kern w:val="0"/>
          <w:sz w:val="24"/>
        </w:rPr>
        <w:t>周明</w:t>
      </w:r>
    </w:p>
    <w:p w14:paraId="375E512F" w14:textId="77777777" w:rsidR="00C5750B" w:rsidRPr="00C5750B" w:rsidRDefault="00C5750B" w:rsidP="00C5750B">
      <w:pPr>
        <w:spacing w:line="360" w:lineRule="auto"/>
        <w:ind w:firstLineChars="200" w:firstLine="480"/>
        <w:rPr>
          <w:rFonts w:ascii="宋体" w:hAnsi="宋体" w:cs="宋体"/>
          <w:color w:val="000000"/>
          <w:kern w:val="0"/>
          <w:sz w:val="24"/>
        </w:rPr>
      </w:pPr>
      <w:r w:rsidRPr="00C5750B">
        <w:rPr>
          <w:rFonts w:ascii="宋体" w:hAnsi="宋体" w:cs="宋体" w:hint="eastAsia"/>
          <w:color w:val="000000"/>
          <w:kern w:val="0"/>
          <w:sz w:val="24"/>
        </w:rPr>
        <w:t>电话：（010）50938617</w:t>
      </w:r>
    </w:p>
    <w:p w14:paraId="385D3870" w14:textId="77777777" w:rsidR="00C5750B" w:rsidRPr="00C5750B" w:rsidRDefault="00C5750B" w:rsidP="00C5750B">
      <w:pPr>
        <w:spacing w:line="360" w:lineRule="auto"/>
        <w:ind w:firstLineChars="200" w:firstLine="480"/>
        <w:rPr>
          <w:rFonts w:ascii="宋体" w:hAnsi="宋体" w:cs="宋体"/>
          <w:color w:val="000000"/>
          <w:kern w:val="0"/>
          <w:sz w:val="24"/>
        </w:rPr>
      </w:pPr>
      <w:r w:rsidRPr="00C5750B">
        <w:rPr>
          <w:rFonts w:ascii="宋体" w:hAnsi="宋体" w:cs="宋体" w:hint="eastAsia"/>
          <w:color w:val="000000"/>
          <w:kern w:val="0"/>
          <w:sz w:val="24"/>
        </w:rPr>
        <w:lastRenderedPageBreak/>
        <w:t>传真：（010）50938907</w:t>
      </w:r>
    </w:p>
    <w:p w14:paraId="6B4AFBA6" w14:textId="77777777" w:rsidR="00C5750B" w:rsidRDefault="00C5750B" w:rsidP="003F1E8B">
      <w:pPr>
        <w:spacing w:line="360" w:lineRule="auto"/>
        <w:ind w:firstLineChars="200" w:firstLine="480"/>
        <w:rPr>
          <w:rFonts w:ascii="宋体" w:hAnsi="宋体" w:cs="宋体"/>
          <w:color w:val="000000"/>
          <w:kern w:val="0"/>
          <w:sz w:val="24"/>
        </w:rPr>
      </w:pPr>
      <w:r w:rsidRPr="00C5750B">
        <w:rPr>
          <w:rFonts w:ascii="宋体" w:hAnsi="宋体" w:cs="宋体" w:hint="eastAsia"/>
          <w:color w:val="000000"/>
          <w:kern w:val="0"/>
          <w:sz w:val="24"/>
        </w:rPr>
        <w:t>联系人：周莉</w:t>
      </w:r>
    </w:p>
    <w:p w14:paraId="36A4FCC7" w14:textId="77777777" w:rsidR="00CF57A4" w:rsidRDefault="00B13D46">
      <w:pPr>
        <w:widowControl/>
        <w:spacing w:line="360" w:lineRule="auto"/>
        <w:ind w:firstLineChars="200" w:firstLine="482"/>
        <w:outlineLvl w:val="1"/>
        <w:rPr>
          <w:rFonts w:ascii="宋体" w:hAnsi="宋体" w:cs="宋体"/>
          <w:b/>
          <w:color w:val="000000"/>
          <w:kern w:val="0"/>
          <w:sz w:val="24"/>
        </w:rPr>
      </w:pPr>
      <w:r>
        <w:rPr>
          <w:rFonts w:ascii="宋体" w:hAnsi="宋体" w:cs="宋体"/>
          <w:b/>
          <w:color w:val="000000"/>
          <w:kern w:val="0"/>
          <w:sz w:val="24"/>
        </w:rPr>
        <w:t>（三）</w:t>
      </w:r>
      <w:r>
        <w:rPr>
          <w:rFonts w:ascii="宋体" w:hAnsi="宋体" w:cs="宋体" w:hint="eastAsia"/>
          <w:b/>
          <w:color w:val="000000"/>
          <w:kern w:val="0"/>
          <w:sz w:val="24"/>
        </w:rPr>
        <w:t>出具法律意见书的</w:t>
      </w:r>
      <w:r>
        <w:rPr>
          <w:rFonts w:ascii="宋体" w:hAnsi="宋体" w:cs="宋体"/>
          <w:b/>
          <w:color w:val="000000"/>
          <w:kern w:val="0"/>
          <w:sz w:val="24"/>
        </w:rPr>
        <w:t xml:space="preserve">律师事务所 </w:t>
      </w:r>
    </w:p>
    <w:p w14:paraId="7282204D" w14:textId="77777777" w:rsidR="00CF57A4" w:rsidRDefault="00B13D46">
      <w:pPr>
        <w:spacing w:line="360" w:lineRule="auto"/>
        <w:ind w:firstLineChars="200" w:firstLine="480"/>
        <w:rPr>
          <w:rFonts w:ascii="宋体" w:hAnsi="宋体" w:cs="宋体"/>
          <w:color w:val="000000"/>
          <w:kern w:val="0"/>
          <w:sz w:val="24"/>
        </w:rPr>
      </w:pPr>
      <w:r>
        <w:rPr>
          <w:rFonts w:ascii="宋体" w:hAnsi="宋体" w:cs="宋体"/>
          <w:color w:val="000000"/>
          <w:kern w:val="0"/>
          <w:sz w:val="24"/>
        </w:rPr>
        <w:t>名称：</w:t>
      </w:r>
      <w:r>
        <w:rPr>
          <w:rFonts w:ascii="宋体" w:hAnsi="宋体" w:cs="宋体" w:hint="eastAsia"/>
          <w:color w:val="000000"/>
          <w:kern w:val="0"/>
          <w:sz w:val="24"/>
        </w:rPr>
        <w:t>上海市通力</w:t>
      </w:r>
      <w:r>
        <w:rPr>
          <w:rFonts w:ascii="宋体" w:hAnsi="宋体" w:cs="宋体"/>
          <w:color w:val="000000"/>
          <w:kern w:val="0"/>
          <w:sz w:val="24"/>
        </w:rPr>
        <w:t xml:space="preserve">律师事务所 </w:t>
      </w:r>
    </w:p>
    <w:p w14:paraId="051E2B27" w14:textId="77777777" w:rsidR="00CF57A4" w:rsidRDefault="00B13D46">
      <w:pPr>
        <w:spacing w:line="360" w:lineRule="auto"/>
        <w:ind w:firstLineChars="200" w:firstLine="480"/>
        <w:rPr>
          <w:rFonts w:ascii="宋体" w:hAnsi="宋体" w:cs="宋体"/>
          <w:color w:val="000000"/>
          <w:kern w:val="0"/>
          <w:sz w:val="24"/>
        </w:rPr>
      </w:pPr>
      <w:r>
        <w:rPr>
          <w:rFonts w:ascii="宋体" w:hAnsi="宋体" w:cs="宋体"/>
          <w:color w:val="000000"/>
          <w:kern w:val="0"/>
          <w:sz w:val="24"/>
        </w:rPr>
        <w:t>住所：</w:t>
      </w:r>
      <w:r>
        <w:rPr>
          <w:rFonts w:ascii="宋体" w:hAnsi="宋体" w:cs="宋体" w:hint="eastAsia"/>
          <w:color w:val="000000"/>
          <w:kern w:val="0"/>
          <w:sz w:val="24"/>
        </w:rPr>
        <w:t>上海市银城中路68号时代金融中心19楼</w:t>
      </w:r>
    </w:p>
    <w:p w14:paraId="716A3056" w14:textId="77777777" w:rsidR="00CF57A4" w:rsidRDefault="00B13D46">
      <w:pPr>
        <w:spacing w:line="360" w:lineRule="auto"/>
        <w:ind w:firstLineChars="200" w:firstLine="480"/>
        <w:rPr>
          <w:rFonts w:ascii="宋体" w:hAnsi="宋体" w:cs="宋体"/>
          <w:color w:val="000000"/>
          <w:kern w:val="0"/>
          <w:sz w:val="24"/>
        </w:rPr>
      </w:pPr>
      <w:r>
        <w:rPr>
          <w:rFonts w:ascii="宋体" w:hAnsi="宋体" w:cs="宋体"/>
          <w:color w:val="000000"/>
          <w:kern w:val="0"/>
          <w:sz w:val="24"/>
        </w:rPr>
        <w:t>办公地址：</w:t>
      </w:r>
      <w:r>
        <w:rPr>
          <w:rFonts w:ascii="宋体" w:hAnsi="宋体" w:cs="宋体" w:hint="eastAsia"/>
          <w:color w:val="000000"/>
          <w:kern w:val="0"/>
          <w:sz w:val="24"/>
        </w:rPr>
        <w:t>上海市银城中路68号时代金融中心19楼</w:t>
      </w:r>
    </w:p>
    <w:p w14:paraId="11CD43CA" w14:textId="77777777" w:rsidR="00CF57A4" w:rsidRDefault="00B13D46">
      <w:pPr>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t>负责人：</w:t>
      </w:r>
      <w:r>
        <w:rPr>
          <w:rFonts w:hint="eastAsia"/>
          <w:kern w:val="0"/>
          <w:sz w:val="24"/>
        </w:rPr>
        <w:t>俞卫锋</w:t>
      </w:r>
    </w:p>
    <w:p w14:paraId="0AAE4945" w14:textId="77777777" w:rsidR="00CF57A4" w:rsidRDefault="00B13D46">
      <w:pPr>
        <w:spacing w:line="360" w:lineRule="auto"/>
        <w:ind w:firstLineChars="200" w:firstLine="480"/>
        <w:rPr>
          <w:rFonts w:ascii="宋体" w:hAnsi="宋体" w:cs="宋体"/>
          <w:color w:val="000000"/>
          <w:kern w:val="0"/>
          <w:sz w:val="24"/>
        </w:rPr>
      </w:pPr>
      <w:r>
        <w:rPr>
          <w:rFonts w:ascii="宋体" w:hAnsi="宋体" w:cs="宋体"/>
          <w:color w:val="000000"/>
          <w:kern w:val="0"/>
          <w:sz w:val="24"/>
        </w:rPr>
        <w:t>电话：</w:t>
      </w:r>
      <w:r>
        <w:rPr>
          <w:rFonts w:ascii="宋体" w:hAnsi="宋体" w:cs="宋体" w:hint="eastAsia"/>
          <w:color w:val="000000"/>
          <w:kern w:val="0"/>
          <w:sz w:val="24"/>
        </w:rPr>
        <w:t xml:space="preserve">（021）31358666 </w:t>
      </w:r>
      <w:r>
        <w:rPr>
          <w:rFonts w:ascii="宋体" w:hAnsi="宋体" w:cs="宋体"/>
          <w:color w:val="000000"/>
          <w:kern w:val="0"/>
          <w:sz w:val="24"/>
        </w:rPr>
        <w:t xml:space="preserve"> </w:t>
      </w:r>
    </w:p>
    <w:p w14:paraId="5B3D87F9" w14:textId="77777777" w:rsidR="00CF57A4" w:rsidRDefault="00B13D46">
      <w:pPr>
        <w:spacing w:line="360" w:lineRule="auto"/>
        <w:ind w:firstLineChars="200" w:firstLine="480"/>
        <w:rPr>
          <w:rFonts w:ascii="宋体" w:hAnsi="宋体" w:cs="宋体"/>
          <w:color w:val="000000"/>
          <w:kern w:val="0"/>
          <w:sz w:val="24"/>
        </w:rPr>
      </w:pPr>
      <w:r>
        <w:rPr>
          <w:rFonts w:ascii="宋体" w:hAnsi="宋体" w:cs="宋体"/>
          <w:color w:val="000000"/>
          <w:kern w:val="0"/>
          <w:sz w:val="24"/>
        </w:rPr>
        <w:t>传真：</w:t>
      </w:r>
      <w:r>
        <w:rPr>
          <w:rFonts w:ascii="宋体" w:hAnsi="宋体" w:cs="宋体" w:hint="eastAsia"/>
          <w:color w:val="000000"/>
          <w:kern w:val="0"/>
          <w:sz w:val="24"/>
        </w:rPr>
        <w:t xml:space="preserve">（021）31358600 </w:t>
      </w:r>
      <w:r>
        <w:rPr>
          <w:rFonts w:ascii="宋体" w:hAnsi="宋体" w:cs="宋体"/>
          <w:color w:val="000000"/>
          <w:kern w:val="0"/>
          <w:sz w:val="24"/>
        </w:rPr>
        <w:t xml:space="preserve"> </w:t>
      </w:r>
    </w:p>
    <w:p w14:paraId="6296463A" w14:textId="77777777" w:rsidR="00CF57A4" w:rsidRDefault="00B13D46">
      <w:pPr>
        <w:spacing w:line="360" w:lineRule="auto"/>
        <w:ind w:firstLineChars="200" w:firstLine="480"/>
        <w:rPr>
          <w:rFonts w:ascii="宋体" w:hAnsi="宋体" w:cs="宋体"/>
          <w:color w:val="000000"/>
          <w:kern w:val="0"/>
          <w:sz w:val="24"/>
        </w:rPr>
      </w:pPr>
      <w:r>
        <w:rPr>
          <w:rFonts w:ascii="宋体" w:hAnsi="宋体" w:cs="宋体"/>
          <w:color w:val="000000"/>
          <w:kern w:val="0"/>
          <w:sz w:val="24"/>
        </w:rPr>
        <w:t>联系人：</w:t>
      </w:r>
      <w:r>
        <w:rPr>
          <w:rFonts w:ascii="宋体" w:hAnsi="宋体" w:cs="宋体" w:hint="eastAsia"/>
          <w:color w:val="000000"/>
          <w:kern w:val="0"/>
          <w:sz w:val="24"/>
        </w:rPr>
        <w:t>黎明</w:t>
      </w:r>
    </w:p>
    <w:p w14:paraId="3A11190E" w14:textId="77777777" w:rsidR="00CF57A4" w:rsidRDefault="00B13D46">
      <w:pPr>
        <w:spacing w:line="360" w:lineRule="auto"/>
        <w:ind w:firstLineChars="200" w:firstLine="480"/>
        <w:rPr>
          <w:rFonts w:ascii="宋体" w:hAnsi="宋体" w:cs="宋体"/>
          <w:color w:val="000000"/>
          <w:kern w:val="0"/>
          <w:sz w:val="24"/>
        </w:rPr>
      </w:pPr>
      <w:r>
        <w:rPr>
          <w:rFonts w:ascii="宋体" w:hAnsi="宋体" w:cs="宋体"/>
          <w:color w:val="000000"/>
          <w:kern w:val="0"/>
          <w:sz w:val="24"/>
        </w:rPr>
        <w:t>经办律师：</w:t>
      </w:r>
      <w:r>
        <w:rPr>
          <w:rFonts w:ascii="宋体" w:hAnsi="宋体" w:cs="宋体" w:hint="eastAsia"/>
          <w:color w:val="000000"/>
          <w:kern w:val="0"/>
          <w:sz w:val="24"/>
        </w:rPr>
        <w:t>吕红、黎明</w:t>
      </w:r>
    </w:p>
    <w:p w14:paraId="3CFAFCD6" w14:textId="77777777" w:rsidR="00CF57A4" w:rsidRDefault="00B13D46">
      <w:pPr>
        <w:widowControl/>
        <w:spacing w:line="360" w:lineRule="auto"/>
        <w:ind w:firstLineChars="200" w:firstLine="482"/>
        <w:outlineLvl w:val="1"/>
        <w:rPr>
          <w:rFonts w:ascii="宋体" w:hAnsi="宋体" w:cs="宋体"/>
          <w:b/>
          <w:color w:val="000000"/>
          <w:kern w:val="0"/>
          <w:sz w:val="24"/>
        </w:rPr>
      </w:pPr>
      <w:r>
        <w:rPr>
          <w:rFonts w:ascii="宋体" w:hAnsi="宋体" w:cs="宋体"/>
          <w:b/>
          <w:color w:val="000000"/>
          <w:kern w:val="0"/>
          <w:sz w:val="24"/>
        </w:rPr>
        <w:t>（四）</w:t>
      </w:r>
      <w:r>
        <w:rPr>
          <w:rFonts w:ascii="宋体" w:hAnsi="宋体" w:cs="宋体" w:hint="eastAsia"/>
          <w:b/>
          <w:color w:val="000000"/>
          <w:kern w:val="0"/>
          <w:sz w:val="24"/>
        </w:rPr>
        <w:t>审计基金财产的</w:t>
      </w:r>
      <w:r>
        <w:rPr>
          <w:rFonts w:ascii="宋体" w:hAnsi="宋体" w:cs="宋体"/>
          <w:b/>
          <w:color w:val="000000"/>
          <w:kern w:val="0"/>
          <w:sz w:val="24"/>
        </w:rPr>
        <w:t xml:space="preserve">会计师事务所 </w:t>
      </w:r>
    </w:p>
    <w:p w14:paraId="03C273EA" w14:textId="77777777" w:rsidR="00CF57A4" w:rsidRDefault="00B13D46">
      <w:pPr>
        <w:widowControl/>
        <w:spacing w:line="360" w:lineRule="auto"/>
        <w:ind w:firstLineChars="200" w:firstLine="480"/>
        <w:outlineLvl w:val="1"/>
        <w:rPr>
          <w:rFonts w:ascii="宋体" w:hAnsi="宋体" w:cs="宋体"/>
          <w:color w:val="000000"/>
          <w:kern w:val="0"/>
          <w:sz w:val="24"/>
        </w:rPr>
      </w:pPr>
      <w:r>
        <w:rPr>
          <w:rFonts w:ascii="宋体" w:hAnsi="宋体" w:cs="宋体" w:hint="eastAsia"/>
          <w:color w:val="000000"/>
          <w:kern w:val="0"/>
          <w:sz w:val="24"/>
        </w:rPr>
        <w:t>名称：普华永道中天会计师事务所(特殊普通合伙）</w:t>
      </w:r>
    </w:p>
    <w:p w14:paraId="55E58723" w14:textId="77777777" w:rsidR="00CF57A4" w:rsidRDefault="00B13D46">
      <w:pPr>
        <w:widowControl/>
        <w:spacing w:line="360" w:lineRule="auto"/>
        <w:ind w:firstLineChars="200" w:firstLine="480"/>
        <w:outlineLvl w:val="1"/>
        <w:rPr>
          <w:rFonts w:ascii="宋体" w:hAnsi="宋体" w:cs="宋体"/>
          <w:color w:val="000000"/>
          <w:kern w:val="0"/>
          <w:sz w:val="24"/>
        </w:rPr>
      </w:pPr>
      <w:r>
        <w:rPr>
          <w:rFonts w:ascii="宋体" w:hAnsi="宋体" w:cs="宋体" w:hint="eastAsia"/>
          <w:color w:val="000000"/>
          <w:kern w:val="0"/>
          <w:sz w:val="24"/>
        </w:rPr>
        <w:t xml:space="preserve">住所：上海市浦东新区陆家嘴环路1318号星展银行大厦6楼 </w:t>
      </w:r>
    </w:p>
    <w:p w14:paraId="617E2D38" w14:textId="77777777" w:rsidR="00CF57A4" w:rsidRDefault="00B13D46">
      <w:pPr>
        <w:widowControl/>
        <w:spacing w:line="360" w:lineRule="auto"/>
        <w:ind w:firstLineChars="200" w:firstLine="480"/>
        <w:outlineLvl w:val="1"/>
        <w:rPr>
          <w:rFonts w:ascii="宋体" w:hAnsi="宋体" w:cs="宋体"/>
          <w:color w:val="000000"/>
          <w:kern w:val="0"/>
          <w:sz w:val="24"/>
        </w:rPr>
      </w:pPr>
      <w:r>
        <w:rPr>
          <w:rFonts w:ascii="宋体" w:hAnsi="宋体" w:cs="宋体" w:hint="eastAsia"/>
          <w:color w:val="000000"/>
          <w:kern w:val="0"/>
          <w:sz w:val="24"/>
        </w:rPr>
        <w:t xml:space="preserve">办公地址：上海市湖滨路202号普华永道中心11楼 </w:t>
      </w:r>
    </w:p>
    <w:p w14:paraId="40999F93" w14:textId="77777777" w:rsidR="00CF57A4" w:rsidRDefault="00B13D46">
      <w:pPr>
        <w:widowControl/>
        <w:spacing w:line="360" w:lineRule="auto"/>
        <w:ind w:firstLineChars="200" w:firstLine="480"/>
        <w:outlineLvl w:val="1"/>
        <w:rPr>
          <w:rFonts w:ascii="宋体" w:hAnsi="宋体" w:cs="宋体"/>
          <w:color w:val="000000"/>
          <w:kern w:val="0"/>
          <w:sz w:val="24"/>
        </w:rPr>
      </w:pPr>
      <w:r>
        <w:rPr>
          <w:rFonts w:ascii="宋体" w:hAnsi="宋体" w:cs="宋体" w:hint="eastAsia"/>
          <w:color w:val="000000"/>
          <w:kern w:val="0"/>
          <w:sz w:val="24"/>
        </w:rPr>
        <w:t xml:space="preserve">执行事务合伙人：李丹 </w:t>
      </w:r>
    </w:p>
    <w:p w14:paraId="608BA943" w14:textId="77777777" w:rsidR="00CF57A4" w:rsidRDefault="00B13D46">
      <w:pPr>
        <w:widowControl/>
        <w:spacing w:line="360" w:lineRule="auto"/>
        <w:ind w:firstLineChars="200" w:firstLine="480"/>
        <w:outlineLvl w:val="1"/>
        <w:rPr>
          <w:rFonts w:ascii="宋体" w:hAnsi="宋体" w:cs="宋体"/>
          <w:color w:val="000000"/>
          <w:kern w:val="0"/>
          <w:sz w:val="24"/>
        </w:rPr>
      </w:pPr>
      <w:r>
        <w:rPr>
          <w:rFonts w:ascii="宋体" w:hAnsi="宋体" w:cs="宋体" w:hint="eastAsia"/>
          <w:color w:val="000000"/>
          <w:kern w:val="0"/>
          <w:sz w:val="24"/>
        </w:rPr>
        <w:t xml:space="preserve">联系电话：（021）23238888 </w:t>
      </w:r>
    </w:p>
    <w:p w14:paraId="68E94787" w14:textId="77777777" w:rsidR="00CF57A4" w:rsidRDefault="00B13D46">
      <w:pPr>
        <w:widowControl/>
        <w:spacing w:line="360" w:lineRule="auto"/>
        <w:ind w:firstLineChars="200" w:firstLine="480"/>
        <w:outlineLvl w:val="1"/>
        <w:rPr>
          <w:rFonts w:ascii="宋体" w:hAnsi="宋体" w:cs="宋体"/>
          <w:color w:val="000000"/>
          <w:kern w:val="0"/>
          <w:sz w:val="24"/>
        </w:rPr>
      </w:pPr>
      <w:r>
        <w:rPr>
          <w:rFonts w:ascii="宋体" w:hAnsi="宋体" w:cs="宋体" w:hint="eastAsia"/>
          <w:color w:val="000000"/>
          <w:kern w:val="0"/>
          <w:sz w:val="24"/>
        </w:rPr>
        <w:t xml:space="preserve">传真：（021）23238800 </w:t>
      </w:r>
    </w:p>
    <w:p w14:paraId="5869FE3A" w14:textId="20AF4947" w:rsidR="00CF57A4" w:rsidRDefault="00B13D46">
      <w:pPr>
        <w:widowControl/>
        <w:spacing w:line="360" w:lineRule="auto"/>
        <w:ind w:firstLineChars="200" w:firstLine="480"/>
        <w:outlineLvl w:val="1"/>
        <w:rPr>
          <w:rFonts w:ascii="宋体" w:hAnsi="宋体" w:cs="宋体"/>
          <w:color w:val="000000"/>
          <w:kern w:val="0"/>
          <w:sz w:val="24"/>
        </w:rPr>
      </w:pPr>
      <w:r>
        <w:rPr>
          <w:rFonts w:ascii="宋体" w:hAnsi="宋体" w:cs="宋体" w:hint="eastAsia"/>
          <w:color w:val="000000"/>
          <w:kern w:val="0"/>
          <w:sz w:val="24"/>
        </w:rPr>
        <w:t>联系人：</w:t>
      </w:r>
      <w:r w:rsidR="003A5950" w:rsidRPr="003A5950">
        <w:rPr>
          <w:rFonts w:ascii="宋体" w:hAnsi="宋体" w:cs="宋体" w:hint="eastAsia"/>
          <w:color w:val="000000"/>
          <w:kern w:val="0"/>
          <w:sz w:val="24"/>
        </w:rPr>
        <w:t>朱宏宇</w:t>
      </w:r>
      <w:r>
        <w:rPr>
          <w:rFonts w:ascii="宋体" w:hAnsi="宋体" w:cs="宋体" w:hint="eastAsia"/>
          <w:color w:val="000000"/>
          <w:kern w:val="0"/>
          <w:sz w:val="24"/>
        </w:rPr>
        <w:t xml:space="preserve"> </w:t>
      </w:r>
    </w:p>
    <w:p w14:paraId="754ADE65" w14:textId="783C9878" w:rsidR="00CF57A4" w:rsidRDefault="00B13D46">
      <w:pPr>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t>经办注册会计师：薛竞、</w:t>
      </w:r>
      <w:r w:rsidR="003A5950" w:rsidRPr="003A5950">
        <w:rPr>
          <w:rFonts w:ascii="宋体" w:hAnsi="宋体" w:cs="宋体" w:hint="eastAsia"/>
          <w:color w:val="000000"/>
          <w:kern w:val="0"/>
          <w:sz w:val="24"/>
        </w:rPr>
        <w:t>朱宏宇</w:t>
      </w:r>
    </w:p>
    <w:p w14:paraId="5442B509" w14:textId="77777777" w:rsidR="00CF57A4" w:rsidRDefault="00CF57A4">
      <w:pPr>
        <w:spacing w:line="360" w:lineRule="auto"/>
        <w:ind w:firstLineChars="200" w:firstLine="480"/>
        <w:rPr>
          <w:rFonts w:ascii="宋体" w:hAnsi="宋体" w:cs="宋体"/>
          <w:color w:val="000000"/>
          <w:kern w:val="0"/>
          <w:sz w:val="24"/>
        </w:rPr>
      </w:pPr>
    </w:p>
    <w:p w14:paraId="1E280D49" w14:textId="77777777" w:rsidR="00CF57A4" w:rsidRDefault="00B13D46">
      <w:pPr>
        <w:pStyle w:val="af1"/>
        <w:rPr>
          <w:rFonts w:eastAsia="黑体"/>
          <w:color w:val="000000"/>
          <w:kern w:val="0"/>
          <w:sz w:val="30"/>
        </w:rPr>
      </w:pPr>
      <w:r>
        <w:rPr>
          <w:rFonts w:eastAsia="黑体"/>
          <w:color w:val="000000"/>
          <w:kern w:val="0"/>
          <w:sz w:val="30"/>
        </w:rPr>
        <w:br w:type="page"/>
      </w:r>
      <w:bookmarkStart w:id="65" w:name="_Toc320703946"/>
      <w:bookmarkStart w:id="66" w:name="_Toc320703998"/>
      <w:bookmarkStart w:id="67" w:name="_Toc320704071"/>
      <w:bookmarkStart w:id="68" w:name="_Toc320704358"/>
      <w:bookmarkStart w:id="69" w:name="_Toc322002722"/>
      <w:bookmarkStart w:id="70" w:name="_Toc322519873"/>
      <w:r>
        <w:rPr>
          <w:rFonts w:eastAsia="黑体" w:hint="eastAsia"/>
          <w:color w:val="000000"/>
          <w:kern w:val="0"/>
          <w:sz w:val="30"/>
        </w:rPr>
        <w:lastRenderedPageBreak/>
        <w:t>六、基金的募集</w:t>
      </w:r>
      <w:bookmarkEnd w:id="65"/>
      <w:bookmarkEnd w:id="66"/>
      <w:bookmarkEnd w:id="67"/>
      <w:bookmarkEnd w:id="68"/>
      <w:bookmarkEnd w:id="69"/>
      <w:bookmarkEnd w:id="70"/>
    </w:p>
    <w:p w14:paraId="01927C65" w14:textId="77777777" w:rsidR="00CF57A4" w:rsidRDefault="00B13D46">
      <w:pPr>
        <w:widowControl/>
        <w:spacing w:line="360" w:lineRule="auto"/>
        <w:ind w:firstLineChars="200" w:firstLine="480"/>
        <w:rPr>
          <w:rFonts w:ascii="宋体" w:hAnsi="宋体"/>
          <w:kern w:val="0"/>
          <w:sz w:val="24"/>
        </w:rPr>
      </w:pPr>
      <w:r>
        <w:rPr>
          <w:rFonts w:ascii="宋体" w:hAnsi="宋体"/>
          <w:kern w:val="0"/>
          <w:sz w:val="24"/>
        </w:rPr>
        <w:t>本基金由基金管理人依照《基金法》、《运作办法》、基金合同及其他有关规定，并经中国证监会证监</w:t>
      </w:r>
      <w:r>
        <w:rPr>
          <w:rFonts w:ascii="宋体" w:hAnsi="宋体" w:hint="eastAsia"/>
          <w:kern w:val="0"/>
          <w:sz w:val="24"/>
        </w:rPr>
        <w:t>许可</w:t>
      </w:r>
      <w:r>
        <w:rPr>
          <w:rFonts w:ascii="宋体" w:hAnsi="宋体"/>
          <w:kern w:val="0"/>
          <w:sz w:val="24"/>
        </w:rPr>
        <w:t>[</w:t>
      </w:r>
      <w:r>
        <w:rPr>
          <w:rFonts w:ascii="宋体" w:hAnsi="宋体" w:cs="宋体" w:hint="eastAsia"/>
          <w:color w:val="000000"/>
          <w:kern w:val="0"/>
          <w:sz w:val="24"/>
        </w:rPr>
        <w:t>2011</w:t>
      </w:r>
      <w:r>
        <w:rPr>
          <w:rFonts w:ascii="宋体" w:hAnsi="宋体"/>
          <w:kern w:val="0"/>
          <w:sz w:val="24"/>
        </w:rPr>
        <w:t>]</w:t>
      </w:r>
      <w:r>
        <w:rPr>
          <w:rFonts w:ascii="宋体" w:hAnsi="宋体" w:cs="宋体" w:hint="eastAsia"/>
          <w:color w:val="000000"/>
          <w:kern w:val="0"/>
          <w:sz w:val="24"/>
        </w:rPr>
        <w:t xml:space="preserve"> 967</w:t>
      </w:r>
      <w:r>
        <w:rPr>
          <w:rFonts w:ascii="宋体" w:hAnsi="宋体"/>
          <w:kern w:val="0"/>
          <w:sz w:val="24"/>
        </w:rPr>
        <w:t>号文</w:t>
      </w:r>
      <w:r>
        <w:rPr>
          <w:rFonts w:ascii="宋体" w:hAnsi="宋体" w:hint="eastAsia"/>
          <w:kern w:val="0"/>
          <w:sz w:val="24"/>
        </w:rPr>
        <w:t>核</w:t>
      </w:r>
      <w:r>
        <w:rPr>
          <w:rFonts w:ascii="宋体" w:hAnsi="宋体"/>
          <w:kern w:val="0"/>
          <w:sz w:val="24"/>
        </w:rPr>
        <w:t>准募集发售。</w:t>
      </w:r>
    </w:p>
    <w:p w14:paraId="6BBADE1E" w14:textId="77777777" w:rsidR="00CF57A4" w:rsidRDefault="00B13D46">
      <w:pPr>
        <w:widowControl/>
        <w:spacing w:line="360" w:lineRule="auto"/>
        <w:ind w:rightChars="-85" w:right="-178" w:firstLineChars="200" w:firstLine="480"/>
        <w:rPr>
          <w:rFonts w:ascii="宋体" w:hAnsi="宋体"/>
          <w:kern w:val="0"/>
          <w:sz w:val="24"/>
        </w:rPr>
      </w:pPr>
      <w:r>
        <w:rPr>
          <w:rFonts w:ascii="宋体" w:hAnsi="宋体" w:hint="eastAsia"/>
          <w:kern w:val="0"/>
          <w:sz w:val="24"/>
        </w:rPr>
        <w:t>本基金为交易型开放式基金。基金存续期间为不定期。</w:t>
      </w:r>
    </w:p>
    <w:p w14:paraId="7AE82446" w14:textId="77777777" w:rsidR="00CF57A4" w:rsidRDefault="00B13D46">
      <w:pPr>
        <w:widowControl/>
        <w:spacing w:line="360" w:lineRule="auto"/>
        <w:ind w:rightChars="-85" w:right="-178" w:firstLineChars="200" w:firstLine="480"/>
        <w:rPr>
          <w:rFonts w:ascii="宋体" w:hAnsi="宋体"/>
          <w:kern w:val="0"/>
          <w:sz w:val="24"/>
        </w:rPr>
      </w:pPr>
      <w:r>
        <w:rPr>
          <w:rFonts w:ascii="宋体" w:hAnsi="宋体" w:hint="eastAsia"/>
          <w:kern w:val="0"/>
          <w:sz w:val="24"/>
        </w:rPr>
        <w:t>本基金募集期间基金份额净值为人民币1.00元，按初始面值发售。</w:t>
      </w:r>
    </w:p>
    <w:p w14:paraId="36C49514" w14:textId="77777777" w:rsidR="00CF57A4" w:rsidRDefault="00B13D46">
      <w:pPr>
        <w:widowControl/>
        <w:spacing w:line="360" w:lineRule="auto"/>
        <w:ind w:rightChars="-85" w:right="-178" w:firstLineChars="200" w:firstLine="480"/>
        <w:rPr>
          <w:rFonts w:ascii="宋体" w:hAnsi="宋体"/>
          <w:kern w:val="0"/>
          <w:sz w:val="24"/>
        </w:rPr>
      </w:pPr>
      <w:r>
        <w:rPr>
          <w:rFonts w:ascii="宋体" w:hAnsi="宋体" w:hint="eastAsia"/>
          <w:kern w:val="0"/>
          <w:sz w:val="24"/>
        </w:rPr>
        <w:t>本基金的募集期限不超过3个月，自基金份额开始发售之日起计算。</w:t>
      </w:r>
    </w:p>
    <w:p w14:paraId="2E97FFA7" w14:textId="77777777" w:rsidR="00CF57A4" w:rsidRDefault="00B13D46">
      <w:pPr>
        <w:spacing w:line="360" w:lineRule="auto"/>
        <w:ind w:right="-85" w:firstLineChars="200" w:firstLine="480"/>
        <w:rPr>
          <w:rFonts w:ascii="宋体" w:hAnsi="宋体"/>
          <w:sz w:val="24"/>
        </w:rPr>
      </w:pPr>
      <w:r>
        <w:rPr>
          <w:rFonts w:ascii="宋体" w:hAnsi="宋体" w:hint="eastAsia"/>
          <w:sz w:val="24"/>
        </w:rPr>
        <w:t>本基金自2011年8月29日至2011年9月16日止进行发售。</w:t>
      </w:r>
    </w:p>
    <w:p w14:paraId="183765EA" w14:textId="77777777" w:rsidR="00CF57A4" w:rsidRDefault="00B13D46">
      <w:pPr>
        <w:widowControl/>
        <w:spacing w:line="360" w:lineRule="auto"/>
        <w:ind w:firstLineChars="200" w:firstLine="480"/>
        <w:outlineLvl w:val="1"/>
        <w:rPr>
          <w:rFonts w:ascii="宋体" w:hAnsi="宋体" w:cs="宋体"/>
          <w:b/>
          <w:color w:val="000000"/>
          <w:kern w:val="0"/>
          <w:sz w:val="24"/>
        </w:rPr>
      </w:pPr>
      <w:r>
        <w:rPr>
          <w:rFonts w:ascii="宋体" w:hAnsi="宋体" w:hint="eastAsia"/>
          <w:sz w:val="24"/>
        </w:rPr>
        <w:t>本基金设立募集期共募集332</w:t>
      </w:r>
      <w:r>
        <w:rPr>
          <w:rFonts w:ascii="宋体" w:hAnsi="宋体"/>
          <w:sz w:val="24"/>
        </w:rPr>
        <w:t>,</w:t>
      </w:r>
      <w:r>
        <w:rPr>
          <w:rFonts w:ascii="宋体" w:hAnsi="宋体" w:hint="eastAsia"/>
          <w:sz w:val="24"/>
        </w:rPr>
        <w:t>329</w:t>
      </w:r>
      <w:r>
        <w:rPr>
          <w:rFonts w:ascii="宋体" w:hAnsi="宋体"/>
          <w:sz w:val="24"/>
        </w:rPr>
        <w:t>,</w:t>
      </w:r>
      <w:r>
        <w:rPr>
          <w:rFonts w:ascii="宋体" w:hAnsi="宋体" w:hint="eastAsia"/>
          <w:sz w:val="24"/>
        </w:rPr>
        <w:t>693</w:t>
      </w:r>
      <w:r>
        <w:rPr>
          <w:rFonts w:ascii="宋体" w:hAnsi="宋体"/>
          <w:sz w:val="24"/>
        </w:rPr>
        <w:t>.00</w:t>
      </w:r>
      <w:r>
        <w:rPr>
          <w:rFonts w:ascii="宋体" w:hAnsi="宋体" w:hint="eastAsia"/>
          <w:sz w:val="24"/>
        </w:rPr>
        <w:t>份基金份额，有效认购户数为4</w:t>
      </w:r>
      <w:r>
        <w:rPr>
          <w:rFonts w:ascii="宋体" w:hAnsi="宋体"/>
          <w:sz w:val="24"/>
        </w:rPr>
        <w:t>,</w:t>
      </w:r>
      <w:r>
        <w:rPr>
          <w:rFonts w:ascii="宋体" w:hAnsi="宋体" w:hint="eastAsia"/>
          <w:sz w:val="24"/>
        </w:rPr>
        <w:t>556户。</w:t>
      </w:r>
    </w:p>
    <w:p w14:paraId="204D76FC" w14:textId="77777777" w:rsidR="00CF57A4" w:rsidRDefault="00B13D46">
      <w:pPr>
        <w:pStyle w:val="af1"/>
        <w:rPr>
          <w:rFonts w:eastAsia="黑体"/>
          <w:color w:val="000000"/>
          <w:kern w:val="0"/>
          <w:sz w:val="30"/>
        </w:rPr>
      </w:pPr>
      <w:bookmarkStart w:id="71" w:name="_Hlt90455312"/>
      <w:bookmarkStart w:id="72" w:name="_Hlt90801570"/>
      <w:bookmarkStart w:id="73" w:name="_Hlt91264042"/>
      <w:bookmarkStart w:id="74" w:name="_Hlt91264078"/>
      <w:bookmarkStart w:id="75" w:name="_Hlt91148053"/>
      <w:bookmarkStart w:id="76" w:name="_Toc109537384"/>
      <w:bookmarkEnd w:id="71"/>
      <w:bookmarkEnd w:id="72"/>
      <w:bookmarkEnd w:id="73"/>
      <w:bookmarkEnd w:id="74"/>
      <w:bookmarkEnd w:id="75"/>
      <w:r>
        <w:rPr>
          <w:rFonts w:eastAsia="黑体"/>
          <w:color w:val="000000"/>
          <w:kern w:val="0"/>
          <w:sz w:val="30"/>
        </w:rPr>
        <w:br w:type="page"/>
      </w:r>
      <w:bookmarkStart w:id="77" w:name="_Toc320703947"/>
      <w:bookmarkStart w:id="78" w:name="_Toc320703999"/>
      <w:bookmarkStart w:id="79" w:name="_Toc320704072"/>
      <w:bookmarkStart w:id="80" w:name="_Toc320704359"/>
      <w:bookmarkStart w:id="81" w:name="_Toc322002723"/>
      <w:bookmarkStart w:id="82" w:name="_Toc322519874"/>
      <w:r>
        <w:rPr>
          <w:rFonts w:eastAsia="黑体" w:hint="eastAsia"/>
          <w:color w:val="000000"/>
          <w:kern w:val="0"/>
          <w:sz w:val="30"/>
        </w:rPr>
        <w:lastRenderedPageBreak/>
        <w:t>七、基金合同的生效</w:t>
      </w:r>
      <w:bookmarkEnd w:id="76"/>
      <w:bookmarkEnd w:id="77"/>
      <w:bookmarkEnd w:id="78"/>
      <w:bookmarkEnd w:id="79"/>
      <w:bookmarkEnd w:id="80"/>
      <w:bookmarkEnd w:id="81"/>
      <w:bookmarkEnd w:id="82"/>
    </w:p>
    <w:p w14:paraId="56DA6522" w14:textId="77777777" w:rsidR="00CF57A4" w:rsidRDefault="00B13D46">
      <w:pPr>
        <w:widowControl/>
        <w:spacing w:line="360" w:lineRule="auto"/>
        <w:ind w:rightChars="-85" w:right="-178" w:firstLineChars="200" w:firstLine="480"/>
        <w:rPr>
          <w:rFonts w:ascii="宋体" w:hAnsi="宋体"/>
          <w:sz w:val="24"/>
          <w:szCs w:val="21"/>
        </w:rPr>
      </w:pPr>
      <w:bookmarkStart w:id="83" w:name="_Toc109537386"/>
      <w:r>
        <w:rPr>
          <w:rFonts w:ascii="宋体" w:hAnsi="宋体" w:hint="eastAsia"/>
          <w:sz w:val="24"/>
          <w:szCs w:val="21"/>
        </w:rPr>
        <w:t>根据有关规定，本基金满足基金合同生效条件，基金合同已于2011年9月22日正式生效。自基金合同生效之日起，本基金管理人正式开始管理本基金。</w:t>
      </w:r>
    </w:p>
    <w:p w14:paraId="13669D0D" w14:textId="77777777" w:rsidR="00CF57A4" w:rsidRDefault="00B13D46">
      <w:pPr>
        <w:widowControl/>
        <w:spacing w:line="360" w:lineRule="auto"/>
        <w:ind w:rightChars="-85" w:right="-178" w:firstLineChars="200" w:firstLine="480"/>
        <w:rPr>
          <w:rFonts w:ascii="宋体" w:hAnsi="宋体"/>
          <w:sz w:val="24"/>
          <w:szCs w:val="21"/>
        </w:rPr>
      </w:pPr>
      <w:r>
        <w:rPr>
          <w:rFonts w:ascii="宋体" w:hAnsi="宋体" w:hint="eastAsia"/>
          <w:color w:val="000000"/>
          <w:sz w:val="24"/>
        </w:rPr>
        <w:t>基金合同生效后的存续期内，基金份额持有人数量不满</w:t>
      </w:r>
      <w:r>
        <w:rPr>
          <w:rFonts w:ascii="宋体" w:hAnsi="宋体"/>
          <w:color w:val="000000"/>
          <w:sz w:val="24"/>
        </w:rPr>
        <w:t>200</w:t>
      </w:r>
      <w:r>
        <w:rPr>
          <w:rFonts w:ascii="宋体" w:hAnsi="宋体" w:hint="eastAsia"/>
          <w:color w:val="000000"/>
          <w:sz w:val="24"/>
        </w:rPr>
        <w:t>人或者基金资产净值低于</w:t>
      </w:r>
      <w:r>
        <w:rPr>
          <w:rFonts w:ascii="宋体" w:hAnsi="宋体"/>
          <w:color w:val="000000"/>
          <w:sz w:val="24"/>
        </w:rPr>
        <w:t>5000</w:t>
      </w:r>
      <w:r>
        <w:rPr>
          <w:rFonts w:ascii="宋体" w:hAnsi="宋体" w:hint="eastAsia"/>
          <w:color w:val="000000"/>
          <w:sz w:val="24"/>
        </w:rPr>
        <w:t>万元，基金管理人应当及时报告中国证监会；基金份额持有人数量连续</w:t>
      </w:r>
      <w:r>
        <w:rPr>
          <w:rFonts w:ascii="宋体" w:hAnsi="宋体"/>
          <w:color w:val="000000"/>
          <w:sz w:val="24"/>
        </w:rPr>
        <w:t>20</w:t>
      </w:r>
      <w:r>
        <w:rPr>
          <w:rFonts w:ascii="宋体" w:hAnsi="宋体" w:hint="eastAsia"/>
          <w:color w:val="000000"/>
          <w:sz w:val="24"/>
        </w:rPr>
        <w:t>个工作日达不到</w:t>
      </w:r>
      <w:r>
        <w:rPr>
          <w:rFonts w:ascii="宋体" w:hAnsi="宋体"/>
          <w:color w:val="000000"/>
          <w:sz w:val="24"/>
        </w:rPr>
        <w:t>200</w:t>
      </w:r>
      <w:r>
        <w:rPr>
          <w:rFonts w:ascii="宋体" w:hAnsi="宋体" w:hint="eastAsia"/>
          <w:color w:val="000000"/>
          <w:sz w:val="24"/>
        </w:rPr>
        <w:t>人，或连续</w:t>
      </w:r>
      <w:r>
        <w:rPr>
          <w:rFonts w:ascii="宋体" w:hAnsi="宋体"/>
          <w:color w:val="000000"/>
          <w:sz w:val="24"/>
        </w:rPr>
        <w:t>20</w:t>
      </w:r>
      <w:r>
        <w:rPr>
          <w:rFonts w:ascii="宋体" w:hAnsi="宋体" w:hint="eastAsia"/>
          <w:color w:val="000000"/>
          <w:sz w:val="24"/>
        </w:rPr>
        <w:t>个工作日基金资产净值低于</w:t>
      </w:r>
      <w:r>
        <w:rPr>
          <w:rFonts w:ascii="宋体" w:hAnsi="宋体"/>
          <w:color w:val="000000"/>
          <w:sz w:val="24"/>
        </w:rPr>
        <w:t>5000</w:t>
      </w:r>
      <w:r>
        <w:rPr>
          <w:rFonts w:ascii="宋体" w:hAnsi="宋体" w:hint="eastAsia"/>
          <w:color w:val="000000"/>
          <w:sz w:val="24"/>
        </w:rPr>
        <w:t>万元，基金管理人应当及时向中国证监会报告，说明出现上述情况的原因并提出解决方案。法律法规或监管机构另有规定时，从其规定。</w:t>
      </w:r>
    </w:p>
    <w:p w14:paraId="62A3AB13" w14:textId="77777777" w:rsidR="00CF57A4" w:rsidRDefault="00CF57A4">
      <w:pPr>
        <w:spacing w:line="360" w:lineRule="auto"/>
        <w:ind w:firstLineChars="200" w:firstLine="482"/>
        <w:rPr>
          <w:rFonts w:ascii="宋体" w:hAnsi="宋体"/>
          <w:b/>
          <w:color w:val="000000"/>
          <w:sz w:val="24"/>
        </w:rPr>
      </w:pPr>
    </w:p>
    <w:p w14:paraId="3BE6F050" w14:textId="77777777" w:rsidR="00CF57A4" w:rsidRDefault="00B13D46">
      <w:pPr>
        <w:pStyle w:val="af1"/>
        <w:rPr>
          <w:rFonts w:eastAsia="黑体"/>
          <w:color w:val="000000"/>
          <w:kern w:val="0"/>
          <w:sz w:val="30"/>
        </w:rPr>
      </w:pPr>
      <w:r>
        <w:rPr>
          <w:rFonts w:eastAsia="黑体"/>
          <w:color w:val="000000"/>
          <w:kern w:val="0"/>
          <w:sz w:val="30"/>
        </w:rPr>
        <w:br w:type="page"/>
      </w:r>
      <w:bookmarkStart w:id="84" w:name="_Toc320704073"/>
      <w:bookmarkStart w:id="85" w:name="_Toc320704360"/>
      <w:bookmarkStart w:id="86" w:name="_Toc322002724"/>
      <w:bookmarkStart w:id="87" w:name="_Toc320703948"/>
      <w:bookmarkStart w:id="88" w:name="_Toc322519875"/>
      <w:bookmarkStart w:id="89" w:name="_Toc320704000"/>
      <w:r>
        <w:rPr>
          <w:rFonts w:eastAsia="黑体" w:hint="eastAsia"/>
          <w:color w:val="000000"/>
          <w:kern w:val="0"/>
          <w:sz w:val="30"/>
        </w:rPr>
        <w:lastRenderedPageBreak/>
        <w:t>八、基金份额的上市交易</w:t>
      </w:r>
      <w:bookmarkEnd w:id="84"/>
      <w:bookmarkEnd w:id="85"/>
      <w:bookmarkEnd w:id="86"/>
      <w:bookmarkEnd w:id="87"/>
      <w:bookmarkEnd w:id="88"/>
      <w:bookmarkEnd w:id="89"/>
    </w:p>
    <w:p w14:paraId="259E02EF" w14:textId="77777777" w:rsidR="00CF57A4" w:rsidRDefault="00B13D46">
      <w:pPr>
        <w:spacing w:line="360" w:lineRule="auto"/>
        <w:ind w:firstLineChars="200" w:firstLine="482"/>
        <w:rPr>
          <w:rFonts w:ascii="宋体" w:hAnsi="宋体"/>
          <w:b/>
          <w:color w:val="000000"/>
          <w:sz w:val="24"/>
        </w:rPr>
      </w:pPr>
      <w:r>
        <w:rPr>
          <w:rFonts w:ascii="宋体" w:hAnsi="宋体" w:hint="eastAsia"/>
          <w:b/>
          <w:color w:val="000000"/>
          <w:sz w:val="24"/>
        </w:rPr>
        <w:t>（一）基金份额的上市</w:t>
      </w:r>
    </w:p>
    <w:p w14:paraId="39E34472" w14:textId="77777777" w:rsidR="00CF57A4" w:rsidRDefault="00B13D46">
      <w:pPr>
        <w:spacing w:line="360" w:lineRule="auto"/>
        <w:ind w:firstLineChars="200" w:firstLine="480"/>
        <w:rPr>
          <w:rFonts w:ascii="宋体" w:hAnsi="宋体"/>
          <w:color w:val="000000"/>
          <w:sz w:val="24"/>
        </w:rPr>
      </w:pPr>
      <w:r>
        <w:rPr>
          <w:rFonts w:ascii="宋体" w:hAnsi="宋体" w:hint="eastAsia"/>
          <w:sz w:val="24"/>
        </w:rPr>
        <w:t>根据有关规定，本基金合同生效后，具备上市条件，于2011年10月25日起在深圳证券交易所上市交易。（二级市场交易代码：159913）。</w:t>
      </w:r>
      <w:r>
        <w:rPr>
          <w:rFonts w:ascii="宋体" w:hAnsi="宋体" w:hint="eastAsia"/>
          <w:color w:val="000000"/>
          <w:sz w:val="24"/>
        </w:rPr>
        <w:t xml:space="preserve"> </w:t>
      </w:r>
    </w:p>
    <w:p w14:paraId="5EC5970A" w14:textId="77777777" w:rsidR="00CF57A4" w:rsidRDefault="00B13D46">
      <w:pPr>
        <w:spacing w:line="360" w:lineRule="auto"/>
        <w:ind w:firstLineChars="200" w:firstLine="482"/>
        <w:rPr>
          <w:rFonts w:ascii="宋体" w:hAnsi="宋体"/>
          <w:b/>
          <w:color w:val="000000"/>
          <w:sz w:val="24"/>
        </w:rPr>
      </w:pPr>
      <w:r>
        <w:rPr>
          <w:rFonts w:ascii="宋体" w:hAnsi="宋体" w:hint="eastAsia"/>
          <w:b/>
          <w:color w:val="000000"/>
          <w:sz w:val="24"/>
        </w:rPr>
        <w:t>（二）基金份额的上市交易</w:t>
      </w:r>
    </w:p>
    <w:p w14:paraId="5D403B5D"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 xml:space="preserve">本基金基金份额在深圳证券交易所的上市交易需遵照《深圳证券交易所交易规则》、《深圳证券交易所证券投资基金上市规则》、《深圳证券交易所交易型开放式指数基金业务实施细则》等有关规定。 </w:t>
      </w:r>
    </w:p>
    <w:p w14:paraId="04324BBC" w14:textId="77777777" w:rsidR="00CF57A4" w:rsidRDefault="00B13D46">
      <w:pPr>
        <w:spacing w:line="360" w:lineRule="auto"/>
        <w:ind w:firstLineChars="200" w:firstLine="482"/>
        <w:rPr>
          <w:rFonts w:ascii="宋体" w:hAnsi="宋体"/>
          <w:b/>
          <w:color w:val="000000"/>
          <w:sz w:val="24"/>
        </w:rPr>
      </w:pPr>
      <w:r>
        <w:rPr>
          <w:rFonts w:ascii="宋体" w:hAnsi="宋体" w:hint="eastAsia"/>
          <w:b/>
          <w:color w:val="000000"/>
          <w:sz w:val="24"/>
        </w:rPr>
        <w:t xml:space="preserve">（三）暂停上市交易 </w:t>
      </w:r>
    </w:p>
    <w:p w14:paraId="189022D2"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 xml:space="preserve">基金份额上市交易期间出现下列情形之一的，深圳证券交易所可暂停基金的上市交易，并报中国证监会备案： </w:t>
      </w:r>
    </w:p>
    <w:p w14:paraId="6C949C9E"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 xml:space="preserve">1、不再具备本章第(一)款规定的上市条件； </w:t>
      </w:r>
    </w:p>
    <w:p w14:paraId="1C493A6F"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 xml:space="preserve">2、违反法律、行政法规，中国证监会决定暂停其上市； </w:t>
      </w:r>
    </w:p>
    <w:p w14:paraId="4053707E"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 xml:space="preserve">3、严重违反深圳证券交易所有关规则的； </w:t>
      </w:r>
    </w:p>
    <w:p w14:paraId="5C0F6624"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 xml:space="preserve">4、深圳证券交易所认为应当暂停上市的其他情形。 </w:t>
      </w:r>
    </w:p>
    <w:p w14:paraId="55CE6126"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 xml:space="preserve">当暂停上市情形消除后，基金管理人应向深圳证券交易所提出恢复上市申请，经深圳证券交易所核准后可恢复本基金上市，并在至少一种指定媒体发布基金恢复上市公告。 </w:t>
      </w:r>
    </w:p>
    <w:p w14:paraId="6971C21F" w14:textId="77777777" w:rsidR="00CF57A4" w:rsidRDefault="00B13D46">
      <w:pPr>
        <w:spacing w:line="360" w:lineRule="auto"/>
        <w:ind w:firstLineChars="200" w:firstLine="482"/>
        <w:rPr>
          <w:rFonts w:ascii="宋体" w:hAnsi="宋体"/>
          <w:b/>
          <w:color w:val="000000"/>
          <w:sz w:val="24"/>
        </w:rPr>
      </w:pPr>
      <w:r>
        <w:rPr>
          <w:rFonts w:ascii="宋体" w:hAnsi="宋体" w:hint="eastAsia"/>
          <w:b/>
          <w:color w:val="000000"/>
          <w:sz w:val="24"/>
        </w:rPr>
        <w:t xml:space="preserve">（四）终止上市交易 </w:t>
      </w:r>
    </w:p>
    <w:p w14:paraId="4C311EDD"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 xml:space="preserve">基金份额上市交易后，有下列情形之一的，深圳证券交易所可终止基金的上市交易，并报中国证监会备案： </w:t>
      </w:r>
    </w:p>
    <w:p w14:paraId="1379EAF1"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 xml:space="preserve">1、自暂停上市之日起半年内未能消除暂停上市原因的； </w:t>
      </w:r>
    </w:p>
    <w:p w14:paraId="4736CD2F"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 xml:space="preserve">2、基金合同终止； </w:t>
      </w:r>
    </w:p>
    <w:p w14:paraId="1C6A4F4E"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 xml:space="preserve">3、基金份额持有人大会决定终止上市； </w:t>
      </w:r>
    </w:p>
    <w:p w14:paraId="357124E6"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 xml:space="preserve">4、深圳证券交易所认为应当终止上市的其他情形。 </w:t>
      </w:r>
    </w:p>
    <w:p w14:paraId="50A162EC"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基金管理人应当在收到深圳证券交易所终止基金上市的决定之日起2个工作日内发布基金终止上市公告。</w:t>
      </w:r>
    </w:p>
    <w:p w14:paraId="5A5CC9A1"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若因上述</w:t>
      </w:r>
      <w:r>
        <w:rPr>
          <w:rFonts w:ascii="宋体" w:hAnsi="宋体"/>
          <w:color w:val="000000"/>
          <w:sz w:val="24"/>
        </w:rPr>
        <w:t>1</w:t>
      </w:r>
      <w:r>
        <w:rPr>
          <w:rFonts w:ascii="宋体" w:hAnsi="宋体" w:hint="eastAsia"/>
          <w:color w:val="000000"/>
          <w:sz w:val="24"/>
        </w:rPr>
        <w:t>、</w:t>
      </w:r>
      <w:r>
        <w:rPr>
          <w:rFonts w:ascii="宋体" w:hAnsi="宋体"/>
          <w:color w:val="000000"/>
          <w:sz w:val="24"/>
        </w:rPr>
        <w:t xml:space="preserve">4 </w:t>
      </w:r>
      <w:r>
        <w:rPr>
          <w:rFonts w:ascii="宋体" w:hAnsi="宋体" w:hint="eastAsia"/>
          <w:color w:val="000000"/>
          <w:sz w:val="24"/>
        </w:rPr>
        <w:t>项等原因使本基金不再具备上市条件而被深圳证券交易所终止上市的，本基金将在履行适当程序后由交易型开放式基金变更为同一标的指数</w:t>
      </w:r>
      <w:r>
        <w:rPr>
          <w:rFonts w:ascii="宋体" w:hAnsi="宋体" w:hint="eastAsia"/>
          <w:color w:val="000000"/>
          <w:sz w:val="24"/>
        </w:rPr>
        <w:lastRenderedPageBreak/>
        <w:t>的非上市的开放式指数基金。若届时本基金管理人已有以该指数作为标的指数的指数基金，则本基金将本着维护投资者合法权益的原则，履行适当的程序后选取其他合适的指数作为标的指数。</w:t>
      </w:r>
    </w:p>
    <w:p w14:paraId="34B013C9" w14:textId="77777777" w:rsidR="00CF57A4" w:rsidRDefault="00B13D46">
      <w:pPr>
        <w:spacing w:line="360" w:lineRule="auto"/>
        <w:ind w:firstLineChars="200" w:firstLine="482"/>
        <w:rPr>
          <w:rFonts w:ascii="宋体" w:hAnsi="宋体"/>
          <w:b/>
          <w:color w:val="000000"/>
          <w:sz w:val="24"/>
        </w:rPr>
      </w:pPr>
      <w:r>
        <w:rPr>
          <w:rFonts w:ascii="宋体" w:hAnsi="宋体" w:hint="eastAsia"/>
          <w:b/>
          <w:color w:val="000000"/>
          <w:sz w:val="24"/>
        </w:rPr>
        <w:t xml:space="preserve">（五）基金份额参考净值（IOPV）的计算与公告 </w:t>
      </w:r>
    </w:p>
    <w:p w14:paraId="61F3C7E1"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 xml:space="preserve">基金管理人在每一交易日开市前向深圳证券交易所提供当日的申购赎回清单，深圳证券交易所在开市后根据申购赎回清单和组合证券内各只证券的实时成交数据，计算并发布基金份额参考净值（IOPV），供投资者交易、申购、赎回基金份额时参考。 </w:t>
      </w:r>
    </w:p>
    <w:p w14:paraId="6047F5FA"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 xml:space="preserve">1、基金份额参考净值计算公式为： </w:t>
      </w:r>
    </w:p>
    <w:p w14:paraId="43B45F99"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 xml:space="preserve">基金份额参考净值＝（申购赎回清单中必须用现金替代的替代金额＋申购赎回清单中可以用现金替代成份证券的数量与最新成交价相乘之和+申购赎回清单中禁止用现金替代成份证券的数量与最新成交价相乘之和＋申购赎回清单中的预估现金差额）/最小申购赎回单位对应的基金份额。 </w:t>
      </w:r>
    </w:p>
    <w:p w14:paraId="79C43A02"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2、基金份额参考净值的计算以四舍五入的方法保留小数点后3 位。若深圳证券交易所调整有关基金份额参考净值保留位数，本基金将相应调整。</w:t>
      </w:r>
    </w:p>
    <w:p w14:paraId="77F25F3A"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3、基金管理人可以调整基金份额参考净值计算公式，并予以公告。</w:t>
      </w:r>
    </w:p>
    <w:p w14:paraId="283C21B1" w14:textId="77777777" w:rsidR="00CF57A4" w:rsidRDefault="00B13D46">
      <w:pPr>
        <w:pStyle w:val="af1"/>
        <w:rPr>
          <w:rFonts w:eastAsia="黑体"/>
          <w:color w:val="000000"/>
          <w:kern w:val="0"/>
          <w:sz w:val="30"/>
        </w:rPr>
      </w:pPr>
      <w:r>
        <w:rPr>
          <w:rFonts w:eastAsia="黑体"/>
          <w:color w:val="000000"/>
          <w:kern w:val="0"/>
          <w:sz w:val="30"/>
        </w:rPr>
        <w:br w:type="page"/>
      </w:r>
      <w:bookmarkStart w:id="90" w:name="_Toc320704361"/>
      <w:bookmarkStart w:id="91" w:name="_Toc322002725"/>
      <w:bookmarkStart w:id="92" w:name="_Toc320703949"/>
      <w:bookmarkStart w:id="93" w:name="_Toc322519876"/>
      <w:bookmarkStart w:id="94" w:name="_Toc320704001"/>
      <w:bookmarkStart w:id="95" w:name="_Toc320704074"/>
      <w:r>
        <w:rPr>
          <w:rFonts w:eastAsia="黑体" w:hint="eastAsia"/>
          <w:color w:val="000000"/>
          <w:kern w:val="0"/>
          <w:sz w:val="30"/>
        </w:rPr>
        <w:lastRenderedPageBreak/>
        <w:t>九、基金份额的申购与赎回</w:t>
      </w:r>
      <w:bookmarkEnd w:id="90"/>
      <w:bookmarkEnd w:id="91"/>
      <w:bookmarkEnd w:id="92"/>
      <w:bookmarkEnd w:id="93"/>
      <w:bookmarkEnd w:id="94"/>
      <w:bookmarkEnd w:id="95"/>
    </w:p>
    <w:p w14:paraId="25E55340" w14:textId="77777777" w:rsidR="00CF57A4" w:rsidRDefault="00B13D46">
      <w:pPr>
        <w:widowControl/>
        <w:spacing w:line="360" w:lineRule="auto"/>
        <w:ind w:left="482"/>
        <w:outlineLvl w:val="1"/>
        <w:rPr>
          <w:rFonts w:ascii="宋体" w:hAnsi="宋体" w:cs="宋体"/>
          <w:b/>
          <w:color w:val="000000"/>
          <w:kern w:val="0"/>
          <w:sz w:val="24"/>
        </w:rPr>
      </w:pPr>
      <w:r>
        <w:rPr>
          <w:rFonts w:ascii="宋体" w:hAnsi="宋体" w:cs="宋体" w:hint="eastAsia"/>
          <w:b/>
          <w:color w:val="000000"/>
          <w:kern w:val="0"/>
          <w:sz w:val="24"/>
        </w:rPr>
        <w:t>（一）</w:t>
      </w:r>
      <w:r>
        <w:rPr>
          <w:rFonts w:ascii="宋体" w:hAnsi="宋体" w:cs="宋体"/>
          <w:b/>
          <w:color w:val="000000"/>
          <w:kern w:val="0"/>
          <w:sz w:val="24"/>
        </w:rPr>
        <w:t>申购</w:t>
      </w:r>
      <w:r>
        <w:rPr>
          <w:rFonts w:ascii="宋体" w:hAnsi="宋体" w:cs="宋体" w:hint="eastAsia"/>
          <w:b/>
          <w:color w:val="000000"/>
          <w:kern w:val="0"/>
          <w:sz w:val="24"/>
        </w:rPr>
        <w:t>和</w:t>
      </w:r>
      <w:r>
        <w:rPr>
          <w:rFonts w:ascii="宋体" w:hAnsi="宋体" w:cs="宋体"/>
          <w:b/>
          <w:color w:val="000000"/>
          <w:kern w:val="0"/>
          <w:sz w:val="24"/>
        </w:rPr>
        <w:t xml:space="preserve">赎回的场所 </w:t>
      </w:r>
    </w:p>
    <w:p w14:paraId="69B790D2" w14:textId="77777777" w:rsidR="00CF57A4" w:rsidRDefault="00B13D46">
      <w:pPr>
        <w:spacing w:line="360" w:lineRule="auto"/>
        <w:ind w:firstLineChars="200" w:firstLine="480"/>
        <w:rPr>
          <w:rFonts w:ascii="宋体" w:hAnsi="宋体"/>
          <w:color w:val="000000"/>
          <w:sz w:val="24"/>
          <w:szCs w:val="21"/>
        </w:rPr>
      </w:pPr>
      <w:r>
        <w:rPr>
          <w:rFonts w:ascii="宋体" w:hAnsi="宋体" w:hint="eastAsia"/>
          <w:color w:val="000000"/>
          <w:sz w:val="24"/>
          <w:szCs w:val="21"/>
        </w:rPr>
        <w:t>投资者应当在申购赎回代理券商办理基金申购、赎回业务的营业场所或按申购赎回代理券商提供的其他方式办理本基金的申购和赎回。</w:t>
      </w:r>
    </w:p>
    <w:p w14:paraId="423BA892" w14:textId="77777777" w:rsidR="00CF57A4" w:rsidRDefault="00B13D46">
      <w:pPr>
        <w:spacing w:line="360" w:lineRule="auto"/>
        <w:ind w:firstLineChars="200" w:firstLine="480"/>
        <w:rPr>
          <w:rFonts w:ascii="宋体" w:hAnsi="宋体"/>
          <w:color w:val="000000"/>
          <w:sz w:val="24"/>
          <w:szCs w:val="21"/>
        </w:rPr>
      </w:pPr>
      <w:r>
        <w:rPr>
          <w:rFonts w:ascii="宋体" w:hAnsi="宋体" w:hint="eastAsia"/>
          <w:sz w:val="24"/>
        </w:rPr>
        <w:t>本基金申购赎回代理券商的名称、住所等信息请详见本招募说明书“五、相关服务机构”中“（一）基金份额销售机构”的相关描述。</w:t>
      </w:r>
    </w:p>
    <w:p w14:paraId="05BED28B" w14:textId="77777777" w:rsidR="00CF57A4" w:rsidRDefault="00B13D46">
      <w:pPr>
        <w:spacing w:line="360" w:lineRule="auto"/>
        <w:ind w:firstLineChars="200" w:firstLine="480"/>
        <w:rPr>
          <w:rFonts w:hAnsi="宋体"/>
          <w:color w:val="000000"/>
          <w:sz w:val="24"/>
        </w:rPr>
      </w:pPr>
      <w:r>
        <w:rPr>
          <w:rFonts w:ascii="宋体" w:hAnsi="宋体" w:hint="eastAsia"/>
          <w:color w:val="000000"/>
          <w:sz w:val="24"/>
          <w:szCs w:val="21"/>
        </w:rPr>
        <w:t>基金管理人可依据实际情况增加或减少申购赎回代理券商，并予以公告。</w:t>
      </w:r>
    </w:p>
    <w:p w14:paraId="049FC863" w14:textId="77777777" w:rsidR="00CF57A4" w:rsidRDefault="00B13D46">
      <w:pPr>
        <w:widowControl/>
        <w:spacing w:line="360" w:lineRule="auto"/>
        <w:ind w:firstLineChars="200" w:firstLine="482"/>
        <w:outlineLvl w:val="1"/>
        <w:rPr>
          <w:rFonts w:ascii="宋体" w:hAnsi="宋体" w:cs="宋体"/>
          <w:b/>
          <w:color w:val="000000"/>
          <w:kern w:val="0"/>
          <w:sz w:val="24"/>
        </w:rPr>
      </w:pPr>
      <w:r>
        <w:rPr>
          <w:rFonts w:ascii="宋体" w:hAnsi="宋体" w:cs="宋体" w:hint="eastAsia"/>
          <w:b/>
          <w:color w:val="000000"/>
          <w:kern w:val="0"/>
          <w:sz w:val="24"/>
        </w:rPr>
        <w:t>（二）</w:t>
      </w:r>
      <w:r>
        <w:rPr>
          <w:rFonts w:ascii="宋体" w:hAnsi="宋体" w:cs="宋体"/>
          <w:b/>
          <w:color w:val="000000"/>
          <w:kern w:val="0"/>
          <w:sz w:val="24"/>
        </w:rPr>
        <w:t>申购和赎回的</w:t>
      </w:r>
      <w:r>
        <w:rPr>
          <w:rFonts w:ascii="宋体" w:hAnsi="宋体" w:cs="宋体" w:hint="eastAsia"/>
          <w:b/>
          <w:color w:val="000000"/>
          <w:kern w:val="0"/>
          <w:sz w:val="24"/>
        </w:rPr>
        <w:t>开放日及</w:t>
      </w:r>
      <w:r>
        <w:rPr>
          <w:rFonts w:ascii="宋体" w:hAnsi="宋体" w:cs="宋体"/>
          <w:b/>
          <w:color w:val="000000"/>
          <w:kern w:val="0"/>
          <w:sz w:val="24"/>
        </w:rPr>
        <w:t xml:space="preserve">时间 </w:t>
      </w:r>
    </w:p>
    <w:p w14:paraId="00D71FB0" w14:textId="77777777" w:rsidR="00CF57A4" w:rsidRDefault="00B13D46">
      <w:pPr>
        <w:widowControl/>
        <w:spacing w:line="360" w:lineRule="auto"/>
        <w:ind w:firstLineChars="200" w:firstLine="480"/>
        <w:rPr>
          <w:rFonts w:ascii="宋体" w:hAnsi="宋体" w:cs="宋体"/>
          <w:color w:val="000000"/>
          <w:kern w:val="0"/>
          <w:sz w:val="24"/>
        </w:rPr>
      </w:pPr>
      <w:r>
        <w:rPr>
          <w:rFonts w:ascii="宋体" w:hAnsi="宋体" w:cs="宋体"/>
          <w:color w:val="000000"/>
          <w:kern w:val="0"/>
          <w:sz w:val="24"/>
        </w:rPr>
        <w:t>1</w:t>
      </w:r>
      <w:r>
        <w:rPr>
          <w:rFonts w:ascii="宋体" w:hAnsi="宋体" w:cs="宋体" w:hint="eastAsia"/>
          <w:color w:val="000000"/>
          <w:kern w:val="0"/>
          <w:sz w:val="24"/>
        </w:rPr>
        <w:t>、开放日及开放时间</w:t>
      </w:r>
    </w:p>
    <w:p w14:paraId="57E74C5F" w14:textId="77777777" w:rsidR="00CF57A4" w:rsidRDefault="00B13D46">
      <w:pPr>
        <w:widowControl/>
        <w:spacing w:line="360" w:lineRule="auto"/>
        <w:ind w:firstLineChars="200" w:firstLine="480"/>
        <w:rPr>
          <w:rFonts w:ascii="宋体" w:hAnsi="宋体"/>
          <w:color w:val="000000"/>
          <w:sz w:val="24"/>
        </w:rPr>
      </w:pPr>
      <w:r>
        <w:rPr>
          <w:rFonts w:ascii="宋体" w:hAnsi="宋体" w:cs="宋体" w:hint="eastAsia"/>
          <w:color w:val="000000"/>
          <w:kern w:val="0"/>
          <w:sz w:val="24"/>
        </w:rPr>
        <w:t>投资者可办理申购、赎回等业务的开放日为深圳证券交易所的交易日</w:t>
      </w:r>
      <w:r>
        <w:rPr>
          <w:rFonts w:ascii="宋体" w:hAnsi="宋体" w:hint="eastAsia"/>
          <w:color w:val="000000"/>
          <w:sz w:val="24"/>
        </w:rPr>
        <w:t>，具体业务办理</w:t>
      </w:r>
      <w:r>
        <w:rPr>
          <w:rFonts w:ascii="宋体" w:hAnsi="宋体" w:cs="宋体" w:hint="eastAsia"/>
          <w:color w:val="000000"/>
          <w:kern w:val="0"/>
          <w:sz w:val="24"/>
        </w:rPr>
        <w:t>时间为</w:t>
      </w:r>
      <w:r>
        <w:rPr>
          <w:rFonts w:ascii="宋体" w:hAnsi="宋体" w:hint="eastAsia"/>
          <w:color w:val="000000"/>
          <w:sz w:val="24"/>
        </w:rPr>
        <w:t>深圳证券交易所交易日的交易时间</w:t>
      </w:r>
      <w:r>
        <w:rPr>
          <w:rFonts w:ascii="宋体" w:hAnsi="宋体" w:cs="宋体" w:hint="eastAsia"/>
          <w:color w:val="000000"/>
          <w:kern w:val="0"/>
          <w:sz w:val="24"/>
        </w:rPr>
        <w:t>。</w:t>
      </w:r>
      <w:r>
        <w:rPr>
          <w:rFonts w:ascii="宋体" w:hAnsi="宋体" w:hint="eastAsia"/>
          <w:color w:val="000000"/>
          <w:sz w:val="24"/>
        </w:rPr>
        <w:t>但基金管理人根据法律法规、中国证监会的要求或基金合同的规定公告暂停申购、赎回时除外。</w:t>
      </w:r>
    </w:p>
    <w:p w14:paraId="5F69C382" w14:textId="77777777" w:rsidR="00CF57A4" w:rsidRDefault="00B13D46">
      <w:pPr>
        <w:widowControl/>
        <w:spacing w:line="360" w:lineRule="auto"/>
        <w:ind w:firstLineChars="200" w:firstLine="480"/>
        <w:rPr>
          <w:rFonts w:ascii="宋体" w:hAnsi="宋体" w:cs="宋体"/>
          <w:color w:val="000000"/>
          <w:kern w:val="0"/>
          <w:sz w:val="24"/>
        </w:rPr>
      </w:pPr>
      <w:r>
        <w:rPr>
          <w:rFonts w:ascii="宋体" w:hAnsi="宋体" w:hint="eastAsia"/>
          <w:color w:val="000000"/>
          <w:sz w:val="24"/>
        </w:rPr>
        <w:t>若出现新的证券交易市场、证券交易所交易时间变更或其他特殊情况或实际情况需要，基金管理人将视情况对前述开放日及具体业务办理时间进行相应的调整，</w:t>
      </w:r>
      <w:r>
        <w:rPr>
          <w:rFonts w:hAnsi="宋体" w:hint="eastAsia"/>
          <w:color w:val="000000"/>
          <w:sz w:val="24"/>
        </w:rPr>
        <w:t>但应在实施日前依照《信息披露办法》的有关规定在指定媒体上公告</w:t>
      </w:r>
      <w:r>
        <w:rPr>
          <w:rFonts w:ascii="宋体" w:hAnsi="宋体" w:hint="eastAsia"/>
          <w:color w:val="000000"/>
          <w:sz w:val="24"/>
        </w:rPr>
        <w:t>。</w:t>
      </w:r>
    </w:p>
    <w:p w14:paraId="777E4636" w14:textId="77777777" w:rsidR="00CF57A4" w:rsidRDefault="00B13D46">
      <w:pPr>
        <w:widowControl/>
        <w:spacing w:line="360" w:lineRule="auto"/>
        <w:ind w:firstLineChars="200" w:firstLine="480"/>
        <w:rPr>
          <w:rFonts w:ascii="宋体" w:hAnsi="宋体" w:cs="宋体"/>
          <w:color w:val="000000"/>
          <w:kern w:val="0"/>
          <w:sz w:val="24"/>
        </w:rPr>
      </w:pPr>
      <w:r>
        <w:rPr>
          <w:rFonts w:ascii="宋体" w:hAnsi="宋体" w:cs="宋体"/>
          <w:color w:val="000000"/>
          <w:kern w:val="0"/>
          <w:sz w:val="24"/>
        </w:rPr>
        <w:t>2</w:t>
      </w:r>
      <w:r>
        <w:rPr>
          <w:rFonts w:ascii="宋体" w:hAnsi="宋体" w:cs="宋体" w:hint="eastAsia"/>
          <w:color w:val="000000"/>
          <w:kern w:val="0"/>
          <w:sz w:val="24"/>
        </w:rPr>
        <w:t>、</w:t>
      </w:r>
      <w:r>
        <w:rPr>
          <w:rFonts w:ascii="宋体" w:hAnsi="宋体"/>
          <w:color w:val="000000"/>
          <w:sz w:val="24"/>
        </w:rPr>
        <w:t>申购、</w:t>
      </w:r>
      <w:r>
        <w:rPr>
          <w:rFonts w:ascii="宋体" w:hAnsi="宋体" w:cs="宋体" w:hint="eastAsia"/>
          <w:color w:val="000000"/>
          <w:kern w:val="0"/>
          <w:sz w:val="24"/>
        </w:rPr>
        <w:t>赎回</w:t>
      </w:r>
      <w:r>
        <w:rPr>
          <w:rFonts w:ascii="宋体" w:hAnsi="宋体" w:cs="宋体"/>
          <w:color w:val="000000"/>
          <w:kern w:val="0"/>
          <w:sz w:val="24"/>
        </w:rPr>
        <w:t xml:space="preserve">的开始日及业务办理时间 </w:t>
      </w:r>
    </w:p>
    <w:p w14:paraId="42588CB7"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本基金可在基金上市交易之前开始办理申购。但在基金申请上市期间，基金可暂停办理申购。</w:t>
      </w:r>
      <w:r>
        <w:rPr>
          <w:rFonts w:ascii="宋体" w:hAnsi="宋体"/>
          <w:color w:val="000000"/>
          <w:sz w:val="24"/>
        </w:rPr>
        <w:t>具体业务办理时间在申购开始公告中规定。</w:t>
      </w:r>
    </w:p>
    <w:p w14:paraId="5A1B0F23" w14:textId="77777777" w:rsidR="00CF57A4" w:rsidRDefault="00B13D46">
      <w:pPr>
        <w:spacing w:line="360" w:lineRule="auto"/>
        <w:ind w:firstLineChars="200" w:firstLine="480"/>
        <w:rPr>
          <w:rFonts w:ascii="宋体" w:hAnsi="宋体"/>
          <w:color w:val="000000"/>
          <w:sz w:val="24"/>
        </w:rPr>
      </w:pPr>
      <w:r>
        <w:rPr>
          <w:rFonts w:ascii="宋体" w:hAnsi="宋体" w:hint="eastAsia"/>
          <w:kern w:val="0"/>
          <w:sz w:val="24"/>
        </w:rPr>
        <w:t>本基金已于2011年10月25日开放申购、赎回业务，投资者可在开放日的开放时间办理本基金的申购、赎回业务。</w:t>
      </w:r>
    </w:p>
    <w:p w14:paraId="5B209691" w14:textId="77777777" w:rsidR="00CF57A4" w:rsidRDefault="00B13D46">
      <w:pPr>
        <w:widowControl/>
        <w:spacing w:line="360" w:lineRule="auto"/>
        <w:ind w:firstLineChars="200" w:firstLine="482"/>
        <w:outlineLvl w:val="1"/>
        <w:rPr>
          <w:rFonts w:ascii="宋体" w:hAnsi="宋体" w:cs="宋体"/>
          <w:b/>
          <w:color w:val="000000"/>
          <w:kern w:val="0"/>
          <w:sz w:val="24"/>
        </w:rPr>
      </w:pPr>
      <w:r>
        <w:rPr>
          <w:rFonts w:ascii="宋体" w:hAnsi="宋体" w:cs="宋体"/>
          <w:b/>
          <w:color w:val="000000"/>
          <w:kern w:val="0"/>
          <w:sz w:val="24"/>
        </w:rPr>
        <w:t>（</w:t>
      </w:r>
      <w:r>
        <w:rPr>
          <w:rFonts w:ascii="宋体" w:hAnsi="宋体" w:cs="宋体" w:hint="eastAsia"/>
          <w:b/>
          <w:color w:val="000000"/>
          <w:kern w:val="0"/>
          <w:sz w:val="24"/>
        </w:rPr>
        <w:t>三</w:t>
      </w:r>
      <w:r>
        <w:rPr>
          <w:rFonts w:ascii="宋体" w:hAnsi="宋体" w:cs="宋体"/>
          <w:b/>
          <w:color w:val="000000"/>
          <w:kern w:val="0"/>
          <w:sz w:val="24"/>
        </w:rPr>
        <w:t xml:space="preserve">）申购和赎回的原则 </w:t>
      </w:r>
    </w:p>
    <w:p w14:paraId="0C3D2540"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1、本基金采用份额申购和份额赎回的方式，即申购和赎回均以份额申请。</w:t>
      </w:r>
    </w:p>
    <w:p w14:paraId="20CAC34C"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2、本基金的申购对价、赎回对价包括组合证券、现金替代、现金差额及其他对价。</w:t>
      </w:r>
    </w:p>
    <w:p w14:paraId="1DB2F32F"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3、申购、赎回申请提交后不得撤销。</w:t>
      </w:r>
    </w:p>
    <w:p w14:paraId="75280ADE"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4、申购、赎回应遵守深交所《业务细则》的规定。</w:t>
      </w:r>
    </w:p>
    <w:p w14:paraId="1C35DAB7" w14:textId="77777777" w:rsidR="00CF57A4" w:rsidRDefault="00B13D46">
      <w:pPr>
        <w:spacing w:line="360" w:lineRule="auto"/>
        <w:ind w:firstLineChars="200" w:firstLine="480"/>
        <w:rPr>
          <w:rFonts w:ascii="宋体" w:hAnsi="宋体"/>
          <w:color w:val="000000"/>
          <w:sz w:val="24"/>
        </w:rPr>
      </w:pPr>
      <w:r>
        <w:rPr>
          <w:rFonts w:ascii="宋体" w:hAnsi="宋体"/>
          <w:color w:val="000000"/>
          <w:sz w:val="24"/>
        </w:rPr>
        <w:t>5</w:t>
      </w:r>
      <w:r>
        <w:rPr>
          <w:rFonts w:ascii="宋体" w:hAnsi="宋体" w:hint="eastAsia"/>
          <w:color w:val="000000"/>
          <w:sz w:val="24"/>
        </w:rPr>
        <w:t>、基金管理人可在不损害基金份额持有人实质利益、不违背交易所相关规则的情况下更改上述原则，但最迟应在新的原则实施前依照有关规定在指定</w:t>
      </w:r>
      <w:r>
        <w:rPr>
          <w:rFonts w:ascii="宋体" w:hAnsi="宋体" w:hint="eastAsia"/>
          <w:color w:val="000000"/>
          <w:sz w:val="24"/>
          <w:szCs w:val="21"/>
        </w:rPr>
        <w:t>媒体</w:t>
      </w:r>
      <w:r>
        <w:rPr>
          <w:rFonts w:ascii="宋体" w:hAnsi="宋体" w:hint="eastAsia"/>
          <w:color w:val="000000"/>
          <w:sz w:val="24"/>
        </w:rPr>
        <w:t>上予以公告。</w:t>
      </w:r>
    </w:p>
    <w:p w14:paraId="59145FE4" w14:textId="77777777" w:rsidR="00CF57A4" w:rsidRDefault="00B13D46">
      <w:pPr>
        <w:widowControl/>
        <w:spacing w:line="360" w:lineRule="auto"/>
        <w:ind w:firstLineChars="200" w:firstLine="482"/>
        <w:outlineLvl w:val="1"/>
        <w:rPr>
          <w:rFonts w:ascii="宋体" w:hAnsi="宋体" w:cs="宋体"/>
          <w:b/>
          <w:color w:val="000000"/>
          <w:kern w:val="0"/>
          <w:sz w:val="24"/>
        </w:rPr>
      </w:pPr>
      <w:r>
        <w:rPr>
          <w:rFonts w:ascii="宋体" w:hAnsi="宋体" w:cs="宋体"/>
          <w:b/>
          <w:color w:val="000000"/>
          <w:kern w:val="0"/>
          <w:sz w:val="24"/>
        </w:rPr>
        <w:lastRenderedPageBreak/>
        <w:t>（</w:t>
      </w:r>
      <w:r>
        <w:rPr>
          <w:rFonts w:ascii="宋体" w:hAnsi="宋体" w:cs="宋体" w:hint="eastAsia"/>
          <w:b/>
          <w:color w:val="000000"/>
          <w:kern w:val="0"/>
          <w:sz w:val="24"/>
        </w:rPr>
        <w:t>四</w:t>
      </w:r>
      <w:r>
        <w:rPr>
          <w:rFonts w:ascii="宋体" w:hAnsi="宋体" w:cs="宋体"/>
          <w:b/>
          <w:color w:val="000000"/>
          <w:kern w:val="0"/>
          <w:sz w:val="24"/>
        </w:rPr>
        <w:t xml:space="preserve">）申购和赎回的程序 </w:t>
      </w:r>
    </w:p>
    <w:p w14:paraId="7DAF9D9E" w14:textId="77777777" w:rsidR="00CF57A4" w:rsidRDefault="00B13D46">
      <w:pPr>
        <w:spacing w:line="360" w:lineRule="auto"/>
        <w:ind w:firstLineChars="200" w:firstLine="480"/>
        <w:rPr>
          <w:rFonts w:ascii="宋体" w:hAnsi="宋体"/>
          <w:color w:val="000000"/>
          <w:sz w:val="24"/>
        </w:rPr>
      </w:pPr>
      <w:r>
        <w:rPr>
          <w:rFonts w:ascii="宋体" w:hAnsi="宋体"/>
          <w:color w:val="000000"/>
          <w:sz w:val="24"/>
        </w:rPr>
        <w:t>1</w:t>
      </w:r>
      <w:r>
        <w:rPr>
          <w:rFonts w:ascii="宋体" w:hAnsi="宋体" w:hint="eastAsia"/>
          <w:color w:val="000000"/>
          <w:sz w:val="24"/>
        </w:rPr>
        <w:t>、申购和赎回的申请的提出</w:t>
      </w:r>
    </w:p>
    <w:p w14:paraId="553EB6E6"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szCs w:val="21"/>
        </w:rPr>
        <w:t>投资者必须按申购赎回代理券商规定的手续，在开放日的具体业务办理时间提出申购或赎回的申请。</w:t>
      </w:r>
    </w:p>
    <w:p w14:paraId="61FB832C"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szCs w:val="21"/>
        </w:rPr>
        <w:t>投资者在提交申购申请时须根据申购赎回清单备足</w:t>
      </w:r>
      <w:r>
        <w:rPr>
          <w:rFonts w:ascii="宋体" w:hAnsi="宋体" w:hint="eastAsia"/>
          <w:color w:val="000000"/>
          <w:sz w:val="24"/>
        </w:rPr>
        <w:t>申购对价要求的组合证券和现金</w:t>
      </w:r>
      <w:r>
        <w:rPr>
          <w:rFonts w:ascii="宋体" w:hAnsi="宋体" w:hint="eastAsia"/>
          <w:color w:val="000000"/>
          <w:sz w:val="24"/>
          <w:szCs w:val="21"/>
        </w:rPr>
        <w:t>，投资者在提交赎回申请时须持有足够的基金份额余额和赎回对价要求的现金。</w:t>
      </w:r>
      <w:r>
        <w:rPr>
          <w:rFonts w:ascii="宋体" w:hAnsi="宋体" w:hint="eastAsia"/>
          <w:color w:val="000000"/>
          <w:sz w:val="24"/>
        </w:rPr>
        <w:t>否则，投资者所提交的申购、赎回的申请无效而不予成交。</w:t>
      </w:r>
    </w:p>
    <w:p w14:paraId="08E4253A" w14:textId="77777777" w:rsidR="00CF57A4" w:rsidRDefault="00B13D46">
      <w:pPr>
        <w:spacing w:line="360" w:lineRule="auto"/>
        <w:ind w:firstLineChars="200" w:firstLine="480"/>
        <w:rPr>
          <w:rFonts w:ascii="宋体" w:hAnsi="宋体"/>
          <w:color w:val="000000"/>
          <w:sz w:val="24"/>
        </w:rPr>
      </w:pPr>
      <w:r>
        <w:rPr>
          <w:rFonts w:ascii="宋体" w:hAnsi="宋体"/>
          <w:color w:val="000000"/>
          <w:sz w:val="24"/>
        </w:rPr>
        <w:t>2</w:t>
      </w:r>
      <w:r>
        <w:rPr>
          <w:rFonts w:ascii="宋体" w:hAnsi="宋体" w:hint="eastAsia"/>
          <w:color w:val="000000"/>
          <w:sz w:val="24"/>
        </w:rPr>
        <w:t>、申购和赎回申请的确认</w:t>
      </w:r>
    </w:p>
    <w:p w14:paraId="3374C750"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投资者申购、赎回申请在受理当日进行确认。如投资者未能提供符合要求的申购对价，则申购申请失败。如投资者持有的符合要求的基金份额不足或未能根据要求准备足额的现金，或本基金投资组合内不具备足额的符合要求的赎回对价，则赎回申请失败。投资者可在申请当日通过其办理申购、赎回的销售网点查询有关申请的确认情况。</w:t>
      </w:r>
    </w:p>
    <w:p w14:paraId="220F061B" w14:textId="77777777" w:rsidR="00CF57A4" w:rsidRDefault="00B13D46">
      <w:pPr>
        <w:spacing w:line="360" w:lineRule="auto"/>
        <w:ind w:firstLineChars="200" w:firstLine="480"/>
        <w:rPr>
          <w:rFonts w:ascii="宋体" w:hAnsi="宋体"/>
          <w:color w:val="000000"/>
          <w:sz w:val="24"/>
        </w:rPr>
      </w:pPr>
      <w:r>
        <w:rPr>
          <w:rFonts w:ascii="宋体" w:hAnsi="宋体"/>
          <w:color w:val="000000"/>
          <w:sz w:val="24"/>
        </w:rPr>
        <w:t>3</w:t>
      </w:r>
      <w:r>
        <w:rPr>
          <w:rFonts w:ascii="宋体" w:hAnsi="宋体" w:hint="eastAsia"/>
          <w:color w:val="000000"/>
          <w:sz w:val="24"/>
        </w:rPr>
        <w:t>、申购和赎回的清算交收与登记</w:t>
      </w:r>
    </w:p>
    <w:p w14:paraId="3569FC92"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本基金申购赎回过程中涉及的股票和基金份额交收适用深圳证券交易所的结算规则。投资者T日申购、赎回成功后，注册登记机构在T日收市后为投资者办理组合证券的清算交收以及基金份额、现金替代的清算，在T+1日办理基金份额、现金替代的交收以及现金差额的清算，在T+2日办理现金差额的交收，并将结果发送给申购赎回代理券商、基金管理人和基金托管人。如果注册登记机构在清算交收时发现不能正常履约的情形，则依据《中国证券登记结算有限责任公司关于深圳证券交易所上市的交易型开放式指数基金登记结算业务实施细则》的有关规定进行处理。</w:t>
      </w:r>
    </w:p>
    <w:p w14:paraId="3E0B40CF" w14:textId="77777777" w:rsidR="00CF57A4" w:rsidRDefault="00B13D46">
      <w:pPr>
        <w:spacing w:line="420" w:lineRule="auto"/>
        <w:ind w:firstLineChars="200" w:firstLine="480"/>
        <w:rPr>
          <w:rFonts w:ascii="宋体" w:hAnsi="宋体"/>
          <w:color w:val="000000"/>
          <w:sz w:val="24"/>
        </w:rPr>
      </w:pPr>
      <w:r>
        <w:rPr>
          <w:rFonts w:ascii="宋体" w:hAnsi="宋体" w:hint="eastAsia"/>
          <w:color w:val="000000"/>
          <w:sz w:val="24"/>
        </w:rPr>
        <w:t>注册登记机构可在法律法规允许的范围内，对清算交收和登记的办理时间、方式进行调整，</w:t>
      </w:r>
      <w:r>
        <w:rPr>
          <w:rFonts w:ascii="宋体" w:hAnsi="宋体"/>
          <w:color w:val="000000"/>
          <w:sz w:val="24"/>
        </w:rPr>
        <w:t>并按照相关规定在指定媒体公告</w:t>
      </w:r>
      <w:r>
        <w:rPr>
          <w:rFonts w:ascii="宋体" w:hAnsi="宋体" w:hint="eastAsia"/>
          <w:color w:val="000000"/>
          <w:sz w:val="24"/>
        </w:rPr>
        <w:t>。</w:t>
      </w:r>
    </w:p>
    <w:p w14:paraId="50C221E3" w14:textId="77777777" w:rsidR="00CF57A4" w:rsidRDefault="00B13D46">
      <w:pPr>
        <w:widowControl/>
        <w:spacing w:line="420" w:lineRule="auto"/>
        <w:ind w:firstLineChars="200" w:firstLine="482"/>
        <w:outlineLvl w:val="1"/>
        <w:rPr>
          <w:rFonts w:ascii="宋体" w:hAnsi="宋体" w:cs="宋体"/>
          <w:b/>
          <w:color w:val="000000"/>
          <w:kern w:val="0"/>
          <w:sz w:val="24"/>
        </w:rPr>
      </w:pPr>
      <w:r>
        <w:rPr>
          <w:rFonts w:ascii="宋体" w:hAnsi="宋体" w:cs="宋体"/>
          <w:b/>
          <w:color w:val="000000"/>
          <w:kern w:val="0"/>
          <w:sz w:val="24"/>
        </w:rPr>
        <w:t>（</w:t>
      </w:r>
      <w:r>
        <w:rPr>
          <w:rFonts w:ascii="宋体" w:hAnsi="宋体" w:cs="宋体" w:hint="eastAsia"/>
          <w:b/>
          <w:color w:val="000000"/>
          <w:kern w:val="0"/>
          <w:sz w:val="24"/>
        </w:rPr>
        <w:t>五</w:t>
      </w:r>
      <w:r>
        <w:rPr>
          <w:rFonts w:ascii="宋体" w:hAnsi="宋体" w:cs="宋体"/>
          <w:b/>
          <w:color w:val="000000"/>
          <w:kern w:val="0"/>
          <w:sz w:val="24"/>
        </w:rPr>
        <w:t xml:space="preserve">）申购和赎回的数额限定 </w:t>
      </w:r>
    </w:p>
    <w:p w14:paraId="429ACF64" w14:textId="77777777" w:rsidR="00CF57A4" w:rsidRDefault="00B13D46">
      <w:pPr>
        <w:spacing w:line="360" w:lineRule="auto"/>
        <w:ind w:firstLineChars="200" w:firstLine="480"/>
        <w:rPr>
          <w:rFonts w:ascii="宋体" w:hAnsi="宋体"/>
          <w:color w:val="000000"/>
          <w:sz w:val="24"/>
          <w:szCs w:val="21"/>
        </w:rPr>
      </w:pPr>
      <w:r>
        <w:rPr>
          <w:rFonts w:ascii="宋体" w:hAnsi="宋体" w:hint="eastAsia"/>
          <w:color w:val="000000"/>
          <w:sz w:val="24"/>
          <w:szCs w:val="21"/>
        </w:rPr>
        <w:t>投资者申购、赎回的基金份额需为最小申购赎回单位的整数倍。</w:t>
      </w:r>
    </w:p>
    <w:p w14:paraId="4D3B58E5" w14:textId="789FDC02" w:rsidR="00631996" w:rsidRDefault="00631996">
      <w:pPr>
        <w:spacing w:line="360" w:lineRule="auto"/>
        <w:ind w:firstLineChars="200" w:firstLine="480"/>
        <w:rPr>
          <w:rFonts w:ascii="宋体" w:hAnsi="宋体"/>
          <w:color w:val="000000"/>
          <w:sz w:val="24"/>
          <w:szCs w:val="21"/>
        </w:rPr>
      </w:pPr>
      <w:r w:rsidRPr="00631996">
        <w:rPr>
          <w:rFonts w:ascii="宋体" w:hAnsi="宋体" w:hint="eastAsia"/>
          <w:color w:val="000000"/>
          <w:sz w:val="24"/>
          <w:szCs w:val="21"/>
        </w:rPr>
        <w:t>当接受申购申请对存量基金份额持有人利益构成潜在重大不利影响时，基金管理人应当采取设定单一投资者申购金额上限或基金单日净申购比例上限、拒绝</w:t>
      </w:r>
      <w:r w:rsidRPr="00631996">
        <w:rPr>
          <w:rFonts w:ascii="宋体" w:hAnsi="宋体" w:hint="eastAsia"/>
          <w:color w:val="000000"/>
          <w:sz w:val="24"/>
          <w:szCs w:val="21"/>
        </w:rPr>
        <w:lastRenderedPageBreak/>
        <w:t>大额申购、暂停基金申购等措施，切实保护存量基金份额持有人的合法权益。具体请参见相关公告。</w:t>
      </w:r>
    </w:p>
    <w:p w14:paraId="48130592" w14:textId="77777777" w:rsidR="00CF57A4" w:rsidRDefault="00B13D46">
      <w:pPr>
        <w:widowControl/>
        <w:spacing w:line="360" w:lineRule="auto"/>
        <w:ind w:firstLineChars="200" w:firstLine="480"/>
        <w:rPr>
          <w:rFonts w:ascii="宋体" w:hAnsi="宋体" w:cs="宋体"/>
          <w:color w:val="000000"/>
          <w:kern w:val="0"/>
          <w:sz w:val="24"/>
        </w:rPr>
      </w:pPr>
      <w:r>
        <w:rPr>
          <w:rFonts w:ascii="宋体" w:hAnsi="宋体" w:hint="eastAsia"/>
          <w:color w:val="000000"/>
          <w:sz w:val="24"/>
          <w:szCs w:val="21"/>
        </w:rPr>
        <w:t>本基金最小申购赎回单位为100万份。基金管理人可以根据市场情况，调整上述规定的数量或比例限制。基金管理人必须在调整前依照有关规定在指定媒体上公告。</w:t>
      </w:r>
    </w:p>
    <w:p w14:paraId="1CC98E81" w14:textId="77777777" w:rsidR="00CF57A4" w:rsidRDefault="00B13D46">
      <w:pPr>
        <w:widowControl/>
        <w:spacing w:line="360" w:lineRule="auto"/>
        <w:ind w:firstLineChars="200" w:firstLine="482"/>
        <w:outlineLvl w:val="1"/>
        <w:rPr>
          <w:rFonts w:ascii="宋体" w:hAnsi="宋体" w:cs="宋体"/>
          <w:b/>
          <w:color w:val="000000"/>
          <w:kern w:val="0"/>
          <w:sz w:val="24"/>
        </w:rPr>
      </w:pPr>
      <w:r>
        <w:rPr>
          <w:rFonts w:ascii="宋体" w:hAnsi="宋体" w:cs="宋体"/>
          <w:b/>
          <w:color w:val="000000"/>
          <w:kern w:val="0"/>
          <w:sz w:val="24"/>
        </w:rPr>
        <w:t>（</w:t>
      </w:r>
      <w:r>
        <w:rPr>
          <w:rFonts w:ascii="宋体" w:hAnsi="宋体" w:cs="宋体" w:hint="eastAsia"/>
          <w:b/>
          <w:color w:val="000000"/>
          <w:kern w:val="0"/>
          <w:sz w:val="24"/>
        </w:rPr>
        <w:t>六</w:t>
      </w:r>
      <w:r>
        <w:rPr>
          <w:rFonts w:ascii="宋体" w:hAnsi="宋体" w:cs="宋体"/>
          <w:b/>
          <w:color w:val="000000"/>
          <w:kern w:val="0"/>
          <w:sz w:val="24"/>
        </w:rPr>
        <w:t>）</w:t>
      </w:r>
      <w:r>
        <w:rPr>
          <w:rFonts w:ascii="宋体" w:hAnsi="宋体" w:cs="宋体" w:hint="eastAsia"/>
          <w:b/>
          <w:color w:val="000000"/>
          <w:kern w:val="0"/>
          <w:sz w:val="24"/>
        </w:rPr>
        <w:t>申购、赎回的对价及费用</w:t>
      </w:r>
    </w:p>
    <w:p w14:paraId="7B6CA3E1"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1、申购对价是指投资者申购基金份额时应交付的组合证券、现金替代、现金差额及其他对价。赎回对价是指投资者赎回基金份额时，基金管理人应交付给赎回人的组合证券、现金替代、现金差额及其他对价。申购对价和赎回对价根据申购赎回清单和投资者申购、赎回的基金份额数额确定。</w:t>
      </w:r>
    </w:p>
    <w:p w14:paraId="11D7F7B6"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2、申购赎回清单由基金管理人编制。T日的申购赎回清单在当日深圳证券交易所开市前公告。T日的基金份额净值在当天收市后计算，并在T+1日公告，计算公式为计算日基金资产净值除以计算日发售在外的基金份额总数。如遇特殊情况，可以适当延迟计算或公告，并报中国证监会备案。</w:t>
      </w:r>
    </w:p>
    <w:p w14:paraId="2546B618" w14:textId="77777777" w:rsidR="00CF57A4" w:rsidRDefault="00B13D46">
      <w:pPr>
        <w:widowControl/>
        <w:spacing w:line="360" w:lineRule="auto"/>
        <w:ind w:firstLineChars="200" w:firstLine="480"/>
        <w:jc w:val="left"/>
        <w:outlineLvl w:val="1"/>
        <w:rPr>
          <w:rFonts w:ascii="宋体" w:hAnsi="宋体"/>
          <w:color w:val="000000"/>
          <w:sz w:val="24"/>
        </w:rPr>
      </w:pPr>
      <w:r>
        <w:rPr>
          <w:rFonts w:ascii="宋体" w:hAnsi="宋体" w:hint="eastAsia"/>
          <w:color w:val="000000"/>
          <w:sz w:val="24"/>
        </w:rPr>
        <w:t xml:space="preserve">3、投资者在申购或赎回基金份额时，申购赎回代理券商可按照不超过申购或赎回份额0.5%的标准收取佣金，其中包含证券交易所、注册登记机构等收取的相关费用。 </w:t>
      </w:r>
      <w:bookmarkStart w:id="96" w:name="_Hlt90458725"/>
      <w:bookmarkStart w:id="97" w:name="_Hlt91144389"/>
      <w:bookmarkStart w:id="98" w:name="_Hlt81024033"/>
      <w:bookmarkEnd w:id="96"/>
      <w:bookmarkEnd w:id="97"/>
      <w:bookmarkEnd w:id="98"/>
    </w:p>
    <w:p w14:paraId="24C47A4E" w14:textId="77777777" w:rsidR="00CF57A4" w:rsidRDefault="00B13D46">
      <w:pPr>
        <w:widowControl/>
        <w:spacing w:line="360" w:lineRule="auto"/>
        <w:ind w:firstLineChars="200" w:firstLine="482"/>
        <w:jc w:val="left"/>
        <w:outlineLvl w:val="1"/>
        <w:rPr>
          <w:rFonts w:ascii="宋体" w:hAnsi="宋体" w:cs="宋体"/>
          <w:b/>
          <w:color w:val="000000"/>
          <w:kern w:val="0"/>
          <w:sz w:val="24"/>
        </w:rPr>
      </w:pPr>
      <w:r>
        <w:rPr>
          <w:rFonts w:ascii="宋体" w:hAnsi="宋体" w:cs="宋体" w:hint="eastAsia"/>
          <w:b/>
          <w:color w:val="000000"/>
          <w:kern w:val="0"/>
          <w:sz w:val="24"/>
        </w:rPr>
        <w:t>（七）</w:t>
      </w:r>
      <w:r>
        <w:rPr>
          <w:rFonts w:ascii="宋体" w:hAnsi="宋体" w:cs="宋体"/>
          <w:b/>
          <w:color w:val="000000"/>
          <w:kern w:val="0"/>
          <w:sz w:val="24"/>
        </w:rPr>
        <w:t>申购赎回</w:t>
      </w:r>
      <w:r>
        <w:rPr>
          <w:rFonts w:ascii="宋体" w:hAnsi="宋体" w:cs="宋体" w:hint="eastAsia"/>
          <w:b/>
          <w:color w:val="000000"/>
          <w:kern w:val="0"/>
          <w:sz w:val="24"/>
        </w:rPr>
        <w:t>清单的内容与格式</w:t>
      </w:r>
    </w:p>
    <w:p w14:paraId="2094D608" w14:textId="77777777" w:rsidR="00CF57A4" w:rsidRDefault="00B13D46">
      <w:pPr>
        <w:widowControl/>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t>1、申购赎回清单的内容</w:t>
      </w:r>
    </w:p>
    <w:p w14:paraId="08E3C6A1" w14:textId="77777777" w:rsidR="00CF57A4" w:rsidRDefault="00B13D46">
      <w:pPr>
        <w:widowControl/>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t>T日申购赎回清单公告内容包括最小申购赎回单位所对应的组合证券内各成份证券数据、现金替代、T日现金替代的保证金率、T日允许现金替代的最高比例、T日预估现金差额、T-1日现金差额、基金份额净值及其它相关内容。</w:t>
      </w:r>
    </w:p>
    <w:p w14:paraId="2547BA2C" w14:textId="77777777" w:rsidR="00CF57A4" w:rsidRDefault="00B13D46">
      <w:pPr>
        <w:widowControl/>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t>2、申购赎回清单组合证券相关内容</w:t>
      </w:r>
    </w:p>
    <w:p w14:paraId="4BBDFFDA" w14:textId="77777777" w:rsidR="00CF57A4" w:rsidRDefault="00B13D46">
      <w:pPr>
        <w:widowControl/>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t>组合证券是指本基金标的指数所包含的全部或部分证券。申购赎回清单将公告最小申购赎回单位所对应的各成份证券名称、证券代码及数量。</w:t>
      </w:r>
    </w:p>
    <w:p w14:paraId="530D2E2D" w14:textId="77777777" w:rsidR="00CF57A4" w:rsidRDefault="00B13D46">
      <w:pPr>
        <w:widowControl/>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t>3、最小申购赎回单位</w:t>
      </w:r>
    </w:p>
    <w:p w14:paraId="3BB16856" w14:textId="77777777" w:rsidR="00CF57A4" w:rsidRDefault="00B13D46">
      <w:pPr>
        <w:widowControl/>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t>最小申购赎回单位是基金申购赎回的最基本单位。</w:t>
      </w:r>
    </w:p>
    <w:p w14:paraId="1FFC8BFA" w14:textId="77777777" w:rsidR="00CF57A4" w:rsidRDefault="00B13D46">
      <w:pPr>
        <w:widowControl/>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t>4、申购赎回清单现金替代相关内容</w:t>
      </w:r>
    </w:p>
    <w:p w14:paraId="3692BC67" w14:textId="77777777" w:rsidR="00CF57A4" w:rsidRDefault="00B13D46">
      <w:pPr>
        <w:widowControl/>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lastRenderedPageBreak/>
        <w:t>现金替代是指申购、赎回过程中，投资者按基金合同和招募说明书的规定，用于替代组合证券中部分证券的一定数量的现金。</w:t>
      </w:r>
    </w:p>
    <w:p w14:paraId="3652994E" w14:textId="77777777" w:rsidR="00CF57A4" w:rsidRDefault="00B13D46">
      <w:pPr>
        <w:widowControl/>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t>（1）现金替代分为3种类型：禁止现金替代</w:t>
      </w:r>
      <w:r>
        <w:rPr>
          <w:rFonts w:ascii="宋体" w:hAnsi="宋体" w:cs="宋体"/>
          <w:color w:val="000000"/>
          <w:kern w:val="0"/>
          <w:sz w:val="24"/>
        </w:rPr>
        <w:t>（</w:t>
      </w:r>
      <w:r>
        <w:rPr>
          <w:rFonts w:ascii="宋体" w:hAnsi="宋体" w:cs="宋体" w:hint="eastAsia"/>
          <w:color w:val="000000"/>
          <w:kern w:val="0"/>
          <w:sz w:val="24"/>
        </w:rPr>
        <w:t>标志为“</w:t>
      </w:r>
      <w:r>
        <w:rPr>
          <w:rFonts w:ascii="宋体" w:hAnsi="宋体" w:cs="宋体"/>
          <w:color w:val="000000"/>
          <w:kern w:val="0"/>
          <w:sz w:val="24"/>
        </w:rPr>
        <w:t>禁止</w:t>
      </w:r>
      <w:r>
        <w:rPr>
          <w:rFonts w:ascii="宋体" w:hAnsi="宋体" w:cs="宋体" w:hint="eastAsia"/>
          <w:color w:val="000000"/>
          <w:kern w:val="0"/>
          <w:sz w:val="24"/>
        </w:rPr>
        <w:t>”</w:t>
      </w:r>
      <w:r>
        <w:rPr>
          <w:rFonts w:ascii="宋体" w:hAnsi="宋体" w:cs="宋体"/>
          <w:color w:val="000000"/>
          <w:kern w:val="0"/>
          <w:sz w:val="24"/>
        </w:rPr>
        <w:t>）</w:t>
      </w:r>
      <w:r>
        <w:rPr>
          <w:rFonts w:ascii="宋体" w:hAnsi="宋体" w:cs="宋体" w:hint="eastAsia"/>
          <w:color w:val="000000"/>
          <w:kern w:val="0"/>
          <w:sz w:val="24"/>
        </w:rPr>
        <w:t>、可以现金替代</w:t>
      </w:r>
      <w:r>
        <w:rPr>
          <w:rFonts w:ascii="宋体" w:hAnsi="宋体" w:cs="宋体"/>
          <w:color w:val="000000"/>
          <w:kern w:val="0"/>
          <w:sz w:val="24"/>
        </w:rPr>
        <w:t>（</w:t>
      </w:r>
      <w:r>
        <w:rPr>
          <w:rFonts w:ascii="宋体" w:hAnsi="宋体" w:cs="宋体" w:hint="eastAsia"/>
          <w:color w:val="000000"/>
          <w:kern w:val="0"/>
          <w:sz w:val="24"/>
        </w:rPr>
        <w:t>标志为“</w:t>
      </w:r>
      <w:r>
        <w:rPr>
          <w:rFonts w:ascii="宋体" w:hAnsi="宋体" w:cs="宋体"/>
          <w:color w:val="000000"/>
          <w:kern w:val="0"/>
          <w:sz w:val="24"/>
        </w:rPr>
        <w:t>允许</w:t>
      </w:r>
      <w:r>
        <w:rPr>
          <w:rFonts w:ascii="宋体" w:hAnsi="宋体" w:cs="宋体" w:hint="eastAsia"/>
          <w:color w:val="000000"/>
          <w:kern w:val="0"/>
          <w:sz w:val="24"/>
        </w:rPr>
        <w:t>”</w:t>
      </w:r>
      <w:r>
        <w:rPr>
          <w:rFonts w:ascii="宋体" w:hAnsi="宋体" w:cs="宋体"/>
          <w:color w:val="000000"/>
          <w:kern w:val="0"/>
          <w:sz w:val="24"/>
        </w:rPr>
        <w:t>）</w:t>
      </w:r>
      <w:r>
        <w:rPr>
          <w:rFonts w:ascii="宋体" w:hAnsi="宋体" w:cs="宋体" w:hint="eastAsia"/>
          <w:color w:val="000000"/>
          <w:kern w:val="0"/>
          <w:sz w:val="24"/>
        </w:rPr>
        <w:t>和必须现金替代</w:t>
      </w:r>
      <w:r>
        <w:rPr>
          <w:rFonts w:ascii="宋体" w:hAnsi="宋体" w:cs="宋体"/>
          <w:color w:val="000000"/>
          <w:kern w:val="0"/>
          <w:sz w:val="24"/>
        </w:rPr>
        <w:t>（</w:t>
      </w:r>
      <w:r>
        <w:rPr>
          <w:rFonts w:ascii="宋体" w:hAnsi="宋体" w:cs="宋体" w:hint="eastAsia"/>
          <w:color w:val="000000"/>
          <w:kern w:val="0"/>
          <w:sz w:val="24"/>
        </w:rPr>
        <w:t>标志为“</w:t>
      </w:r>
      <w:r>
        <w:rPr>
          <w:rFonts w:ascii="宋体" w:hAnsi="宋体" w:cs="宋体"/>
          <w:color w:val="000000"/>
          <w:kern w:val="0"/>
          <w:sz w:val="24"/>
        </w:rPr>
        <w:t>必须</w:t>
      </w:r>
      <w:r>
        <w:rPr>
          <w:rFonts w:ascii="宋体" w:hAnsi="宋体" w:cs="宋体" w:hint="eastAsia"/>
          <w:color w:val="000000"/>
          <w:kern w:val="0"/>
          <w:sz w:val="24"/>
        </w:rPr>
        <w:t>”）。</w:t>
      </w:r>
    </w:p>
    <w:p w14:paraId="19D00FAB" w14:textId="77777777" w:rsidR="00CF57A4" w:rsidRDefault="00B13D46">
      <w:pPr>
        <w:widowControl/>
        <w:spacing w:line="360" w:lineRule="auto"/>
        <w:ind w:firstLineChars="200" w:firstLine="480"/>
        <w:rPr>
          <w:rFonts w:ascii="宋体" w:hAnsi="宋体" w:cs="宋体"/>
          <w:color w:val="000000"/>
          <w:kern w:val="0"/>
          <w:sz w:val="24"/>
        </w:rPr>
      </w:pPr>
      <w:r>
        <w:rPr>
          <w:rFonts w:ascii="宋体" w:hAnsi="宋体" w:cs="宋体"/>
          <w:color w:val="000000"/>
          <w:kern w:val="0"/>
          <w:sz w:val="24"/>
        </w:rPr>
        <w:t>禁止现金替代</w:t>
      </w:r>
      <w:r>
        <w:rPr>
          <w:rFonts w:ascii="宋体" w:hAnsi="宋体" w:cs="宋体" w:hint="eastAsia"/>
          <w:color w:val="000000"/>
          <w:kern w:val="0"/>
          <w:sz w:val="24"/>
        </w:rPr>
        <w:t>是指在</w:t>
      </w:r>
      <w:r>
        <w:rPr>
          <w:rFonts w:ascii="宋体" w:hAnsi="宋体" w:cs="宋体"/>
          <w:color w:val="000000"/>
          <w:kern w:val="0"/>
          <w:sz w:val="24"/>
        </w:rPr>
        <w:t>申购</w:t>
      </w:r>
      <w:r>
        <w:rPr>
          <w:rFonts w:ascii="宋体" w:hAnsi="宋体" w:cs="宋体" w:hint="eastAsia"/>
          <w:color w:val="000000"/>
          <w:kern w:val="0"/>
          <w:sz w:val="24"/>
        </w:rPr>
        <w:t>、</w:t>
      </w:r>
      <w:r>
        <w:rPr>
          <w:rFonts w:ascii="宋体" w:hAnsi="宋体" w:cs="宋体"/>
          <w:color w:val="000000"/>
          <w:kern w:val="0"/>
          <w:sz w:val="24"/>
        </w:rPr>
        <w:t>赎回基金份额时</w:t>
      </w:r>
      <w:r>
        <w:rPr>
          <w:rFonts w:ascii="宋体" w:hAnsi="宋体" w:cs="宋体" w:hint="eastAsia"/>
          <w:color w:val="000000"/>
          <w:kern w:val="0"/>
          <w:sz w:val="24"/>
        </w:rPr>
        <w:t>，该成份证券不允许使用</w:t>
      </w:r>
      <w:r>
        <w:rPr>
          <w:rFonts w:ascii="宋体" w:hAnsi="宋体" w:cs="宋体"/>
          <w:color w:val="000000"/>
          <w:kern w:val="0"/>
          <w:sz w:val="24"/>
        </w:rPr>
        <w:t>现金</w:t>
      </w:r>
      <w:r>
        <w:rPr>
          <w:rFonts w:ascii="宋体" w:hAnsi="宋体" w:cs="宋体" w:hint="eastAsia"/>
          <w:color w:val="000000"/>
          <w:kern w:val="0"/>
          <w:sz w:val="24"/>
        </w:rPr>
        <w:t>作为</w:t>
      </w:r>
      <w:r>
        <w:rPr>
          <w:rFonts w:ascii="宋体" w:hAnsi="宋体" w:cs="宋体"/>
          <w:color w:val="000000"/>
          <w:kern w:val="0"/>
          <w:sz w:val="24"/>
        </w:rPr>
        <w:t>替代</w:t>
      </w:r>
      <w:r>
        <w:rPr>
          <w:rFonts w:ascii="宋体" w:hAnsi="宋体" w:cs="宋体" w:hint="eastAsia"/>
          <w:color w:val="000000"/>
          <w:kern w:val="0"/>
          <w:sz w:val="24"/>
        </w:rPr>
        <w:t>。</w:t>
      </w:r>
    </w:p>
    <w:p w14:paraId="5DF5CDCA" w14:textId="77777777" w:rsidR="00CF57A4" w:rsidRDefault="00B13D46">
      <w:pPr>
        <w:widowControl/>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t>可以现金替代是指在申购</w:t>
      </w:r>
      <w:r>
        <w:rPr>
          <w:rFonts w:ascii="宋体" w:hAnsi="宋体" w:cs="宋体"/>
          <w:color w:val="000000"/>
          <w:kern w:val="0"/>
          <w:sz w:val="24"/>
        </w:rPr>
        <w:t>基金份额时</w:t>
      </w:r>
      <w:r>
        <w:rPr>
          <w:rFonts w:ascii="宋体" w:hAnsi="宋体" w:cs="宋体" w:hint="eastAsia"/>
          <w:color w:val="000000"/>
          <w:kern w:val="0"/>
          <w:sz w:val="24"/>
        </w:rPr>
        <w:t>，允许使用现金作为全部或部分该成份证券的替代，但在赎回基金份额时，该成份证券不允许使用</w:t>
      </w:r>
      <w:r>
        <w:rPr>
          <w:rFonts w:ascii="宋体" w:hAnsi="宋体" w:cs="宋体"/>
          <w:color w:val="000000"/>
          <w:kern w:val="0"/>
          <w:sz w:val="24"/>
        </w:rPr>
        <w:t>现金</w:t>
      </w:r>
      <w:r>
        <w:rPr>
          <w:rFonts w:ascii="宋体" w:hAnsi="宋体" w:cs="宋体" w:hint="eastAsia"/>
          <w:color w:val="000000"/>
          <w:kern w:val="0"/>
          <w:sz w:val="24"/>
        </w:rPr>
        <w:t>作为</w:t>
      </w:r>
      <w:r>
        <w:rPr>
          <w:rFonts w:ascii="宋体" w:hAnsi="宋体" w:cs="宋体"/>
          <w:color w:val="000000"/>
          <w:kern w:val="0"/>
          <w:sz w:val="24"/>
        </w:rPr>
        <w:t>替代</w:t>
      </w:r>
      <w:r>
        <w:rPr>
          <w:rFonts w:ascii="宋体" w:hAnsi="宋体" w:cs="宋体" w:hint="eastAsia"/>
          <w:color w:val="000000"/>
          <w:kern w:val="0"/>
          <w:sz w:val="24"/>
        </w:rPr>
        <w:t>。</w:t>
      </w:r>
    </w:p>
    <w:p w14:paraId="39E4A0D7" w14:textId="77777777" w:rsidR="00CF57A4" w:rsidRDefault="00B13D46">
      <w:pPr>
        <w:widowControl/>
        <w:spacing w:line="360" w:lineRule="auto"/>
        <w:ind w:firstLineChars="200" w:firstLine="480"/>
        <w:rPr>
          <w:rFonts w:ascii="宋体" w:hAnsi="宋体" w:cs="宋体"/>
          <w:color w:val="000000"/>
          <w:kern w:val="0"/>
          <w:sz w:val="24"/>
        </w:rPr>
      </w:pPr>
      <w:r>
        <w:rPr>
          <w:rFonts w:ascii="宋体" w:hAnsi="宋体" w:cs="宋体"/>
          <w:color w:val="000000"/>
          <w:kern w:val="0"/>
          <w:sz w:val="24"/>
        </w:rPr>
        <w:t>必须现金替代</w:t>
      </w:r>
      <w:r>
        <w:rPr>
          <w:rFonts w:ascii="宋体" w:hAnsi="宋体" w:cs="宋体" w:hint="eastAsia"/>
          <w:color w:val="000000"/>
          <w:kern w:val="0"/>
          <w:sz w:val="24"/>
        </w:rPr>
        <w:t>是指</w:t>
      </w:r>
      <w:r>
        <w:rPr>
          <w:rFonts w:ascii="宋体" w:hAnsi="宋体" w:cs="宋体"/>
          <w:color w:val="000000"/>
          <w:kern w:val="0"/>
          <w:sz w:val="24"/>
        </w:rPr>
        <w:t>在申购</w:t>
      </w:r>
      <w:r>
        <w:rPr>
          <w:rFonts w:ascii="宋体" w:hAnsi="宋体" w:cs="宋体" w:hint="eastAsia"/>
          <w:color w:val="000000"/>
          <w:kern w:val="0"/>
          <w:sz w:val="24"/>
        </w:rPr>
        <w:t>、</w:t>
      </w:r>
      <w:r>
        <w:rPr>
          <w:rFonts w:ascii="宋体" w:hAnsi="宋体" w:cs="宋体"/>
          <w:color w:val="000000"/>
          <w:kern w:val="0"/>
          <w:sz w:val="24"/>
        </w:rPr>
        <w:t>赎回基金份额时</w:t>
      </w:r>
      <w:r>
        <w:rPr>
          <w:rFonts w:ascii="宋体" w:hAnsi="宋体" w:cs="宋体" w:hint="eastAsia"/>
          <w:color w:val="000000"/>
          <w:kern w:val="0"/>
          <w:sz w:val="24"/>
        </w:rPr>
        <w:t>，该成份证券必须</w:t>
      </w:r>
      <w:r>
        <w:rPr>
          <w:rFonts w:ascii="宋体" w:hAnsi="宋体" w:cs="宋体"/>
          <w:color w:val="000000"/>
          <w:kern w:val="0"/>
          <w:sz w:val="24"/>
        </w:rPr>
        <w:t>使用现金</w:t>
      </w:r>
      <w:r>
        <w:rPr>
          <w:rFonts w:ascii="宋体" w:hAnsi="宋体" w:cs="宋体" w:hint="eastAsia"/>
          <w:color w:val="000000"/>
          <w:kern w:val="0"/>
          <w:sz w:val="24"/>
        </w:rPr>
        <w:t>作为替代。</w:t>
      </w:r>
    </w:p>
    <w:p w14:paraId="12FB2582" w14:textId="77777777" w:rsidR="00CF57A4" w:rsidRDefault="00B13D46">
      <w:pPr>
        <w:widowControl/>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t>（2）可以现金替代</w:t>
      </w:r>
    </w:p>
    <w:p w14:paraId="47DAB80E" w14:textId="77777777" w:rsidR="00CF57A4" w:rsidRDefault="00B13D46">
      <w:pPr>
        <w:widowControl/>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t>①适用情形：可以现金替代的证券一般是由于停牌等原因导致投资者无法在申购时买入的证券，或基金管理人认为可以采用现金替代的其他情形。</w:t>
      </w:r>
    </w:p>
    <w:p w14:paraId="2CD3C408" w14:textId="77777777" w:rsidR="00CF57A4" w:rsidRDefault="00B13D46">
      <w:pPr>
        <w:widowControl/>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t>②替代金额：对于可以现金替代的证券，替代金额的计算公式为：</w:t>
      </w:r>
    </w:p>
    <w:p w14:paraId="531443AB" w14:textId="77777777" w:rsidR="00CF57A4" w:rsidRDefault="00B13D46">
      <w:pPr>
        <w:widowControl/>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t xml:space="preserve">替代金额＝替代证券数量×该证券经除权调整的T-1日收盘价×（1＋现金替代保证金率） </w:t>
      </w:r>
    </w:p>
    <w:p w14:paraId="4B74CC04" w14:textId="77777777" w:rsidR="00CF57A4" w:rsidRDefault="00B13D46">
      <w:pPr>
        <w:widowControl/>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t>收取现金替代保证金的原因是,对于使用现金替代的证券，基金管理人需在证券恢复交易后买入，而实际买入价格加上相关交易费用后与申购时的最新价格可能有所差异。为便于操作，基金管理人在申购赎回清单中预先确定现金替代保证金率，并据此收取替代金额。如果预先收取的金额高于基金购入该部分证券的实际成本，则基金管理人将退还多收取的差额；如果预先收取的金额低于基金购入该部分证券的实际成本，则基金管理人将向投资者收取欠缺的差额。</w:t>
      </w:r>
    </w:p>
    <w:p w14:paraId="5AC38793" w14:textId="77777777" w:rsidR="00CF57A4" w:rsidRDefault="00B13D46">
      <w:pPr>
        <w:widowControl/>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t>③替代金额的处理程序</w:t>
      </w:r>
    </w:p>
    <w:p w14:paraId="1A34EF3E" w14:textId="77777777" w:rsidR="00CF57A4" w:rsidRDefault="00B13D46">
      <w:pPr>
        <w:widowControl/>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t>T日，基金管理人在申购赎回清单中公布现金替代保证金率，并据此收取替代金额。</w:t>
      </w:r>
    </w:p>
    <w:p w14:paraId="7BCAD305" w14:textId="77777777" w:rsidR="00CF57A4" w:rsidRDefault="00B13D46">
      <w:pPr>
        <w:widowControl/>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t>在T日后被替代的成份证券有正常交易的2个交易日（简称为T+2日）内，基金管理人将以收到的替代金额买入被替代的部分证券。</w:t>
      </w:r>
    </w:p>
    <w:p w14:paraId="2F0E5B2E" w14:textId="77777777" w:rsidR="00CF57A4" w:rsidRDefault="00B13D46">
      <w:pPr>
        <w:widowControl/>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t>T+2日日终，若已购入全部被替代的证券，则以替代金额与被替代证券的实际购入成本（包括买入价格与交易费用）的差额，确定基金应退还投资者或投资者</w:t>
      </w:r>
      <w:r>
        <w:rPr>
          <w:rFonts w:ascii="宋体" w:hAnsi="宋体" w:cs="宋体" w:hint="eastAsia"/>
          <w:color w:val="000000"/>
          <w:kern w:val="0"/>
          <w:sz w:val="24"/>
        </w:rPr>
        <w:lastRenderedPageBreak/>
        <w:t>应补交的款项；若未能购入全部被替代的证券，则以替代金额与所购入的部分被替代证券实际购入成本加上按照T+2日收盘价计算的未购入的部分被替代证券价值的差额，确定基金应退还投资者或投资者应补交的款项。</w:t>
      </w:r>
    </w:p>
    <w:p w14:paraId="54CCD0FF" w14:textId="77777777" w:rsidR="00CF57A4" w:rsidRDefault="00B13D46">
      <w:pPr>
        <w:widowControl/>
        <w:spacing w:line="360" w:lineRule="auto"/>
        <w:ind w:firstLineChars="200" w:firstLine="480"/>
        <w:rPr>
          <w:rFonts w:ascii="仿宋_GB2312" w:eastAsia="仿宋_GB2312" w:hAnsi="宋体"/>
          <w:color w:val="000000"/>
          <w:sz w:val="28"/>
          <w:szCs w:val="28"/>
        </w:rPr>
      </w:pPr>
      <w:r>
        <w:rPr>
          <w:rFonts w:ascii="宋体" w:hAnsi="宋体" w:cs="宋体" w:hint="eastAsia"/>
          <w:color w:val="000000"/>
          <w:kern w:val="0"/>
          <w:sz w:val="24"/>
        </w:rPr>
        <w:t>特例情况：若自T日起（不含T日），深圳证券交易所正常交易日已达到20日而该证券正常交易日低于2日，则以替代金额与所购入的部分被替代证券实际购入成本加上按照最近一次收盘价计算的未购入的部分被替代证券价值的差额，确定基金应退还投资者或投资者应补交的款项。</w:t>
      </w:r>
    </w:p>
    <w:p w14:paraId="507AA5F2" w14:textId="77777777" w:rsidR="00CF57A4" w:rsidRDefault="00B13D46">
      <w:pPr>
        <w:widowControl/>
        <w:spacing w:line="360" w:lineRule="auto"/>
        <w:ind w:firstLineChars="200" w:firstLine="480"/>
        <w:rPr>
          <w:rFonts w:ascii="仿宋_GB2312" w:eastAsia="仿宋_GB2312" w:hAnsi="宋体"/>
          <w:color w:val="000000"/>
          <w:sz w:val="28"/>
          <w:szCs w:val="28"/>
        </w:rPr>
      </w:pPr>
      <w:r>
        <w:rPr>
          <w:rFonts w:ascii="宋体" w:hAnsi="宋体" w:cs="宋体" w:hint="eastAsia"/>
          <w:color w:val="000000"/>
          <w:kern w:val="0"/>
          <w:sz w:val="24"/>
        </w:rPr>
        <w:t>若现金替代日（</w:t>
      </w:r>
      <w:r>
        <w:rPr>
          <w:rFonts w:ascii="宋体" w:hAnsi="宋体" w:cs="宋体"/>
          <w:color w:val="000000"/>
          <w:kern w:val="0"/>
          <w:sz w:val="24"/>
        </w:rPr>
        <w:t>T</w:t>
      </w:r>
      <w:r>
        <w:rPr>
          <w:rFonts w:ascii="宋体" w:hAnsi="宋体" w:cs="宋体" w:hint="eastAsia"/>
          <w:color w:val="000000"/>
          <w:kern w:val="0"/>
          <w:sz w:val="24"/>
        </w:rPr>
        <w:t>日）后至</w:t>
      </w:r>
      <w:r>
        <w:rPr>
          <w:rFonts w:ascii="宋体" w:hAnsi="宋体" w:cs="宋体"/>
          <w:color w:val="000000"/>
          <w:kern w:val="0"/>
          <w:sz w:val="24"/>
        </w:rPr>
        <w:t>T</w:t>
      </w:r>
      <w:r>
        <w:rPr>
          <w:rFonts w:ascii="宋体" w:hAnsi="宋体" w:cs="宋体" w:hint="eastAsia"/>
          <w:color w:val="000000"/>
          <w:kern w:val="0"/>
          <w:sz w:val="24"/>
        </w:rPr>
        <w:t>+</w:t>
      </w:r>
      <w:r>
        <w:rPr>
          <w:rFonts w:ascii="宋体" w:hAnsi="宋体" w:cs="宋体"/>
          <w:color w:val="000000"/>
          <w:kern w:val="0"/>
          <w:sz w:val="24"/>
        </w:rPr>
        <w:t>2</w:t>
      </w:r>
      <w:r>
        <w:rPr>
          <w:rFonts w:ascii="宋体" w:hAnsi="宋体" w:cs="宋体" w:hint="eastAsia"/>
          <w:color w:val="000000"/>
          <w:kern w:val="0"/>
          <w:sz w:val="24"/>
        </w:rPr>
        <w:t>日（若在特例情况下，则为</w:t>
      </w:r>
      <w:r>
        <w:rPr>
          <w:rFonts w:ascii="宋体" w:hAnsi="宋体" w:cs="宋体"/>
          <w:color w:val="000000"/>
          <w:kern w:val="0"/>
          <w:sz w:val="24"/>
        </w:rPr>
        <w:t>T</w:t>
      </w:r>
      <w:r>
        <w:rPr>
          <w:rFonts w:ascii="宋体" w:hAnsi="宋体" w:cs="宋体" w:hint="eastAsia"/>
          <w:color w:val="000000"/>
          <w:kern w:val="0"/>
          <w:sz w:val="24"/>
        </w:rPr>
        <w:t>日起第</w:t>
      </w:r>
      <w:r>
        <w:rPr>
          <w:rFonts w:ascii="宋体" w:hAnsi="宋体" w:cs="宋体"/>
          <w:color w:val="000000"/>
          <w:kern w:val="0"/>
          <w:sz w:val="24"/>
        </w:rPr>
        <w:t>20</w:t>
      </w:r>
      <w:r>
        <w:rPr>
          <w:rFonts w:ascii="宋体" w:hAnsi="宋体" w:cs="宋体" w:hint="eastAsia"/>
          <w:color w:val="000000"/>
          <w:kern w:val="0"/>
          <w:sz w:val="24"/>
        </w:rPr>
        <w:t>个交易日）期间发生除息、送股（转增）、配股等权益变动，则进行相应调整。</w:t>
      </w:r>
      <w:r>
        <w:rPr>
          <w:rFonts w:ascii="宋体" w:hAnsi="宋体" w:cs="宋体"/>
          <w:color w:val="000000"/>
          <w:kern w:val="0"/>
          <w:sz w:val="24"/>
        </w:rPr>
        <w:t xml:space="preserve"> </w:t>
      </w:r>
    </w:p>
    <w:p w14:paraId="0C3D108E" w14:textId="77777777" w:rsidR="00CF57A4" w:rsidRDefault="00B13D46">
      <w:pPr>
        <w:widowControl/>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t>T＋2日后第1个工作日(若在特例情况下,则为T日起第21个交易日),基金管理人将应退款和补款的明细及汇总数据发送给注册登记机构，注册登记机构办理现金替代多退少补资金的清算；T＋2日后第2个工作日（若在特例情况下，则为T日起第22个交易日），注册登记机构办理现金替代多退少补资金的交收。</w:t>
      </w:r>
    </w:p>
    <w:p w14:paraId="1DB0D0AF" w14:textId="77777777" w:rsidR="00CF57A4" w:rsidRDefault="00B13D46">
      <w:pPr>
        <w:widowControl/>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t>④替代限制：为更有效控制基金的跟踪偏离度和跟踪误差，基金管理人可规定投资者使用可以现金替代的比例合计不得超过申购基金份额资产净值的一定比例。现金替代比例的计算公式为：</w:t>
      </w:r>
    </w:p>
    <w:p w14:paraId="23428CC9" w14:textId="77777777" w:rsidR="00CF57A4" w:rsidRDefault="00B13D46">
      <w:pPr>
        <w:widowControl/>
        <w:spacing w:line="360" w:lineRule="auto"/>
        <w:rPr>
          <w:rFonts w:ascii="宋体" w:hAnsi="宋体" w:cs="宋体"/>
          <w:color w:val="000000"/>
          <w:kern w:val="0"/>
          <w:sz w:val="24"/>
        </w:rPr>
      </w:pPr>
      <w:r>
        <w:rPr>
          <w:rFonts w:ascii="宋体" w:hAnsi="宋体" w:cs="宋体"/>
          <w:color w:val="000000"/>
          <w:kern w:val="0"/>
          <w:position w:val="-26"/>
          <w:sz w:val="24"/>
        </w:rPr>
        <w:object w:dxaOrig="8490" w:dyaOrig="870" w14:anchorId="253046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425.5pt;height:44pt" o:ole="">
            <v:imagedata r:id="rId14" o:title=""/>
          </v:shape>
          <o:OLEObject Type="Embed" ProgID="Equation.3" ShapeID="Picture 1" DrawAspect="Content" ObjectID="_1585744013" r:id="rId15"/>
        </w:object>
      </w:r>
    </w:p>
    <w:p w14:paraId="4B1FD23C" w14:textId="77777777" w:rsidR="00CF57A4" w:rsidRDefault="00B13D46">
      <w:pPr>
        <w:widowControl/>
        <w:spacing w:line="360" w:lineRule="auto"/>
        <w:ind w:firstLine="420"/>
        <w:rPr>
          <w:rFonts w:ascii="宋体" w:hAnsi="宋体" w:cs="宋体"/>
          <w:color w:val="000000"/>
          <w:kern w:val="0"/>
          <w:sz w:val="24"/>
        </w:rPr>
      </w:pPr>
      <w:r>
        <w:rPr>
          <w:rFonts w:ascii="宋体" w:hAnsi="宋体" w:cs="宋体" w:hint="eastAsia"/>
          <w:color w:val="000000"/>
          <w:kern w:val="0"/>
          <w:sz w:val="24"/>
        </w:rPr>
        <w:t>说明：假设当天可以现金替代的股票只数为n。</w:t>
      </w:r>
    </w:p>
    <w:p w14:paraId="1ED1321F" w14:textId="77777777" w:rsidR="00CF57A4" w:rsidRDefault="00B13D46">
      <w:pPr>
        <w:widowControl/>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t>（3）</w:t>
      </w:r>
      <w:r>
        <w:rPr>
          <w:rFonts w:ascii="宋体" w:hAnsi="宋体" w:cs="宋体"/>
          <w:color w:val="000000"/>
          <w:kern w:val="0"/>
          <w:sz w:val="24"/>
        </w:rPr>
        <w:t>必须现金替代</w:t>
      </w:r>
    </w:p>
    <w:p w14:paraId="5A7C9F6F" w14:textId="77777777" w:rsidR="00CF57A4" w:rsidRDefault="00B13D46">
      <w:pPr>
        <w:widowControl/>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t>①适用情形：必须现金替代的证券一般是由于标的指数调整，即将被剔除的成份证券，或基金管理人出于保护持有人利益等原因认为有必要实行必须现金替代的成份证券。</w:t>
      </w:r>
    </w:p>
    <w:p w14:paraId="79FD4CCC" w14:textId="77777777" w:rsidR="00CF57A4" w:rsidRDefault="00B13D46">
      <w:pPr>
        <w:widowControl/>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t>②替代金额：对于必须现金替代的证券，基金管理人将在申购赎回清单中公告替代的一定数量的现金，即“固定替代金额”。固定替代金额的计算方法为申购赎回清单中该证券的数量乘以其经除权调整的T-1日收盘价。</w:t>
      </w:r>
    </w:p>
    <w:p w14:paraId="05782865" w14:textId="77777777" w:rsidR="00CF57A4" w:rsidRDefault="00B13D46">
      <w:pPr>
        <w:widowControl/>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t>5、预估现金差额相关内容</w:t>
      </w:r>
    </w:p>
    <w:p w14:paraId="6DB26EF3" w14:textId="77777777" w:rsidR="00CF57A4" w:rsidRDefault="00B13D46">
      <w:pPr>
        <w:widowControl/>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lastRenderedPageBreak/>
        <w:t>预估现金差额是指</w:t>
      </w:r>
      <w:r>
        <w:rPr>
          <w:rFonts w:ascii="宋体" w:hAnsi="宋体" w:hint="eastAsia"/>
          <w:color w:val="000000"/>
          <w:sz w:val="24"/>
        </w:rPr>
        <w:t>由基金管理人计算并在T日申购赎回清单中公布的当日现金差额的预估值，预估现金差额由申购赎回代理券商预先冻结</w:t>
      </w:r>
      <w:r>
        <w:rPr>
          <w:rFonts w:ascii="宋体" w:hAnsi="宋体" w:cs="宋体" w:hint="eastAsia"/>
          <w:color w:val="000000"/>
          <w:kern w:val="0"/>
          <w:sz w:val="24"/>
        </w:rPr>
        <w:t>。</w:t>
      </w:r>
    </w:p>
    <w:p w14:paraId="71574C52" w14:textId="77777777" w:rsidR="00CF57A4" w:rsidRDefault="00B13D46">
      <w:pPr>
        <w:widowControl/>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t>预估现金差额的计算公式为：</w:t>
      </w:r>
    </w:p>
    <w:p w14:paraId="3D17E34B" w14:textId="77777777" w:rsidR="00CF57A4" w:rsidRDefault="00B13D46">
      <w:pPr>
        <w:widowControl/>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t>T日预估现金差额＝T-1日最小申购赎回单位的基金资产净值－（申购赎回清单中必须用现金替代的固定替代金额＋申购赎回清单中可以用现金替代成份证券的数量与T日经除权调整的前收盘价乘积之和＋申购赎回清单中禁止用现金替代成份证券的数量与T日经除权调整的前收盘价乘积之和）</w:t>
      </w:r>
    </w:p>
    <w:p w14:paraId="587797AD" w14:textId="77777777" w:rsidR="00CF57A4" w:rsidRDefault="00B13D46">
      <w:pPr>
        <w:widowControl/>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t>其中，T日经除权调整的前收盘价由深圳证券交易所提供。另外，若T日为基金分红除息日，则计算公式中的“T-1日最小申购赎回单位的基金资产净值”需扣减相应的收益分配数额。预估现金差额的数值可能为正、为负或为零。</w:t>
      </w:r>
    </w:p>
    <w:p w14:paraId="7F02A31B" w14:textId="77777777" w:rsidR="00CF57A4" w:rsidRDefault="00B13D46">
      <w:pPr>
        <w:widowControl/>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t>6、申购赎回清单现金差额相关内容</w:t>
      </w:r>
    </w:p>
    <w:p w14:paraId="23384C27" w14:textId="77777777" w:rsidR="00CF57A4" w:rsidRDefault="00B13D46">
      <w:pPr>
        <w:widowControl/>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t>T日现金差额在T+1日的申购赎回清单中公告，其计算公式为：</w:t>
      </w:r>
    </w:p>
    <w:p w14:paraId="41CE4C0F" w14:textId="77777777" w:rsidR="00CF57A4" w:rsidRDefault="00B13D46">
      <w:pPr>
        <w:widowControl/>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t>T日现金差额＝T日最小申购赎回单位对应的基金份额×T日基金份额净值－（申购赎回清单中必须用现金替代的固定替代金额＋申购赎回清单中可以用现金替代成份证券的数量与T日收盘价相乘之和+申购赎回清单中禁止用现金替代成份证券的数量与T日收盘价相乘之和）</w:t>
      </w:r>
    </w:p>
    <w:p w14:paraId="2248B7C3" w14:textId="77777777" w:rsidR="00CF57A4" w:rsidRDefault="00B13D46">
      <w:pPr>
        <w:widowControl/>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t>T日投资者申购赎回基金份额时，需按T+1日公告的T日现金差额进行资金的清算交收。现金差额的数值可能为正、为负或为零。在投资者申购时，如现金差额为正数，则投资者应根据其申购的基金份额支付相应的现金，如现金差额为负数，则投资者将根据其申购的基金份额获得相应的现金；在投资者赎回时，如现金差额为正数，则投资者将根据其赎回的基金份额获得相应的现金，如现金差额为负数，则投资者应根据其赎回的基金份额支付相应的现金。</w:t>
      </w:r>
    </w:p>
    <w:p w14:paraId="5ABE8549" w14:textId="77777777" w:rsidR="00CF57A4" w:rsidRDefault="00B13D46">
      <w:pPr>
        <w:widowControl/>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t>7、申购赎回清单的格式</w:t>
      </w:r>
    </w:p>
    <w:p w14:paraId="5A0C2C5E" w14:textId="77777777" w:rsidR="00CF57A4" w:rsidRDefault="00B13D46">
      <w:pPr>
        <w:widowControl/>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t>申购赎回清单的格式举例如下：</w:t>
      </w:r>
    </w:p>
    <w:tbl>
      <w:tblPr>
        <w:tblW w:w="852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35"/>
        <w:gridCol w:w="5085"/>
      </w:tblGrid>
      <w:tr w:rsidR="00CF57A4" w14:paraId="779CD949" w14:textId="77777777">
        <w:trPr>
          <w:trHeight w:val="285"/>
        </w:trPr>
        <w:tc>
          <w:tcPr>
            <w:tcW w:w="8520" w:type="dxa"/>
            <w:gridSpan w:val="2"/>
            <w:vAlign w:val="center"/>
          </w:tcPr>
          <w:p w14:paraId="200EECBD" w14:textId="77777777" w:rsidR="00CF57A4" w:rsidRDefault="00B13D46">
            <w:pPr>
              <w:widowControl/>
              <w:spacing w:line="360" w:lineRule="auto"/>
              <w:rPr>
                <w:rFonts w:ascii="宋体" w:hAnsi="宋体" w:cs="宋体"/>
                <w:kern w:val="0"/>
                <w:sz w:val="24"/>
              </w:rPr>
            </w:pPr>
            <w:r>
              <w:rPr>
                <w:rFonts w:ascii="宋体" w:hAnsi="宋体" w:cs="宋体" w:hint="eastAsia"/>
                <w:b/>
                <w:bCs/>
                <w:kern w:val="0"/>
                <w:sz w:val="24"/>
              </w:rPr>
              <w:t>基本信息</w:t>
            </w:r>
          </w:p>
        </w:tc>
      </w:tr>
      <w:tr w:rsidR="00CF57A4" w14:paraId="45E10CCF" w14:textId="77777777">
        <w:trPr>
          <w:trHeight w:val="285"/>
        </w:trPr>
        <w:tc>
          <w:tcPr>
            <w:tcW w:w="3435" w:type="dxa"/>
            <w:vAlign w:val="center"/>
          </w:tcPr>
          <w:p w14:paraId="5748C26D" w14:textId="77777777" w:rsidR="00CF57A4" w:rsidRDefault="00B13D46">
            <w:pPr>
              <w:widowControl/>
              <w:spacing w:line="360" w:lineRule="auto"/>
              <w:jc w:val="left"/>
              <w:rPr>
                <w:rFonts w:ascii="宋体" w:hAnsi="宋体" w:cs="宋体"/>
                <w:kern w:val="0"/>
                <w:sz w:val="24"/>
              </w:rPr>
            </w:pPr>
            <w:r>
              <w:rPr>
                <w:rFonts w:ascii="宋体" w:hAnsi="宋体" w:cs="宋体" w:hint="eastAsia"/>
                <w:kern w:val="0"/>
                <w:sz w:val="24"/>
              </w:rPr>
              <w:t>最新公告日期</w:t>
            </w:r>
          </w:p>
        </w:tc>
        <w:tc>
          <w:tcPr>
            <w:tcW w:w="5085" w:type="dxa"/>
            <w:vAlign w:val="center"/>
          </w:tcPr>
          <w:p w14:paraId="1D57A1A6" w14:textId="5C656DA9" w:rsidR="00CF57A4" w:rsidRDefault="00C2000A" w:rsidP="00FF0A4B">
            <w:pPr>
              <w:widowControl/>
              <w:spacing w:line="360" w:lineRule="auto"/>
              <w:jc w:val="right"/>
              <w:rPr>
                <w:rFonts w:ascii="宋体" w:hAnsi="宋体" w:cs="宋体"/>
                <w:kern w:val="0"/>
                <w:sz w:val="24"/>
              </w:rPr>
            </w:pPr>
            <w:r>
              <w:rPr>
                <w:rFonts w:ascii="宋体" w:hAnsi="宋体" w:cs="宋体" w:hint="eastAsia"/>
                <w:kern w:val="0"/>
                <w:sz w:val="24"/>
              </w:rPr>
              <w:t>201</w:t>
            </w:r>
            <w:r w:rsidR="00FF0A4B">
              <w:rPr>
                <w:rFonts w:ascii="宋体" w:hAnsi="宋体" w:cs="宋体"/>
                <w:kern w:val="0"/>
                <w:sz w:val="24"/>
              </w:rPr>
              <w:t>8</w:t>
            </w:r>
            <w:r>
              <w:rPr>
                <w:rFonts w:ascii="宋体" w:hAnsi="宋体" w:cs="宋体" w:hint="eastAsia"/>
                <w:kern w:val="0"/>
                <w:sz w:val="24"/>
              </w:rPr>
              <w:t>年</w:t>
            </w:r>
            <w:r w:rsidR="00FF0A4B">
              <w:rPr>
                <w:rFonts w:ascii="宋体" w:hAnsi="宋体" w:cs="宋体"/>
                <w:kern w:val="0"/>
                <w:sz w:val="24"/>
              </w:rPr>
              <w:t>3</w:t>
            </w:r>
            <w:r w:rsidR="00B13D46">
              <w:rPr>
                <w:rFonts w:ascii="宋体" w:hAnsi="宋体" w:cs="宋体" w:hint="eastAsia"/>
                <w:kern w:val="0"/>
                <w:sz w:val="24"/>
              </w:rPr>
              <w:t>月</w:t>
            </w:r>
            <w:r w:rsidR="00B13D46">
              <w:rPr>
                <w:rFonts w:ascii="宋体" w:hAnsi="宋体" w:cs="宋体"/>
                <w:kern w:val="0"/>
                <w:sz w:val="24"/>
              </w:rPr>
              <w:t>22</w:t>
            </w:r>
            <w:r w:rsidR="00B13D46">
              <w:rPr>
                <w:rFonts w:ascii="宋体" w:hAnsi="宋体" w:cs="宋体" w:hint="eastAsia"/>
                <w:kern w:val="0"/>
                <w:sz w:val="24"/>
              </w:rPr>
              <w:t>日</w:t>
            </w:r>
          </w:p>
        </w:tc>
      </w:tr>
      <w:tr w:rsidR="00CF57A4" w14:paraId="0EBA34C3" w14:textId="77777777">
        <w:trPr>
          <w:trHeight w:val="285"/>
        </w:trPr>
        <w:tc>
          <w:tcPr>
            <w:tcW w:w="3435" w:type="dxa"/>
            <w:vAlign w:val="center"/>
          </w:tcPr>
          <w:p w14:paraId="65B5412E" w14:textId="77777777" w:rsidR="00CF57A4" w:rsidRDefault="00B13D46">
            <w:pPr>
              <w:widowControl/>
              <w:spacing w:line="360" w:lineRule="auto"/>
              <w:jc w:val="left"/>
              <w:rPr>
                <w:rFonts w:ascii="宋体" w:hAnsi="宋体" w:cs="宋体"/>
                <w:kern w:val="0"/>
                <w:sz w:val="24"/>
              </w:rPr>
            </w:pPr>
            <w:r>
              <w:rPr>
                <w:rFonts w:ascii="宋体" w:hAnsi="宋体" w:cs="宋体" w:hint="eastAsia"/>
                <w:kern w:val="0"/>
                <w:sz w:val="24"/>
              </w:rPr>
              <w:t>基金名称</w:t>
            </w:r>
          </w:p>
        </w:tc>
        <w:tc>
          <w:tcPr>
            <w:tcW w:w="5085" w:type="dxa"/>
            <w:vAlign w:val="center"/>
          </w:tcPr>
          <w:p w14:paraId="759275B2" w14:textId="77777777" w:rsidR="00CF57A4" w:rsidRDefault="00B13D46">
            <w:pPr>
              <w:widowControl/>
              <w:spacing w:line="360" w:lineRule="auto"/>
              <w:jc w:val="right"/>
              <w:rPr>
                <w:rFonts w:ascii="宋体" w:hAnsi="宋体" w:cs="宋体"/>
                <w:kern w:val="0"/>
                <w:sz w:val="24"/>
              </w:rPr>
            </w:pPr>
            <w:r>
              <w:rPr>
                <w:rFonts w:ascii="宋体" w:hAnsi="宋体" w:cs="宋体" w:hint="eastAsia"/>
                <w:kern w:val="0"/>
                <w:sz w:val="24"/>
              </w:rPr>
              <w:t>深价值</w:t>
            </w:r>
          </w:p>
        </w:tc>
      </w:tr>
      <w:tr w:rsidR="00CF57A4" w14:paraId="6752CD7B" w14:textId="77777777">
        <w:trPr>
          <w:trHeight w:val="285"/>
        </w:trPr>
        <w:tc>
          <w:tcPr>
            <w:tcW w:w="3435" w:type="dxa"/>
            <w:vAlign w:val="center"/>
          </w:tcPr>
          <w:p w14:paraId="1886E380" w14:textId="77777777" w:rsidR="00CF57A4" w:rsidRDefault="00B13D46">
            <w:pPr>
              <w:widowControl/>
              <w:spacing w:line="360" w:lineRule="auto"/>
              <w:jc w:val="left"/>
              <w:rPr>
                <w:rFonts w:ascii="宋体" w:hAnsi="宋体" w:cs="宋体"/>
                <w:kern w:val="0"/>
                <w:sz w:val="24"/>
              </w:rPr>
            </w:pPr>
            <w:r>
              <w:rPr>
                <w:rFonts w:ascii="宋体" w:hAnsi="宋体" w:cs="宋体" w:hint="eastAsia"/>
                <w:kern w:val="0"/>
                <w:sz w:val="24"/>
              </w:rPr>
              <w:t>基金管理公司名称</w:t>
            </w:r>
          </w:p>
        </w:tc>
        <w:tc>
          <w:tcPr>
            <w:tcW w:w="5085" w:type="dxa"/>
            <w:vAlign w:val="center"/>
          </w:tcPr>
          <w:p w14:paraId="09D263FE" w14:textId="77777777" w:rsidR="00CF57A4" w:rsidRDefault="00B13D46">
            <w:pPr>
              <w:widowControl/>
              <w:spacing w:line="360" w:lineRule="auto"/>
              <w:jc w:val="right"/>
              <w:rPr>
                <w:rFonts w:ascii="宋体" w:hAnsi="宋体" w:cs="宋体"/>
                <w:kern w:val="0"/>
                <w:sz w:val="24"/>
              </w:rPr>
            </w:pPr>
            <w:r>
              <w:rPr>
                <w:rFonts w:ascii="宋体" w:hAnsi="宋体" w:cs="宋体" w:hint="eastAsia"/>
                <w:kern w:val="0"/>
                <w:sz w:val="24"/>
              </w:rPr>
              <w:t>交银施罗德基金管理有限公司</w:t>
            </w:r>
          </w:p>
        </w:tc>
      </w:tr>
      <w:tr w:rsidR="00CF57A4" w14:paraId="2177341E" w14:textId="77777777">
        <w:trPr>
          <w:trHeight w:val="285"/>
        </w:trPr>
        <w:tc>
          <w:tcPr>
            <w:tcW w:w="3435" w:type="dxa"/>
            <w:vAlign w:val="center"/>
          </w:tcPr>
          <w:p w14:paraId="6EA1C916" w14:textId="77777777" w:rsidR="00CF57A4" w:rsidRDefault="00B13D46">
            <w:pPr>
              <w:widowControl/>
              <w:spacing w:line="360" w:lineRule="auto"/>
              <w:jc w:val="left"/>
              <w:rPr>
                <w:rFonts w:ascii="宋体" w:hAnsi="宋体" w:cs="宋体"/>
                <w:kern w:val="0"/>
                <w:sz w:val="24"/>
              </w:rPr>
            </w:pPr>
            <w:r>
              <w:rPr>
                <w:rFonts w:ascii="宋体" w:hAnsi="宋体" w:cs="宋体" w:hint="eastAsia"/>
                <w:kern w:val="0"/>
                <w:sz w:val="24"/>
              </w:rPr>
              <w:t>基金代码</w:t>
            </w:r>
          </w:p>
        </w:tc>
        <w:tc>
          <w:tcPr>
            <w:tcW w:w="5085" w:type="dxa"/>
            <w:vAlign w:val="center"/>
          </w:tcPr>
          <w:p w14:paraId="4FAC564A" w14:textId="77777777" w:rsidR="00CF57A4" w:rsidRDefault="00B13D46">
            <w:pPr>
              <w:widowControl/>
              <w:spacing w:line="360" w:lineRule="auto"/>
              <w:jc w:val="right"/>
              <w:rPr>
                <w:rFonts w:ascii="宋体" w:hAnsi="宋体" w:cs="宋体"/>
                <w:kern w:val="0"/>
                <w:sz w:val="24"/>
              </w:rPr>
            </w:pPr>
            <w:r>
              <w:rPr>
                <w:rFonts w:ascii="宋体" w:hAnsi="宋体" w:cs="宋体" w:hint="eastAsia"/>
                <w:kern w:val="0"/>
                <w:sz w:val="24"/>
              </w:rPr>
              <w:t>159913</w:t>
            </w:r>
          </w:p>
        </w:tc>
      </w:tr>
      <w:tr w:rsidR="00CF57A4" w14:paraId="35F33BE3" w14:textId="77777777">
        <w:trPr>
          <w:trHeight w:val="285"/>
        </w:trPr>
        <w:tc>
          <w:tcPr>
            <w:tcW w:w="3435" w:type="dxa"/>
            <w:vAlign w:val="center"/>
          </w:tcPr>
          <w:p w14:paraId="75173791" w14:textId="77777777" w:rsidR="00CF57A4" w:rsidRDefault="00B13D46">
            <w:pPr>
              <w:widowControl/>
              <w:spacing w:line="360" w:lineRule="auto"/>
              <w:jc w:val="left"/>
              <w:rPr>
                <w:rFonts w:ascii="宋体" w:hAnsi="宋体" w:cs="宋体"/>
                <w:kern w:val="0"/>
                <w:sz w:val="24"/>
              </w:rPr>
            </w:pPr>
            <w:r>
              <w:rPr>
                <w:rFonts w:ascii="宋体" w:hAnsi="宋体" w:cs="宋体" w:hint="eastAsia"/>
                <w:color w:val="000000"/>
                <w:kern w:val="0"/>
                <w:sz w:val="24"/>
              </w:rPr>
              <w:lastRenderedPageBreak/>
              <w:t>标的指数代码</w:t>
            </w:r>
          </w:p>
        </w:tc>
        <w:tc>
          <w:tcPr>
            <w:tcW w:w="5085" w:type="dxa"/>
            <w:vAlign w:val="center"/>
          </w:tcPr>
          <w:p w14:paraId="16BB9942" w14:textId="77777777" w:rsidR="00CF57A4" w:rsidRDefault="00B13D46">
            <w:pPr>
              <w:widowControl/>
              <w:spacing w:line="360" w:lineRule="auto"/>
              <w:jc w:val="right"/>
              <w:rPr>
                <w:rFonts w:ascii="宋体" w:hAnsi="宋体" w:cs="宋体"/>
                <w:kern w:val="0"/>
                <w:sz w:val="24"/>
              </w:rPr>
            </w:pPr>
            <w:r>
              <w:rPr>
                <w:rFonts w:ascii="宋体" w:hAnsi="宋体" w:cs="宋体" w:hint="eastAsia"/>
                <w:color w:val="000000"/>
                <w:kern w:val="0"/>
                <w:sz w:val="24"/>
              </w:rPr>
              <w:t>399348</w:t>
            </w:r>
          </w:p>
        </w:tc>
      </w:tr>
      <w:tr w:rsidR="00CF57A4" w14:paraId="64C94D6D" w14:textId="77777777">
        <w:trPr>
          <w:trHeight w:val="285"/>
        </w:trPr>
        <w:tc>
          <w:tcPr>
            <w:tcW w:w="8520" w:type="dxa"/>
            <w:gridSpan w:val="2"/>
            <w:vAlign w:val="center"/>
          </w:tcPr>
          <w:p w14:paraId="4F4D552C" w14:textId="6A222C2B" w:rsidR="00CF57A4" w:rsidRDefault="003A5950" w:rsidP="00FF0A4B">
            <w:pPr>
              <w:widowControl/>
              <w:spacing w:line="360" w:lineRule="auto"/>
              <w:rPr>
                <w:rFonts w:ascii="宋体" w:hAnsi="宋体" w:cs="宋体"/>
                <w:kern w:val="0"/>
                <w:sz w:val="24"/>
              </w:rPr>
            </w:pPr>
            <w:r>
              <w:rPr>
                <w:rFonts w:ascii="宋体" w:hAnsi="宋体" w:cs="宋体" w:hint="eastAsia"/>
                <w:b/>
                <w:bCs/>
                <w:kern w:val="0"/>
                <w:sz w:val="24"/>
              </w:rPr>
              <w:t>201</w:t>
            </w:r>
            <w:r w:rsidR="00FF0A4B">
              <w:rPr>
                <w:rFonts w:ascii="宋体" w:hAnsi="宋体" w:cs="宋体"/>
                <w:b/>
                <w:bCs/>
                <w:kern w:val="0"/>
                <w:sz w:val="24"/>
              </w:rPr>
              <w:t>8</w:t>
            </w:r>
            <w:r w:rsidR="00CE07ED">
              <w:rPr>
                <w:rFonts w:ascii="宋体" w:hAnsi="宋体" w:cs="宋体" w:hint="eastAsia"/>
                <w:b/>
                <w:bCs/>
                <w:kern w:val="0"/>
                <w:sz w:val="24"/>
              </w:rPr>
              <w:t>年</w:t>
            </w:r>
            <w:r w:rsidR="00FF0A4B">
              <w:rPr>
                <w:rFonts w:ascii="宋体" w:hAnsi="宋体" w:cs="宋体"/>
                <w:b/>
                <w:bCs/>
                <w:kern w:val="0"/>
                <w:sz w:val="24"/>
              </w:rPr>
              <w:t>3</w:t>
            </w:r>
            <w:r w:rsidR="00B13D46">
              <w:rPr>
                <w:rFonts w:ascii="宋体" w:hAnsi="宋体" w:cs="宋体" w:hint="eastAsia"/>
                <w:b/>
                <w:bCs/>
                <w:kern w:val="0"/>
                <w:sz w:val="24"/>
              </w:rPr>
              <w:t>月</w:t>
            </w:r>
            <w:r w:rsidR="00B13D46">
              <w:rPr>
                <w:rFonts w:ascii="宋体" w:hAnsi="宋体" w:cs="宋体"/>
                <w:b/>
                <w:bCs/>
                <w:kern w:val="0"/>
                <w:sz w:val="24"/>
              </w:rPr>
              <w:t>21</w:t>
            </w:r>
            <w:r w:rsidR="00B13D46">
              <w:rPr>
                <w:rFonts w:ascii="宋体" w:hAnsi="宋体" w:cs="宋体" w:hint="eastAsia"/>
                <w:b/>
                <w:bCs/>
                <w:kern w:val="0"/>
                <w:sz w:val="24"/>
              </w:rPr>
              <w:t>日信息内容</w:t>
            </w:r>
          </w:p>
        </w:tc>
      </w:tr>
      <w:tr w:rsidR="00FF0A4B" w14:paraId="5143231F" w14:textId="77777777">
        <w:trPr>
          <w:trHeight w:val="285"/>
        </w:trPr>
        <w:tc>
          <w:tcPr>
            <w:tcW w:w="3435" w:type="dxa"/>
            <w:vAlign w:val="center"/>
          </w:tcPr>
          <w:p w14:paraId="19AC43A3" w14:textId="77777777" w:rsidR="00FF0A4B" w:rsidRDefault="00FF0A4B" w:rsidP="00FF0A4B">
            <w:pPr>
              <w:widowControl/>
              <w:spacing w:line="360" w:lineRule="auto"/>
              <w:jc w:val="left"/>
              <w:rPr>
                <w:rFonts w:ascii="宋体" w:hAnsi="宋体" w:cs="宋体"/>
                <w:kern w:val="0"/>
                <w:sz w:val="24"/>
              </w:rPr>
            </w:pPr>
            <w:r w:rsidRPr="00607C40">
              <w:rPr>
                <w:rFonts w:ascii="宋体" w:hAnsi="宋体" w:cs="宋体" w:hint="eastAsia"/>
                <w:kern w:val="0"/>
                <w:sz w:val="24"/>
              </w:rPr>
              <w:t>现金差额（单位</w:t>
            </w:r>
            <w:r w:rsidRPr="00607C40">
              <w:rPr>
                <w:rFonts w:ascii="宋体" w:hAnsi="宋体" w:cs="宋体"/>
                <w:kern w:val="0"/>
                <w:sz w:val="24"/>
              </w:rPr>
              <w:t>:</w:t>
            </w:r>
            <w:r w:rsidRPr="00607C40">
              <w:rPr>
                <w:rFonts w:ascii="宋体" w:hAnsi="宋体" w:cs="宋体" w:hint="eastAsia"/>
                <w:kern w:val="0"/>
                <w:sz w:val="24"/>
              </w:rPr>
              <w:t>元）：</w:t>
            </w:r>
          </w:p>
        </w:tc>
        <w:tc>
          <w:tcPr>
            <w:tcW w:w="5085" w:type="dxa"/>
            <w:vAlign w:val="center"/>
          </w:tcPr>
          <w:p w14:paraId="00AB936B" w14:textId="4E86F892" w:rsidR="00FF0A4B" w:rsidRPr="00B43DFF" w:rsidRDefault="00FF0A4B" w:rsidP="00FF0A4B">
            <w:pPr>
              <w:widowControl/>
              <w:spacing w:line="360" w:lineRule="auto"/>
              <w:jc w:val="right"/>
            </w:pPr>
            <w:r>
              <w:t>8,897.82</w:t>
            </w:r>
          </w:p>
        </w:tc>
      </w:tr>
      <w:tr w:rsidR="00FF0A4B" w14:paraId="26484FF2" w14:textId="77777777">
        <w:trPr>
          <w:trHeight w:val="285"/>
        </w:trPr>
        <w:tc>
          <w:tcPr>
            <w:tcW w:w="3435" w:type="dxa"/>
            <w:vAlign w:val="center"/>
          </w:tcPr>
          <w:p w14:paraId="17A73F65" w14:textId="77777777" w:rsidR="00FF0A4B" w:rsidRDefault="00FF0A4B" w:rsidP="00FF0A4B">
            <w:pPr>
              <w:widowControl/>
              <w:spacing w:line="360" w:lineRule="auto"/>
              <w:jc w:val="left"/>
              <w:rPr>
                <w:rFonts w:ascii="宋体" w:hAnsi="宋体" w:cs="宋体"/>
                <w:kern w:val="0"/>
                <w:sz w:val="24"/>
              </w:rPr>
            </w:pPr>
            <w:r w:rsidRPr="00607C40">
              <w:rPr>
                <w:rFonts w:ascii="宋体" w:hAnsi="宋体" w:cs="宋体" w:hint="eastAsia"/>
                <w:kern w:val="0"/>
                <w:sz w:val="24"/>
              </w:rPr>
              <w:t>最小申购赎回单位资产净值（单位</w:t>
            </w:r>
            <w:r w:rsidRPr="00607C40">
              <w:rPr>
                <w:rFonts w:ascii="宋体" w:hAnsi="宋体" w:cs="宋体"/>
                <w:kern w:val="0"/>
                <w:sz w:val="24"/>
              </w:rPr>
              <w:t>:</w:t>
            </w:r>
            <w:r w:rsidRPr="00607C40">
              <w:rPr>
                <w:rFonts w:ascii="宋体" w:hAnsi="宋体" w:cs="宋体" w:hint="eastAsia"/>
                <w:kern w:val="0"/>
                <w:sz w:val="24"/>
              </w:rPr>
              <w:t>元）：</w:t>
            </w:r>
          </w:p>
        </w:tc>
        <w:tc>
          <w:tcPr>
            <w:tcW w:w="5085" w:type="dxa"/>
            <w:vAlign w:val="center"/>
          </w:tcPr>
          <w:p w14:paraId="0637D08C" w14:textId="73FFED54" w:rsidR="00FF0A4B" w:rsidRPr="00B43DFF" w:rsidRDefault="00FF0A4B" w:rsidP="00FF0A4B">
            <w:pPr>
              <w:widowControl/>
              <w:spacing w:line="360" w:lineRule="auto"/>
              <w:jc w:val="right"/>
            </w:pPr>
            <w:r>
              <w:t>1,902,960.82</w:t>
            </w:r>
          </w:p>
        </w:tc>
      </w:tr>
      <w:tr w:rsidR="00CF57A4" w14:paraId="763942ED" w14:textId="77777777">
        <w:trPr>
          <w:trHeight w:val="285"/>
        </w:trPr>
        <w:tc>
          <w:tcPr>
            <w:tcW w:w="3435" w:type="dxa"/>
            <w:vAlign w:val="center"/>
          </w:tcPr>
          <w:p w14:paraId="3F2FBC86" w14:textId="77777777" w:rsidR="00CF57A4" w:rsidRDefault="00B13D46">
            <w:pPr>
              <w:widowControl/>
              <w:spacing w:line="360" w:lineRule="auto"/>
              <w:jc w:val="left"/>
              <w:rPr>
                <w:rFonts w:ascii="宋体" w:hAnsi="宋体" w:cs="宋体"/>
                <w:kern w:val="0"/>
                <w:sz w:val="24"/>
              </w:rPr>
            </w:pPr>
            <w:r w:rsidRPr="00607C40">
              <w:rPr>
                <w:rFonts w:ascii="宋体" w:hAnsi="宋体" w:cs="宋体" w:hint="eastAsia"/>
                <w:kern w:val="0"/>
                <w:sz w:val="24"/>
              </w:rPr>
              <w:t>基金份额净值（单位</w:t>
            </w:r>
            <w:r w:rsidRPr="00607C40">
              <w:rPr>
                <w:rFonts w:ascii="宋体" w:hAnsi="宋体" w:cs="宋体"/>
                <w:kern w:val="0"/>
                <w:sz w:val="24"/>
              </w:rPr>
              <w:t>:</w:t>
            </w:r>
            <w:r w:rsidRPr="00607C40">
              <w:rPr>
                <w:rFonts w:ascii="宋体" w:hAnsi="宋体" w:cs="宋体" w:hint="eastAsia"/>
                <w:kern w:val="0"/>
                <w:sz w:val="24"/>
              </w:rPr>
              <w:t>元）：</w:t>
            </w:r>
          </w:p>
        </w:tc>
        <w:tc>
          <w:tcPr>
            <w:tcW w:w="5085" w:type="dxa"/>
            <w:vAlign w:val="center"/>
          </w:tcPr>
          <w:p w14:paraId="256030B4" w14:textId="3E1A89BC" w:rsidR="00CF57A4" w:rsidRPr="00607C40" w:rsidRDefault="005C0E30" w:rsidP="00FF0A4B">
            <w:pPr>
              <w:widowControl/>
              <w:spacing w:line="360" w:lineRule="auto"/>
              <w:jc w:val="right"/>
            </w:pPr>
            <w:r w:rsidRPr="00607C40">
              <w:t>1.</w:t>
            </w:r>
            <w:r w:rsidR="00FF0A4B">
              <w:t>903</w:t>
            </w:r>
            <w:r>
              <w:t>0</w:t>
            </w:r>
          </w:p>
        </w:tc>
      </w:tr>
      <w:tr w:rsidR="00CF57A4" w14:paraId="06583DCA" w14:textId="77777777">
        <w:trPr>
          <w:trHeight w:val="285"/>
        </w:trPr>
        <w:tc>
          <w:tcPr>
            <w:tcW w:w="8520" w:type="dxa"/>
            <w:gridSpan w:val="2"/>
            <w:vAlign w:val="center"/>
          </w:tcPr>
          <w:p w14:paraId="0DC980A0" w14:textId="1FFE6C6E" w:rsidR="00CF57A4" w:rsidRDefault="00C7289E" w:rsidP="00FF0A4B">
            <w:pPr>
              <w:widowControl/>
              <w:spacing w:line="360" w:lineRule="auto"/>
              <w:rPr>
                <w:rFonts w:ascii="宋体" w:hAnsi="宋体" w:cs="宋体"/>
                <w:kern w:val="0"/>
                <w:sz w:val="24"/>
              </w:rPr>
            </w:pPr>
            <w:r>
              <w:rPr>
                <w:rFonts w:ascii="宋体" w:hAnsi="宋体" w:cs="宋体" w:hint="eastAsia"/>
                <w:b/>
                <w:bCs/>
                <w:kern w:val="0"/>
                <w:sz w:val="24"/>
              </w:rPr>
              <w:t>201</w:t>
            </w:r>
            <w:r w:rsidR="00FF0A4B">
              <w:rPr>
                <w:rFonts w:ascii="宋体" w:hAnsi="宋体" w:cs="宋体"/>
                <w:b/>
                <w:bCs/>
                <w:kern w:val="0"/>
                <w:sz w:val="24"/>
              </w:rPr>
              <w:t>8</w:t>
            </w:r>
            <w:r>
              <w:rPr>
                <w:rFonts w:ascii="宋体" w:hAnsi="宋体" w:cs="宋体" w:hint="eastAsia"/>
                <w:b/>
                <w:bCs/>
                <w:kern w:val="0"/>
                <w:sz w:val="24"/>
              </w:rPr>
              <w:t>年</w:t>
            </w:r>
            <w:r w:rsidR="00FF0A4B">
              <w:rPr>
                <w:rFonts w:ascii="宋体" w:hAnsi="宋体" w:cs="宋体"/>
                <w:b/>
                <w:bCs/>
                <w:kern w:val="0"/>
                <w:sz w:val="24"/>
              </w:rPr>
              <w:t>3</w:t>
            </w:r>
            <w:r w:rsidR="00B13D46">
              <w:rPr>
                <w:rFonts w:ascii="宋体" w:hAnsi="宋体" w:cs="宋体" w:hint="eastAsia"/>
                <w:b/>
                <w:bCs/>
                <w:kern w:val="0"/>
                <w:sz w:val="24"/>
              </w:rPr>
              <w:t>月</w:t>
            </w:r>
            <w:r w:rsidR="00B13D46">
              <w:rPr>
                <w:rFonts w:ascii="宋体" w:hAnsi="宋体" w:cs="宋体"/>
                <w:b/>
                <w:bCs/>
                <w:kern w:val="0"/>
                <w:sz w:val="24"/>
              </w:rPr>
              <w:t>22</w:t>
            </w:r>
            <w:r w:rsidR="00B13D46">
              <w:rPr>
                <w:rFonts w:ascii="宋体" w:hAnsi="宋体" w:cs="宋体" w:hint="eastAsia"/>
                <w:b/>
                <w:bCs/>
                <w:kern w:val="0"/>
                <w:sz w:val="24"/>
              </w:rPr>
              <w:t>日信息内容</w:t>
            </w:r>
          </w:p>
        </w:tc>
      </w:tr>
      <w:tr w:rsidR="00CF57A4" w14:paraId="6FD81B68" w14:textId="77777777">
        <w:trPr>
          <w:trHeight w:val="438"/>
        </w:trPr>
        <w:tc>
          <w:tcPr>
            <w:tcW w:w="3435" w:type="dxa"/>
            <w:vAlign w:val="center"/>
          </w:tcPr>
          <w:p w14:paraId="024722B0" w14:textId="77777777" w:rsidR="00CF57A4" w:rsidRDefault="00B13D46">
            <w:pPr>
              <w:widowControl/>
              <w:spacing w:line="360" w:lineRule="auto"/>
              <w:jc w:val="left"/>
              <w:rPr>
                <w:rFonts w:ascii="宋体" w:hAnsi="宋体" w:cs="宋体"/>
                <w:kern w:val="0"/>
                <w:sz w:val="24"/>
              </w:rPr>
            </w:pPr>
            <w:r>
              <w:rPr>
                <w:rFonts w:ascii="宋体" w:hAnsi="宋体" w:cs="宋体" w:hint="eastAsia"/>
                <w:kern w:val="0"/>
                <w:sz w:val="24"/>
              </w:rPr>
              <w:t>预估现金差额(单位:元)</w:t>
            </w:r>
          </w:p>
        </w:tc>
        <w:tc>
          <w:tcPr>
            <w:tcW w:w="5085" w:type="dxa"/>
          </w:tcPr>
          <w:p w14:paraId="7E0A652B" w14:textId="79539EC7" w:rsidR="00CF57A4" w:rsidRDefault="00FF0A4B">
            <w:pPr>
              <w:widowControl/>
              <w:spacing w:line="360" w:lineRule="auto"/>
              <w:jc w:val="right"/>
              <w:rPr>
                <w:color w:val="000000"/>
                <w:sz w:val="22"/>
                <w:szCs w:val="22"/>
              </w:rPr>
            </w:pPr>
            <w:r>
              <w:t>8,865.82</w:t>
            </w:r>
            <w:r w:rsidR="005C0E30" w:rsidRPr="005C0E30">
              <w:t xml:space="preserve"> </w:t>
            </w:r>
            <w:r w:rsidR="00B13D46">
              <w:t xml:space="preserve"> </w:t>
            </w:r>
          </w:p>
        </w:tc>
      </w:tr>
      <w:tr w:rsidR="00CF57A4" w14:paraId="5EBB03D7" w14:textId="77777777">
        <w:trPr>
          <w:trHeight w:val="285"/>
        </w:trPr>
        <w:tc>
          <w:tcPr>
            <w:tcW w:w="3435" w:type="dxa"/>
            <w:vAlign w:val="center"/>
          </w:tcPr>
          <w:p w14:paraId="50A04E34" w14:textId="77777777" w:rsidR="00CF57A4" w:rsidRDefault="00B13D46">
            <w:pPr>
              <w:widowControl/>
              <w:spacing w:line="360" w:lineRule="auto"/>
              <w:jc w:val="left"/>
              <w:rPr>
                <w:rFonts w:ascii="宋体" w:hAnsi="宋体" w:cs="宋体"/>
                <w:kern w:val="0"/>
                <w:sz w:val="24"/>
              </w:rPr>
            </w:pPr>
            <w:r>
              <w:rPr>
                <w:rFonts w:ascii="宋体" w:hAnsi="宋体" w:cs="宋体" w:hint="eastAsia"/>
                <w:kern w:val="0"/>
                <w:sz w:val="24"/>
              </w:rPr>
              <w:t xml:space="preserve">最小申购赎回单位(单位:份) </w:t>
            </w:r>
          </w:p>
        </w:tc>
        <w:tc>
          <w:tcPr>
            <w:tcW w:w="5085" w:type="dxa"/>
          </w:tcPr>
          <w:p w14:paraId="30E5109C" w14:textId="77777777" w:rsidR="00CF57A4" w:rsidRDefault="00B13D46">
            <w:pPr>
              <w:widowControl/>
              <w:spacing w:line="360" w:lineRule="auto"/>
              <w:jc w:val="right"/>
              <w:rPr>
                <w:rFonts w:ascii="宋体" w:hAnsi="宋体" w:cs="宋体"/>
                <w:kern w:val="0"/>
                <w:sz w:val="24"/>
              </w:rPr>
            </w:pPr>
            <w:r>
              <w:t xml:space="preserve"> 1,000,000.00 </w:t>
            </w:r>
          </w:p>
        </w:tc>
      </w:tr>
      <w:tr w:rsidR="00CF57A4" w14:paraId="787BE61C" w14:textId="77777777">
        <w:trPr>
          <w:trHeight w:val="285"/>
        </w:trPr>
        <w:tc>
          <w:tcPr>
            <w:tcW w:w="3435" w:type="dxa"/>
            <w:vAlign w:val="center"/>
          </w:tcPr>
          <w:p w14:paraId="478F40C6" w14:textId="77777777" w:rsidR="00CF57A4" w:rsidRDefault="00B13D46">
            <w:pPr>
              <w:widowControl/>
              <w:spacing w:line="360" w:lineRule="auto"/>
              <w:jc w:val="left"/>
              <w:rPr>
                <w:rFonts w:ascii="宋体" w:hAnsi="宋体" w:cs="宋体"/>
                <w:kern w:val="0"/>
                <w:sz w:val="24"/>
              </w:rPr>
            </w:pPr>
            <w:r>
              <w:rPr>
                <w:rFonts w:ascii="宋体" w:hAnsi="宋体" w:cs="宋体" w:hint="eastAsia"/>
                <w:color w:val="000000"/>
                <w:kern w:val="0"/>
                <w:sz w:val="24"/>
              </w:rPr>
              <w:t>T日</w:t>
            </w:r>
            <w:r>
              <w:rPr>
                <w:rFonts w:ascii="宋体" w:hAnsi="宋体" w:cs="宋体"/>
                <w:color w:val="000000"/>
                <w:kern w:val="0"/>
                <w:sz w:val="24"/>
              </w:rPr>
              <w:t>最小申购赎回单位</w:t>
            </w:r>
            <w:r>
              <w:rPr>
                <w:rFonts w:ascii="宋体" w:hAnsi="宋体" w:cs="宋体" w:hint="eastAsia"/>
                <w:color w:val="000000"/>
                <w:kern w:val="0"/>
                <w:sz w:val="24"/>
              </w:rPr>
              <w:t>分红金额</w:t>
            </w:r>
            <w:r>
              <w:rPr>
                <w:rFonts w:ascii="宋体" w:hAnsi="宋体" w:cs="宋体" w:hint="eastAsia"/>
                <w:kern w:val="0"/>
                <w:sz w:val="24"/>
              </w:rPr>
              <w:t>(单位:元)</w:t>
            </w:r>
          </w:p>
        </w:tc>
        <w:tc>
          <w:tcPr>
            <w:tcW w:w="5085" w:type="dxa"/>
            <w:vAlign w:val="center"/>
          </w:tcPr>
          <w:p w14:paraId="5DB4B475" w14:textId="77777777" w:rsidR="00CF57A4" w:rsidRDefault="00B13D46">
            <w:pPr>
              <w:widowControl/>
              <w:spacing w:line="360" w:lineRule="auto"/>
              <w:jc w:val="right"/>
              <w:rPr>
                <w:rFonts w:ascii="宋体" w:hAnsi="宋体" w:cs="宋体"/>
                <w:kern w:val="0"/>
                <w:sz w:val="24"/>
              </w:rPr>
            </w:pPr>
            <w:r>
              <w:rPr>
                <w:rFonts w:hint="eastAsia"/>
                <w:color w:val="000000"/>
                <w:sz w:val="22"/>
                <w:szCs w:val="22"/>
              </w:rPr>
              <w:t>0</w:t>
            </w:r>
          </w:p>
        </w:tc>
      </w:tr>
      <w:tr w:rsidR="00CF57A4" w14:paraId="747F7108" w14:textId="77777777">
        <w:trPr>
          <w:trHeight w:val="285"/>
        </w:trPr>
        <w:tc>
          <w:tcPr>
            <w:tcW w:w="3435" w:type="dxa"/>
            <w:vAlign w:val="center"/>
          </w:tcPr>
          <w:p w14:paraId="4437B8CE" w14:textId="77777777" w:rsidR="00CF57A4" w:rsidRDefault="00B13D46">
            <w:pPr>
              <w:widowControl/>
              <w:spacing w:line="360" w:lineRule="auto"/>
              <w:jc w:val="left"/>
              <w:rPr>
                <w:rFonts w:ascii="宋体" w:hAnsi="宋体" w:cs="宋体"/>
                <w:kern w:val="0"/>
                <w:sz w:val="24"/>
              </w:rPr>
            </w:pPr>
            <w:r>
              <w:rPr>
                <w:rFonts w:ascii="宋体" w:hAnsi="宋体" w:cs="宋体" w:hint="eastAsia"/>
                <w:kern w:val="0"/>
                <w:sz w:val="24"/>
              </w:rPr>
              <w:t xml:space="preserve">是否需要公布IOPV </w:t>
            </w:r>
          </w:p>
        </w:tc>
        <w:tc>
          <w:tcPr>
            <w:tcW w:w="5085" w:type="dxa"/>
            <w:vAlign w:val="center"/>
          </w:tcPr>
          <w:p w14:paraId="28B9A1C3" w14:textId="77777777" w:rsidR="00CF57A4" w:rsidRDefault="00B13D46">
            <w:pPr>
              <w:widowControl/>
              <w:spacing w:line="360" w:lineRule="auto"/>
              <w:jc w:val="right"/>
              <w:rPr>
                <w:rFonts w:ascii="宋体" w:hAnsi="宋体" w:cs="宋体"/>
                <w:kern w:val="0"/>
                <w:sz w:val="24"/>
              </w:rPr>
            </w:pPr>
            <w:r>
              <w:rPr>
                <w:rFonts w:hint="eastAsia"/>
                <w:color w:val="000000"/>
                <w:sz w:val="22"/>
                <w:szCs w:val="22"/>
              </w:rPr>
              <w:t>是</w:t>
            </w:r>
          </w:p>
        </w:tc>
      </w:tr>
      <w:tr w:rsidR="00CF57A4" w14:paraId="146BB6F1" w14:textId="77777777">
        <w:trPr>
          <w:trHeight w:val="285"/>
        </w:trPr>
        <w:tc>
          <w:tcPr>
            <w:tcW w:w="3435" w:type="dxa"/>
            <w:vAlign w:val="center"/>
          </w:tcPr>
          <w:p w14:paraId="58202CC7" w14:textId="77777777" w:rsidR="00CF57A4" w:rsidRDefault="00B13D46">
            <w:pPr>
              <w:widowControl/>
              <w:spacing w:line="360" w:lineRule="auto"/>
              <w:jc w:val="left"/>
              <w:rPr>
                <w:rFonts w:ascii="宋体" w:hAnsi="宋体" w:cs="宋体"/>
                <w:kern w:val="0"/>
                <w:sz w:val="24"/>
              </w:rPr>
            </w:pPr>
            <w:r>
              <w:rPr>
                <w:rFonts w:ascii="宋体" w:hAnsi="宋体" w:cs="宋体"/>
                <w:color w:val="000000"/>
                <w:kern w:val="0"/>
                <w:sz w:val="24"/>
              </w:rPr>
              <w:t>是否</w:t>
            </w:r>
            <w:r>
              <w:rPr>
                <w:rFonts w:ascii="宋体" w:hAnsi="宋体" w:cs="宋体" w:hint="eastAsia"/>
                <w:color w:val="000000"/>
                <w:kern w:val="0"/>
                <w:sz w:val="24"/>
              </w:rPr>
              <w:t>允许</w:t>
            </w:r>
            <w:r>
              <w:rPr>
                <w:rFonts w:ascii="宋体" w:hAnsi="宋体" w:cs="宋体"/>
                <w:color w:val="000000"/>
                <w:kern w:val="0"/>
                <w:sz w:val="24"/>
              </w:rPr>
              <w:t>申购</w:t>
            </w:r>
          </w:p>
        </w:tc>
        <w:tc>
          <w:tcPr>
            <w:tcW w:w="5085" w:type="dxa"/>
            <w:vAlign w:val="center"/>
          </w:tcPr>
          <w:p w14:paraId="6562A548" w14:textId="77777777" w:rsidR="00CF57A4" w:rsidRDefault="00B13D46">
            <w:pPr>
              <w:widowControl/>
              <w:spacing w:line="360" w:lineRule="auto"/>
              <w:jc w:val="right"/>
              <w:rPr>
                <w:rFonts w:ascii="宋体" w:hAnsi="宋体" w:cs="宋体"/>
                <w:kern w:val="0"/>
                <w:sz w:val="24"/>
              </w:rPr>
            </w:pPr>
            <w:r>
              <w:rPr>
                <w:rFonts w:hint="eastAsia"/>
                <w:color w:val="000000"/>
                <w:sz w:val="22"/>
                <w:szCs w:val="22"/>
              </w:rPr>
              <w:t>允许</w:t>
            </w:r>
          </w:p>
        </w:tc>
      </w:tr>
      <w:tr w:rsidR="00CF57A4" w14:paraId="60E5486F" w14:textId="77777777">
        <w:trPr>
          <w:trHeight w:val="285"/>
        </w:trPr>
        <w:tc>
          <w:tcPr>
            <w:tcW w:w="3435" w:type="dxa"/>
            <w:vAlign w:val="center"/>
          </w:tcPr>
          <w:p w14:paraId="0355F1BA" w14:textId="77777777" w:rsidR="00CF57A4" w:rsidRDefault="00B13D46">
            <w:pPr>
              <w:widowControl/>
              <w:spacing w:line="360" w:lineRule="auto"/>
              <w:jc w:val="left"/>
              <w:rPr>
                <w:rFonts w:ascii="宋体" w:hAnsi="宋体" w:cs="宋体"/>
                <w:kern w:val="0"/>
                <w:sz w:val="24"/>
              </w:rPr>
            </w:pPr>
            <w:r>
              <w:rPr>
                <w:rFonts w:ascii="宋体" w:hAnsi="宋体" w:cs="宋体"/>
                <w:color w:val="000000"/>
                <w:kern w:val="0"/>
                <w:sz w:val="24"/>
              </w:rPr>
              <w:t>是否</w:t>
            </w:r>
            <w:r>
              <w:rPr>
                <w:rFonts w:ascii="宋体" w:hAnsi="宋体" w:cs="宋体" w:hint="eastAsia"/>
                <w:color w:val="000000"/>
                <w:kern w:val="0"/>
                <w:sz w:val="24"/>
              </w:rPr>
              <w:t>允许</w:t>
            </w:r>
            <w:r>
              <w:rPr>
                <w:rFonts w:ascii="宋体" w:hAnsi="宋体" w:cs="宋体"/>
                <w:color w:val="000000"/>
                <w:kern w:val="0"/>
                <w:sz w:val="24"/>
              </w:rPr>
              <w:t>赎回</w:t>
            </w:r>
          </w:p>
        </w:tc>
        <w:tc>
          <w:tcPr>
            <w:tcW w:w="5085" w:type="dxa"/>
            <w:vAlign w:val="center"/>
          </w:tcPr>
          <w:p w14:paraId="13272C90" w14:textId="77777777" w:rsidR="00CF57A4" w:rsidRDefault="00B13D46">
            <w:pPr>
              <w:widowControl/>
              <w:spacing w:line="360" w:lineRule="auto"/>
              <w:jc w:val="right"/>
              <w:rPr>
                <w:rFonts w:ascii="宋体" w:hAnsi="宋体" w:cs="宋体"/>
                <w:kern w:val="0"/>
                <w:sz w:val="24"/>
              </w:rPr>
            </w:pPr>
            <w:r>
              <w:rPr>
                <w:rFonts w:hint="eastAsia"/>
                <w:color w:val="000000"/>
                <w:sz w:val="22"/>
                <w:szCs w:val="22"/>
              </w:rPr>
              <w:t>允许</w:t>
            </w:r>
          </w:p>
        </w:tc>
      </w:tr>
      <w:tr w:rsidR="00CF57A4" w14:paraId="7B96CB1D" w14:textId="77777777">
        <w:trPr>
          <w:trHeight w:val="285"/>
        </w:trPr>
        <w:tc>
          <w:tcPr>
            <w:tcW w:w="3435" w:type="dxa"/>
            <w:tcBorders>
              <w:top w:val="single" w:sz="4" w:space="0" w:color="auto"/>
              <w:left w:val="single" w:sz="4" w:space="0" w:color="auto"/>
              <w:bottom w:val="single" w:sz="4" w:space="0" w:color="auto"/>
              <w:right w:val="single" w:sz="4" w:space="0" w:color="auto"/>
            </w:tcBorders>
            <w:vAlign w:val="center"/>
          </w:tcPr>
          <w:p w14:paraId="5718A609" w14:textId="77777777" w:rsidR="00CF57A4" w:rsidRDefault="00B13D46">
            <w:pPr>
              <w:widowControl/>
              <w:spacing w:line="360" w:lineRule="auto"/>
              <w:jc w:val="left"/>
              <w:rPr>
                <w:rFonts w:ascii="宋体" w:hAnsi="宋体" w:cs="宋体"/>
                <w:color w:val="000000"/>
                <w:kern w:val="0"/>
                <w:sz w:val="24"/>
              </w:rPr>
            </w:pPr>
            <w:r>
              <w:rPr>
                <w:rFonts w:ascii="宋体" w:hAnsi="宋体" w:cs="宋体" w:hint="eastAsia"/>
                <w:color w:val="000000"/>
                <w:kern w:val="0"/>
                <w:sz w:val="24"/>
              </w:rPr>
              <w:t xml:space="preserve">可以现金替代比例上限 </w:t>
            </w:r>
          </w:p>
        </w:tc>
        <w:tc>
          <w:tcPr>
            <w:tcW w:w="5085" w:type="dxa"/>
            <w:tcBorders>
              <w:top w:val="single" w:sz="4" w:space="0" w:color="auto"/>
              <w:left w:val="single" w:sz="4" w:space="0" w:color="auto"/>
              <w:bottom w:val="single" w:sz="4" w:space="0" w:color="auto"/>
              <w:right w:val="single" w:sz="4" w:space="0" w:color="auto"/>
            </w:tcBorders>
            <w:vAlign w:val="center"/>
          </w:tcPr>
          <w:p w14:paraId="67A68DB2" w14:textId="77777777" w:rsidR="00CF57A4" w:rsidRDefault="00B13D46">
            <w:pPr>
              <w:widowControl/>
              <w:spacing w:line="360" w:lineRule="auto"/>
              <w:jc w:val="right"/>
              <w:rPr>
                <w:rFonts w:ascii="宋体" w:hAnsi="宋体" w:cs="宋体"/>
                <w:kern w:val="0"/>
                <w:sz w:val="24"/>
              </w:rPr>
            </w:pPr>
            <w:r>
              <w:rPr>
                <w:color w:val="000000"/>
                <w:sz w:val="22"/>
                <w:szCs w:val="22"/>
              </w:rPr>
              <w:t>5</w:t>
            </w:r>
            <w:r>
              <w:rPr>
                <w:rFonts w:hint="eastAsia"/>
                <w:color w:val="000000"/>
                <w:sz w:val="22"/>
                <w:szCs w:val="22"/>
              </w:rPr>
              <w:t>0.00%</w:t>
            </w:r>
          </w:p>
        </w:tc>
      </w:tr>
    </w:tbl>
    <w:p w14:paraId="62FB157D" w14:textId="77777777" w:rsidR="00CF57A4" w:rsidRDefault="00CF57A4">
      <w:pPr>
        <w:widowControl/>
        <w:spacing w:line="360" w:lineRule="auto"/>
        <w:ind w:firstLineChars="200" w:firstLine="480"/>
        <w:rPr>
          <w:rFonts w:ascii="宋体" w:hAnsi="宋体" w:cs="宋体"/>
          <w:color w:val="000000"/>
          <w:kern w:val="0"/>
          <w:sz w:val="24"/>
        </w:rPr>
      </w:pPr>
    </w:p>
    <w:p w14:paraId="55744349" w14:textId="77777777" w:rsidR="00CF57A4" w:rsidRDefault="00B13D46">
      <w:pPr>
        <w:widowControl/>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t>组合信息内容</w:t>
      </w:r>
    </w:p>
    <w:p w14:paraId="4CC6B3E0" w14:textId="77777777" w:rsidR="00F55AA0" w:rsidRDefault="00F55AA0" w:rsidP="00607C40">
      <w:pPr>
        <w:widowControl/>
        <w:spacing w:line="360" w:lineRule="auto"/>
        <w:rPr>
          <w:rFonts w:ascii="宋体" w:hAnsi="宋体" w:cs="宋体"/>
          <w:color w:val="000000"/>
          <w:kern w:val="0"/>
          <w:sz w:val="24"/>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418"/>
        <w:gridCol w:w="1275"/>
        <w:gridCol w:w="1418"/>
        <w:gridCol w:w="1701"/>
        <w:gridCol w:w="1417"/>
      </w:tblGrid>
      <w:tr w:rsidR="00CF57A4" w14:paraId="1DDDE947" w14:textId="77777777">
        <w:trPr>
          <w:trHeight w:val="285"/>
        </w:trPr>
        <w:tc>
          <w:tcPr>
            <w:tcW w:w="1276" w:type="dxa"/>
            <w:tcBorders>
              <w:top w:val="single" w:sz="4" w:space="0" w:color="auto"/>
              <w:left w:val="single" w:sz="4" w:space="0" w:color="auto"/>
              <w:bottom w:val="single" w:sz="4" w:space="0" w:color="auto"/>
              <w:right w:val="single" w:sz="4" w:space="0" w:color="auto"/>
            </w:tcBorders>
            <w:vAlign w:val="center"/>
          </w:tcPr>
          <w:p w14:paraId="6846306B" w14:textId="77777777" w:rsidR="00CF57A4" w:rsidRDefault="00B13D46">
            <w:pPr>
              <w:widowControl/>
              <w:spacing w:line="360" w:lineRule="auto"/>
              <w:jc w:val="center"/>
              <w:rPr>
                <w:rFonts w:ascii="宋体" w:hAnsi="宋体" w:cs="宋体"/>
                <w:kern w:val="0"/>
                <w:sz w:val="24"/>
              </w:rPr>
            </w:pPr>
            <w:r>
              <w:rPr>
                <w:rFonts w:ascii="宋体" w:hAnsi="宋体" w:cs="宋体"/>
                <w:kern w:val="0"/>
                <w:sz w:val="24"/>
              </w:rPr>
              <w:t>证券代码</w:t>
            </w:r>
          </w:p>
        </w:tc>
        <w:tc>
          <w:tcPr>
            <w:tcW w:w="1418" w:type="dxa"/>
            <w:tcBorders>
              <w:top w:val="single" w:sz="4" w:space="0" w:color="auto"/>
              <w:left w:val="single" w:sz="4" w:space="0" w:color="auto"/>
              <w:bottom w:val="single" w:sz="4" w:space="0" w:color="auto"/>
              <w:right w:val="single" w:sz="4" w:space="0" w:color="auto"/>
            </w:tcBorders>
            <w:vAlign w:val="center"/>
          </w:tcPr>
          <w:p w14:paraId="67BC5E19" w14:textId="77777777" w:rsidR="00CF57A4" w:rsidRDefault="00B13D46">
            <w:pPr>
              <w:widowControl/>
              <w:spacing w:line="360" w:lineRule="auto"/>
              <w:jc w:val="center"/>
              <w:rPr>
                <w:rFonts w:ascii="宋体" w:hAnsi="宋体" w:cs="宋体"/>
                <w:kern w:val="0"/>
                <w:sz w:val="24"/>
              </w:rPr>
            </w:pPr>
            <w:r>
              <w:rPr>
                <w:rFonts w:ascii="宋体" w:hAnsi="宋体" w:cs="宋体"/>
                <w:kern w:val="0"/>
                <w:sz w:val="24"/>
              </w:rPr>
              <w:t>证券简称</w:t>
            </w:r>
          </w:p>
        </w:tc>
        <w:tc>
          <w:tcPr>
            <w:tcW w:w="1275" w:type="dxa"/>
            <w:tcBorders>
              <w:top w:val="single" w:sz="4" w:space="0" w:color="auto"/>
              <w:left w:val="single" w:sz="4" w:space="0" w:color="auto"/>
              <w:bottom w:val="single" w:sz="4" w:space="0" w:color="auto"/>
              <w:right w:val="single" w:sz="4" w:space="0" w:color="auto"/>
            </w:tcBorders>
            <w:vAlign w:val="center"/>
          </w:tcPr>
          <w:p w14:paraId="4072CE22" w14:textId="77777777" w:rsidR="00CF57A4" w:rsidRDefault="00B13D46">
            <w:pPr>
              <w:widowControl/>
              <w:spacing w:line="360" w:lineRule="auto"/>
              <w:jc w:val="center"/>
              <w:rPr>
                <w:rFonts w:ascii="宋体" w:hAnsi="宋体" w:cs="宋体"/>
                <w:kern w:val="0"/>
                <w:sz w:val="24"/>
              </w:rPr>
            </w:pPr>
            <w:r>
              <w:rPr>
                <w:rFonts w:ascii="宋体" w:hAnsi="宋体" w:cs="宋体"/>
                <w:kern w:val="0"/>
                <w:sz w:val="24"/>
              </w:rPr>
              <w:t>股票数量</w:t>
            </w:r>
          </w:p>
        </w:tc>
        <w:tc>
          <w:tcPr>
            <w:tcW w:w="1418" w:type="dxa"/>
            <w:tcBorders>
              <w:top w:val="single" w:sz="4" w:space="0" w:color="auto"/>
              <w:left w:val="single" w:sz="4" w:space="0" w:color="auto"/>
              <w:bottom w:val="single" w:sz="4" w:space="0" w:color="auto"/>
              <w:right w:val="single" w:sz="4" w:space="0" w:color="auto"/>
            </w:tcBorders>
            <w:vAlign w:val="center"/>
          </w:tcPr>
          <w:p w14:paraId="0F5ABB28" w14:textId="77777777" w:rsidR="00CF57A4" w:rsidRDefault="00B13D46">
            <w:pPr>
              <w:widowControl/>
              <w:jc w:val="center"/>
              <w:rPr>
                <w:rFonts w:ascii="宋体" w:hAnsi="宋体" w:cs="宋体"/>
                <w:kern w:val="0"/>
                <w:sz w:val="24"/>
              </w:rPr>
            </w:pPr>
            <w:r>
              <w:rPr>
                <w:rFonts w:ascii="宋体" w:hAnsi="宋体" w:cs="宋体"/>
                <w:kern w:val="0"/>
                <w:sz w:val="24"/>
              </w:rPr>
              <w:t>现金替代标志</w:t>
            </w:r>
          </w:p>
        </w:tc>
        <w:tc>
          <w:tcPr>
            <w:tcW w:w="1701" w:type="dxa"/>
            <w:tcBorders>
              <w:top w:val="single" w:sz="4" w:space="0" w:color="auto"/>
              <w:left w:val="single" w:sz="4" w:space="0" w:color="auto"/>
              <w:bottom w:val="single" w:sz="4" w:space="0" w:color="auto"/>
              <w:right w:val="single" w:sz="4" w:space="0" w:color="auto"/>
            </w:tcBorders>
            <w:vAlign w:val="center"/>
          </w:tcPr>
          <w:p w14:paraId="26CAA7FA" w14:textId="77777777" w:rsidR="00CF57A4" w:rsidRDefault="00B13D46">
            <w:pPr>
              <w:widowControl/>
              <w:jc w:val="center"/>
              <w:rPr>
                <w:rFonts w:ascii="宋体" w:hAnsi="宋体" w:cs="宋体"/>
                <w:kern w:val="0"/>
                <w:sz w:val="24"/>
              </w:rPr>
            </w:pPr>
            <w:r>
              <w:rPr>
                <w:rFonts w:ascii="宋体" w:hAnsi="宋体" w:cs="宋体"/>
                <w:kern w:val="0"/>
                <w:sz w:val="24"/>
              </w:rPr>
              <w:t>可以现金替代保证金率</w:t>
            </w:r>
          </w:p>
        </w:tc>
        <w:tc>
          <w:tcPr>
            <w:tcW w:w="1417" w:type="dxa"/>
            <w:tcBorders>
              <w:top w:val="single" w:sz="4" w:space="0" w:color="auto"/>
              <w:left w:val="single" w:sz="4" w:space="0" w:color="auto"/>
              <w:bottom w:val="single" w:sz="4" w:space="0" w:color="auto"/>
              <w:right w:val="single" w:sz="4" w:space="0" w:color="auto"/>
            </w:tcBorders>
            <w:vAlign w:val="center"/>
          </w:tcPr>
          <w:p w14:paraId="479AEF5F" w14:textId="77777777" w:rsidR="00CF57A4" w:rsidRDefault="00B13D46">
            <w:pPr>
              <w:widowControl/>
              <w:jc w:val="center"/>
              <w:rPr>
                <w:rFonts w:ascii="宋体" w:hAnsi="宋体" w:cs="宋体"/>
                <w:kern w:val="0"/>
                <w:sz w:val="24"/>
              </w:rPr>
            </w:pPr>
            <w:r>
              <w:rPr>
                <w:rFonts w:ascii="宋体" w:hAnsi="宋体" w:cs="宋体"/>
                <w:kern w:val="0"/>
                <w:sz w:val="24"/>
              </w:rPr>
              <w:t>固定替代金额</w:t>
            </w:r>
          </w:p>
        </w:tc>
      </w:tr>
      <w:tr w:rsidR="00FF0A4B" w14:paraId="14176ADE" w14:textId="77777777" w:rsidTr="00607C40">
        <w:trPr>
          <w:trHeight w:val="285"/>
        </w:trPr>
        <w:tc>
          <w:tcPr>
            <w:tcW w:w="1276" w:type="dxa"/>
            <w:tcBorders>
              <w:bottom w:val="single" w:sz="4" w:space="0" w:color="auto"/>
            </w:tcBorders>
            <w:vAlign w:val="center"/>
          </w:tcPr>
          <w:p w14:paraId="654B137F" w14:textId="1D66C72F" w:rsidR="00FF0A4B" w:rsidRPr="000B1B3C" w:rsidRDefault="00FF0A4B" w:rsidP="00FF0A4B">
            <w:pPr>
              <w:widowControl/>
              <w:jc w:val="center"/>
              <w:rPr>
                <w:color w:val="595959"/>
                <w:sz w:val="18"/>
                <w:szCs w:val="18"/>
              </w:rPr>
            </w:pPr>
            <w:r>
              <w:rPr>
                <w:rFonts w:hint="eastAsia"/>
                <w:color w:val="000000"/>
                <w:sz w:val="22"/>
                <w:szCs w:val="22"/>
              </w:rPr>
              <w:t>000001</w:t>
            </w:r>
          </w:p>
        </w:tc>
        <w:tc>
          <w:tcPr>
            <w:tcW w:w="1418" w:type="dxa"/>
            <w:tcBorders>
              <w:bottom w:val="single" w:sz="4" w:space="0" w:color="auto"/>
            </w:tcBorders>
            <w:vAlign w:val="center"/>
          </w:tcPr>
          <w:p w14:paraId="0C37CCA7" w14:textId="52A2EF6A" w:rsidR="00FF0A4B" w:rsidRPr="000B1B3C" w:rsidRDefault="00FF0A4B" w:rsidP="00FF0A4B">
            <w:pPr>
              <w:widowControl/>
              <w:jc w:val="center"/>
              <w:rPr>
                <w:color w:val="595959"/>
                <w:sz w:val="18"/>
                <w:szCs w:val="18"/>
              </w:rPr>
            </w:pPr>
            <w:r>
              <w:rPr>
                <w:rFonts w:hint="eastAsia"/>
                <w:color w:val="000000"/>
                <w:sz w:val="22"/>
                <w:szCs w:val="22"/>
              </w:rPr>
              <w:t>平安银行</w:t>
            </w:r>
          </w:p>
        </w:tc>
        <w:tc>
          <w:tcPr>
            <w:tcW w:w="1275" w:type="dxa"/>
            <w:tcBorders>
              <w:bottom w:val="single" w:sz="4" w:space="0" w:color="auto"/>
            </w:tcBorders>
            <w:vAlign w:val="center"/>
          </w:tcPr>
          <w:p w14:paraId="53B2CA28" w14:textId="37ECA2D2" w:rsidR="00FF0A4B" w:rsidRPr="000B1B3C" w:rsidRDefault="00FF0A4B" w:rsidP="00FF0A4B">
            <w:pPr>
              <w:widowControl/>
              <w:jc w:val="center"/>
              <w:rPr>
                <w:color w:val="595959"/>
                <w:sz w:val="18"/>
                <w:szCs w:val="18"/>
              </w:rPr>
            </w:pPr>
            <w:r>
              <w:rPr>
                <w:rFonts w:hint="eastAsia"/>
                <w:color w:val="000000"/>
                <w:sz w:val="22"/>
                <w:szCs w:val="22"/>
              </w:rPr>
              <w:t>5700</w:t>
            </w:r>
          </w:p>
        </w:tc>
        <w:tc>
          <w:tcPr>
            <w:tcW w:w="1418" w:type="dxa"/>
            <w:tcBorders>
              <w:bottom w:val="single" w:sz="4" w:space="0" w:color="auto"/>
            </w:tcBorders>
            <w:vAlign w:val="center"/>
          </w:tcPr>
          <w:p w14:paraId="0D022FCF" w14:textId="082A2642" w:rsidR="00FF0A4B" w:rsidRDefault="00FF0A4B" w:rsidP="00FF0A4B">
            <w:pPr>
              <w:widowControl/>
              <w:jc w:val="center"/>
              <w:rPr>
                <w:rFonts w:ascii="宋体" w:hAnsi="宋体" w:cs="宋体"/>
                <w:color w:val="000000"/>
                <w:kern w:val="0"/>
                <w:sz w:val="24"/>
              </w:rPr>
            </w:pPr>
            <w:r>
              <w:rPr>
                <w:rFonts w:hint="eastAsia"/>
                <w:color w:val="000000"/>
                <w:sz w:val="22"/>
                <w:szCs w:val="22"/>
              </w:rPr>
              <w:t>允许</w:t>
            </w:r>
          </w:p>
        </w:tc>
        <w:tc>
          <w:tcPr>
            <w:tcW w:w="1701" w:type="dxa"/>
            <w:tcBorders>
              <w:bottom w:val="single" w:sz="4" w:space="0" w:color="auto"/>
            </w:tcBorders>
            <w:vAlign w:val="center"/>
          </w:tcPr>
          <w:p w14:paraId="27F0D26C" w14:textId="3091E5E8" w:rsidR="00FF0A4B" w:rsidRDefault="00FF0A4B" w:rsidP="00FF0A4B">
            <w:pPr>
              <w:widowControl/>
              <w:jc w:val="center"/>
              <w:rPr>
                <w:rFonts w:ascii="宋体" w:hAnsi="宋体" w:cs="宋体"/>
                <w:color w:val="000000"/>
                <w:kern w:val="0"/>
                <w:sz w:val="24"/>
              </w:rPr>
            </w:pPr>
            <w:r>
              <w:rPr>
                <w:rFonts w:hint="eastAsia"/>
                <w:color w:val="000000"/>
                <w:sz w:val="22"/>
                <w:szCs w:val="22"/>
              </w:rPr>
              <w:t>15%</w:t>
            </w:r>
          </w:p>
        </w:tc>
        <w:tc>
          <w:tcPr>
            <w:tcW w:w="1417" w:type="dxa"/>
            <w:tcBorders>
              <w:top w:val="single" w:sz="4" w:space="0" w:color="auto"/>
              <w:left w:val="single" w:sz="4" w:space="0" w:color="auto"/>
              <w:bottom w:val="single" w:sz="4" w:space="0" w:color="auto"/>
              <w:right w:val="single" w:sz="4" w:space="0" w:color="auto"/>
            </w:tcBorders>
            <w:vAlign w:val="center"/>
          </w:tcPr>
          <w:p w14:paraId="5CC531E1" w14:textId="77777777" w:rsidR="00FF0A4B" w:rsidRDefault="00FF0A4B" w:rsidP="00FF0A4B">
            <w:pPr>
              <w:widowControl/>
              <w:jc w:val="center"/>
              <w:rPr>
                <w:rFonts w:ascii="宋体" w:hAnsi="宋体" w:cs="宋体"/>
                <w:color w:val="000000"/>
                <w:kern w:val="0"/>
                <w:sz w:val="24"/>
              </w:rPr>
            </w:pPr>
          </w:p>
        </w:tc>
      </w:tr>
      <w:tr w:rsidR="00FF0A4B" w14:paraId="385BCCD4" w14:textId="77777777" w:rsidTr="00607C40">
        <w:trPr>
          <w:trHeight w:val="285"/>
        </w:trPr>
        <w:tc>
          <w:tcPr>
            <w:tcW w:w="1276" w:type="dxa"/>
            <w:tcBorders>
              <w:bottom w:val="single" w:sz="4" w:space="0" w:color="auto"/>
            </w:tcBorders>
            <w:vAlign w:val="center"/>
          </w:tcPr>
          <w:p w14:paraId="616B903A" w14:textId="3C7EB754" w:rsidR="00FF0A4B" w:rsidRPr="000B1B3C" w:rsidRDefault="00FF0A4B" w:rsidP="00FF0A4B">
            <w:pPr>
              <w:widowControl/>
              <w:jc w:val="center"/>
              <w:rPr>
                <w:color w:val="595959"/>
                <w:sz w:val="18"/>
                <w:szCs w:val="18"/>
              </w:rPr>
            </w:pPr>
            <w:r>
              <w:rPr>
                <w:rFonts w:hint="eastAsia"/>
                <w:color w:val="000000"/>
                <w:sz w:val="22"/>
                <w:szCs w:val="22"/>
              </w:rPr>
              <w:t>000002</w:t>
            </w:r>
          </w:p>
        </w:tc>
        <w:tc>
          <w:tcPr>
            <w:tcW w:w="1418" w:type="dxa"/>
            <w:tcBorders>
              <w:bottom w:val="single" w:sz="4" w:space="0" w:color="auto"/>
            </w:tcBorders>
            <w:vAlign w:val="center"/>
          </w:tcPr>
          <w:p w14:paraId="7688E925" w14:textId="4DCD8809" w:rsidR="00FF0A4B" w:rsidRPr="000B1B3C" w:rsidRDefault="00FF0A4B" w:rsidP="00FF0A4B">
            <w:pPr>
              <w:widowControl/>
              <w:jc w:val="center"/>
              <w:rPr>
                <w:color w:val="595959"/>
                <w:sz w:val="18"/>
                <w:szCs w:val="18"/>
              </w:rPr>
            </w:pPr>
            <w:r>
              <w:rPr>
                <w:rFonts w:hint="eastAsia"/>
                <w:color w:val="000000"/>
                <w:sz w:val="22"/>
                <w:szCs w:val="22"/>
              </w:rPr>
              <w:t>万</w:t>
            </w:r>
            <w:r>
              <w:rPr>
                <w:rFonts w:hint="eastAsia"/>
                <w:color w:val="000000"/>
                <w:sz w:val="22"/>
                <w:szCs w:val="22"/>
              </w:rPr>
              <w:t xml:space="preserve">  </w:t>
            </w:r>
            <w:r>
              <w:rPr>
                <w:rFonts w:hint="eastAsia"/>
                <w:color w:val="000000"/>
                <w:sz w:val="22"/>
                <w:szCs w:val="22"/>
              </w:rPr>
              <w:t>科Ａ</w:t>
            </w:r>
          </w:p>
        </w:tc>
        <w:tc>
          <w:tcPr>
            <w:tcW w:w="1275" w:type="dxa"/>
            <w:tcBorders>
              <w:bottom w:val="single" w:sz="4" w:space="0" w:color="auto"/>
            </w:tcBorders>
            <w:vAlign w:val="center"/>
          </w:tcPr>
          <w:p w14:paraId="7D6515BE" w14:textId="55BBBC8B" w:rsidR="00FF0A4B" w:rsidRPr="000B1B3C" w:rsidRDefault="00FF0A4B" w:rsidP="00FF0A4B">
            <w:pPr>
              <w:widowControl/>
              <w:jc w:val="center"/>
              <w:rPr>
                <w:color w:val="595959"/>
                <w:sz w:val="18"/>
                <w:szCs w:val="18"/>
              </w:rPr>
            </w:pPr>
            <w:r>
              <w:rPr>
                <w:rFonts w:hint="eastAsia"/>
                <w:color w:val="000000"/>
                <w:sz w:val="22"/>
                <w:szCs w:val="22"/>
              </w:rPr>
              <w:t>2700</w:t>
            </w:r>
          </w:p>
        </w:tc>
        <w:tc>
          <w:tcPr>
            <w:tcW w:w="1418" w:type="dxa"/>
            <w:tcBorders>
              <w:bottom w:val="single" w:sz="4" w:space="0" w:color="auto"/>
            </w:tcBorders>
            <w:vAlign w:val="center"/>
          </w:tcPr>
          <w:p w14:paraId="2A000A0B" w14:textId="249EA3F1" w:rsidR="00FF0A4B" w:rsidRDefault="00FF0A4B" w:rsidP="00FF0A4B">
            <w:pPr>
              <w:widowControl/>
              <w:jc w:val="center"/>
              <w:rPr>
                <w:rFonts w:ascii="宋体" w:hAnsi="宋体" w:cs="宋体"/>
                <w:color w:val="000000"/>
                <w:kern w:val="0"/>
                <w:sz w:val="24"/>
              </w:rPr>
            </w:pPr>
            <w:r>
              <w:rPr>
                <w:rFonts w:hint="eastAsia"/>
                <w:color w:val="000000"/>
                <w:sz w:val="22"/>
                <w:szCs w:val="22"/>
              </w:rPr>
              <w:t>允许</w:t>
            </w:r>
          </w:p>
        </w:tc>
        <w:tc>
          <w:tcPr>
            <w:tcW w:w="1701" w:type="dxa"/>
            <w:tcBorders>
              <w:bottom w:val="single" w:sz="4" w:space="0" w:color="auto"/>
            </w:tcBorders>
            <w:vAlign w:val="center"/>
          </w:tcPr>
          <w:p w14:paraId="5E8E10C0" w14:textId="39AE83F2" w:rsidR="00FF0A4B" w:rsidRDefault="00FF0A4B" w:rsidP="00FF0A4B">
            <w:pPr>
              <w:widowControl/>
              <w:jc w:val="center"/>
              <w:rPr>
                <w:rFonts w:ascii="宋体" w:hAnsi="宋体" w:cs="宋体"/>
                <w:color w:val="000000"/>
                <w:kern w:val="0"/>
                <w:sz w:val="24"/>
              </w:rPr>
            </w:pPr>
            <w:r>
              <w:rPr>
                <w:rFonts w:hint="eastAsia"/>
                <w:color w:val="000000"/>
                <w:sz w:val="22"/>
                <w:szCs w:val="22"/>
              </w:rPr>
              <w:t>15%</w:t>
            </w:r>
          </w:p>
        </w:tc>
        <w:tc>
          <w:tcPr>
            <w:tcW w:w="1417" w:type="dxa"/>
            <w:tcBorders>
              <w:top w:val="single" w:sz="4" w:space="0" w:color="auto"/>
              <w:left w:val="single" w:sz="4" w:space="0" w:color="auto"/>
              <w:bottom w:val="single" w:sz="4" w:space="0" w:color="auto"/>
              <w:right w:val="single" w:sz="4" w:space="0" w:color="auto"/>
            </w:tcBorders>
            <w:vAlign w:val="center"/>
          </w:tcPr>
          <w:p w14:paraId="0B257DE7" w14:textId="77777777" w:rsidR="00FF0A4B" w:rsidRDefault="00FF0A4B" w:rsidP="00FF0A4B">
            <w:pPr>
              <w:widowControl/>
              <w:jc w:val="center"/>
              <w:rPr>
                <w:rFonts w:ascii="宋体" w:hAnsi="宋体" w:cs="宋体"/>
                <w:color w:val="000000"/>
                <w:kern w:val="0"/>
                <w:sz w:val="24"/>
              </w:rPr>
            </w:pPr>
          </w:p>
        </w:tc>
      </w:tr>
      <w:tr w:rsidR="00FF0A4B" w14:paraId="488BCDC6" w14:textId="77777777" w:rsidTr="00607C40">
        <w:trPr>
          <w:trHeight w:val="285"/>
        </w:trPr>
        <w:tc>
          <w:tcPr>
            <w:tcW w:w="1276" w:type="dxa"/>
            <w:tcBorders>
              <w:bottom w:val="single" w:sz="4" w:space="0" w:color="auto"/>
            </w:tcBorders>
            <w:vAlign w:val="center"/>
          </w:tcPr>
          <w:p w14:paraId="34CDA68D" w14:textId="214DC158" w:rsidR="00FF0A4B" w:rsidRPr="000B1B3C" w:rsidRDefault="00FF0A4B" w:rsidP="00FF0A4B">
            <w:pPr>
              <w:widowControl/>
              <w:jc w:val="center"/>
              <w:rPr>
                <w:color w:val="595959"/>
                <w:sz w:val="18"/>
                <w:szCs w:val="18"/>
              </w:rPr>
            </w:pPr>
            <w:r>
              <w:rPr>
                <w:rFonts w:hint="eastAsia"/>
                <w:color w:val="000000"/>
                <w:sz w:val="22"/>
                <w:szCs w:val="22"/>
              </w:rPr>
              <w:t>000006</w:t>
            </w:r>
          </w:p>
        </w:tc>
        <w:tc>
          <w:tcPr>
            <w:tcW w:w="1418" w:type="dxa"/>
            <w:tcBorders>
              <w:bottom w:val="single" w:sz="4" w:space="0" w:color="auto"/>
            </w:tcBorders>
            <w:vAlign w:val="center"/>
          </w:tcPr>
          <w:p w14:paraId="507B3847" w14:textId="58EBD9A3" w:rsidR="00FF0A4B" w:rsidRPr="000B1B3C" w:rsidRDefault="00FF0A4B" w:rsidP="00FF0A4B">
            <w:pPr>
              <w:widowControl/>
              <w:jc w:val="center"/>
              <w:rPr>
                <w:color w:val="595959"/>
                <w:sz w:val="18"/>
                <w:szCs w:val="18"/>
              </w:rPr>
            </w:pPr>
            <w:r>
              <w:rPr>
                <w:rFonts w:hint="eastAsia"/>
                <w:color w:val="000000"/>
                <w:sz w:val="22"/>
                <w:szCs w:val="22"/>
              </w:rPr>
              <w:t>深振业Ａ</w:t>
            </w:r>
          </w:p>
        </w:tc>
        <w:tc>
          <w:tcPr>
            <w:tcW w:w="1275" w:type="dxa"/>
            <w:tcBorders>
              <w:bottom w:val="single" w:sz="4" w:space="0" w:color="auto"/>
            </w:tcBorders>
            <w:vAlign w:val="center"/>
          </w:tcPr>
          <w:p w14:paraId="222AD975" w14:textId="5677E2EA" w:rsidR="00FF0A4B" w:rsidRPr="000B1B3C" w:rsidRDefault="00FF0A4B" w:rsidP="00FF0A4B">
            <w:pPr>
              <w:widowControl/>
              <w:jc w:val="center"/>
              <w:rPr>
                <w:color w:val="595959"/>
                <w:sz w:val="18"/>
                <w:szCs w:val="18"/>
              </w:rPr>
            </w:pPr>
            <w:r>
              <w:rPr>
                <w:rFonts w:hint="eastAsia"/>
                <w:color w:val="000000"/>
                <w:sz w:val="22"/>
                <w:szCs w:val="22"/>
              </w:rPr>
              <w:t>700</w:t>
            </w:r>
          </w:p>
        </w:tc>
        <w:tc>
          <w:tcPr>
            <w:tcW w:w="1418" w:type="dxa"/>
            <w:tcBorders>
              <w:bottom w:val="single" w:sz="4" w:space="0" w:color="auto"/>
            </w:tcBorders>
            <w:vAlign w:val="center"/>
          </w:tcPr>
          <w:p w14:paraId="60E512ED" w14:textId="1CCA44D1" w:rsidR="00FF0A4B" w:rsidRDefault="00FF0A4B" w:rsidP="00FF0A4B">
            <w:pPr>
              <w:widowControl/>
              <w:jc w:val="center"/>
              <w:rPr>
                <w:rFonts w:ascii="宋体" w:hAnsi="宋体" w:cs="宋体"/>
                <w:color w:val="000000"/>
                <w:kern w:val="0"/>
                <w:sz w:val="24"/>
              </w:rPr>
            </w:pPr>
            <w:r>
              <w:rPr>
                <w:rFonts w:hint="eastAsia"/>
                <w:color w:val="000000"/>
                <w:sz w:val="22"/>
                <w:szCs w:val="22"/>
              </w:rPr>
              <w:t>允许</w:t>
            </w:r>
          </w:p>
        </w:tc>
        <w:tc>
          <w:tcPr>
            <w:tcW w:w="1701" w:type="dxa"/>
            <w:tcBorders>
              <w:bottom w:val="single" w:sz="4" w:space="0" w:color="auto"/>
            </w:tcBorders>
            <w:vAlign w:val="center"/>
          </w:tcPr>
          <w:p w14:paraId="4F13FB7E" w14:textId="2F5CA4C3" w:rsidR="00FF0A4B" w:rsidRDefault="00FF0A4B" w:rsidP="00FF0A4B">
            <w:pPr>
              <w:widowControl/>
              <w:jc w:val="center"/>
              <w:rPr>
                <w:rFonts w:ascii="宋体" w:hAnsi="宋体" w:cs="宋体"/>
                <w:color w:val="000000"/>
                <w:kern w:val="0"/>
                <w:sz w:val="24"/>
              </w:rPr>
            </w:pPr>
            <w:r>
              <w:rPr>
                <w:rFonts w:hint="eastAsia"/>
                <w:color w:val="000000"/>
                <w:sz w:val="22"/>
                <w:szCs w:val="22"/>
              </w:rPr>
              <w:t>15%</w:t>
            </w:r>
          </w:p>
        </w:tc>
        <w:tc>
          <w:tcPr>
            <w:tcW w:w="1417" w:type="dxa"/>
            <w:tcBorders>
              <w:top w:val="single" w:sz="4" w:space="0" w:color="auto"/>
              <w:left w:val="single" w:sz="4" w:space="0" w:color="auto"/>
              <w:bottom w:val="single" w:sz="4" w:space="0" w:color="auto"/>
              <w:right w:val="single" w:sz="4" w:space="0" w:color="auto"/>
            </w:tcBorders>
            <w:vAlign w:val="center"/>
          </w:tcPr>
          <w:p w14:paraId="4CA3F21B" w14:textId="77777777" w:rsidR="00FF0A4B" w:rsidRDefault="00FF0A4B" w:rsidP="00FF0A4B">
            <w:pPr>
              <w:widowControl/>
              <w:jc w:val="center"/>
              <w:rPr>
                <w:rFonts w:ascii="宋体" w:hAnsi="宋体" w:cs="宋体"/>
                <w:color w:val="000000"/>
                <w:kern w:val="0"/>
                <w:sz w:val="24"/>
              </w:rPr>
            </w:pPr>
          </w:p>
        </w:tc>
      </w:tr>
      <w:tr w:rsidR="00FF0A4B" w14:paraId="06F48CF3" w14:textId="77777777" w:rsidTr="00607C40">
        <w:trPr>
          <w:trHeight w:val="285"/>
        </w:trPr>
        <w:tc>
          <w:tcPr>
            <w:tcW w:w="1276" w:type="dxa"/>
            <w:tcBorders>
              <w:bottom w:val="single" w:sz="4" w:space="0" w:color="auto"/>
            </w:tcBorders>
            <w:vAlign w:val="center"/>
          </w:tcPr>
          <w:p w14:paraId="36620836" w14:textId="26964DC9" w:rsidR="00FF0A4B" w:rsidRPr="000B1B3C" w:rsidRDefault="00FF0A4B" w:rsidP="00FF0A4B">
            <w:pPr>
              <w:widowControl/>
              <w:jc w:val="center"/>
              <w:rPr>
                <w:color w:val="595959"/>
                <w:sz w:val="18"/>
                <w:szCs w:val="18"/>
              </w:rPr>
            </w:pPr>
            <w:r>
              <w:rPr>
                <w:rFonts w:hint="eastAsia"/>
                <w:color w:val="000000"/>
                <w:sz w:val="22"/>
                <w:szCs w:val="22"/>
              </w:rPr>
              <w:t>000012</w:t>
            </w:r>
          </w:p>
        </w:tc>
        <w:tc>
          <w:tcPr>
            <w:tcW w:w="1418" w:type="dxa"/>
            <w:tcBorders>
              <w:bottom w:val="single" w:sz="4" w:space="0" w:color="auto"/>
            </w:tcBorders>
            <w:vAlign w:val="center"/>
          </w:tcPr>
          <w:p w14:paraId="69E1CCF1" w14:textId="0C9E42D4" w:rsidR="00FF0A4B" w:rsidRPr="000B1B3C" w:rsidRDefault="00FF0A4B" w:rsidP="00FF0A4B">
            <w:pPr>
              <w:widowControl/>
              <w:jc w:val="center"/>
              <w:rPr>
                <w:color w:val="595959"/>
                <w:sz w:val="18"/>
                <w:szCs w:val="18"/>
              </w:rPr>
            </w:pPr>
            <w:r>
              <w:rPr>
                <w:rFonts w:hint="eastAsia"/>
                <w:color w:val="000000"/>
                <w:sz w:val="22"/>
                <w:szCs w:val="22"/>
              </w:rPr>
              <w:t>南</w:t>
            </w:r>
            <w:r>
              <w:rPr>
                <w:rFonts w:hint="eastAsia"/>
                <w:color w:val="000000"/>
                <w:sz w:val="22"/>
                <w:szCs w:val="22"/>
              </w:rPr>
              <w:t xml:space="preserve">  </w:t>
            </w:r>
            <w:proofErr w:type="gramStart"/>
            <w:r>
              <w:rPr>
                <w:rFonts w:hint="eastAsia"/>
                <w:color w:val="000000"/>
                <w:sz w:val="22"/>
                <w:szCs w:val="22"/>
              </w:rPr>
              <w:t>玻</w:t>
            </w:r>
            <w:proofErr w:type="gramEnd"/>
            <w:r>
              <w:rPr>
                <w:rFonts w:hint="eastAsia"/>
                <w:color w:val="000000"/>
                <w:sz w:val="22"/>
                <w:szCs w:val="22"/>
              </w:rPr>
              <w:t>Ａ</w:t>
            </w:r>
          </w:p>
        </w:tc>
        <w:tc>
          <w:tcPr>
            <w:tcW w:w="1275" w:type="dxa"/>
            <w:tcBorders>
              <w:bottom w:val="single" w:sz="4" w:space="0" w:color="auto"/>
            </w:tcBorders>
            <w:vAlign w:val="center"/>
          </w:tcPr>
          <w:p w14:paraId="168024C7" w14:textId="0F80AF8E" w:rsidR="00FF0A4B" w:rsidRPr="000B1B3C" w:rsidRDefault="00FF0A4B" w:rsidP="00FF0A4B">
            <w:pPr>
              <w:widowControl/>
              <w:jc w:val="center"/>
              <w:rPr>
                <w:color w:val="595959"/>
                <w:sz w:val="18"/>
                <w:szCs w:val="18"/>
              </w:rPr>
            </w:pPr>
            <w:r>
              <w:rPr>
                <w:rFonts w:hint="eastAsia"/>
                <w:color w:val="000000"/>
                <w:sz w:val="22"/>
                <w:szCs w:val="22"/>
              </w:rPr>
              <w:t>700</w:t>
            </w:r>
          </w:p>
        </w:tc>
        <w:tc>
          <w:tcPr>
            <w:tcW w:w="1418" w:type="dxa"/>
            <w:tcBorders>
              <w:bottom w:val="single" w:sz="4" w:space="0" w:color="auto"/>
            </w:tcBorders>
            <w:vAlign w:val="center"/>
          </w:tcPr>
          <w:p w14:paraId="4D0F96FF" w14:textId="400E0BAD" w:rsidR="00FF0A4B" w:rsidRDefault="00FF0A4B" w:rsidP="00FF0A4B">
            <w:pPr>
              <w:widowControl/>
              <w:jc w:val="center"/>
              <w:rPr>
                <w:rFonts w:ascii="宋体" w:hAnsi="宋体" w:cs="宋体"/>
                <w:color w:val="000000"/>
                <w:kern w:val="0"/>
                <w:sz w:val="24"/>
              </w:rPr>
            </w:pPr>
            <w:r>
              <w:rPr>
                <w:rFonts w:hint="eastAsia"/>
                <w:color w:val="000000"/>
                <w:sz w:val="22"/>
                <w:szCs w:val="22"/>
              </w:rPr>
              <w:t>允许</w:t>
            </w:r>
          </w:p>
        </w:tc>
        <w:tc>
          <w:tcPr>
            <w:tcW w:w="1701" w:type="dxa"/>
            <w:tcBorders>
              <w:bottom w:val="single" w:sz="4" w:space="0" w:color="auto"/>
            </w:tcBorders>
            <w:vAlign w:val="center"/>
          </w:tcPr>
          <w:p w14:paraId="6A209105" w14:textId="14CFE4C1" w:rsidR="00FF0A4B" w:rsidRDefault="00FF0A4B" w:rsidP="00FF0A4B">
            <w:pPr>
              <w:widowControl/>
              <w:jc w:val="center"/>
              <w:rPr>
                <w:rFonts w:ascii="宋体" w:hAnsi="宋体" w:cs="宋体"/>
                <w:color w:val="000000"/>
                <w:kern w:val="0"/>
                <w:sz w:val="24"/>
              </w:rPr>
            </w:pPr>
            <w:r>
              <w:rPr>
                <w:rFonts w:hint="eastAsia"/>
                <w:color w:val="000000"/>
                <w:sz w:val="22"/>
                <w:szCs w:val="22"/>
              </w:rPr>
              <w:t>15%</w:t>
            </w:r>
          </w:p>
        </w:tc>
        <w:tc>
          <w:tcPr>
            <w:tcW w:w="1417" w:type="dxa"/>
            <w:tcBorders>
              <w:top w:val="single" w:sz="4" w:space="0" w:color="auto"/>
              <w:left w:val="single" w:sz="4" w:space="0" w:color="auto"/>
              <w:bottom w:val="single" w:sz="4" w:space="0" w:color="auto"/>
              <w:right w:val="single" w:sz="4" w:space="0" w:color="auto"/>
            </w:tcBorders>
            <w:vAlign w:val="center"/>
          </w:tcPr>
          <w:p w14:paraId="7E686B97" w14:textId="77777777" w:rsidR="00FF0A4B" w:rsidRDefault="00FF0A4B" w:rsidP="00FF0A4B">
            <w:pPr>
              <w:widowControl/>
              <w:jc w:val="center"/>
              <w:rPr>
                <w:rFonts w:ascii="宋体" w:hAnsi="宋体" w:cs="宋体"/>
                <w:color w:val="000000"/>
                <w:kern w:val="0"/>
                <w:sz w:val="24"/>
              </w:rPr>
            </w:pPr>
          </w:p>
        </w:tc>
      </w:tr>
      <w:tr w:rsidR="00FF0A4B" w14:paraId="44E1ED4D" w14:textId="77777777" w:rsidTr="00607C40">
        <w:trPr>
          <w:trHeight w:val="285"/>
        </w:trPr>
        <w:tc>
          <w:tcPr>
            <w:tcW w:w="1276" w:type="dxa"/>
            <w:tcBorders>
              <w:bottom w:val="single" w:sz="4" w:space="0" w:color="auto"/>
            </w:tcBorders>
            <w:vAlign w:val="center"/>
          </w:tcPr>
          <w:p w14:paraId="6ECFFAF3" w14:textId="176FA240" w:rsidR="00FF0A4B" w:rsidRPr="000B1B3C" w:rsidRDefault="00FF0A4B" w:rsidP="00FF0A4B">
            <w:pPr>
              <w:widowControl/>
              <w:jc w:val="center"/>
              <w:rPr>
                <w:color w:val="595959"/>
                <w:sz w:val="18"/>
                <w:szCs w:val="18"/>
              </w:rPr>
            </w:pPr>
            <w:r>
              <w:rPr>
                <w:rFonts w:hint="eastAsia"/>
                <w:color w:val="000000"/>
                <w:sz w:val="22"/>
                <w:szCs w:val="22"/>
              </w:rPr>
              <w:t>000027</w:t>
            </w:r>
          </w:p>
        </w:tc>
        <w:tc>
          <w:tcPr>
            <w:tcW w:w="1418" w:type="dxa"/>
            <w:tcBorders>
              <w:bottom w:val="single" w:sz="4" w:space="0" w:color="auto"/>
            </w:tcBorders>
            <w:vAlign w:val="center"/>
          </w:tcPr>
          <w:p w14:paraId="3BDB30B7" w14:textId="743DDA0B" w:rsidR="00FF0A4B" w:rsidRPr="000B1B3C" w:rsidRDefault="00FF0A4B" w:rsidP="00FF0A4B">
            <w:pPr>
              <w:widowControl/>
              <w:jc w:val="center"/>
              <w:rPr>
                <w:color w:val="595959"/>
                <w:sz w:val="18"/>
                <w:szCs w:val="18"/>
              </w:rPr>
            </w:pPr>
            <w:r>
              <w:rPr>
                <w:rFonts w:hint="eastAsia"/>
                <w:color w:val="000000"/>
                <w:sz w:val="22"/>
                <w:szCs w:val="22"/>
              </w:rPr>
              <w:t>深圳能源</w:t>
            </w:r>
          </w:p>
        </w:tc>
        <w:tc>
          <w:tcPr>
            <w:tcW w:w="1275" w:type="dxa"/>
            <w:tcBorders>
              <w:bottom w:val="single" w:sz="4" w:space="0" w:color="auto"/>
            </w:tcBorders>
            <w:vAlign w:val="center"/>
          </w:tcPr>
          <w:p w14:paraId="62E8C0CF" w14:textId="312DE708" w:rsidR="00FF0A4B" w:rsidRPr="000B1B3C" w:rsidRDefault="00FF0A4B" w:rsidP="00FF0A4B">
            <w:pPr>
              <w:widowControl/>
              <w:jc w:val="center"/>
              <w:rPr>
                <w:color w:val="595959"/>
                <w:sz w:val="18"/>
                <w:szCs w:val="18"/>
              </w:rPr>
            </w:pPr>
            <w:r>
              <w:rPr>
                <w:rFonts w:hint="eastAsia"/>
                <w:color w:val="000000"/>
                <w:sz w:val="22"/>
                <w:szCs w:val="22"/>
              </w:rPr>
              <w:t>800</w:t>
            </w:r>
          </w:p>
        </w:tc>
        <w:tc>
          <w:tcPr>
            <w:tcW w:w="1418" w:type="dxa"/>
            <w:tcBorders>
              <w:bottom w:val="single" w:sz="4" w:space="0" w:color="auto"/>
            </w:tcBorders>
            <w:vAlign w:val="center"/>
          </w:tcPr>
          <w:p w14:paraId="1639A75C" w14:textId="5F8441D7" w:rsidR="00FF0A4B" w:rsidRDefault="00FF0A4B" w:rsidP="00FF0A4B">
            <w:pPr>
              <w:widowControl/>
              <w:jc w:val="center"/>
              <w:rPr>
                <w:rFonts w:ascii="宋体" w:hAnsi="宋体" w:cs="宋体"/>
                <w:color w:val="000000"/>
                <w:kern w:val="0"/>
                <w:sz w:val="24"/>
              </w:rPr>
            </w:pPr>
            <w:r>
              <w:rPr>
                <w:rFonts w:hint="eastAsia"/>
                <w:color w:val="000000"/>
                <w:sz w:val="22"/>
                <w:szCs w:val="22"/>
              </w:rPr>
              <w:t>允许</w:t>
            </w:r>
          </w:p>
        </w:tc>
        <w:tc>
          <w:tcPr>
            <w:tcW w:w="1701" w:type="dxa"/>
            <w:tcBorders>
              <w:bottom w:val="single" w:sz="4" w:space="0" w:color="auto"/>
            </w:tcBorders>
            <w:vAlign w:val="center"/>
          </w:tcPr>
          <w:p w14:paraId="3CD625F3" w14:textId="4FCD0A59" w:rsidR="00FF0A4B" w:rsidRDefault="00FF0A4B" w:rsidP="00FF0A4B">
            <w:pPr>
              <w:widowControl/>
              <w:jc w:val="center"/>
              <w:rPr>
                <w:rFonts w:ascii="宋体" w:hAnsi="宋体" w:cs="宋体"/>
                <w:color w:val="000000"/>
                <w:kern w:val="0"/>
                <w:sz w:val="24"/>
              </w:rPr>
            </w:pPr>
            <w:r>
              <w:rPr>
                <w:rFonts w:hint="eastAsia"/>
                <w:color w:val="000000"/>
                <w:sz w:val="22"/>
                <w:szCs w:val="22"/>
              </w:rPr>
              <w:t>15%</w:t>
            </w:r>
          </w:p>
        </w:tc>
        <w:tc>
          <w:tcPr>
            <w:tcW w:w="1417" w:type="dxa"/>
            <w:tcBorders>
              <w:top w:val="single" w:sz="4" w:space="0" w:color="auto"/>
              <w:left w:val="single" w:sz="4" w:space="0" w:color="auto"/>
              <w:bottom w:val="single" w:sz="4" w:space="0" w:color="auto"/>
              <w:right w:val="single" w:sz="4" w:space="0" w:color="auto"/>
            </w:tcBorders>
            <w:vAlign w:val="center"/>
          </w:tcPr>
          <w:p w14:paraId="7E7AB796" w14:textId="77777777" w:rsidR="00FF0A4B" w:rsidRDefault="00FF0A4B" w:rsidP="00FF0A4B">
            <w:pPr>
              <w:widowControl/>
              <w:jc w:val="center"/>
              <w:rPr>
                <w:rFonts w:ascii="宋体" w:hAnsi="宋体" w:cs="宋体"/>
                <w:color w:val="000000"/>
                <w:kern w:val="0"/>
                <w:sz w:val="24"/>
              </w:rPr>
            </w:pPr>
          </w:p>
        </w:tc>
      </w:tr>
      <w:tr w:rsidR="00FF0A4B" w14:paraId="3A845BC6" w14:textId="77777777" w:rsidTr="00607C40">
        <w:trPr>
          <w:trHeight w:val="285"/>
        </w:trPr>
        <w:tc>
          <w:tcPr>
            <w:tcW w:w="1276" w:type="dxa"/>
            <w:tcBorders>
              <w:bottom w:val="single" w:sz="4" w:space="0" w:color="auto"/>
            </w:tcBorders>
            <w:vAlign w:val="center"/>
          </w:tcPr>
          <w:p w14:paraId="2A598DE6" w14:textId="57491A4F" w:rsidR="00FF0A4B" w:rsidRPr="000B1B3C" w:rsidRDefault="00FF0A4B" w:rsidP="00FF0A4B">
            <w:pPr>
              <w:widowControl/>
              <w:jc w:val="center"/>
              <w:rPr>
                <w:color w:val="595959"/>
                <w:sz w:val="18"/>
                <w:szCs w:val="18"/>
              </w:rPr>
            </w:pPr>
            <w:r>
              <w:rPr>
                <w:rFonts w:hint="eastAsia"/>
                <w:color w:val="000000"/>
                <w:sz w:val="22"/>
                <w:szCs w:val="22"/>
              </w:rPr>
              <w:t>000031</w:t>
            </w:r>
          </w:p>
        </w:tc>
        <w:tc>
          <w:tcPr>
            <w:tcW w:w="1418" w:type="dxa"/>
            <w:tcBorders>
              <w:bottom w:val="single" w:sz="4" w:space="0" w:color="auto"/>
            </w:tcBorders>
            <w:vAlign w:val="center"/>
          </w:tcPr>
          <w:p w14:paraId="48A56BBF" w14:textId="036F1E35" w:rsidR="00FF0A4B" w:rsidRPr="000B1B3C" w:rsidRDefault="00FF0A4B" w:rsidP="00FF0A4B">
            <w:pPr>
              <w:widowControl/>
              <w:jc w:val="center"/>
              <w:rPr>
                <w:color w:val="595959"/>
                <w:sz w:val="18"/>
                <w:szCs w:val="18"/>
              </w:rPr>
            </w:pPr>
            <w:r>
              <w:rPr>
                <w:rFonts w:hint="eastAsia"/>
                <w:color w:val="000000"/>
                <w:sz w:val="22"/>
                <w:szCs w:val="22"/>
              </w:rPr>
              <w:t>中粮地产</w:t>
            </w:r>
          </w:p>
        </w:tc>
        <w:tc>
          <w:tcPr>
            <w:tcW w:w="1275" w:type="dxa"/>
            <w:tcBorders>
              <w:bottom w:val="single" w:sz="4" w:space="0" w:color="auto"/>
            </w:tcBorders>
            <w:vAlign w:val="center"/>
          </w:tcPr>
          <w:p w14:paraId="0D236B43" w14:textId="1D541167" w:rsidR="00FF0A4B" w:rsidRPr="000B1B3C" w:rsidRDefault="00FF0A4B" w:rsidP="00FF0A4B">
            <w:pPr>
              <w:widowControl/>
              <w:jc w:val="center"/>
              <w:rPr>
                <w:color w:val="595959"/>
                <w:sz w:val="18"/>
                <w:szCs w:val="18"/>
              </w:rPr>
            </w:pPr>
            <w:r>
              <w:rPr>
                <w:rFonts w:hint="eastAsia"/>
                <w:color w:val="000000"/>
                <w:sz w:val="22"/>
                <w:szCs w:val="22"/>
              </w:rPr>
              <w:t>700</w:t>
            </w:r>
          </w:p>
        </w:tc>
        <w:tc>
          <w:tcPr>
            <w:tcW w:w="1418" w:type="dxa"/>
            <w:tcBorders>
              <w:bottom w:val="single" w:sz="4" w:space="0" w:color="auto"/>
            </w:tcBorders>
            <w:vAlign w:val="center"/>
          </w:tcPr>
          <w:p w14:paraId="22D699E5" w14:textId="6C5763F1" w:rsidR="00FF0A4B" w:rsidRDefault="00FF0A4B" w:rsidP="00FF0A4B">
            <w:pPr>
              <w:widowControl/>
              <w:jc w:val="center"/>
              <w:rPr>
                <w:rFonts w:ascii="宋体" w:hAnsi="宋体" w:cs="宋体"/>
                <w:color w:val="000000"/>
                <w:kern w:val="0"/>
                <w:sz w:val="24"/>
              </w:rPr>
            </w:pPr>
            <w:r>
              <w:rPr>
                <w:rFonts w:hint="eastAsia"/>
                <w:color w:val="000000"/>
                <w:sz w:val="22"/>
                <w:szCs w:val="22"/>
              </w:rPr>
              <w:t>允许</w:t>
            </w:r>
          </w:p>
        </w:tc>
        <w:tc>
          <w:tcPr>
            <w:tcW w:w="1701" w:type="dxa"/>
            <w:tcBorders>
              <w:bottom w:val="single" w:sz="4" w:space="0" w:color="auto"/>
            </w:tcBorders>
            <w:vAlign w:val="center"/>
          </w:tcPr>
          <w:p w14:paraId="1DDAB4A5" w14:textId="3545A16B" w:rsidR="00FF0A4B" w:rsidRDefault="00FF0A4B" w:rsidP="00FF0A4B">
            <w:pPr>
              <w:widowControl/>
              <w:jc w:val="center"/>
              <w:rPr>
                <w:rFonts w:ascii="宋体" w:hAnsi="宋体" w:cs="宋体"/>
                <w:color w:val="000000"/>
                <w:kern w:val="0"/>
                <w:sz w:val="24"/>
              </w:rPr>
            </w:pPr>
            <w:r>
              <w:rPr>
                <w:rFonts w:hint="eastAsia"/>
                <w:color w:val="000000"/>
                <w:sz w:val="22"/>
                <w:szCs w:val="22"/>
              </w:rPr>
              <w:t>15%</w:t>
            </w:r>
          </w:p>
        </w:tc>
        <w:tc>
          <w:tcPr>
            <w:tcW w:w="1417" w:type="dxa"/>
            <w:tcBorders>
              <w:top w:val="single" w:sz="4" w:space="0" w:color="auto"/>
              <w:left w:val="single" w:sz="4" w:space="0" w:color="auto"/>
              <w:bottom w:val="single" w:sz="4" w:space="0" w:color="auto"/>
              <w:right w:val="single" w:sz="4" w:space="0" w:color="auto"/>
            </w:tcBorders>
            <w:vAlign w:val="center"/>
          </w:tcPr>
          <w:p w14:paraId="6A50D83C" w14:textId="77777777" w:rsidR="00FF0A4B" w:rsidRDefault="00FF0A4B" w:rsidP="00FF0A4B">
            <w:pPr>
              <w:widowControl/>
              <w:jc w:val="center"/>
              <w:rPr>
                <w:rFonts w:ascii="宋体" w:hAnsi="宋体" w:cs="宋体"/>
                <w:color w:val="000000"/>
                <w:kern w:val="0"/>
                <w:sz w:val="24"/>
              </w:rPr>
            </w:pPr>
          </w:p>
        </w:tc>
      </w:tr>
      <w:tr w:rsidR="00FF0A4B" w14:paraId="5C4D9E91" w14:textId="77777777" w:rsidTr="00607C40">
        <w:trPr>
          <w:trHeight w:val="285"/>
        </w:trPr>
        <w:tc>
          <w:tcPr>
            <w:tcW w:w="1276" w:type="dxa"/>
            <w:tcBorders>
              <w:bottom w:val="single" w:sz="4" w:space="0" w:color="auto"/>
            </w:tcBorders>
            <w:vAlign w:val="center"/>
          </w:tcPr>
          <w:p w14:paraId="02C19CF1" w14:textId="152E43A9" w:rsidR="00FF0A4B" w:rsidRPr="000B1B3C" w:rsidRDefault="00FF0A4B" w:rsidP="00FF0A4B">
            <w:pPr>
              <w:widowControl/>
              <w:jc w:val="center"/>
              <w:rPr>
                <w:color w:val="595959"/>
                <w:sz w:val="18"/>
                <w:szCs w:val="18"/>
              </w:rPr>
            </w:pPr>
            <w:r>
              <w:rPr>
                <w:rFonts w:hint="eastAsia"/>
                <w:color w:val="000000"/>
                <w:sz w:val="22"/>
                <w:szCs w:val="22"/>
              </w:rPr>
              <w:t>000036</w:t>
            </w:r>
          </w:p>
        </w:tc>
        <w:tc>
          <w:tcPr>
            <w:tcW w:w="1418" w:type="dxa"/>
            <w:tcBorders>
              <w:bottom w:val="single" w:sz="4" w:space="0" w:color="auto"/>
            </w:tcBorders>
            <w:vAlign w:val="center"/>
          </w:tcPr>
          <w:p w14:paraId="58AE6D24" w14:textId="624A4A14" w:rsidR="00FF0A4B" w:rsidRPr="000B1B3C" w:rsidRDefault="00FF0A4B" w:rsidP="00FF0A4B">
            <w:pPr>
              <w:widowControl/>
              <w:jc w:val="center"/>
              <w:rPr>
                <w:color w:val="595959"/>
                <w:sz w:val="18"/>
                <w:szCs w:val="18"/>
              </w:rPr>
            </w:pPr>
            <w:r>
              <w:rPr>
                <w:rFonts w:hint="eastAsia"/>
                <w:color w:val="000000"/>
                <w:sz w:val="22"/>
                <w:szCs w:val="22"/>
              </w:rPr>
              <w:t>华联控股</w:t>
            </w:r>
          </w:p>
        </w:tc>
        <w:tc>
          <w:tcPr>
            <w:tcW w:w="1275" w:type="dxa"/>
            <w:tcBorders>
              <w:bottom w:val="single" w:sz="4" w:space="0" w:color="auto"/>
            </w:tcBorders>
            <w:vAlign w:val="center"/>
          </w:tcPr>
          <w:p w14:paraId="369DE2A3" w14:textId="08ADA211" w:rsidR="00FF0A4B" w:rsidRPr="000B1B3C" w:rsidRDefault="00FF0A4B" w:rsidP="00FF0A4B">
            <w:pPr>
              <w:widowControl/>
              <w:jc w:val="center"/>
              <w:rPr>
                <w:color w:val="595959"/>
                <w:sz w:val="18"/>
                <w:szCs w:val="18"/>
              </w:rPr>
            </w:pPr>
            <w:r>
              <w:rPr>
                <w:rFonts w:hint="eastAsia"/>
                <w:color w:val="000000"/>
                <w:sz w:val="22"/>
                <w:szCs w:val="22"/>
              </w:rPr>
              <w:t>600</w:t>
            </w:r>
          </w:p>
        </w:tc>
        <w:tc>
          <w:tcPr>
            <w:tcW w:w="1418" w:type="dxa"/>
            <w:tcBorders>
              <w:bottom w:val="single" w:sz="4" w:space="0" w:color="auto"/>
            </w:tcBorders>
            <w:vAlign w:val="center"/>
          </w:tcPr>
          <w:p w14:paraId="620C488D" w14:textId="108DBDA3" w:rsidR="00FF0A4B" w:rsidRDefault="00FF0A4B" w:rsidP="00FF0A4B">
            <w:pPr>
              <w:widowControl/>
              <w:jc w:val="center"/>
              <w:rPr>
                <w:rFonts w:ascii="宋体" w:hAnsi="宋体" w:cs="宋体"/>
                <w:color w:val="000000"/>
                <w:kern w:val="0"/>
                <w:sz w:val="24"/>
              </w:rPr>
            </w:pPr>
            <w:r>
              <w:rPr>
                <w:rFonts w:hint="eastAsia"/>
                <w:color w:val="000000"/>
                <w:sz w:val="22"/>
                <w:szCs w:val="22"/>
              </w:rPr>
              <w:t>允许</w:t>
            </w:r>
          </w:p>
        </w:tc>
        <w:tc>
          <w:tcPr>
            <w:tcW w:w="1701" w:type="dxa"/>
            <w:tcBorders>
              <w:bottom w:val="single" w:sz="4" w:space="0" w:color="auto"/>
            </w:tcBorders>
            <w:vAlign w:val="center"/>
          </w:tcPr>
          <w:p w14:paraId="0C48320D" w14:textId="28B0DDC6" w:rsidR="00FF0A4B" w:rsidRDefault="00FF0A4B" w:rsidP="00FF0A4B">
            <w:pPr>
              <w:widowControl/>
              <w:jc w:val="center"/>
              <w:rPr>
                <w:rFonts w:ascii="宋体" w:hAnsi="宋体" w:cs="宋体"/>
                <w:color w:val="000000"/>
                <w:kern w:val="0"/>
                <w:sz w:val="24"/>
              </w:rPr>
            </w:pPr>
            <w:r>
              <w:rPr>
                <w:rFonts w:hint="eastAsia"/>
                <w:color w:val="000000"/>
                <w:sz w:val="22"/>
                <w:szCs w:val="22"/>
              </w:rPr>
              <w:t>15%</w:t>
            </w:r>
          </w:p>
        </w:tc>
        <w:tc>
          <w:tcPr>
            <w:tcW w:w="1417" w:type="dxa"/>
            <w:tcBorders>
              <w:top w:val="single" w:sz="4" w:space="0" w:color="auto"/>
              <w:left w:val="single" w:sz="4" w:space="0" w:color="auto"/>
              <w:bottom w:val="single" w:sz="4" w:space="0" w:color="auto"/>
              <w:right w:val="single" w:sz="4" w:space="0" w:color="auto"/>
            </w:tcBorders>
            <w:vAlign w:val="center"/>
          </w:tcPr>
          <w:p w14:paraId="48B4D49E" w14:textId="2438BA51" w:rsidR="00FF0A4B" w:rsidRDefault="00FF0A4B" w:rsidP="00FF0A4B">
            <w:pPr>
              <w:widowControl/>
              <w:jc w:val="center"/>
              <w:rPr>
                <w:rFonts w:ascii="宋体" w:hAnsi="宋体" w:cs="宋体"/>
                <w:color w:val="000000"/>
                <w:kern w:val="0"/>
                <w:sz w:val="24"/>
              </w:rPr>
            </w:pPr>
          </w:p>
        </w:tc>
      </w:tr>
      <w:tr w:rsidR="00FF0A4B" w14:paraId="6390B292" w14:textId="77777777" w:rsidTr="00607C40">
        <w:trPr>
          <w:trHeight w:val="285"/>
        </w:trPr>
        <w:tc>
          <w:tcPr>
            <w:tcW w:w="1276" w:type="dxa"/>
            <w:tcBorders>
              <w:bottom w:val="single" w:sz="4" w:space="0" w:color="auto"/>
            </w:tcBorders>
            <w:vAlign w:val="center"/>
          </w:tcPr>
          <w:p w14:paraId="28C91378" w14:textId="3BFA6A66" w:rsidR="00FF0A4B" w:rsidRPr="000B1B3C" w:rsidRDefault="00FF0A4B" w:rsidP="00FF0A4B">
            <w:pPr>
              <w:widowControl/>
              <w:jc w:val="center"/>
              <w:rPr>
                <w:color w:val="595959"/>
                <w:sz w:val="18"/>
                <w:szCs w:val="18"/>
              </w:rPr>
            </w:pPr>
            <w:r>
              <w:rPr>
                <w:rFonts w:hint="eastAsia"/>
                <w:color w:val="000000"/>
                <w:sz w:val="22"/>
                <w:szCs w:val="22"/>
              </w:rPr>
              <w:t>000039</w:t>
            </w:r>
          </w:p>
        </w:tc>
        <w:tc>
          <w:tcPr>
            <w:tcW w:w="1418" w:type="dxa"/>
            <w:tcBorders>
              <w:bottom w:val="single" w:sz="4" w:space="0" w:color="auto"/>
            </w:tcBorders>
            <w:vAlign w:val="center"/>
          </w:tcPr>
          <w:p w14:paraId="44FCA08F" w14:textId="2F80B4CC" w:rsidR="00FF0A4B" w:rsidRPr="000B1B3C" w:rsidRDefault="00FF0A4B" w:rsidP="00FF0A4B">
            <w:pPr>
              <w:widowControl/>
              <w:jc w:val="center"/>
              <w:rPr>
                <w:color w:val="595959"/>
                <w:sz w:val="18"/>
                <w:szCs w:val="18"/>
              </w:rPr>
            </w:pPr>
            <w:r>
              <w:rPr>
                <w:rFonts w:hint="eastAsia"/>
                <w:color w:val="000000"/>
                <w:sz w:val="22"/>
                <w:szCs w:val="22"/>
              </w:rPr>
              <w:t>中集集团</w:t>
            </w:r>
          </w:p>
        </w:tc>
        <w:tc>
          <w:tcPr>
            <w:tcW w:w="1275" w:type="dxa"/>
            <w:tcBorders>
              <w:bottom w:val="single" w:sz="4" w:space="0" w:color="auto"/>
            </w:tcBorders>
            <w:vAlign w:val="center"/>
          </w:tcPr>
          <w:p w14:paraId="2AA8701B" w14:textId="04975F52" w:rsidR="00FF0A4B" w:rsidRPr="000B1B3C" w:rsidRDefault="00FF0A4B" w:rsidP="00FF0A4B">
            <w:pPr>
              <w:widowControl/>
              <w:jc w:val="center"/>
              <w:rPr>
                <w:color w:val="595959"/>
                <w:sz w:val="18"/>
                <w:szCs w:val="18"/>
              </w:rPr>
            </w:pPr>
            <w:r>
              <w:rPr>
                <w:rFonts w:hint="eastAsia"/>
                <w:color w:val="000000"/>
                <w:sz w:val="22"/>
                <w:szCs w:val="22"/>
              </w:rPr>
              <w:t>100</w:t>
            </w:r>
          </w:p>
        </w:tc>
        <w:tc>
          <w:tcPr>
            <w:tcW w:w="1418" w:type="dxa"/>
            <w:tcBorders>
              <w:bottom w:val="single" w:sz="4" w:space="0" w:color="auto"/>
            </w:tcBorders>
            <w:vAlign w:val="center"/>
          </w:tcPr>
          <w:p w14:paraId="1AE193B4" w14:textId="66A6F782" w:rsidR="00FF0A4B" w:rsidRDefault="00FF0A4B" w:rsidP="00FF0A4B">
            <w:pPr>
              <w:widowControl/>
              <w:jc w:val="center"/>
              <w:rPr>
                <w:rFonts w:ascii="宋体" w:hAnsi="宋体" w:cs="宋体"/>
                <w:color w:val="000000"/>
                <w:kern w:val="0"/>
                <w:sz w:val="24"/>
              </w:rPr>
            </w:pPr>
            <w:r>
              <w:rPr>
                <w:rFonts w:hint="eastAsia"/>
                <w:color w:val="000000"/>
                <w:sz w:val="22"/>
                <w:szCs w:val="22"/>
              </w:rPr>
              <w:t>必须</w:t>
            </w:r>
          </w:p>
        </w:tc>
        <w:tc>
          <w:tcPr>
            <w:tcW w:w="1701" w:type="dxa"/>
            <w:tcBorders>
              <w:bottom w:val="single" w:sz="4" w:space="0" w:color="auto"/>
            </w:tcBorders>
            <w:vAlign w:val="center"/>
          </w:tcPr>
          <w:p w14:paraId="5AEC1656" w14:textId="2E723515" w:rsidR="00FF0A4B" w:rsidRDefault="00FF0A4B" w:rsidP="00FF0A4B">
            <w:pPr>
              <w:widowControl/>
              <w:jc w:val="center"/>
              <w:rPr>
                <w:rFonts w:ascii="宋体" w:hAnsi="宋体" w:cs="宋体"/>
                <w:color w:val="000000"/>
                <w:kern w:val="0"/>
                <w:sz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2E21D90E" w14:textId="6E6B2DF5" w:rsidR="00FF0A4B" w:rsidRDefault="00FF0A4B" w:rsidP="00FF0A4B">
            <w:pPr>
              <w:widowControl/>
              <w:jc w:val="center"/>
              <w:rPr>
                <w:rFonts w:ascii="宋体" w:hAnsi="宋体" w:cs="宋体"/>
                <w:color w:val="000000"/>
                <w:kern w:val="0"/>
                <w:sz w:val="24"/>
              </w:rPr>
            </w:pPr>
            <w:r>
              <w:rPr>
                <w:rFonts w:hint="eastAsia"/>
                <w:color w:val="000000"/>
                <w:sz w:val="22"/>
                <w:szCs w:val="22"/>
              </w:rPr>
              <w:t>1808.000</w:t>
            </w:r>
          </w:p>
        </w:tc>
      </w:tr>
      <w:tr w:rsidR="00FF0A4B" w14:paraId="10E143B6" w14:textId="77777777" w:rsidTr="00607C40">
        <w:trPr>
          <w:trHeight w:val="285"/>
        </w:trPr>
        <w:tc>
          <w:tcPr>
            <w:tcW w:w="1276" w:type="dxa"/>
            <w:tcBorders>
              <w:bottom w:val="single" w:sz="4" w:space="0" w:color="auto"/>
            </w:tcBorders>
            <w:vAlign w:val="center"/>
          </w:tcPr>
          <w:p w14:paraId="411F65A1" w14:textId="423A982D" w:rsidR="00FF0A4B" w:rsidRPr="000B1B3C" w:rsidRDefault="00FF0A4B" w:rsidP="00FF0A4B">
            <w:pPr>
              <w:widowControl/>
              <w:jc w:val="center"/>
              <w:rPr>
                <w:color w:val="595959"/>
                <w:sz w:val="18"/>
                <w:szCs w:val="18"/>
              </w:rPr>
            </w:pPr>
            <w:r>
              <w:rPr>
                <w:rFonts w:hint="eastAsia"/>
                <w:color w:val="000000"/>
                <w:sz w:val="22"/>
                <w:szCs w:val="22"/>
              </w:rPr>
              <w:t>000046</w:t>
            </w:r>
          </w:p>
        </w:tc>
        <w:tc>
          <w:tcPr>
            <w:tcW w:w="1418" w:type="dxa"/>
            <w:tcBorders>
              <w:bottom w:val="single" w:sz="4" w:space="0" w:color="auto"/>
            </w:tcBorders>
            <w:vAlign w:val="center"/>
          </w:tcPr>
          <w:p w14:paraId="6C8A9C1D" w14:textId="00EAD66B" w:rsidR="00FF0A4B" w:rsidRPr="000B1B3C" w:rsidRDefault="00FF0A4B" w:rsidP="00FF0A4B">
            <w:pPr>
              <w:widowControl/>
              <w:jc w:val="center"/>
              <w:rPr>
                <w:color w:val="595959"/>
                <w:sz w:val="18"/>
                <w:szCs w:val="18"/>
              </w:rPr>
            </w:pPr>
            <w:r>
              <w:rPr>
                <w:rFonts w:hint="eastAsia"/>
                <w:color w:val="000000"/>
                <w:sz w:val="22"/>
                <w:szCs w:val="22"/>
              </w:rPr>
              <w:t>泛海控股</w:t>
            </w:r>
          </w:p>
        </w:tc>
        <w:tc>
          <w:tcPr>
            <w:tcW w:w="1275" w:type="dxa"/>
            <w:tcBorders>
              <w:bottom w:val="single" w:sz="4" w:space="0" w:color="auto"/>
            </w:tcBorders>
            <w:vAlign w:val="center"/>
          </w:tcPr>
          <w:p w14:paraId="1C940171" w14:textId="7CA1452E" w:rsidR="00FF0A4B" w:rsidRPr="000B1B3C" w:rsidRDefault="00FF0A4B" w:rsidP="00FF0A4B">
            <w:pPr>
              <w:widowControl/>
              <w:jc w:val="center"/>
              <w:rPr>
                <w:color w:val="595959"/>
                <w:sz w:val="18"/>
                <w:szCs w:val="18"/>
              </w:rPr>
            </w:pPr>
            <w:r>
              <w:rPr>
                <w:rFonts w:hint="eastAsia"/>
                <w:color w:val="000000"/>
                <w:sz w:val="22"/>
                <w:szCs w:val="22"/>
              </w:rPr>
              <w:t>1100</w:t>
            </w:r>
          </w:p>
        </w:tc>
        <w:tc>
          <w:tcPr>
            <w:tcW w:w="1418" w:type="dxa"/>
            <w:tcBorders>
              <w:bottom w:val="single" w:sz="4" w:space="0" w:color="auto"/>
            </w:tcBorders>
            <w:vAlign w:val="center"/>
          </w:tcPr>
          <w:p w14:paraId="75081E18" w14:textId="4AC66446" w:rsidR="00FF0A4B" w:rsidRDefault="00FF0A4B" w:rsidP="00FF0A4B">
            <w:pPr>
              <w:widowControl/>
              <w:jc w:val="center"/>
              <w:rPr>
                <w:rFonts w:ascii="宋体" w:hAnsi="宋体" w:cs="宋体"/>
                <w:color w:val="000000"/>
                <w:kern w:val="0"/>
                <w:sz w:val="24"/>
              </w:rPr>
            </w:pPr>
            <w:r>
              <w:rPr>
                <w:rFonts w:hint="eastAsia"/>
                <w:color w:val="000000"/>
                <w:sz w:val="22"/>
                <w:szCs w:val="22"/>
              </w:rPr>
              <w:t>允许</w:t>
            </w:r>
          </w:p>
        </w:tc>
        <w:tc>
          <w:tcPr>
            <w:tcW w:w="1701" w:type="dxa"/>
            <w:tcBorders>
              <w:bottom w:val="single" w:sz="4" w:space="0" w:color="auto"/>
            </w:tcBorders>
            <w:vAlign w:val="center"/>
          </w:tcPr>
          <w:p w14:paraId="53777AF3" w14:textId="30C70240" w:rsidR="00FF0A4B" w:rsidRDefault="00FF0A4B" w:rsidP="00FF0A4B">
            <w:pPr>
              <w:widowControl/>
              <w:jc w:val="center"/>
              <w:rPr>
                <w:rFonts w:ascii="宋体" w:hAnsi="宋体" w:cs="宋体"/>
                <w:color w:val="000000"/>
                <w:kern w:val="0"/>
                <w:sz w:val="24"/>
              </w:rPr>
            </w:pPr>
            <w:r>
              <w:rPr>
                <w:rFonts w:hint="eastAsia"/>
                <w:color w:val="000000"/>
                <w:sz w:val="22"/>
                <w:szCs w:val="22"/>
              </w:rPr>
              <w:t>15%</w:t>
            </w:r>
          </w:p>
        </w:tc>
        <w:tc>
          <w:tcPr>
            <w:tcW w:w="1417" w:type="dxa"/>
            <w:tcBorders>
              <w:top w:val="single" w:sz="4" w:space="0" w:color="auto"/>
              <w:left w:val="single" w:sz="4" w:space="0" w:color="auto"/>
              <w:bottom w:val="single" w:sz="4" w:space="0" w:color="auto"/>
              <w:right w:val="single" w:sz="4" w:space="0" w:color="auto"/>
            </w:tcBorders>
            <w:vAlign w:val="center"/>
          </w:tcPr>
          <w:p w14:paraId="29B49C69" w14:textId="77777777" w:rsidR="00FF0A4B" w:rsidRDefault="00FF0A4B" w:rsidP="00FF0A4B">
            <w:pPr>
              <w:widowControl/>
              <w:jc w:val="center"/>
              <w:rPr>
                <w:rFonts w:ascii="宋体" w:hAnsi="宋体" w:cs="宋体"/>
                <w:color w:val="000000"/>
                <w:kern w:val="0"/>
                <w:sz w:val="24"/>
              </w:rPr>
            </w:pPr>
          </w:p>
        </w:tc>
      </w:tr>
      <w:tr w:rsidR="00FF0A4B" w14:paraId="5B81F440" w14:textId="77777777" w:rsidTr="00607C40">
        <w:trPr>
          <w:trHeight w:val="285"/>
        </w:trPr>
        <w:tc>
          <w:tcPr>
            <w:tcW w:w="1276" w:type="dxa"/>
            <w:tcBorders>
              <w:bottom w:val="single" w:sz="4" w:space="0" w:color="auto"/>
            </w:tcBorders>
            <w:vAlign w:val="center"/>
          </w:tcPr>
          <w:p w14:paraId="2CEF4F3F" w14:textId="7DC64261" w:rsidR="00FF0A4B" w:rsidRPr="000B1B3C" w:rsidRDefault="00FF0A4B" w:rsidP="00FF0A4B">
            <w:pPr>
              <w:widowControl/>
              <w:jc w:val="center"/>
              <w:rPr>
                <w:color w:val="595959"/>
                <w:sz w:val="18"/>
                <w:szCs w:val="18"/>
              </w:rPr>
            </w:pPr>
            <w:r>
              <w:rPr>
                <w:rFonts w:hint="eastAsia"/>
                <w:color w:val="000000"/>
                <w:sz w:val="22"/>
                <w:szCs w:val="22"/>
              </w:rPr>
              <w:t>000050</w:t>
            </w:r>
          </w:p>
        </w:tc>
        <w:tc>
          <w:tcPr>
            <w:tcW w:w="1418" w:type="dxa"/>
            <w:tcBorders>
              <w:bottom w:val="single" w:sz="4" w:space="0" w:color="auto"/>
            </w:tcBorders>
            <w:vAlign w:val="center"/>
          </w:tcPr>
          <w:p w14:paraId="73BFEB37" w14:textId="64B09C36" w:rsidR="00FF0A4B" w:rsidRPr="000B1B3C" w:rsidRDefault="00FF0A4B" w:rsidP="00FF0A4B">
            <w:pPr>
              <w:widowControl/>
              <w:jc w:val="center"/>
              <w:rPr>
                <w:color w:val="595959"/>
                <w:sz w:val="18"/>
                <w:szCs w:val="18"/>
              </w:rPr>
            </w:pPr>
            <w:r>
              <w:rPr>
                <w:rFonts w:hint="eastAsia"/>
                <w:color w:val="000000"/>
                <w:sz w:val="22"/>
                <w:szCs w:val="22"/>
              </w:rPr>
              <w:t>深天马Ａ</w:t>
            </w:r>
          </w:p>
        </w:tc>
        <w:tc>
          <w:tcPr>
            <w:tcW w:w="1275" w:type="dxa"/>
            <w:tcBorders>
              <w:bottom w:val="single" w:sz="4" w:space="0" w:color="auto"/>
            </w:tcBorders>
            <w:vAlign w:val="center"/>
          </w:tcPr>
          <w:p w14:paraId="24AF9A30" w14:textId="666CDF9C" w:rsidR="00FF0A4B" w:rsidRPr="000B1B3C" w:rsidRDefault="00FF0A4B" w:rsidP="00FF0A4B">
            <w:pPr>
              <w:widowControl/>
              <w:jc w:val="center"/>
              <w:rPr>
                <w:color w:val="595959"/>
                <w:sz w:val="18"/>
                <w:szCs w:val="18"/>
              </w:rPr>
            </w:pPr>
            <w:r>
              <w:rPr>
                <w:rFonts w:hint="eastAsia"/>
                <w:color w:val="000000"/>
                <w:sz w:val="22"/>
                <w:szCs w:val="22"/>
              </w:rPr>
              <w:t>600</w:t>
            </w:r>
          </w:p>
        </w:tc>
        <w:tc>
          <w:tcPr>
            <w:tcW w:w="1418" w:type="dxa"/>
            <w:tcBorders>
              <w:bottom w:val="single" w:sz="4" w:space="0" w:color="auto"/>
            </w:tcBorders>
            <w:vAlign w:val="center"/>
          </w:tcPr>
          <w:p w14:paraId="7FBAEAFE" w14:textId="0795DEA6" w:rsidR="00FF0A4B" w:rsidRDefault="00FF0A4B" w:rsidP="00FF0A4B">
            <w:pPr>
              <w:widowControl/>
              <w:jc w:val="center"/>
              <w:rPr>
                <w:rFonts w:ascii="宋体" w:hAnsi="宋体" w:cs="宋体"/>
                <w:color w:val="000000"/>
                <w:kern w:val="0"/>
                <w:sz w:val="24"/>
              </w:rPr>
            </w:pPr>
            <w:r>
              <w:rPr>
                <w:rFonts w:hint="eastAsia"/>
                <w:color w:val="000000"/>
                <w:sz w:val="22"/>
                <w:szCs w:val="22"/>
              </w:rPr>
              <w:t>允许</w:t>
            </w:r>
          </w:p>
        </w:tc>
        <w:tc>
          <w:tcPr>
            <w:tcW w:w="1701" w:type="dxa"/>
            <w:tcBorders>
              <w:bottom w:val="single" w:sz="4" w:space="0" w:color="auto"/>
            </w:tcBorders>
            <w:vAlign w:val="center"/>
          </w:tcPr>
          <w:p w14:paraId="40D5FE05" w14:textId="49736576" w:rsidR="00FF0A4B" w:rsidRDefault="00FF0A4B" w:rsidP="00FF0A4B">
            <w:pPr>
              <w:widowControl/>
              <w:jc w:val="center"/>
              <w:rPr>
                <w:rFonts w:ascii="宋体" w:hAnsi="宋体" w:cs="宋体"/>
                <w:color w:val="000000"/>
                <w:kern w:val="0"/>
                <w:sz w:val="24"/>
              </w:rPr>
            </w:pPr>
            <w:r>
              <w:rPr>
                <w:rFonts w:hint="eastAsia"/>
                <w:color w:val="000000"/>
                <w:sz w:val="22"/>
                <w:szCs w:val="22"/>
              </w:rPr>
              <w:t>15%</w:t>
            </w:r>
          </w:p>
        </w:tc>
        <w:tc>
          <w:tcPr>
            <w:tcW w:w="1417" w:type="dxa"/>
            <w:tcBorders>
              <w:top w:val="single" w:sz="4" w:space="0" w:color="auto"/>
              <w:left w:val="single" w:sz="4" w:space="0" w:color="auto"/>
              <w:bottom w:val="single" w:sz="4" w:space="0" w:color="auto"/>
              <w:right w:val="single" w:sz="4" w:space="0" w:color="auto"/>
            </w:tcBorders>
            <w:vAlign w:val="center"/>
          </w:tcPr>
          <w:p w14:paraId="6C7EE772" w14:textId="77777777" w:rsidR="00FF0A4B" w:rsidRDefault="00FF0A4B" w:rsidP="00FF0A4B">
            <w:pPr>
              <w:widowControl/>
              <w:jc w:val="center"/>
              <w:rPr>
                <w:rFonts w:ascii="宋体" w:hAnsi="宋体" w:cs="宋体"/>
                <w:color w:val="000000"/>
                <w:kern w:val="0"/>
                <w:sz w:val="24"/>
              </w:rPr>
            </w:pPr>
          </w:p>
        </w:tc>
      </w:tr>
      <w:tr w:rsidR="00FF0A4B" w14:paraId="2BDA0884" w14:textId="77777777" w:rsidTr="00607C40">
        <w:trPr>
          <w:trHeight w:val="285"/>
        </w:trPr>
        <w:tc>
          <w:tcPr>
            <w:tcW w:w="1276" w:type="dxa"/>
            <w:tcBorders>
              <w:bottom w:val="single" w:sz="4" w:space="0" w:color="auto"/>
            </w:tcBorders>
            <w:vAlign w:val="center"/>
          </w:tcPr>
          <w:p w14:paraId="23843490" w14:textId="3880450F" w:rsidR="00FF0A4B" w:rsidRPr="000B1B3C" w:rsidRDefault="00FF0A4B" w:rsidP="00FF0A4B">
            <w:pPr>
              <w:widowControl/>
              <w:jc w:val="center"/>
              <w:rPr>
                <w:color w:val="595959"/>
                <w:sz w:val="18"/>
                <w:szCs w:val="18"/>
              </w:rPr>
            </w:pPr>
            <w:r>
              <w:rPr>
                <w:rFonts w:hint="eastAsia"/>
                <w:color w:val="000000"/>
                <w:sz w:val="22"/>
                <w:szCs w:val="22"/>
              </w:rPr>
              <w:t>000059</w:t>
            </w:r>
          </w:p>
        </w:tc>
        <w:tc>
          <w:tcPr>
            <w:tcW w:w="1418" w:type="dxa"/>
            <w:tcBorders>
              <w:bottom w:val="single" w:sz="4" w:space="0" w:color="auto"/>
            </w:tcBorders>
            <w:vAlign w:val="center"/>
          </w:tcPr>
          <w:p w14:paraId="21E12EB6" w14:textId="39839873" w:rsidR="00FF0A4B" w:rsidRPr="000B1B3C" w:rsidRDefault="00FF0A4B" w:rsidP="00FF0A4B">
            <w:pPr>
              <w:widowControl/>
              <w:jc w:val="center"/>
              <w:rPr>
                <w:color w:val="595959"/>
                <w:sz w:val="18"/>
                <w:szCs w:val="18"/>
              </w:rPr>
            </w:pPr>
            <w:r>
              <w:rPr>
                <w:rFonts w:hint="eastAsia"/>
                <w:color w:val="000000"/>
                <w:sz w:val="22"/>
                <w:szCs w:val="22"/>
              </w:rPr>
              <w:t>华</w:t>
            </w:r>
            <w:proofErr w:type="gramStart"/>
            <w:r>
              <w:rPr>
                <w:rFonts w:hint="eastAsia"/>
                <w:color w:val="000000"/>
                <w:sz w:val="22"/>
                <w:szCs w:val="22"/>
              </w:rPr>
              <w:t>锦股份</w:t>
            </w:r>
            <w:proofErr w:type="gramEnd"/>
          </w:p>
        </w:tc>
        <w:tc>
          <w:tcPr>
            <w:tcW w:w="1275" w:type="dxa"/>
            <w:tcBorders>
              <w:bottom w:val="single" w:sz="4" w:space="0" w:color="auto"/>
            </w:tcBorders>
            <w:vAlign w:val="center"/>
          </w:tcPr>
          <w:p w14:paraId="56C9D103" w14:textId="236FBB6F" w:rsidR="00FF0A4B" w:rsidRPr="000B1B3C" w:rsidRDefault="00FF0A4B" w:rsidP="00FF0A4B">
            <w:pPr>
              <w:widowControl/>
              <w:jc w:val="center"/>
              <w:rPr>
                <w:color w:val="595959"/>
                <w:sz w:val="18"/>
                <w:szCs w:val="18"/>
              </w:rPr>
            </w:pPr>
            <w:r>
              <w:rPr>
                <w:rFonts w:hint="eastAsia"/>
                <w:color w:val="000000"/>
                <w:sz w:val="22"/>
                <w:szCs w:val="22"/>
              </w:rPr>
              <w:t>600</w:t>
            </w:r>
          </w:p>
        </w:tc>
        <w:tc>
          <w:tcPr>
            <w:tcW w:w="1418" w:type="dxa"/>
            <w:tcBorders>
              <w:bottom w:val="single" w:sz="4" w:space="0" w:color="auto"/>
            </w:tcBorders>
            <w:vAlign w:val="center"/>
          </w:tcPr>
          <w:p w14:paraId="17643237" w14:textId="28B80A6A" w:rsidR="00FF0A4B" w:rsidRDefault="00FF0A4B" w:rsidP="00FF0A4B">
            <w:pPr>
              <w:widowControl/>
              <w:jc w:val="center"/>
              <w:rPr>
                <w:rFonts w:ascii="宋体" w:hAnsi="宋体" w:cs="宋体"/>
                <w:color w:val="000000"/>
                <w:kern w:val="0"/>
                <w:sz w:val="24"/>
              </w:rPr>
            </w:pPr>
            <w:r>
              <w:rPr>
                <w:rFonts w:hint="eastAsia"/>
                <w:color w:val="000000"/>
                <w:sz w:val="22"/>
                <w:szCs w:val="22"/>
              </w:rPr>
              <w:t>允许</w:t>
            </w:r>
          </w:p>
        </w:tc>
        <w:tc>
          <w:tcPr>
            <w:tcW w:w="1701" w:type="dxa"/>
            <w:tcBorders>
              <w:bottom w:val="single" w:sz="4" w:space="0" w:color="auto"/>
            </w:tcBorders>
            <w:vAlign w:val="center"/>
          </w:tcPr>
          <w:p w14:paraId="79E71E73" w14:textId="06710CB7" w:rsidR="00FF0A4B" w:rsidRDefault="00FF0A4B" w:rsidP="00FF0A4B">
            <w:pPr>
              <w:widowControl/>
              <w:jc w:val="center"/>
              <w:rPr>
                <w:rFonts w:ascii="宋体" w:hAnsi="宋体" w:cs="宋体"/>
                <w:color w:val="000000"/>
                <w:kern w:val="0"/>
                <w:sz w:val="24"/>
              </w:rPr>
            </w:pPr>
            <w:r>
              <w:rPr>
                <w:rFonts w:hint="eastAsia"/>
                <w:color w:val="000000"/>
                <w:sz w:val="22"/>
                <w:szCs w:val="22"/>
              </w:rPr>
              <w:t>15%</w:t>
            </w:r>
          </w:p>
        </w:tc>
        <w:tc>
          <w:tcPr>
            <w:tcW w:w="1417" w:type="dxa"/>
            <w:tcBorders>
              <w:top w:val="single" w:sz="4" w:space="0" w:color="auto"/>
              <w:left w:val="single" w:sz="4" w:space="0" w:color="auto"/>
              <w:bottom w:val="single" w:sz="4" w:space="0" w:color="auto"/>
              <w:right w:val="single" w:sz="4" w:space="0" w:color="auto"/>
            </w:tcBorders>
            <w:vAlign w:val="center"/>
          </w:tcPr>
          <w:p w14:paraId="32882401" w14:textId="77777777" w:rsidR="00FF0A4B" w:rsidRDefault="00FF0A4B" w:rsidP="00FF0A4B">
            <w:pPr>
              <w:widowControl/>
              <w:jc w:val="center"/>
              <w:rPr>
                <w:rFonts w:ascii="宋体" w:hAnsi="宋体" w:cs="宋体"/>
                <w:color w:val="000000"/>
                <w:kern w:val="0"/>
                <w:sz w:val="24"/>
              </w:rPr>
            </w:pPr>
          </w:p>
        </w:tc>
      </w:tr>
      <w:tr w:rsidR="00FF0A4B" w14:paraId="6F8281BD" w14:textId="77777777" w:rsidTr="00607C40">
        <w:trPr>
          <w:trHeight w:val="285"/>
        </w:trPr>
        <w:tc>
          <w:tcPr>
            <w:tcW w:w="1276" w:type="dxa"/>
            <w:tcBorders>
              <w:bottom w:val="single" w:sz="4" w:space="0" w:color="auto"/>
            </w:tcBorders>
            <w:vAlign w:val="center"/>
          </w:tcPr>
          <w:p w14:paraId="668574BC" w14:textId="657EBD5D" w:rsidR="00FF0A4B" w:rsidRPr="000B1B3C" w:rsidRDefault="00FF0A4B" w:rsidP="00FF0A4B">
            <w:pPr>
              <w:widowControl/>
              <w:jc w:val="center"/>
              <w:rPr>
                <w:color w:val="595959"/>
                <w:sz w:val="18"/>
                <w:szCs w:val="18"/>
              </w:rPr>
            </w:pPr>
            <w:r>
              <w:rPr>
                <w:rFonts w:hint="eastAsia"/>
                <w:color w:val="000000"/>
                <w:sz w:val="22"/>
                <w:szCs w:val="22"/>
              </w:rPr>
              <w:t>000069</w:t>
            </w:r>
          </w:p>
        </w:tc>
        <w:tc>
          <w:tcPr>
            <w:tcW w:w="1418" w:type="dxa"/>
            <w:tcBorders>
              <w:bottom w:val="single" w:sz="4" w:space="0" w:color="auto"/>
            </w:tcBorders>
            <w:vAlign w:val="center"/>
          </w:tcPr>
          <w:p w14:paraId="28DC46C3" w14:textId="36DD4677" w:rsidR="00FF0A4B" w:rsidRPr="000B1B3C" w:rsidRDefault="00FF0A4B" w:rsidP="00FF0A4B">
            <w:pPr>
              <w:widowControl/>
              <w:jc w:val="center"/>
              <w:rPr>
                <w:color w:val="595959"/>
                <w:sz w:val="18"/>
                <w:szCs w:val="18"/>
              </w:rPr>
            </w:pPr>
            <w:r>
              <w:rPr>
                <w:rFonts w:hint="eastAsia"/>
                <w:color w:val="000000"/>
                <w:sz w:val="22"/>
                <w:szCs w:val="22"/>
              </w:rPr>
              <w:t>华侨城Ａ</w:t>
            </w:r>
          </w:p>
        </w:tc>
        <w:tc>
          <w:tcPr>
            <w:tcW w:w="1275" w:type="dxa"/>
            <w:tcBorders>
              <w:bottom w:val="single" w:sz="4" w:space="0" w:color="auto"/>
            </w:tcBorders>
            <w:vAlign w:val="center"/>
          </w:tcPr>
          <w:p w14:paraId="259360FC" w14:textId="2BB622F0" w:rsidR="00FF0A4B" w:rsidRPr="000B1B3C" w:rsidRDefault="00FF0A4B" w:rsidP="00FF0A4B">
            <w:pPr>
              <w:widowControl/>
              <w:jc w:val="center"/>
              <w:rPr>
                <w:color w:val="595959"/>
                <w:sz w:val="18"/>
                <w:szCs w:val="18"/>
              </w:rPr>
            </w:pPr>
            <w:r>
              <w:rPr>
                <w:rFonts w:hint="eastAsia"/>
                <w:color w:val="000000"/>
                <w:sz w:val="22"/>
                <w:szCs w:val="22"/>
              </w:rPr>
              <w:t>2200</w:t>
            </w:r>
          </w:p>
        </w:tc>
        <w:tc>
          <w:tcPr>
            <w:tcW w:w="1418" w:type="dxa"/>
            <w:tcBorders>
              <w:bottom w:val="single" w:sz="4" w:space="0" w:color="auto"/>
            </w:tcBorders>
            <w:vAlign w:val="center"/>
          </w:tcPr>
          <w:p w14:paraId="21FC7B97" w14:textId="621E3AE3" w:rsidR="00FF0A4B" w:rsidRDefault="00FF0A4B" w:rsidP="00FF0A4B">
            <w:pPr>
              <w:widowControl/>
              <w:jc w:val="center"/>
              <w:rPr>
                <w:rFonts w:ascii="宋体" w:hAnsi="宋体" w:cs="宋体"/>
                <w:color w:val="000000"/>
                <w:kern w:val="0"/>
                <w:sz w:val="24"/>
              </w:rPr>
            </w:pPr>
            <w:r>
              <w:rPr>
                <w:rFonts w:hint="eastAsia"/>
                <w:color w:val="000000"/>
                <w:sz w:val="22"/>
                <w:szCs w:val="22"/>
              </w:rPr>
              <w:t>允许</w:t>
            </w:r>
          </w:p>
        </w:tc>
        <w:tc>
          <w:tcPr>
            <w:tcW w:w="1701" w:type="dxa"/>
            <w:tcBorders>
              <w:bottom w:val="single" w:sz="4" w:space="0" w:color="auto"/>
            </w:tcBorders>
            <w:vAlign w:val="center"/>
          </w:tcPr>
          <w:p w14:paraId="6E1E13BD" w14:textId="10F12E64" w:rsidR="00FF0A4B" w:rsidRDefault="00FF0A4B" w:rsidP="00FF0A4B">
            <w:pPr>
              <w:widowControl/>
              <w:jc w:val="center"/>
              <w:rPr>
                <w:rFonts w:ascii="宋体" w:hAnsi="宋体" w:cs="宋体"/>
                <w:color w:val="000000"/>
                <w:kern w:val="0"/>
                <w:sz w:val="24"/>
              </w:rPr>
            </w:pPr>
            <w:r>
              <w:rPr>
                <w:rFonts w:hint="eastAsia"/>
                <w:color w:val="000000"/>
                <w:sz w:val="22"/>
                <w:szCs w:val="22"/>
              </w:rPr>
              <w:t>15%</w:t>
            </w:r>
          </w:p>
        </w:tc>
        <w:tc>
          <w:tcPr>
            <w:tcW w:w="1417" w:type="dxa"/>
            <w:tcBorders>
              <w:top w:val="single" w:sz="4" w:space="0" w:color="auto"/>
              <w:left w:val="single" w:sz="4" w:space="0" w:color="auto"/>
              <w:bottom w:val="single" w:sz="4" w:space="0" w:color="auto"/>
              <w:right w:val="single" w:sz="4" w:space="0" w:color="auto"/>
            </w:tcBorders>
            <w:vAlign w:val="center"/>
          </w:tcPr>
          <w:p w14:paraId="12E8293B" w14:textId="77777777" w:rsidR="00FF0A4B" w:rsidRDefault="00FF0A4B" w:rsidP="00FF0A4B">
            <w:pPr>
              <w:widowControl/>
              <w:jc w:val="center"/>
              <w:rPr>
                <w:rFonts w:ascii="宋体" w:hAnsi="宋体" w:cs="宋体"/>
                <w:color w:val="000000"/>
                <w:kern w:val="0"/>
                <w:sz w:val="24"/>
              </w:rPr>
            </w:pPr>
          </w:p>
        </w:tc>
      </w:tr>
      <w:tr w:rsidR="00FF0A4B" w14:paraId="54DFDD96" w14:textId="77777777" w:rsidTr="00607C40">
        <w:trPr>
          <w:trHeight w:val="285"/>
        </w:trPr>
        <w:tc>
          <w:tcPr>
            <w:tcW w:w="1276" w:type="dxa"/>
            <w:tcBorders>
              <w:bottom w:val="single" w:sz="4" w:space="0" w:color="auto"/>
            </w:tcBorders>
            <w:vAlign w:val="center"/>
          </w:tcPr>
          <w:p w14:paraId="7CB83089" w14:textId="3E6AA2CD" w:rsidR="00FF0A4B" w:rsidRPr="000B1B3C" w:rsidRDefault="00FF0A4B" w:rsidP="00FF0A4B">
            <w:pPr>
              <w:widowControl/>
              <w:jc w:val="center"/>
              <w:rPr>
                <w:color w:val="595959"/>
                <w:sz w:val="18"/>
                <w:szCs w:val="18"/>
              </w:rPr>
            </w:pPr>
            <w:r>
              <w:rPr>
                <w:rFonts w:hint="eastAsia"/>
                <w:color w:val="000000"/>
                <w:sz w:val="22"/>
                <w:szCs w:val="22"/>
              </w:rPr>
              <w:t>000100</w:t>
            </w:r>
          </w:p>
        </w:tc>
        <w:tc>
          <w:tcPr>
            <w:tcW w:w="1418" w:type="dxa"/>
            <w:tcBorders>
              <w:bottom w:val="single" w:sz="4" w:space="0" w:color="auto"/>
            </w:tcBorders>
            <w:vAlign w:val="center"/>
          </w:tcPr>
          <w:p w14:paraId="412AE1CB" w14:textId="0B480699" w:rsidR="00FF0A4B" w:rsidRPr="000B1B3C" w:rsidRDefault="00FF0A4B" w:rsidP="00FF0A4B">
            <w:pPr>
              <w:widowControl/>
              <w:jc w:val="center"/>
              <w:rPr>
                <w:color w:val="595959"/>
                <w:sz w:val="18"/>
                <w:szCs w:val="18"/>
              </w:rPr>
            </w:pPr>
            <w:r>
              <w:rPr>
                <w:rFonts w:hint="eastAsia"/>
                <w:color w:val="000000"/>
                <w:sz w:val="22"/>
                <w:szCs w:val="22"/>
              </w:rPr>
              <w:t xml:space="preserve">TCL </w:t>
            </w:r>
            <w:r>
              <w:rPr>
                <w:rFonts w:hint="eastAsia"/>
                <w:color w:val="000000"/>
                <w:sz w:val="22"/>
                <w:szCs w:val="22"/>
              </w:rPr>
              <w:t>集团</w:t>
            </w:r>
          </w:p>
        </w:tc>
        <w:tc>
          <w:tcPr>
            <w:tcW w:w="1275" w:type="dxa"/>
            <w:tcBorders>
              <w:bottom w:val="single" w:sz="4" w:space="0" w:color="auto"/>
            </w:tcBorders>
            <w:vAlign w:val="center"/>
          </w:tcPr>
          <w:p w14:paraId="2525037C" w14:textId="460BDFA7" w:rsidR="00FF0A4B" w:rsidRPr="000B1B3C" w:rsidRDefault="00FF0A4B" w:rsidP="00FF0A4B">
            <w:pPr>
              <w:widowControl/>
              <w:jc w:val="center"/>
              <w:rPr>
                <w:color w:val="595959"/>
                <w:sz w:val="18"/>
                <w:szCs w:val="18"/>
              </w:rPr>
            </w:pPr>
            <w:r>
              <w:rPr>
                <w:rFonts w:hint="eastAsia"/>
                <w:color w:val="000000"/>
                <w:sz w:val="22"/>
                <w:szCs w:val="22"/>
              </w:rPr>
              <w:t>6000</w:t>
            </w:r>
          </w:p>
        </w:tc>
        <w:tc>
          <w:tcPr>
            <w:tcW w:w="1418" w:type="dxa"/>
            <w:tcBorders>
              <w:bottom w:val="single" w:sz="4" w:space="0" w:color="auto"/>
            </w:tcBorders>
            <w:vAlign w:val="center"/>
          </w:tcPr>
          <w:p w14:paraId="1803849D" w14:textId="39575813" w:rsidR="00FF0A4B" w:rsidRDefault="00FF0A4B" w:rsidP="00FF0A4B">
            <w:pPr>
              <w:widowControl/>
              <w:jc w:val="center"/>
              <w:rPr>
                <w:rFonts w:ascii="宋体" w:hAnsi="宋体" w:cs="宋体"/>
                <w:color w:val="000000"/>
                <w:kern w:val="0"/>
                <w:sz w:val="24"/>
              </w:rPr>
            </w:pPr>
            <w:r>
              <w:rPr>
                <w:rFonts w:hint="eastAsia"/>
                <w:color w:val="000000"/>
                <w:sz w:val="22"/>
                <w:szCs w:val="22"/>
              </w:rPr>
              <w:t>允许</w:t>
            </w:r>
          </w:p>
        </w:tc>
        <w:tc>
          <w:tcPr>
            <w:tcW w:w="1701" w:type="dxa"/>
            <w:tcBorders>
              <w:bottom w:val="single" w:sz="4" w:space="0" w:color="auto"/>
            </w:tcBorders>
            <w:vAlign w:val="center"/>
          </w:tcPr>
          <w:p w14:paraId="5A034955" w14:textId="6C5F5D81" w:rsidR="00FF0A4B" w:rsidRDefault="00FF0A4B" w:rsidP="00FF0A4B">
            <w:pPr>
              <w:widowControl/>
              <w:jc w:val="center"/>
              <w:rPr>
                <w:rFonts w:ascii="宋体" w:hAnsi="宋体" w:cs="宋体"/>
                <w:color w:val="000000"/>
                <w:kern w:val="0"/>
                <w:sz w:val="24"/>
              </w:rPr>
            </w:pPr>
            <w:r>
              <w:rPr>
                <w:rFonts w:hint="eastAsia"/>
                <w:color w:val="000000"/>
                <w:sz w:val="22"/>
                <w:szCs w:val="22"/>
              </w:rPr>
              <w:t>15%</w:t>
            </w:r>
          </w:p>
        </w:tc>
        <w:tc>
          <w:tcPr>
            <w:tcW w:w="1417" w:type="dxa"/>
            <w:tcBorders>
              <w:top w:val="single" w:sz="4" w:space="0" w:color="auto"/>
              <w:left w:val="single" w:sz="4" w:space="0" w:color="auto"/>
              <w:bottom w:val="single" w:sz="4" w:space="0" w:color="auto"/>
              <w:right w:val="single" w:sz="4" w:space="0" w:color="auto"/>
            </w:tcBorders>
            <w:vAlign w:val="center"/>
          </w:tcPr>
          <w:p w14:paraId="4B213AF6" w14:textId="77777777" w:rsidR="00FF0A4B" w:rsidRDefault="00FF0A4B" w:rsidP="00FF0A4B">
            <w:pPr>
              <w:widowControl/>
              <w:jc w:val="center"/>
              <w:rPr>
                <w:rFonts w:ascii="宋体" w:hAnsi="宋体" w:cs="宋体"/>
                <w:color w:val="000000"/>
                <w:kern w:val="0"/>
                <w:sz w:val="24"/>
              </w:rPr>
            </w:pPr>
          </w:p>
        </w:tc>
      </w:tr>
      <w:tr w:rsidR="00FF0A4B" w14:paraId="378AC4EA" w14:textId="77777777" w:rsidTr="00607C40">
        <w:trPr>
          <w:trHeight w:val="285"/>
        </w:trPr>
        <w:tc>
          <w:tcPr>
            <w:tcW w:w="1276" w:type="dxa"/>
            <w:tcBorders>
              <w:bottom w:val="single" w:sz="4" w:space="0" w:color="auto"/>
            </w:tcBorders>
            <w:vAlign w:val="center"/>
          </w:tcPr>
          <w:p w14:paraId="2B44A4C0" w14:textId="23B04707" w:rsidR="00FF0A4B" w:rsidRPr="000B1B3C" w:rsidRDefault="00FF0A4B" w:rsidP="00FF0A4B">
            <w:pPr>
              <w:widowControl/>
              <w:jc w:val="center"/>
              <w:rPr>
                <w:color w:val="595959"/>
                <w:sz w:val="18"/>
                <w:szCs w:val="18"/>
              </w:rPr>
            </w:pPr>
            <w:r>
              <w:rPr>
                <w:rFonts w:hint="eastAsia"/>
                <w:color w:val="000000"/>
                <w:sz w:val="22"/>
                <w:szCs w:val="22"/>
              </w:rPr>
              <w:lastRenderedPageBreak/>
              <w:t>000157</w:t>
            </w:r>
          </w:p>
        </w:tc>
        <w:tc>
          <w:tcPr>
            <w:tcW w:w="1418" w:type="dxa"/>
            <w:tcBorders>
              <w:bottom w:val="single" w:sz="4" w:space="0" w:color="auto"/>
            </w:tcBorders>
            <w:vAlign w:val="center"/>
          </w:tcPr>
          <w:p w14:paraId="03712AC0" w14:textId="20ABFEF5" w:rsidR="00FF0A4B" w:rsidRPr="000B1B3C" w:rsidRDefault="00FF0A4B" w:rsidP="00FF0A4B">
            <w:pPr>
              <w:widowControl/>
              <w:jc w:val="center"/>
              <w:rPr>
                <w:color w:val="595959"/>
                <w:sz w:val="18"/>
                <w:szCs w:val="18"/>
              </w:rPr>
            </w:pPr>
            <w:r>
              <w:rPr>
                <w:rFonts w:hint="eastAsia"/>
                <w:color w:val="000000"/>
                <w:sz w:val="22"/>
                <w:szCs w:val="22"/>
              </w:rPr>
              <w:t>中联重科</w:t>
            </w:r>
          </w:p>
        </w:tc>
        <w:tc>
          <w:tcPr>
            <w:tcW w:w="1275" w:type="dxa"/>
            <w:tcBorders>
              <w:bottom w:val="single" w:sz="4" w:space="0" w:color="auto"/>
            </w:tcBorders>
            <w:vAlign w:val="center"/>
          </w:tcPr>
          <w:p w14:paraId="2781C8CA" w14:textId="7A3BD85B" w:rsidR="00FF0A4B" w:rsidRPr="000B1B3C" w:rsidRDefault="00FF0A4B" w:rsidP="00FF0A4B">
            <w:pPr>
              <w:widowControl/>
              <w:jc w:val="center"/>
              <w:rPr>
                <w:color w:val="595959"/>
                <w:sz w:val="18"/>
                <w:szCs w:val="18"/>
              </w:rPr>
            </w:pPr>
            <w:r>
              <w:rPr>
                <w:rFonts w:hint="eastAsia"/>
                <w:color w:val="000000"/>
                <w:sz w:val="22"/>
                <w:szCs w:val="22"/>
              </w:rPr>
              <w:t>3200</w:t>
            </w:r>
          </w:p>
        </w:tc>
        <w:tc>
          <w:tcPr>
            <w:tcW w:w="1418" w:type="dxa"/>
            <w:tcBorders>
              <w:bottom w:val="single" w:sz="4" w:space="0" w:color="auto"/>
            </w:tcBorders>
            <w:vAlign w:val="center"/>
          </w:tcPr>
          <w:p w14:paraId="3900BA56" w14:textId="34657957" w:rsidR="00FF0A4B" w:rsidRDefault="00FF0A4B" w:rsidP="00FF0A4B">
            <w:pPr>
              <w:widowControl/>
              <w:jc w:val="center"/>
              <w:rPr>
                <w:rFonts w:ascii="宋体" w:hAnsi="宋体" w:cs="宋体"/>
                <w:color w:val="000000"/>
                <w:kern w:val="0"/>
                <w:sz w:val="24"/>
              </w:rPr>
            </w:pPr>
            <w:r>
              <w:rPr>
                <w:rFonts w:hint="eastAsia"/>
                <w:color w:val="000000"/>
                <w:sz w:val="22"/>
                <w:szCs w:val="22"/>
              </w:rPr>
              <w:t>允许</w:t>
            </w:r>
          </w:p>
        </w:tc>
        <w:tc>
          <w:tcPr>
            <w:tcW w:w="1701" w:type="dxa"/>
            <w:tcBorders>
              <w:bottom w:val="single" w:sz="4" w:space="0" w:color="auto"/>
            </w:tcBorders>
            <w:vAlign w:val="center"/>
          </w:tcPr>
          <w:p w14:paraId="6BF93D9F" w14:textId="1F668887" w:rsidR="00FF0A4B" w:rsidRDefault="00FF0A4B" w:rsidP="00FF0A4B">
            <w:pPr>
              <w:widowControl/>
              <w:jc w:val="center"/>
              <w:rPr>
                <w:rFonts w:ascii="宋体" w:hAnsi="宋体" w:cs="宋体"/>
                <w:color w:val="000000"/>
                <w:kern w:val="0"/>
                <w:sz w:val="24"/>
              </w:rPr>
            </w:pPr>
            <w:r>
              <w:rPr>
                <w:rFonts w:hint="eastAsia"/>
                <w:color w:val="000000"/>
                <w:sz w:val="22"/>
                <w:szCs w:val="22"/>
              </w:rPr>
              <w:t>15%</w:t>
            </w:r>
          </w:p>
        </w:tc>
        <w:tc>
          <w:tcPr>
            <w:tcW w:w="1417" w:type="dxa"/>
            <w:tcBorders>
              <w:top w:val="single" w:sz="4" w:space="0" w:color="auto"/>
              <w:left w:val="single" w:sz="4" w:space="0" w:color="auto"/>
              <w:bottom w:val="single" w:sz="4" w:space="0" w:color="auto"/>
              <w:right w:val="single" w:sz="4" w:space="0" w:color="auto"/>
            </w:tcBorders>
            <w:vAlign w:val="center"/>
          </w:tcPr>
          <w:p w14:paraId="53BDE86F" w14:textId="77777777" w:rsidR="00FF0A4B" w:rsidRDefault="00FF0A4B" w:rsidP="00FF0A4B">
            <w:pPr>
              <w:widowControl/>
              <w:jc w:val="center"/>
              <w:rPr>
                <w:rFonts w:ascii="宋体" w:hAnsi="宋体" w:cs="宋体"/>
                <w:color w:val="000000"/>
                <w:kern w:val="0"/>
                <w:sz w:val="24"/>
              </w:rPr>
            </w:pPr>
          </w:p>
        </w:tc>
      </w:tr>
      <w:tr w:rsidR="00FF0A4B" w14:paraId="7877FC14" w14:textId="77777777" w:rsidTr="00607C40">
        <w:trPr>
          <w:trHeight w:val="285"/>
        </w:trPr>
        <w:tc>
          <w:tcPr>
            <w:tcW w:w="1276" w:type="dxa"/>
            <w:tcBorders>
              <w:bottom w:val="single" w:sz="4" w:space="0" w:color="auto"/>
            </w:tcBorders>
            <w:vAlign w:val="center"/>
          </w:tcPr>
          <w:p w14:paraId="61B10FA2" w14:textId="3019A707" w:rsidR="00FF0A4B" w:rsidRPr="000B1B3C" w:rsidRDefault="00FF0A4B" w:rsidP="00FF0A4B">
            <w:pPr>
              <w:widowControl/>
              <w:jc w:val="center"/>
              <w:rPr>
                <w:color w:val="595959"/>
                <w:sz w:val="18"/>
                <w:szCs w:val="18"/>
              </w:rPr>
            </w:pPr>
            <w:r>
              <w:rPr>
                <w:rFonts w:hint="eastAsia"/>
                <w:color w:val="000000"/>
                <w:sz w:val="22"/>
                <w:szCs w:val="22"/>
              </w:rPr>
              <w:t>000333</w:t>
            </w:r>
          </w:p>
        </w:tc>
        <w:tc>
          <w:tcPr>
            <w:tcW w:w="1418" w:type="dxa"/>
            <w:tcBorders>
              <w:bottom w:val="single" w:sz="4" w:space="0" w:color="auto"/>
            </w:tcBorders>
            <w:vAlign w:val="center"/>
          </w:tcPr>
          <w:p w14:paraId="60B1B6C1" w14:textId="48E6FA60" w:rsidR="00FF0A4B" w:rsidRPr="000B1B3C" w:rsidRDefault="00FF0A4B" w:rsidP="00FF0A4B">
            <w:pPr>
              <w:widowControl/>
              <w:jc w:val="center"/>
              <w:rPr>
                <w:color w:val="595959"/>
                <w:sz w:val="18"/>
                <w:szCs w:val="18"/>
              </w:rPr>
            </w:pPr>
            <w:r>
              <w:rPr>
                <w:rFonts w:hint="eastAsia"/>
                <w:color w:val="000000"/>
                <w:sz w:val="22"/>
                <w:szCs w:val="22"/>
              </w:rPr>
              <w:t>美的集团</w:t>
            </w:r>
          </w:p>
        </w:tc>
        <w:tc>
          <w:tcPr>
            <w:tcW w:w="1275" w:type="dxa"/>
            <w:tcBorders>
              <w:bottom w:val="single" w:sz="4" w:space="0" w:color="auto"/>
            </w:tcBorders>
            <w:vAlign w:val="center"/>
          </w:tcPr>
          <w:p w14:paraId="1CBD0273" w14:textId="46B0CD5F" w:rsidR="00FF0A4B" w:rsidRPr="000B1B3C" w:rsidRDefault="00FF0A4B" w:rsidP="00FF0A4B">
            <w:pPr>
              <w:widowControl/>
              <w:jc w:val="center"/>
              <w:rPr>
                <w:color w:val="595959"/>
                <w:sz w:val="18"/>
                <w:szCs w:val="18"/>
              </w:rPr>
            </w:pPr>
            <w:r>
              <w:rPr>
                <w:rFonts w:hint="eastAsia"/>
                <w:color w:val="000000"/>
                <w:sz w:val="22"/>
                <w:szCs w:val="22"/>
              </w:rPr>
              <w:t>3100</w:t>
            </w:r>
          </w:p>
        </w:tc>
        <w:tc>
          <w:tcPr>
            <w:tcW w:w="1418" w:type="dxa"/>
            <w:tcBorders>
              <w:bottom w:val="single" w:sz="4" w:space="0" w:color="auto"/>
            </w:tcBorders>
            <w:vAlign w:val="center"/>
          </w:tcPr>
          <w:p w14:paraId="1A13C4AE" w14:textId="740065A2" w:rsidR="00FF0A4B" w:rsidRDefault="00FF0A4B" w:rsidP="00FF0A4B">
            <w:pPr>
              <w:widowControl/>
              <w:jc w:val="center"/>
              <w:rPr>
                <w:rFonts w:ascii="宋体" w:hAnsi="宋体" w:cs="宋体"/>
                <w:color w:val="000000"/>
                <w:kern w:val="0"/>
                <w:sz w:val="24"/>
              </w:rPr>
            </w:pPr>
            <w:r>
              <w:rPr>
                <w:rFonts w:hint="eastAsia"/>
                <w:color w:val="000000"/>
                <w:sz w:val="22"/>
                <w:szCs w:val="22"/>
              </w:rPr>
              <w:t>允许</w:t>
            </w:r>
          </w:p>
        </w:tc>
        <w:tc>
          <w:tcPr>
            <w:tcW w:w="1701" w:type="dxa"/>
            <w:tcBorders>
              <w:bottom w:val="single" w:sz="4" w:space="0" w:color="auto"/>
            </w:tcBorders>
            <w:vAlign w:val="center"/>
          </w:tcPr>
          <w:p w14:paraId="036D04F5" w14:textId="375501AB" w:rsidR="00FF0A4B" w:rsidRDefault="00FF0A4B" w:rsidP="00FF0A4B">
            <w:pPr>
              <w:widowControl/>
              <w:jc w:val="center"/>
              <w:rPr>
                <w:rFonts w:ascii="宋体" w:hAnsi="宋体" w:cs="宋体"/>
                <w:color w:val="000000"/>
                <w:kern w:val="0"/>
                <w:sz w:val="24"/>
              </w:rPr>
            </w:pPr>
            <w:r>
              <w:rPr>
                <w:rFonts w:hint="eastAsia"/>
                <w:color w:val="000000"/>
                <w:sz w:val="22"/>
                <w:szCs w:val="22"/>
              </w:rPr>
              <w:t>15%</w:t>
            </w:r>
          </w:p>
        </w:tc>
        <w:tc>
          <w:tcPr>
            <w:tcW w:w="1417" w:type="dxa"/>
            <w:tcBorders>
              <w:top w:val="single" w:sz="4" w:space="0" w:color="auto"/>
              <w:left w:val="single" w:sz="4" w:space="0" w:color="auto"/>
              <w:bottom w:val="single" w:sz="4" w:space="0" w:color="auto"/>
              <w:right w:val="single" w:sz="4" w:space="0" w:color="auto"/>
            </w:tcBorders>
            <w:vAlign w:val="center"/>
          </w:tcPr>
          <w:p w14:paraId="0863D1E5" w14:textId="77777777" w:rsidR="00FF0A4B" w:rsidRDefault="00FF0A4B" w:rsidP="00FF0A4B">
            <w:pPr>
              <w:widowControl/>
              <w:jc w:val="center"/>
              <w:rPr>
                <w:rFonts w:ascii="宋体" w:hAnsi="宋体" w:cs="宋体"/>
                <w:color w:val="000000"/>
                <w:kern w:val="0"/>
                <w:sz w:val="24"/>
              </w:rPr>
            </w:pPr>
          </w:p>
        </w:tc>
      </w:tr>
      <w:tr w:rsidR="00FF0A4B" w14:paraId="01C3ECBB" w14:textId="77777777" w:rsidTr="00607C40">
        <w:trPr>
          <w:trHeight w:val="285"/>
        </w:trPr>
        <w:tc>
          <w:tcPr>
            <w:tcW w:w="1276" w:type="dxa"/>
            <w:tcBorders>
              <w:bottom w:val="single" w:sz="4" w:space="0" w:color="auto"/>
            </w:tcBorders>
            <w:vAlign w:val="center"/>
          </w:tcPr>
          <w:p w14:paraId="2E0E8CD1" w14:textId="1EAB236A" w:rsidR="00FF0A4B" w:rsidRPr="000B1B3C" w:rsidRDefault="00FF0A4B" w:rsidP="00FF0A4B">
            <w:pPr>
              <w:widowControl/>
              <w:jc w:val="center"/>
              <w:rPr>
                <w:color w:val="595959"/>
                <w:sz w:val="18"/>
                <w:szCs w:val="18"/>
              </w:rPr>
            </w:pPr>
            <w:r>
              <w:rPr>
                <w:rFonts w:hint="eastAsia"/>
                <w:color w:val="000000"/>
                <w:sz w:val="22"/>
                <w:szCs w:val="22"/>
              </w:rPr>
              <w:t>000338</w:t>
            </w:r>
          </w:p>
        </w:tc>
        <w:tc>
          <w:tcPr>
            <w:tcW w:w="1418" w:type="dxa"/>
            <w:tcBorders>
              <w:bottom w:val="single" w:sz="4" w:space="0" w:color="auto"/>
            </w:tcBorders>
            <w:vAlign w:val="center"/>
          </w:tcPr>
          <w:p w14:paraId="7F3D0A02" w14:textId="40326B54" w:rsidR="00FF0A4B" w:rsidRPr="000B1B3C" w:rsidRDefault="00FF0A4B" w:rsidP="00FF0A4B">
            <w:pPr>
              <w:widowControl/>
              <w:jc w:val="center"/>
              <w:rPr>
                <w:color w:val="595959"/>
                <w:sz w:val="18"/>
                <w:szCs w:val="18"/>
              </w:rPr>
            </w:pPr>
            <w:proofErr w:type="gramStart"/>
            <w:r>
              <w:rPr>
                <w:rFonts w:hint="eastAsia"/>
                <w:color w:val="000000"/>
                <w:sz w:val="22"/>
                <w:szCs w:val="22"/>
              </w:rPr>
              <w:t>潍</w:t>
            </w:r>
            <w:proofErr w:type="gramEnd"/>
            <w:r>
              <w:rPr>
                <w:rFonts w:hint="eastAsia"/>
                <w:color w:val="000000"/>
                <w:sz w:val="22"/>
                <w:szCs w:val="22"/>
              </w:rPr>
              <w:t>柴动力</w:t>
            </w:r>
          </w:p>
        </w:tc>
        <w:tc>
          <w:tcPr>
            <w:tcW w:w="1275" w:type="dxa"/>
            <w:tcBorders>
              <w:bottom w:val="single" w:sz="4" w:space="0" w:color="auto"/>
            </w:tcBorders>
            <w:vAlign w:val="center"/>
          </w:tcPr>
          <w:p w14:paraId="63B5F7FE" w14:textId="2CC167EF" w:rsidR="00FF0A4B" w:rsidRPr="000B1B3C" w:rsidRDefault="00FF0A4B" w:rsidP="00FF0A4B">
            <w:pPr>
              <w:widowControl/>
              <w:jc w:val="center"/>
              <w:rPr>
                <w:color w:val="595959"/>
                <w:sz w:val="18"/>
                <w:szCs w:val="18"/>
              </w:rPr>
            </w:pPr>
            <w:r>
              <w:rPr>
                <w:rFonts w:hint="eastAsia"/>
                <w:color w:val="000000"/>
                <w:sz w:val="22"/>
                <w:szCs w:val="22"/>
              </w:rPr>
              <w:t>3200</w:t>
            </w:r>
          </w:p>
        </w:tc>
        <w:tc>
          <w:tcPr>
            <w:tcW w:w="1418" w:type="dxa"/>
            <w:tcBorders>
              <w:bottom w:val="single" w:sz="4" w:space="0" w:color="auto"/>
            </w:tcBorders>
            <w:vAlign w:val="center"/>
          </w:tcPr>
          <w:p w14:paraId="56F7C27C" w14:textId="7970DDE3" w:rsidR="00FF0A4B" w:rsidRDefault="00FF0A4B" w:rsidP="00FF0A4B">
            <w:pPr>
              <w:widowControl/>
              <w:jc w:val="center"/>
              <w:rPr>
                <w:rFonts w:ascii="宋体" w:hAnsi="宋体" w:cs="宋体"/>
                <w:color w:val="000000"/>
                <w:kern w:val="0"/>
                <w:sz w:val="24"/>
              </w:rPr>
            </w:pPr>
            <w:r>
              <w:rPr>
                <w:rFonts w:hint="eastAsia"/>
                <w:color w:val="000000"/>
                <w:sz w:val="22"/>
                <w:szCs w:val="22"/>
              </w:rPr>
              <w:t>允许</w:t>
            </w:r>
          </w:p>
        </w:tc>
        <w:tc>
          <w:tcPr>
            <w:tcW w:w="1701" w:type="dxa"/>
            <w:tcBorders>
              <w:bottom w:val="single" w:sz="4" w:space="0" w:color="auto"/>
            </w:tcBorders>
            <w:vAlign w:val="center"/>
          </w:tcPr>
          <w:p w14:paraId="79ECE882" w14:textId="02AB2CB3" w:rsidR="00FF0A4B" w:rsidRDefault="00FF0A4B" w:rsidP="00FF0A4B">
            <w:pPr>
              <w:widowControl/>
              <w:jc w:val="center"/>
              <w:rPr>
                <w:rFonts w:ascii="宋体" w:hAnsi="宋体" w:cs="宋体"/>
                <w:color w:val="000000"/>
                <w:kern w:val="0"/>
                <w:sz w:val="24"/>
              </w:rPr>
            </w:pPr>
            <w:r>
              <w:rPr>
                <w:rFonts w:hint="eastAsia"/>
                <w:color w:val="000000"/>
                <w:sz w:val="22"/>
                <w:szCs w:val="22"/>
              </w:rPr>
              <w:t>15%</w:t>
            </w:r>
          </w:p>
        </w:tc>
        <w:tc>
          <w:tcPr>
            <w:tcW w:w="1417" w:type="dxa"/>
            <w:tcBorders>
              <w:top w:val="single" w:sz="4" w:space="0" w:color="auto"/>
              <w:left w:val="single" w:sz="4" w:space="0" w:color="auto"/>
              <w:bottom w:val="single" w:sz="4" w:space="0" w:color="auto"/>
              <w:right w:val="single" w:sz="4" w:space="0" w:color="auto"/>
            </w:tcBorders>
            <w:vAlign w:val="center"/>
          </w:tcPr>
          <w:p w14:paraId="10A0BEC9" w14:textId="77777777" w:rsidR="00FF0A4B" w:rsidRDefault="00FF0A4B" w:rsidP="00FF0A4B">
            <w:pPr>
              <w:widowControl/>
              <w:jc w:val="center"/>
              <w:rPr>
                <w:rFonts w:ascii="宋体" w:hAnsi="宋体" w:cs="宋体"/>
                <w:color w:val="000000"/>
                <w:kern w:val="0"/>
                <w:sz w:val="24"/>
              </w:rPr>
            </w:pPr>
          </w:p>
        </w:tc>
      </w:tr>
      <w:tr w:rsidR="00FF0A4B" w14:paraId="22BAC858" w14:textId="77777777" w:rsidTr="00607C40">
        <w:trPr>
          <w:trHeight w:val="285"/>
        </w:trPr>
        <w:tc>
          <w:tcPr>
            <w:tcW w:w="1276" w:type="dxa"/>
            <w:tcBorders>
              <w:bottom w:val="single" w:sz="4" w:space="0" w:color="auto"/>
            </w:tcBorders>
            <w:vAlign w:val="center"/>
          </w:tcPr>
          <w:p w14:paraId="545D6EE4" w14:textId="248046AD" w:rsidR="00FF0A4B" w:rsidRPr="000B1B3C" w:rsidRDefault="00FF0A4B" w:rsidP="00FF0A4B">
            <w:pPr>
              <w:widowControl/>
              <w:jc w:val="center"/>
              <w:rPr>
                <w:color w:val="595959"/>
                <w:sz w:val="18"/>
                <w:szCs w:val="18"/>
              </w:rPr>
            </w:pPr>
            <w:r>
              <w:rPr>
                <w:rFonts w:hint="eastAsia"/>
                <w:color w:val="000000"/>
                <w:sz w:val="22"/>
                <w:szCs w:val="22"/>
              </w:rPr>
              <w:t>000400</w:t>
            </w:r>
          </w:p>
        </w:tc>
        <w:tc>
          <w:tcPr>
            <w:tcW w:w="1418" w:type="dxa"/>
            <w:tcBorders>
              <w:bottom w:val="single" w:sz="4" w:space="0" w:color="auto"/>
            </w:tcBorders>
            <w:vAlign w:val="center"/>
          </w:tcPr>
          <w:p w14:paraId="1F73FA13" w14:textId="4AE190D7" w:rsidR="00FF0A4B" w:rsidRPr="000B1B3C" w:rsidRDefault="00FF0A4B" w:rsidP="00FF0A4B">
            <w:pPr>
              <w:widowControl/>
              <w:jc w:val="center"/>
              <w:rPr>
                <w:color w:val="595959"/>
                <w:sz w:val="18"/>
                <w:szCs w:val="18"/>
              </w:rPr>
            </w:pPr>
            <w:r>
              <w:rPr>
                <w:rFonts w:hint="eastAsia"/>
                <w:color w:val="000000"/>
                <w:sz w:val="22"/>
                <w:szCs w:val="22"/>
              </w:rPr>
              <w:t>许继电气</w:t>
            </w:r>
          </w:p>
        </w:tc>
        <w:tc>
          <w:tcPr>
            <w:tcW w:w="1275" w:type="dxa"/>
            <w:tcBorders>
              <w:bottom w:val="single" w:sz="4" w:space="0" w:color="auto"/>
            </w:tcBorders>
            <w:vAlign w:val="center"/>
          </w:tcPr>
          <w:p w14:paraId="3F4D5BD5" w14:textId="6E94462B" w:rsidR="00FF0A4B" w:rsidRPr="000B1B3C" w:rsidRDefault="00FF0A4B" w:rsidP="00FF0A4B">
            <w:pPr>
              <w:widowControl/>
              <w:jc w:val="center"/>
              <w:rPr>
                <w:color w:val="595959"/>
                <w:sz w:val="18"/>
                <w:szCs w:val="18"/>
              </w:rPr>
            </w:pPr>
            <w:r>
              <w:rPr>
                <w:rFonts w:hint="eastAsia"/>
                <w:color w:val="000000"/>
                <w:sz w:val="22"/>
                <w:szCs w:val="22"/>
              </w:rPr>
              <w:t>400</w:t>
            </w:r>
          </w:p>
        </w:tc>
        <w:tc>
          <w:tcPr>
            <w:tcW w:w="1418" w:type="dxa"/>
            <w:tcBorders>
              <w:bottom w:val="single" w:sz="4" w:space="0" w:color="auto"/>
            </w:tcBorders>
            <w:vAlign w:val="center"/>
          </w:tcPr>
          <w:p w14:paraId="15C8C54F" w14:textId="563E48DE" w:rsidR="00FF0A4B" w:rsidRDefault="00FF0A4B" w:rsidP="00FF0A4B">
            <w:pPr>
              <w:widowControl/>
              <w:jc w:val="center"/>
              <w:rPr>
                <w:rFonts w:ascii="宋体" w:hAnsi="宋体" w:cs="宋体"/>
                <w:color w:val="000000"/>
                <w:kern w:val="0"/>
                <w:sz w:val="24"/>
              </w:rPr>
            </w:pPr>
            <w:r>
              <w:rPr>
                <w:rFonts w:hint="eastAsia"/>
                <w:color w:val="000000"/>
                <w:sz w:val="22"/>
                <w:szCs w:val="22"/>
              </w:rPr>
              <w:t>允许</w:t>
            </w:r>
          </w:p>
        </w:tc>
        <w:tc>
          <w:tcPr>
            <w:tcW w:w="1701" w:type="dxa"/>
            <w:tcBorders>
              <w:bottom w:val="single" w:sz="4" w:space="0" w:color="auto"/>
            </w:tcBorders>
            <w:vAlign w:val="center"/>
          </w:tcPr>
          <w:p w14:paraId="524633C0" w14:textId="3D65DAF4" w:rsidR="00FF0A4B" w:rsidRDefault="00FF0A4B" w:rsidP="00FF0A4B">
            <w:pPr>
              <w:widowControl/>
              <w:jc w:val="center"/>
              <w:rPr>
                <w:rFonts w:ascii="宋体" w:hAnsi="宋体" w:cs="宋体"/>
                <w:color w:val="000000"/>
                <w:kern w:val="0"/>
                <w:sz w:val="24"/>
              </w:rPr>
            </w:pPr>
            <w:r>
              <w:rPr>
                <w:rFonts w:hint="eastAsia"/>
                <w:color w:val="000000"/>
                <w:sz w:val="22"/>
                <w:szCs w:val="22"/>
              </w:rPr>
              <w:t>15%</w:t>
            </w:r>
          </w:p>
        </w:tc>
        <w:tc>
          <w:tcPr>
            <w:tcW w:w="1417" w:type="dxa"/>
            <w:tcBorders>
              <w:top w:val="single" w:sz="4" w:space="0" w:color="auto"/>
              <w:left w:val="single" w:sz="4" w:space="0" w:color="auto"/>
              <w:bottom w:val="single" w:sz="4" w:space="0" w:color="auto"/>
              <w:right w:val="single" w:sz="4" w:space="0" w:color="auto"/>
            </w:tcBorders>
            <w:vAlign w:val="center"/>
          </w:tcPr>
          <w:p w14:paraId="6A3C3499" w14:textId="77777777" w:rsidR="00FF0A4B" w:rsidRDefault="00FF0A4B" w:rsidP="00FF0A4B">
            <w:pPr>
              <w:widowControl/>
              <w:jc w:val="center"/>
              <w:rPr>
                <w:rFonts w:ascii="宋体" w:hAnsi="宋体" w:cs="宋体"/>
                <w:color w:val="000000"/>
                <w:kern w:val="0"/>
                <w:sz w:val="24"/>
              </w:rPr>
            </w:pPr>
          </w:p>
        </w:tc>
      </w:tr>
      <w:tr w:rsidR="00FF0A4B" w14:paraId="046A24F5" w14:textId="77777777" w:rsidTr="00607C40">
        <w:trPr>
          <w:trHeight w:val="285"/>
        </w:trPr>
        <w:tc>
          <w:tcPr>
            <w:tcW w:w="1276" w:type="dxa"/>
            <w:tcBorders>
              <w:bottom w:val="single" w:sz="4" w:space="0" w:color="auto"/>
            </w:tcBorders>
            <w:vAlign w:val="center"/>
          </w:tcPr>
          <w:p w14:paraId="72A4ADFC" w14:textId="5E09943E" w:rsidR="00FF0A4B" w:rsidRPr="000B1B3C" w:rsidRDefault="00FF0A4B" w:rsidP="00FF0A4B">
            <w:pPr>
              <w:widowControl/>
              <w:jc w:val="center"/>
              <w:rPr>
                <w:color w:val="595959"/>
                <w:sz w:val="18"/>
                <w:szCs w:val="18"/>
              </w:rPr>
            </w:pPr>
            <w:r>
              <w:rPr>
                <w:rFonts w:hint="eastAsia"/>
                <w:color w:val="000000"/>
                <w:sz w:val="22"/>
                <w:szCs w:val="22"/>
              </w:rPr>
              <w:t>000402</w:t>
            </w:r>
          </w:p>
        </w:tc>
        <w:tc>
          <w:tcPr>
            <w:tcW w:w="1418" w:type="dxa"/>
            <w:tcBorders>
              <w:bottom w:val="single" w:sz="4" w:space="0" w:color="auto"/>
            </w:tcBorders>
            <w:vAlign w:val="center"/>
          </w:tcPr>
          <w:p w14:paraId="32B38A78" w14:textId="126345A3" w:rsidR="00FF0A4B" w:rsidRPr="000B1B3C" w:rsidRDefault="00FF0A4B" w:rsidP="00FF0A4B">
            <w:pPr>
              <w:widowControl/>
              <w:jc w:val="center"/>
              <w:rPr>
                <w:color w:val="595959"/>
                <w:sz w:val="18"/>
                <w:szCs w:val="18"/>
              </w:rPr>
            </w:pPr>
            <w:r>
              <w:rPr>
                <w:rFonts w:hint="eastAsia"/>
                <w:color w:val="000000"/>
                <w:sz w:val="22"/>
                <w:szCs w:val="22"/>
              </w:rPr>
              <w:t>金</w:t>
            </w:r>
            <w:r>
              <w:rPr>
                <w:rFonts w:hint="eastAsia"/>
                <w:color w:val="000000"/>
                <w:sz w:val="22"/>
                <w:szCs w:val="22"/>
              </w:rPr>
              <w:t xml:space="preserve"> </w:t>
            </w:r>
            <w:r>
              <w:rPr>
                <w:rFonts w:hint="eastAsia"/>
                <w:color w:val="000000"/>
                <w:sz w:val="22"/>
                <w:szCs w:val="22"/>
              </w:rPr>
              <w:t>融</w:t>
            </w:r>
            <w:r>
              <w:rPr>
                <w:rFonts w:hint="eastAsia"/>
                <w:color w:val="000000"/>
                <w:sz w:val="22"/>
                <w:szCs w:val="22"/>
              </w:rPr>
              <w:t xml:space="preserve"> </w:t>
            </w:r>
            <w:r>
              <w:rPr>
                <w:rFonts w:hint="eastAsia"/>
                <w:color w:val="000000"/>
                <w:sz w:val="22"/>
                <w:szCs w:val="22"/>
              </w:rPr>
              <w:t>街</w:t>
            </w:r>
          </w:p>
        </w:tc>
        <w:tc>
          <w:tcPr>
            <w:tcW w:w="1275" w:type="dxa"/>
            <w:tcBorders>
              <w:bottom w:val="single" w:sz="4" w:space="0" w:color="auto"/>
            </w:tcBorders>
            <w:vAlign w:val="center"/>
          </w:tcPr>
          <w:p w14:paraId="2CD3E30E" w14:textId="309C3596" w:rsidR="00FF0A4B" w:rsidRPr="000B1B3C" w:rsidRDefault="00FF0A4B" w:rsidP="00FF0A4B">
            <w:pPr>
              <w:widowControl/>
              <w:jc w:val="center"/>
              <w:rPr>
                <w:color w:val="595959"/>
                <w:sz w:val="18"/>
                <w:szCs w:val="18"/>
              </w:rPr>
            </w:pPr>
            <w:r>
              <w:rPr>
                <w:rFonts w:hint="eastAsia"/>
                <w:color w:val="000000"/>
                <w:sz w:val="22"/>
                <w:szCs w:val="22"/>
              </w:rPr>
              <w:t>800</w:t>
            </w:r>
          </w:p>
        </w:tc>
        <w:tc>
          <w:tcPr>
            <w:tcW w:w="1418" w:type="dxa"/>
            <w:tcBorders>
              <w:bottom w:val="single" w:sz="4" w:space="0" w:color="auto"/>
            </w:tcBorders>
            <w:vAlign w:val="center"/>
          </w:tcPr>
          <w:p w14:paraId="57BA522C" w14:textId="399BC430" w:rsidR="00FF0A4B" w:rsidRDefault="00FF0A4B" w:rsidP="00FF0A4B">
            <w:pPr>
              <w:widowControl/>
              <w:jc w:val="center"/>
              <w:rPr>
                <w:rFonts w:ascii="宋体" w:hAnsi="宋体" w:cs="宋体"/>
                <w:color w:val="000000"/>
                <w:kern w:val="0"/>
                <w:sz w:val="24"/>
              </w:rPr>
            </w:pPr>
            <w:r>
              <w:rPr>
                <w:rFonts w:hint="eastAsia"/>
                <w:color w:val="000000"/>
                <w:sz w:val="22"/>
                <w:szCs w:val="22"/>
              </w:rPr>
              <w:t>允许</w:t>
            </w:r>
          </w:p>
        </w:tc>
        <w:tc>
          <w:tcPr>
            <w:tcW w:w="1701" w:type="dxa"/>
            <w:tcBorders>
              <w:bottom w:val="single" w:sz="4" w:space="0" w:color="auto"/>
            </w:tcBorders>
            <w:vAlign w:val="center"/>
          </w:tcPr>
          <w:p w14:paraId="21EF43C5" w14:textId="6058EB9A" w:rsidR="00FF0A4B" w:rsidRDefault="00FF0A4B" w:rsidP="00FF0A4B">
            <w:pPr>
              <w:widowControl/>
              <w:jc w:val="center"/>
              <w:rPr>
                <w:rFonts w:ascii="宋体" w:hAnsi="宋体" w:cs="宋体"/>
                <w:color w:val="000000"/>
                <w:kern w:val="0"/>
                <w:sz w:val="24"/>
              </w:rPr>
            </w:pPr>
            <w:r>
              <w:rPr>
                <w:rFonts w:hint="eastAsia"/>
                <w:color w:val="000000"/>
                <w:sz w:val="22"/>
                <w:szCs w:val="22"/>
              </w:rPr>
              <w:t>15%</w:t>
            </w:r>
          </w:p>
        </w:tc>
        <w:tc>
          <w:tcPr>
            <w:tcW w:w="1417" w:type="dxa"/>
            <w:tcBorders>
              <w:top w:val="single" w:sz="4" w:space="0" w:color="auto"/>
              <w:left w:val="single" w:sz="4" w:space="0" w:color="auto"/>
              <w:bottom w:val="single" w:sz="4" w:space="0" w:color="auto"/>
              <w:right w:val="single" w:sz="4" w:space="0" w:color="auto"/>
            </w:tcBorders>
            <w:vAlign w:val="center"/>
          </w:tcPr>
          <w:p w14:paraId="7307919D" w14:textId="77777777" w:rsidR="00FF0A4B" w:rsidRDefault="00FF0A4B" w:rsidP="00FF0A4B">
            <w:pPr>
              <w:widowControl/>
              <w:jc w:val="center"/>
              <w:rPr>
                <w:rFonts w:ascii="宋体" w:hAnsi="宋体" w:cs="宋体"/>
                <w:color w:val="000000"/>
                <w:kern w:val="0"/>
                <w:sz w:val="24"/>
              </w:rPr>
            </w:pPr>
          </w:p>
        </w:tc>
      </w:tr>
      <w:tr w:rsidR="00FF0A4B" w14:paraId="4CED56FF" w14:textId="77777777" w:rsidTr="00607C40">
        <w:trPr>
          <w:trHeight w:val="285"/>
        </w:trPr>
        <w:tc>
          <w:tcPr>
            <w:tcW w:w="1276" w:type="dxa"/>
            <w:tcBorders>
              <w:bottom w:val="single" w:sz="4" w:space="0" w:color="auto"/>
            </w:tcBorders>
            <w:vAlign w:val="center"/>
          </w:tcPr>
          <w:p w14:paraId="77187449" w14:textId="71CE91FA" w:rsidR="00FF0A4B" w:rsidRPr="000B1B3C" w:rsidRDefault="00FF0A4B" w:rsidP="00FF0A4B">
            <w:pPr>
              <w:widowControl/>
              <w:jc w:val="center"/>
              <w:rPr>
                <w:color w:val="595959"/>
                <w:sz w:val="18"/>
                <w:szCs w:val="18"/>
              </w:rPr>
            </w:pPr>
            <w:r>
              <w:rPr>
                <w:rFonts w:hint="eastAsia"/>
                <w:color w:val="000000"/>
                <w:sz w:val="22"/>
                <w:szCs w:val="22"/>
              </w:rPr>
              <w:t>000413</w:t>
            </w:r>
          </w:p>
        </w:tc>
        <w:tc>
          <w:tcPr>
            <w:tcW w:w="1418" w:type="dxa"/>
            <w:tcBorders>
              <w:bottom w:val="single" w:sz="4" w:space="0" w:color="auto"/>
            </w:tcBorders>
            <w:vAlign w:val="center"/>
          </w:tcPr>
          <w:p w14:paraId="003217F3" w14:textId="00CBFFA9" w:rsidR="00FF0A4B" w:rsidRPr="000B1B3C" w:rsidRDefault="00FF0A4B" w:rsidP="00FF0A4B">
            <w:pPr>
              <w:widowControl/>
              <w:jc w:val="center"/>
              <w:rPr>
                <w:color w:val="595959"/>
                <w:sz w:val="18"/>
                <w:szCs w:val="18"/>
              </w:rPr>
            </w:pPr>
            <w:r>
              <w:rPr>
                <w:rFonts w:hint="eastAsia"/>
                <w:color w:val="000000"/>
                <w:sz w:val="22"/>
                <w:szCs w:val="22"/>
              </w:rPr>
              <w:t>东旭光电</w:t>
            </w:r>
          </w:p>
        </w:tc>
        <w:tc>
          <w:tcPr>
            <w:tcW w:w="1275" w:type="dxa"/>
            <w:tcBorders>
              <w:bottom w:val="single" w:sz="4" w:space="0" w:color="auto"/>
            </w:tcBorders>
            <w:vAlign w:val="center"/>
          </w:tcPr>
          <w:p w14:paraId="1CCD6978" w14:textId="1A1CB881" w:rsidR="00FF0A4B" w:rsidRPr="000B1B3C" w:rsidRDefault="00FF0A4B" w:rsidP="00FF0A4B">
            <w:pPr>
              <w:widowControl/>
              <w:jc w:val="center"/>
              <w:rPr>
                <w:color w:val="595959"/>
                <w:sz w:val="18"/>
                <w:szCs w:val="18"/>
              </w:rPr>
            </w:pPr>
            <w:r>
              <w:rPr>
                <w:rFonts w:hint="eastAsia"/>
                <w:color w:val="000000"/>
                <w:sz w:val="22"/>
                <w:szCs w:val="22"/>
              </w:rPr>
              <w:t>2700</w:t>
            </w:r>
          </w:p>
        </w:tc>
        <w:tc>
          <w:tcPr>
            <w:tcW w:w="1418" w:type="dxa"/>
            <w:tcBorders>
              <w:bottom w:val="single" w:sz="4" w:space="0" w:color="auto"/>
            </w:tcBorders>
            <w:vAlign w:val="center"/>
          </w:tcPr>
          <w:p w14:paraId="0F53F02C" w14:textId="371E3F80" w:rsidR="00FF0A4B" w:rsidRDefault="00FF0A4B" w:rsidP="00FF0A4B">
            <w:pPr>
              <w:widowControl/>
              <w:jc w:val="center"/>
              <w:rPr>
                <w:rFonts w:ascii="宋体" w:hAnsi="宋体" w:cs="宋体"/>
                <w:color w:val="000000"/>
                <w:kern w:val="0"/>
                <w:sz w:val="24"/>
              </w:rPr>
            </w:pPr>
            <w:r>
              <w:rPr>
                <w:rFonts w:hint="eastAsia"/>
                <w:color w:val="000000"/>
                <w:sz w:val="22"/>
                <w:szCs w:val="22"/>
              </w:rPr>
              <w:t>允许</w:t>
            </w:r>
          </w:p>
        </w:tc>
        <w:tc>
          <w:tcPr>
            <w:tcW w:w="1701" w:type="dxa"/>
            <w:tcBorders>
              <w:bottom w:val="single" w:sz="4" w:space="0" w:color="auto"/>
            </w:tcBorders>
            <w:vAlign w:val="center"/>
          </w:tcPr>
          <w:p w14:paraId="2231861A" w14:textId="53EA11DF" w:rsidR="00FF0A4B" w:rsidRDefault="00FF0A4B" w:rsidP="00FF0A4B">
            <w:pPr>
              <w:widowControl/>
              <w:jc w:val="center"/>
              <w:rPr>
                <w:rFonts w:ascii="宋体" w:hAnsi="宋体" w:cs="宋体"/>
                <w:color w:val="000000"/>
                <w:kern w:val="0"/>
                <w:sz w:val="24"/>
              </w:rPr>
            </w:pPr>
            <w:r>
              <w:rPr>
                <w:rFonts w:hint="eastAsia"/>
                <w:color w:val="000000"/>
                <w:sz w:val="22"/>
                <w:szCs w:val="22"/>
              </w:rPr>
              <w:t>15%</w:t>
            </w:r>
          </w:p>
        </w:tc>
        <w:tc>
          <w:tcPr>
            <w:tcW w:w="1417" w:type="dxa"/>
            <w:tcBorders>
              <w:top w:val="single" w:sz="4" w:space="0" w:color="auto"/>
              <w:left w:val="single" w:sz="4" w:space="0" w:color="auto"/>
              <w:bottom w:val="single" w:sz="4" w:space="0" w:color="auto"/>
              <w:right w:val="single" w:sz="4" w:space="0" w:color="auto"/>
            </w:tcBorders>
            <w:vAlign w:val="center"/>
          </w:tcPr>
          <w:p w14:paraId="60F25D2C" w14:textId="77777777" w:rsidR="00FF0A4B" w:rsidRDefault="00FF0A4B" w:rsidP="00FF0A4B">
            <w:pPr>
              <w:widowControl/>
              <w:jc w:val="center"/>
              <w:rPr>
                <w:rFonts w:ascii="宋体" w:hAnsi="宋体" w:cs="宋体"/>
                <w:color w:val="000000"/>
                <w:kern w:val="0"/>
                <w:sz w:val="24"/>
              </w:rPr>
            </w:pPr>
          </w:p>
        </w:tc>
      </w:tr>
      <w:tr w:rsidR="00FF0A4B" w14:paraId="521318CD" w14:textId="77777777" w:rsidTr="00607C40">
        <w:trPr>
          <w:trHeight w:val="285"/>
        </w:trPr>
        <w:tc>
          <w:tcPr>
            <w:tcW w:w="1276" w:type="dxa"/>
            <w:tcBorders>
              <w:bottom w:val="single" w:sz="4" w:space="0" w:color="auto"/>
            </w:tcBorders>
            <w:vAlign w:val="center"/>
          </w:tcPr>
          <w:p w14:paraId="482F51B3" w14:textId="3971297B" w:rsidR="00FF0A4B" w:rsidRPr="000B1B3C" w:rsidRDefault="00FF0A4B" w:rsidP="00FF0A4B">
            <w:pPr>
              <w:widowControl/>
              <w:jc w:val="center"/>
              <w:rPr>
                <w:color w:val="595959"/>
                <w:sz w:val="18"/>
                <w:szCs w:val="18"/>
              </w:rPr>
            </w:pPr>
            <w:r>
              <w:rPr>
                <w:rFonts w:hint="eastAsia"/>
                <w:color w:val="000000"/>
                <w:sz w:val="22"/>
                <w:szCs w:val="22"/>
              </w:rPr>
              <w:t>000415</w:t>
            </w:r>
          </w:p>
        </w:tc>
        <w:tc>
          <w:tcPr>
            <w:tcW w:w="1418" w:type="dxa"/>
            <w:tcBorders>
              <w:bottom w:val="single" w:sz="4" w:space="0" w:color="auto"/>
            </w:tcBorders>
            <w:vAlign w:val="center"/>
          </w:tcPr>
          <w:p w14:paraId="5A5E0A6E" w14:textId="5460B577" w:rsidR="00FF0A4B" w:rsidRPr="000B1B3C" w:rsidRDefault="00FF0A4B" w:rsidP="00FF0A4B">
            <w:pPr>
              <w:widowControl/>
              <w:jc w:val="center"/>
              <w:rPr>
                <w:color w:val="595959"/>
                <w:sz w:val="18"/>
                <w:szCs w:val="18"/>
              </w:rPr>
            </w:pPr>
            <w:proofErr w:type="gramStart"/>
            <w:r>
              <w:rPr>
                <w:rFonts w:hint="eastAsia"/>
                <w:color w:val="000000"/>
                <w:sz w:val="22"/>
                <w:szCs w:val="22"/>
              </w:rPr>
              <w:t>渤海金控</w:t>
            </w:r>
            <w:proofErr w:type="gramEnd"/>
          </w:p>
        </w:tc>
        <w:tc>
          <w:tcPr>
            <w:tcW w:w="1275" w:type="dxa"/>
            <w:tcBorders>
              <w:bottom w:val="single" w:sz="4" w:space="0" w:color="auto"/>
            </w:tcBorders>
            <w:vAlign w:val="center"/>
          </w:tcPr>
          <w:p w14:paraId="64C305F6" w14:textId="35CC3C8C" w:rsidR="00FF0A4B" w:rsidRPr="000B1B3C" w:rsidRDefault="00FF0A4B" w:rsidP="00FF0A4B">
            <w:pPr>
              <w:widowControl/>
              <w:jc w:val="center"/>
              <w:rPr>
                <w:color w:val="595959"/>
                <w:sz w:val="18"/>
                <w:szCs w:val="18"/>
              </w:rPr>
            </w:pPr>
            <w:r>
              <w:rPr>
                <w:rFonts w:hint="eastAsia"/>
                <w:color w:val="000000"/>
                <w:sz w:val="22"/>
                <w:szCs w:val="22"/>
              </w:rPr>
              <w:t>1200</w:t>
            </w:r>
          </w:p>
        </w:tc>
        <w:tc>
          <w:tcPr>
            <w:tcW w:w="1418" w:type="dxa"/>
            <w:tcBorders>
              <w:bottom w:val="single" w:sz="4" w:space="0" w:color="auto"/>
            </w:tcBorders>
            <w:vAlign w:val="center"/>
          </w:tcPr>
          <w:p w14:paraId="28C88CB4" w14:textId="41B6D10F" w:rsidR="00FF0A4B" w:rsidRDefault="00FF0A4B" w:rsidP="00FF0A4B">
            <w:pPr>
              <w:widowControl/>
              <w:jc w:val="center"/>
              <w:rPr>
                <w:rFonts w:ascii="宋体" w:hAnsi="宋体" w:cs="宋体"/>
                <w:color w:val="000000"/>
                <w:kern w:val="0"/>
                <w:sz w:val="24"/>
              </w:rPr>
            </w:pPr>
            <w:r>
              <w:rPr>
                <w:rFonts w:hint="eastAsia"/>
                <w:color w:val="000000"/>
                <w:sz w:val="22"/>
                <w:szCs w:val="22"/>
              </w:rPr>
              <w:t>允许</w:t>
            </w:r>
          </w:p>
        </w:tc>
        <w:tc>
          <w:tcPr>
            <w:tcW w:w="1701" w:type="dxa"/>
            <w:tcBorders>
              <w:bottom w:val="single" w:sz="4" w:space="0" w:color="auto"/>
            </w:tcBorders>
            <w:vAlign w:val="center"/>
          </w:tcPr>
          <w:p w14:paraId="30CAA32B" w14:textId="2C2FA16B" w:rsidR="00FF0A4B" w:rsidRDefault="00FF0A4B" w:rsidP="00FF0A4B">
            <w:pPr>
              <w:widowControl/>
              <w:jc w:val="center"/>
              <w:rPr>
                <w:rFonts w:ascii="宋体" w:hAnsi="宋体" w:cs="宋体"/>
                <w:color w:val="000000"/>
                <w:kern w:val="0"/>
                <w:sz w:val="24"/>
              </w:rPr>
            </w:pPr>
            <w:r>
              <w:rPr>
                <w:rFonts w:hint="eastAsia"/>
                <w:color w:val="000000"/>
                <w:sz w:val="22"/>
                <w:szCs w:val="22"/>
              </w:rPr>
              <w:t>15%</w:t>
            </w:r>
          </w:p>
        </w:tc>
        <w:tc>
          <w:tcPr>
            <w:tcW w:w="1417" w:type="dxa"/>
            <w:tcBorders>
              <w:top w:val="single" w:sz="4" w:space="0" w:color="auto"/>
              <w:left w:val="single" w:sz="4" w:space="0" w:color="auto"/>
              <w:bottom w:val="single" w:sz="4" w:space="0" w:color="auto"/>
              <w:right w:val="single" w:sz="4" w:space="0" w:color="auto"/>
            </w:tcBorders>
            <w:vAlign w:val="center"/>
          </w:tcPr>
          <w:p w14:paraId="68E270ED" w14:textId="77777777" w:rsidR="00FF0A4B" w:rsidRDefault="00FF0A4B" w:rsidP="00FF0A4B">
            <w:pPr>
              <w:widowControl/>
              <w:jc w:val="center"/>
              <w:rPr>
                <w:rFonts w:ascii="宋体" w:hAnsi="宋体" w:cs="宋体"/>
                <w:color w:val="000000"/>
                <w:kern w:val="0"/>
                <w:sz w:val="24"/>
              </w:rPr>
            </w:pPr>
          </w:p>
        </w:tc>
      </w:tr>
      <w:tr w:rsidR="00FF0A4B" w14:paraId="62AE53F1" w14:textId="77777777" w:rsidTr="00607C40">
        <w:trPr>
          <w:trHeight w:val="285"/>
        </w:trPr>
        <w:tc>
          <w:tcPr>
            <w:tcW w:w="1276" w:type="dxa"/>
            <w:tcBorders>
              <w:bottom w:val="single" w:sz="4" w:space="0" w:color="auto"/>
            </w:tcBorders>
            <w:vAlign w:val="center"/>
          </w:tcPr>
          <w:p w14:paraId="41AB4F1B" w14:textId="3885DA04" w:rsidR="00FF0A4B" w:rsidRPr="000B1B3C" w:rsidRDefault="00FF0A4B" w:rsidP="00FF0A4B">
            <w:pPr>
              <w:widowControl/>
              <w:jc w:val="center"/>
              <w:rPr>
                <w:color w:val="595959"/>
                <w:sz w:val="18"/>
                <w:szCs w:val="18"/>
              </w:rPr>
            </w:pPr>
            <w:r>
              <w:rPr>
                <w:rFonts w:hint="eastAsia"/>
                <w:color w:val="000000"/>
                <w:sz w:val="22"/>
                <w:szCs w:val="22"/>
              </w:rPr>
              <w:t>000423</w:t>
            </w:r>
          </w:p>
        </w:tc>
        <w:tc>
          <w:tcPr>
            <w:tcW w:w="1418" w:type="dxa"/>
            <w:tcBorders>
              <w:bottom w:val="single" w:sz="4" w:space="0" w:color="auto"/>
            </w:tcBorders>
            <w:vAlign w:val="center"/>
          </w:tcPr>
          <w:p w14:paraId="6406A875" w14:textId="43512B5F" w:rsidR="00FF0A4B" w:rsidRPr="000B1B3C" w:rsidRDefault="00FF0A4B" w:rsidP="00FF0A4B">
            <w:pPr>
              <w:widowControl/>
              <w:jc w:val="center"/>
              <w:rPr>
                <w:color w:val="595959"/>
                <w:sz w:val="18"/>
                <w:szCs w:val="18"/>
              </w:rPr>
            </w:pPr>
            <w:r>
              <w:rPr>
                <w:rFonts w:hint="eastAsia"/>
                <w:color w:val="000000"/>
                <w:sz w:val="22"/>
                <w:szCs w:val="22"/>
              </w:rPr>
              <w:t>东阿阿胶</w:t>
            </w:r>
          </w:p>
        </w:tc>
        <w:tc>
          <w:tcPr>
            <w:tcW w:w="1275" w:type="dxa"/>
            <w:tcBorders>
              <w:bottom w:val="single" w:sz="4" w:space="0" w:color="auto"/>
            </w:tcBorders>
            <w:vAlign w:val="center"/>
          </w:tcPr>
          <w:p w14:paraId="6E796EB0" w14:textId="5627E0F0" w:rsidR="00FF0A4B" w:rsidRPr="000B1B3C" w:rsidRDefault="00FF0A4B" w:rsidP="00FF0A4B">
            <w:pPr>
              <w:widowControl/>
              <w:jc w:val="center"/>
              <w:rPr>
                <w:color w:val="595959"/>
                <w:sz w:val="18"/>
                <w:szCs w:val="18"/>
              </w:rPr>
            </w:pPr>
            <w:r>
              <w:rPr>
                <w:rFonts w:hint="eastAsia"/>
                <w:color w:val="000000"/>
                <w:sz w:val="22"/>
                <w:szCs w:val="22"/>
              </w:rPr>
              <w:t>300</w:t>
            </w:r>
          </w:p>
        </w:tc>
        <w:tc>
          <w:tcPr>
            <w:tcW w:w="1418" w:type="dxa"/>
            <w:tcBorders>
              <w:bottom w:val="single" w:sz="4" w:space="0" w:color="auto"/>
            </w:tcBorders>
            <w:vAlign w:val="center"/>
          </w:tcPr>
          <w:p w14:paraId="43983C24" w14:textId="71E03B4E" w:rsidR="00FF0A4B" w:rsidRDefault="00FF0A4B" w:rsidP="00FF0A4B">
            <w:pPr>
              <w:widowControl/>
              <w:jc w:val="center"/>
              <w:rPr>
                <w:rFonts w:ascii="宋体" w:hAnsi="宋体" w:cs="宋体"/>
                <w:color w:val="000000"/>
                <w:kern w:val="0"/>
                <w:sz w:val="24"/>
              </w:rPr>
            </w:pPr>
            <w:r>
              <w:rPr>
                <w:rFonts w:hint="eastAsia"/>
                <w:color w:val="000000"/>
                <w:sz w:val="22"/>
                <w:szCs w:val="22"/>
              </w:rPr>
              <w:t>允许</w:t>
            </w:r>
          </w:p>
        </w:tc>
        <w:tc>
          <w:tcPr>
            <w:tcW w:w="1701" w:type="dxa"/>
            <w:tcBorders>
              <w:bottom w:val="single" w:sz="4" w:space="0" w:color="auto"/>
            </w:tcBorders>
            <w:vAlign w:val="center"/>
          </w:tcPr>
          <w:p w14:paraId="424801A0" w14:textId="158C31AE" w:rsidR="00FF0A4B" w:rsidRDefault="00FF0A4B" w:rsidP="00FF0A4B">
            <w:pPr>
              <w:widowControl/>
              <w:jc w:val="center"/>
              <w:rPr>
                <w:rFonts w:ascii="宋体" w:hAnsi="宋体" w:cs="宋体"/>
                <w:color w:val="000000"/>
                <w:kern w:val="0"/>
                <w:sz w:val="24"/>
              </w:rPr>
            </w:pPr>
            <w:r>
              <w:rPr>
                <w:rFonts w:hint="eastAsia"/>
                <w:color w:val="000000"/>
                <w:sz w:val="22"/>
                <w:szCs w:val="22"/>
              </w:rPr>
              <w:t>15%</w:t>
            </w:r>
          </w:p>
        </w:tc>
        <w:tc>
          <w:tcPr>
            <w:tcW w:w="1417" w:type="dxa"/>
            <w:tcBorders>
              <w:top w:val="single" w:sz="4" w:space="0" w:color="auto"/>
              <w:left w:val="single" w:sz="4" w:space="0" w:color="auto"/>
              <w:bottom w:val="single" w:sz="4" w:space="0" w:color="auto"/>
              <w:right w:val="single" w:sz="4" w:space="0" w:color="auto"/>
            </w:tcBorders>
            <w:vAlign w:val="center"/>
          </w:tcPr>
          <w:p w14:paraId="5F733B14" w14:textId="77777777" w:rsidR="00FF0A4B" w:rsidRDefault="00FF0A4B" w:rsidP="00FF0A4B">
            <w:pPr>
              <w:widowControl/>
              <w:jc w:val="center"/>
              <w:rPr>
                <w:rFonts w:ascii="宋体" w:hAnsi="宋体" w:cs="宋体"/>
                <w:color w:val="000000"/>
                <w:kern w:val="0"/>
                <w:sz w:val="24"/>
              </w:rPr>
            </w:pPr>
          </w:p>
        </w:tc>
      </w:tr>
      <w:tr w:rsidR="00FF0A4B" w14:paraId="6EA92678" w14:textId="77777777" w:rsidTr="00607C40">
        <w:trPr>
          <w:trHeight w:val="285"/>
        </w:trPr>
        <w:tc>
          <w:tcPr>
            <w:tcW w:w="1276" w:type="dxa"/>
            <w:tcBorders>
              <w:bottom w:val="single" w:sz="4" w:space="0" w:color="auto"/>
            </w:tcBorders>
            <w:vAlign w:val="center"/>
          </w:tcPr>
          <w:p w14:paraId="54D7310C" w14:textId="35D7A1FA" w:rsidR="00FF0A4B" w:rsidRPr="000B1B3C" w:rsidRDefault="00FF0A4B" w:rsidP="00FF0A4B">
            <w:pPr>
              <w:widowControl/>
              <w:jc w:val="center"/>
              <w:rPr>
                <w:color w:val="595959"/>
                <w:sz w:val="18"/>
                <w:szCs w:val="18"/>
              </w:rPr>
            </w:pPr>
            <w:r>
              <w:rPr>
                <w:rFonts w:hint="eastAsia"/>
                <w:color w:val="000000"/>
                <w:sz w:val="22"/>
                <w:szCs w:val="22"/>
              </w:rPr>
              <w:t>000425</w:t>
            </w:r>
          </w:p>
        </w:tc>
        <w:tc>
          <w:tcPr>
            <w:tcW w:w="1418" w:type="dxa"/>
            <w:tcBorders>
              <w:bottom w:val="single" w:sz="4" w:space="0" w:color="auto"/>
            </w:tcBorders>
            <w:vAlign w:val="center"/>
          </w:tcPr>
          <w:p w14:paraId="5E8173CC" w14:textId="0C8E7186" w:rsidR="00FF0A4B" w:rsidRPr="000B1B3C" w:rsidRDefault="00FF0A4B" w:rsidP="00FF0A4B">
            <w:pPr>
              <w:widowControl/>
              <w:jc w:val="center"/>
              <w:rPr>
                <w:color w:val="595959"/>
                <w:sz w:val="18"/>
                <w:szCs w:val="18"/>
              </w:rPr>
            </w:pPr>
            <w:r>
              <w:rPr>
                <w:rFonts w:hint="eastAsia"/>
                <w:color w:val="000000"/>
                <w:sz w:val="22"/>
                <w:szCs w:val="22"/>
              </w:rPr>
              <w:t>徐工机械</w:t>
            </w:r>
          </w:p>
        </w:tc>
        <w:tc>
          <w:tcPr>
            <w:tcW w:w="1275" w:type="dxa"/>
            <w:tcBorders>
              <w:bottom w:val="single" w:sz="4" w:space="0" w:color="auto"/>
            </w:tcBorders>
            <w:vAlign w:val="center"/>
          </w:tcPr>
          <w:p w14:paraId="27443C2B" w14:textId="2B33AB92" w:rsidR="00FF0A4B" w:rsidRPr="000B1B3C" w:rsidRDefault="00FF0A4B" w:rsidP="00FF0A4B">
            <w:pPr>
              <w:widowControl/>
              <w:jc w:val="center"/>
              <w:rPr>
                <w:color w:val="595959"/>
                <w:sz w:val="18"/>
                <w:szCs w:val="18"/>
              </w:rPr>
            </w:pPr>
            <w:r>
              <w:rPr>
                <w:rFonts w:hint="eastAsia"/>
                <w:color w:val="000000"/>
                <w:sz w:val="22"/>
                <w:szCs w:val="22"/>
              </w:rPr>
              <w:t>3000</w:t>
            </w:r>
          </w:p>
        </w:tc>
        <w:tc>
          <w:tcPr>
            <w:tcW w:w="1418" w:type="dxa"/>
            <w:tcBorders>
              <w:bottom w:val="single" w:sz="4" w:space="0" w:color="auto"/>
            </w:tcBorders>
            <w:vAlign w:val="center"/>
          </w:tcPr>
          <w:p w14:paraId="7FC4F60A" w14:textId="42A8D063" w:rsidR="00FF0A4B" w:rsidRDefault="00FF0A4B" w:rsidP="00FF0A4B">
            <w:pPr>
              <w:widowControl/>
              <w:jc w:val="center"/>
              <w:rPr>
                <w:rFonts w:ascii="宋体" w:hAnsi="宋体" w:cs="宋体"/>
                <w:color w:val="000000"/>
                <w:kern w:val="0"/>
                <w:sz w:val="24"/>
              </w:rPr>
            </w:pPr>
            <w:r>
              <w:rPr>
                <w:rFonts w:hint="eastAsia"/>
                <w:color w:val="000000"/>
                <w:sz w:val="22"/>
                <w:szCs w:val="22"/>
              </w:rPr>
              <w:t>允许</w:t>
            </w:r>
          </w:p>
        </w:tc>
        <w:tc>
          <w:tcPr>
            <w:tcW w:w="1701" w:type="dxa"/>
            <w:tcBorders>
              <w:bottom w:val="single" w:sz="4" w:space="0" w:color="auto"/>
            </w:tcBorders>
            <w:vAlign w:val="center"/>
          </w:tcPr>
          <w:p w14:paraId="421FD538" w14:textId="37DC98AE" w:rsidR="00FF0A4B" w:rsidRDefault="00FF0A4B" w:rsidP="00FF0A4B">
            <w:pPr>
              <w:widowControl/>
              <w:jc w:val="center"/>
              <w:rPr>
                <w:rFonts w:ascii="宋体" w:hAnsi="宋体" w:cs="宋体"/>
                <w:color w:val="000000"/>
                <w:kern w:val="0"/>
                <w:sz w:val="24"/>
              </w:rPr>
            </w:pPr>
            <w:r>
              <w:rPr>
                <w:rFonts w:hint="eastAsia"/>
                <w:color w:val="000000"/>
                <w:sz w:val="22"/>
                <w:szCs w:val="22"/>
              </w:rPr>
              <w:t>15%</w:t>
            </w:r>
          </w:p>
        </w:tc>
        <w:tc>
          <w:tcPr>
            <w:tcW w:w="1417" w:type="dxa"/>
            <w:tcBorders>
              <w:top w:val="single" w:sz="4" w:space="0" w:color="auto"/>
              <w:left w:val="single" w:sz="4" w:space="0" w:color="auto"/>
              <w:bottom w:val="single" w:sz="4" w:space="0" w:color="auto"/>
              <w:right w:val="single" w:sz="4" w:space="0" w:color="auto"/>
            </w:tcBorders>
            <w:vAlign w:val="center"/>
          </w:tcPr>
          <w:p w14:paraId="5A439B49" w14:textId="77777777" w:rsidR="00FF0A4B" w:rsidRDefault="00FF0A4B" w:rsidP="00FF0A4B">
            <w:pPr>
              <w:widowControl/>
              <w:jc w:val="center"/>
              <w:rPr>
                <w:rFonts w:ascii="宋体" w:hAnsi="宋体" w:cs="宋体"/>
                <w:color w:val="000000"/>
                <w:kern w:val="0"/>
                <w:sz w:val="24"/>
              </w:rPr>
            </w:pPr>
          </w:p>
        </w:tc>
      </w:tr>
      <w:tr w:rsidR="00FF0A4B" w14:paraId="1EC5DE25" w14:textId="77777777" w:rsidTr="00607C40">
        <w:trPr>
          <w:trHeight w:val="285"/>
        </w:trPr>
        <w:tc>
          <w:tcPr>
            <w:tcW w:w="1276" w:type="dxa"/>
            <w:tcBorders>
              <w:bottom w:val="single" w:sz="4" w:space="0" w:color="auto"/>
            </w:tcBorders>
            <w:vAlign w:val="center"/>
          </w:tcPr>
          <w:p w14:paraId="6A35B976" w14:textId="616FE283" w:rsidR="00FF0A4B" w:rsidRPr="000B1B3C" w:rsidRDefault="00FF0A4B" w:rsidP="00FF0A4B">
            <w:pPr>
              <w:widowControl/>
              <w:jc w:val="center"/>
              <w:rPr>
                <w:color w:val="595959"/>
                <w:sz w:val="18"/>
                <w:szCs w:val="18"/>
              </w:rPr>
            </w:pPr>
            <w:r>
              <w:rPr>
                <w:rFonts w:hint="eastAsia"/>
                <w:color w:val="000000"/>
                <w:sz w:val="22"/>
                <w:szCs w:val="22"/>
              </w:rPr>
              <w:t>000488</w:t>
            </w:r>
          </w:p>
        </w:tc>
        <w:tc>
          <w:tcPr>
            <w:tcW w:w="1418" w:type="dxa"/>
            <w:tcBorders>
              <w:bottom w:val="single" w:sz="4" w:space="0" w:color="auto"/>
            </w:tcBorders>
            <w:vAlign w:val="center"/>
          </w:tcPr>
          <w:p w14:paraId="2A18C50D" w14:textId="029EDA76" w:rsidR="00FF0A4B" w:rsidRPr="000B1B3C" w:rsidRDefault="00FF0A4B" w:rsidP="00FF0A4B">
            <w:pPr>
              <w:widowControl/>
              <w:jc w:val="center"/>
              <w:rPr>
                <w:color w:val="595959"/>
                <w:sz w:val="18"/>
                <w:szCs w:val="18"/>
              </w:rPr>
            </w:pPr>
            <w:r>
              <w:rPr>
                <w:rFonts w:hint="eastAsia"/>
                <w:color w:val="000000"/>
                <w:sz w:val="22"/>
                <w:szCs w:val="22"/>
              </w:rPr>
              <w:t>晨鸣纸业</w:t>
            </w:r>
          </w:p>
        </w:tc>
        <w:tc>
          <w:tcPr>
            <w:tcW w:w="1275" w:type="dxa"/>
            <w:tcBorders>
              <w:bottom w:val="single" w:sz="4" w:space="0" w:color="auto"/>
            </w:tcBorders>
            <w:vAlign w:val="center"/>
          </w:tcPr>
          <w:p w14:paraId="134C4DC1" w14:textId="74ADF661" w:rsidR="00FF0A4B" w:rsidRPr="000B1B3C" w:rsidRDefault="00FF0A4B" w:rsidP="00FF0A4B">
            <w:pPr>
              <w:widowControl/>
              <w:jc w:val="center"/>
              <w:rPr>
                <w:color w:val="595959"/>
                <w:sz w:val="18"/>
                <w:szCs w:val="18"/>
              </w:rPr>
            </w:pPr>
            <w:r>
              <w:rPr>
                <w:rFonts w:hint="eastAsia"/>
                <w:color w:val="000000"/>
                <w:sz w:val="22"/>
                <w:szCs w:val="22"/>
              </w:rPr>
              <w:t>600</w:t>
            </w:r>
          </w:p>
        </w:tc>
        <w:tc>
          <w:tcPr>
            <w:tcW w:w="1418" w:type="dxa"/>
            <w:tcBorders>
              <w:bottom w:val="single" w:sz="4" w:space="0" w:color="auto"/>
            </w:tcBorders>
            <w:vAlign w:val="center"/>
          </w:tcPr>
          <w:p w14:paraId="714FAA45" w14:textId="1F2751B2" w:rsidR="00FF0A4B" w:rsidRDefault="00FF0A4B" w:rsidP="00FF0A4B">
            <w:pPr>
              <w:widowControl/>
              <w:jc w:val="center"/>
              <w:rPr>
                <w:rFonts w:ascii="宋体" w:hAnsi="宋体" w:cs="宋体"/>
                <w:color w:val="000000"/>
                <w:kern w:val="0"/>
                <w:sz w:val="24"/>
              </w:rPr>
            </w:pPr>
            <w:r>
              <w:rPr>
                <w:rFonts w:hint="eastAsia"/>
                <w:color w:val="000000"/>
                <w:sz w:val="22"/>
                <w:szCs w:val="22"/>
              </w:rPr>
              <w:t>允许</w:t>
            </w:r>
          </w:p>
        </w:tc>
        <w:tc>
          <w:tcPr>
            <w:tcW w:w="1701" w:type="dxa"/>
            <w:tcBorders>
              <w:bottom w:val="single" w:sz="4" w:space="0" w:color="auto"/>
            </w:tcBorders>
            <w:vAlign w:val="center"/>
          </w:tcPr>
          <w:p w14:paraId="18440C02" w14:textId="3D5CC377" w:rsidR="00FF0A4B" w:rsidRDefault="00FF0A4B" w:rsidP="00FF0A4B">
            <w:pPr>
              <w:widowControl/>
              <w:jc w:val="center"/>
              <w:rPr>
                <w:rFonts w:ascii="宋体" w:hAnsi="宋体" w:cs="宋体"/>
                <w:color w:val="000000"/>
                <w:kern w:val="0"/>
                <w:sz w:val="24"/>
              </w:rPr>
            </w:pPr>
            <w:r>
              <w:rPr>
                <w:rFonts w:hint="eastAsia"/>
                <w:color w:val="000000"/>
                <w:sz w:val="22"/>
                <w:szCs w:val="22"/>
              </w:rPr>
              <w:t>15%</w:t>
            </w:r>
          </w:p>
        </w:tc>
        <w:tc>
          <w:tcPr>
            <w:tcW w:w="1417" w:type="dxa"/>
            <w:tcBorders>
              <w:top w:val="single" w:sz="4" w:space="0" w:color="auto"/>
              <w:left w:val="single" w:sz="4" w:space="0" w:color="auto"/>
              <w:bottom w:val="single" w:sz="4" w:space="0" w:color="auto"/>
              <w:right w:val="single" w:sz="4" w:space="0" w:color="auto"/>
            </w:tcBorders>
            <w:vAlign w:val="center"/>
          </w:tcPr>
          <w:p w14:paraId="058D74C8" w14:textId="77777777" w:rsidR="00FF0A4B" w:rsidRDefault="00FF0A4B" w:rsidP="00FF0A4B">
            <w:pPr>
              <w:widowControl/>
              <w:jc w:val="center"/>
              <w:rPr>
                <w:rFonts w:ascii="宋体" w:hAnsi="宋体" w:cs="宋体"/>
                <w:color w:val="000000"/>
                <w:kern w:val="0"/>
                <w:sz w:val="24"/>
              </w:rPr>
            </w:pPr>
          </w:p>
        </w:tc>
      </w:tr>
      <w:tr w:rsidR="00FF0A4B" w14:paraId="42DAEEB0" w14:textId="77777777" w:rsidTr="00607C40">
        <w:trPr>
          <w:trHeight w:val="285"/>
        </w:trPr>
        <w:tc>
          <w:tcPr>
            <w:tcW w:w="1276" w:type="dxa"/>
            <w:tcBorders>
              <w:bottom w:val="single" w:sz="4" w:space="0" w:color="auto"/>
            </w:tcBorders>
            <w:vAlign w:val="center"/>
          </w:tcPr>
          <w:p w14:paraId="27E801D7" w14:textId="28BC2091" w:rsidR="00FF0A4B" w:rsidRPr="000B1B3C" w:rsidRDefault="00FF0A4B" w:rsidP="00FF0A4B">
            <w:pPr>
              <w:widowControl/>
              <w:jc w:val="center"/>
              <w:rPr>
                <w:color w:val="595959"/>
                <w:sz w:val="18"/>
                <w:szCs w:val="18"/>
              </w:rPr>
            </w:pPr>
            <w:r>
              <w:rPr>
                <w:rFonts w:hint="eastAsia"/>
                <w:color w:val="000000"/>
                <w:sz w:val="22"/>
                <w:szCs w:val="22"/>
              </w:rPr>
              <w:t>000538</w:t>
            </w:r>
          </w:p>
        </w:tc>
        <w:tc>
          <w:tcPr>
            <w:tcW w:w="1418" w:type="dxa"/>
            <w:tcBorders>
              <w:bottom w:val="single" w:sz="4" w:space="0" w:color="auto"/>
            </w:tcBorders>
            <w:vAlign w:val="center"/>
          </w:tcPr>
          <w:p w14:paraId="0A9B6B20" w14:textId="577C2372" w:rsidR="00FF0A4B" w:rsidRPr="000B1B3C" w:rsidRDefault="00FF0A4B" w:rsidP="00FF0A4B">
            <w:pPr>
              <w:widowControl/>
              <w:jc w:val="center"/>
              <w:rPr>
                <w:color w:val="595959"/>
                <w:sz w:val="18"/>
                <w:szCs w:val="18"/>
              </w:rPr>
            </w:pPr>
            <w:r>
              <w:rPr>
                <w:rFonts w:hint="eastAsia"/>
                <w:color w:val="000000"/>
                <w:sz w:val="22"/>
                <w:szCs w:val="22"/>
              </w:rPr>
              <w:t>云南白药</w:t>
            </w:r>
          </w:p>
        </w:tc>
        <w:tc>
          <w:tcPr>
            <w:tcW w:w="1275" w:type="dxa"/>
            <w:tcBorders>
              <w:bottom w:val="single" w:sz="4" w:space="0" w:color="auto"/>
            </w:tcBorders>
            <w:vAlign w:val="center"/>
          </w:tcPr>
          <w:p w14:paraId="0769722F" w14:textId="58B9490D" w:rsidR="00FF0A4B" w:rsidRPr="000B1B3C" w:rsidRDefault="00FF0A4B" w:rsidP="00FF0A4B">
            <w:pPr>
              <w:widowControl/>
              <w:jc w:val="center"/>
              <w:rPr>
                <w:color w:val="595959"/>
                <w:sz w:val="18"/>
                <w:szCs w:val="18"/>
              </w:rPr>
            </w:pPr>
            <w:r>
              <w:rPr>
                <w:rFonts w:hint="eastAsia"/>
                <w:color w:val="000000"/>
                <w:sz w:val="22"/>
                <w:szCs w:val="22"/>
              </w:rPr>
              <w:t>300</w:t>
            </w:r>
          </w:p>
        </w:tc>
        <w:tc>
          <w:tcPr>
            <w:tcW w:w="1418" w:type="dxa"/>
            <w:tcBorders>
              <w:bottom w:val="single" w:sz="4" w:space="0" w:color="auto"/>
            </w:tcBorders>
            <w:vAlign w:val="center"/>
          </w:tcPr>
          <w:p w14:paraId="734E3A74" w14:textId="118DC06C" w:rsidR="00FF0A4B" w:rsidRDefault="00FF0A4B" w:rsidP="00FF0A4B">
            <w:pPr>
              <w:widowControl/>
              <w:jc w:val="center"/>
              <w:rPr>
                <w:rFonts w:ascii="宋体" w:hAnsi="宋体" w:cs="宋体"/>
                <w:color w:val="000000"/>
                <w:kern w:val="0"/>
                <w:sz w:val="24"/>
              </w:rPr>
            </w:pPr>
            <w:r>
              <w:rPr>
                <w:rFonts w:hint="eastAsia"/>
                <w:color w:val="000000"/>
                <w:sz w:val="22"/>
                <w:szCs w:val="22"/>
              </w:rPr>
              <w:t>允许</w:t>
            </w:r>
          </w:p>
        </w:tc>
        <w:tc>
          <w:tcPr>
            <w:tcW w:w="1701" w:type="dxa"/>
            <w:tcBorders>
              <w:bottom w:val="single" w:sz="4" w:space="0" w:color="auto"/>
            </w:tcBorders>
            <w:vAlign w:val="center"/>
          </w:tcPr>
          <w:p w14:paraId="1B257BFD" w14:textId="6D29D2B1" w:rsidR="00FF0A4B" w:rsidRDefault="00FF0A4B" w:rsidP="00FF0A4B">
            <w:pPr>
              <w:widowControl/>
              <w:jc w:val="center"/>
              <w:rPr>
                <w:rFonts w:ascii="宋体" w:hAnsi="宋体" w:cs="宋体"/>
                <w:color w:val="000000"/>
                <w:kern w:val="0"/>
                <w:sz w:val="24"/>
              </w:rPr>
            </w:pPr>
            <w:r>
              <w:rPr>
                <w:rFonts w:hint="eastAsia"/>
                <w:color w:val="000000"/>
                <w:sz w:val="22"/>
                <w:szCs w:val="22"/>
              </w:rPr>
              <w:t>15%</w:t>
            </w:r>
          </w:p>
        </w:tc>
        <w:tc>
          <w:tcPr>
            <w:tcW w:w="1417" w:type="dxa"/>
            <w:tcBorders>
              <w:top w:val="single" w:sz="4" w:space="0" w:color="auto"/>
              <w:left w:val="single" w:sz="4" w:space="0" w:color="auto"/>
              <w:bottom w:val="single" w:sz="4" w:space="0" w:color="auto"/>
              <w:right w:val="single" w:sz="4" w:space="0" w:color="auto"/>
            </w:tcBorders>
            <w:vAlign w:val="center"/>
          </w:tcPr>
          <w:p w14:paraId="08125887" w14:textId="77777777" w:rsidR="00FF0A4B" w:rsidRDefault="00FF0A4B" w:rsidP="00FF0A4B">
            <w:pPr>
              <w:widowControl/>
              <w:jc w:val="center"/>
              <w:rPr>
                <w:rFonts w:ascii="宋体" w:hAnsi="宋体" w:cs="宋体"/>
                <w:color w:val="000000"/>
                <w:kern w:val="0"/>
                <w:sz w:val="24"/>
              </w:rPr>
            </w:pPr>
          </w:p>
        </w:tc>
      </w:tr>
      <w:tr w:rsidR="00FF0A4B" w14:paraId="6B811222" w14:textId="77777777" w:rsidTr="00607C40">
        <w:trPr>
          <w:trHeight w:val="285"/>
        </w:trPr>
        <w:tc>
          <w:tcPr>
            <w:tcW w:w="1276" w:type="dxa"/>
            <w:tcBorders>
              <w:bottom w:val="single" w:sz="4" w:space="0" w:color="auto"/>
            </w:tcBorders>
            <w:vAlign w:val="center"/>
          </w:tcPr>
          <w:p w14:paraId="64039FE4" w14:textId="18C167E3" w:rsidR="00FF0A4B" w:rsidRPr="000B1B3C" w:rsidRDefault="00FF0A4B" w:rsidP="00FF0A4B">
            <w:pPr>
              <w:widowControl/>
              <w:jc w:val="center"/>
              <w:rPr>
                <w:color w:val="595959"/>
                <w:sz w:val="18"/>
                <w:szCs w:val="18"/>
              </w:rPr>
            </w:pPr>
            <w:r>
              <w:rPr>
                <w:rFonts w:hint="eastAsia"/>
                <w:color w:val="000000"/>
                <w:sz w:val="22"/>
                <w:szCs w:val="22"/>
              </w:rPr>
              <w:t>000540</w:t>
            </w:r>
          </w:p>
        </w:tc>
        <w:tc>
          <w:tcPr>
            <w:tcW w:w="1418" w:type="dxa"/>
            <w:tcBorders>
              <w:bottom w:val="single" w:sz="4" w:space="0" w:color="auto"/>
            </w:tcBorders>
            <w:vAlign w:val="center"/>
          </w:tcPr>
          <w:p w14:paraId="7A19D261" w14:textId="7FE71ECD" w:rsidR="00FF0A4B" w:rsidRPr="000B1B3C" w:rsidRDefault="00FF0A4B" w:rsidP="00FF0A4B">
            <w:pPr>
              <w:widowControl/>
              <w:jc w:val="center"/>
              <w:rPr>
                <w:color w:val="595959"/>
                <w:sz w:val="18"/>
                <w:szCs w:val="18"/>
              </w:rPr>
            </w:pPr>
            <w:r>
              <w:rPr>
                <w:rFonts w:hint="eastAsia"/>
                <w:color w:val="000000"/>
                <w:sz w:val="22"/>
                <w:szCs w:val="22"/>
              </w:rPr>
              <w:t>中</w:t>
            </w:r>
            <w:proofErr w:type="gramStart"/>
            <w:r>
              <w:rPr>
                <w:rFonts w:hint="eastAsia"/>
                <w:color w:val="000000"/>
                <w:sz w:val="22"/>
                <w:szCs w:val="22"/>
              </w:rPr>
              <w:t>天金融</w:t>
            </w:r>
            <w:proofErr w:type="gramEnd"/>
          </w:p>
        </w:tc>
        <w:tc>
          <w:tcPr>
            <w:tcW w:w="1275" w:type="dxa"/>
            <w:tcBorders>
              <w:bottom w:val="single" w:sz="4" w:space="0" w:color="auto"/>
            </w:tcBorders>
            <w:vAlign w:val="center"/>
          </w:tcPr>
          <w:p w14:paraId="4BA8CA4D" w14:textId="658AF4E3" w:rsidR="00FF0A4B" w:rsidRPr="000B1B3C" w:rsidRDefault="00FF0A4B" w:rsidP="00FF0A4B">
            <w:pPr>
              <w:widowControl/>
              <w:jc w:val="center"/>
              <w:rPr>
                <w:color w:val="595959"/>
                <w:sz w:val="18"/>
                <w:szCs w:val="18"/>
              </w:rPr>
            </w:pPr>
            <w:r>
              <w:rPr>
                <w:rFonts w:hint="eastAsia"/>
                <w:color w:val="000000"/>
                <w:sz w:val="22"/>
                <w:szCs w:val="22"/>
              </w:rPr>
              <w:t>1900</w:t>
            </w:r>
          </w:p>
        </w:tc>
        <w:tc>
          <w:tcPr>
            <w:tcW w:w="1418" w:type="dxa"/>
            <w:tcBorders>
              <w:bottom w:val="single" w:sz="4" w:space="0" w:color="auto"/>
            </w:tcBorders>
            <w:vAlign w:val="center"/>
          </w:tcPr>
          <w:p w14:paraId="2565B794" w14:textId="505E6D52" w:rsidR="00FF0A4B" w:rsidRDefault="00FF0A4B" w:rsidP="00FF0A4B">
            <w:pPr>
              <w:widowControl/>
              <w:jc w:val="center"/>
              <w:rPr>
                <w:rFonts w:ascii="宋体" w:hAnsi="宋体" w:cs="宋体"/>
                <w:color w:val="000000"/>
                <w:kern w:val="0"/>
                <w:sz w:val="24"/>
              </w:rPr>
            </w:pPr>
            <w:r>
              <w:rPr>
                <w:rFonts w:hint="eastAsia"/>
                <w:color w:val="000000"/>
                <w:sz w:val="22"/>
                <w:szCs w:val="22"/>
              </w:rPr>
              <w:t>允许</w:t>
            </w:r>
          </w:p>
        </w:tc>
        <w:tc>
          <w:tcPr>
            <w:tcW w:w="1701" w:type="dxa"/>
            <w:tcBorders>
              <w:bottom w:val="single" w:sz="4" w:space="0" w:color="auto"/>
            </w:tcBorders>
            <w:vAlign w:val="center"/>
          </w:tcPr>
          <w:p w14:paraId="4A4066CE" w14:textId="5348D052" w:rsidR="00FF0A4B" w:rsidRDefault="00FF0A4B" w:rsidP="00FF0A4B">
            <w:pPr>
              <w:widowControl/>
              <w:jc w:val="center"/>
              <w:rPr>
                <w:rFonts w:ascii="宋体" w:hAnsi="宋体" w:cs="宋体"/>
                <w:color w:val="000000"/>
                <w:kern w:val="0"/>
                <w:sz w:val="24"/>
              </w:rPr>
            </w:pPr>
            <w:r>
              <w:rPr>
                <w:rFonts w:hint="eastAsia"/>
                <w:color w:val="000000"/>
                <w:sz w:val="22"/>
                <w:szCs w:val="22"/>
              </w:rPr>
              <w:t>15%</w:t>
            </w:r>
          </w:p>
        </w:tc>
        <w:tc>
          <w:tcPr>
            <w:tcW w:w="1417" w:type="dxa"/>
            <w:tcBorders>
              <w:top w:val="single" w:sz="4" w:space="0" w:color="auto"/>
              <w:left w:val="single" w:sz="4" w:space="0" w:color="auto"/>
              <w:bottom w:val="single" w:sz="4" w:space="0" w:color="auto"/>
              <w:right w:val="single" w:sz="4" w:space="0" w:color="auto"/>
            </w:tcBorders>
            <w:vAlign w:val="center"/>
          </w:tcPr>
          <w:p w14:paraId="23B4D5F6" w14:textId="77777777" w:rsidR="00FF0A4B" w:rsidRDefault="00FF0A4B" w:rsidP="00FF0A4B">
            <w:pPr>
              <w:widowControl/>
              <w:jc w:val="center"/>
              <w:rPr>
                <w:rFonts w:ascii="宋体" w:hAnsi="宋体" w:cs="宋体"/>
                <w:color w:val="000000"/>
                <w:kern w:val="0"/>
                <w:sz w:val="24"/>
              </w:rPr>
            </w:pPr>
          </w:p>
        </w:tc>
      </w:tr>
      <w:tr w:rsidR="00FF0A4B" w14:paraId="21F010E4" w14:textId="77777777" w:rsidTr="00607C40">
        <w:trPr>
          <w:trHeight w:val="285"/>
        </w:trPr>
        <w:tc>
          <w:tcPr>
            <w:tcW w:w="1276" w:type="dxa"/>
            <w:tcBorders>
              <w:bottom w:val="single" w:sz="4" w:space="0" w:color="auto"/>
            </w:tcBorders>
            <w:vAlign w:val="center"/>
          </w:tcPr>
          <w:p w14:paraId="51A1A567" w14:textId="070B3872" w:rsidR="00FF0A4B" w:rsidRPr="000B1B3C" w:rsidRDefault="00FF0A4B" w:rsidP="00FF0A4B">
            <w:pPr>
              <w:widowControl/>
              <w:jc w:val="center"/>
              <w:rPr>
                <w:color w:val="595959"/>
                <w:sz w:val="18"/>
                <w:szCs w:val="18"/>
              </w:rPr>
            </w:pPr>
            <w:r>
              <w:rPr>
                <w:rFonts w:hint="eastAsia"/>
                <w:color w:val="000000"/>
                <w:sz w:val="22"/>
                <w:szCs w:val="22"/>
              </w:rPr>
              <w:t>000564</w:t>
            </w:r>
          </w:p>
        </w:tc>
        <w:tc>
          <w:tcPr>
            <w:tcW w:w="1418" w:type="dxa"/>
            <w:tcBorders>
              <w:bottom w:val="single" w:sz="4" w:space="0" w:color="auto"/>
            </w:tcBorders>
            <w:vAlign w:val="center"/>
          </w:tcPr>
          <w:p w14:paraId="41532E6B" w14:textId="77C0C90B" w:rsidR="00FF0A4B" w:rsidRPr="000B1B3C" w:rsidRDefault="00FF0A4B" w:rsidP="00FF0A4B">
            <w:pPr>
              <w:widowControl/>
              <w:jc w:val="center"/>
              <w:rPr>
                <w:color w:val="595959"/>
                <w:sz w:val="18"/>
                <w:szCs w:val="18"/>
              </w:rPr>
            </w:pPr>
            <w:r>
              <w:rPr>
                <w:rFonts w:hint="eastAsia"/>
                <w:color w:val="000000"/>
                <w:sz w:val="22"/>
                <w:szCs w:val="22"/>
              </w:rPr>
              <w:t>供销大集</w:t>
            </w:r>
          </w:p>
        </w:tc>
        <w:tc>
          <w:tcPr>
            <w:tcW w:w="1275" w:type="dxa"/>
            <w:tcBorders>
              <w:bottom w:val="single" w:sz="4" w:space="0" w:color="auto"/>
            </w:tcBorders>
            <w:vAlign w:val="center"/>
          </w:tcPr>
          <w:p w14:paraId="2F289C15" w14:textId="6A669C62" w:rsidR="00FF0A4B" w:rsidRPr="000B1B3C" w:rsidRDefault="00FF0A4B" w:rsidP="00FF0A4B">
            <w:pPr>
              <w:widowControl/>
              <w:jc w:val="center"/>
              <w:rPr>
                <w:color w:val="595959"/>
                <w:sz w:val="18"/>
                <w:szCs w:val="18"/>
              </w:rPr>
            </w:pPr>
            <w:r>
              <w:rPr>
                <w:rFonts w:hint="eastAsia"/>
                <w:color w:val="000000"/>
                <w:sz w:val="22"/>
                <w:szCs w:val="22"/>
              </w:rPr>
              <w:t>700</w:t>
            </w:r>
          </w:p>
        </w:tc>
        <w:tc>
          <w:tcPr>
            <w:tcW w:w="1418" w:type="dxa"/>
            <w:tcBorders>
              <w:bottom w:val="single" w:sz="4" w:space="0" w:color="auto"/>
            </w:tcBorders>
            <w:vAlign w:val="center"/>
          </w:tcPr>
          <w:p w14:paraId="43F8A9F8" w14:textId="3D477E29" w:rsidR="00FF0A4B" w:rsidRDefault="00FF0A4B" w:rsidP="00FF0A4B">
            <w:pPr>
              <w:widowControl/>
              <w:jc w:val="center"/>
              <w:rPr>
                <w:rFonts w:ascii="宋体" w:hAnsi="宋体" w:cs="宋体"/>
                <w:color w:val="000000"/>
                <w:kern w:val="0"/>
                <w:sz w:val="24"/>
              </w:rPr>
            </w:pPr>
            <w:r>
              <w:rPr>
                <w:rFonts w:hint="eastAsia"/>
                <w:color w:val="000000"/>
                <w:sz w:val="22"/>
                <w:szCs w:val="22"/>
              </w:rPr>
              <w:t>允许</w:t>
            </w:r>
          </w:p>
        </w:tc>
        <w:tc>
          <w:tcPr>
            <w:tcW w:w="1701" w:type="dxa"/>
            <w:tcBorders>
              <w:bottom w:val="single" w:sz="4" w:space="0" w:color="auto"/>
            </w:tcBorders>
            <w:vAlign w:val="center"/>
          </w:tcPr>
          <w:p w14:paraId="359D6EDA" w14:textId="26C09671" w:rsidR="00FF0A4B" w:rsidRDefault="00FF0A4B" w:rsidP="00FF0A4B">
            <w:pPr>
              <w:widowControl/>
              <w:jc w:val="center"/>
              <w:rPr>
                <w:rFonts w:ascii="宋体" w:hAnsi="宋体" w:cs="宋体"/>
                <w:color w:val="000000"/>
                <w:kern w:val="0"/>
                <w:sz w:val="24"/>
              </w:rPr>
            </w:pPr>
            <w:r>
              <w:rPr>
                <w:rFonts w:hint="eastAsia"/>
                <w:color w:val="000000"/>
                <w:sz w:val="22"/>
                <w:szCs w:val="22"/>
              </w:rPr>
              <w:t>15%</w:t>
            </w:r>
          </w:p>
        </w:tc>
        <w:tc>
          <w:tcPr>
            <w:tcW w:w="1417" w:type="dxa"/>
            <w:tcBorders>
              <w:top w:val="single" w:sz="4" w:space="0" w:color="auto"/>
              <w:left w:val="single" w:sz="4" w:space="0" w:color="auto"/>
              <w:bottom w:val="single" w:sz="4" w:space="0" w:color="auto"/>
              <w:right w:val="single" w:sz="4" w:space="0" w:color="auto"/>
            </w:tcBorders>
            <w:vAlign w:val="center"/>
          </w:tcPr>
          <w:p w14:paraId="73B28047" w14:textId="77777777" w:rsidR="00FF0A4B" w:rsidRDefault="00FF0A4B" w:rsidP="00FF0A4B">
            <w:pPr>
              <w:widowControl/>
              <w:jc w:val="center"/>
              <w:rPr>
                <w:rFonts w:ascii="宋体" w:hAnsi="宋体" w:cs="宋体"/>
                <w:color w:val="000000"/>
                <w:kern w:val="0"/>
                <w:sz w:val="24"/>
              </w:rPr>
            </w:pPr>
          </w:p>
        </w:tc>
      </w:tr>
      <w:tr w:rsidR="00FF0A4B" w14:paraId="4FA192EF" w14:textId="77777777" w:rsidTr="00607C40">
        <w:trPr>
          <w:trHeight w:val="285"/>
        </w:trPr>
        <w:tc>
          <w:tcPr>
            <w:tcW w:w="1276" w:type="dxa"/>
            <w:tcBorders>
              <w:bottom w:val="single" w:sz="4" w:space="0" w:color="auto"/>
            </w:tcBorders>
            <w:vAlign w:val="center"/>
          </w:tcPr>
          <w:p w14:paraId="11C4C04A" w14:textId="62829A17" w:rsidR="00FF0A4B" w:rsidRPr="000B1B3C" w:rsidRDefault="00FF0A4B" w:rsidP="00FF0A4B">
            <w:pPr>
              <w:widowControl/>
              <w:jc w:val="center"/>
              <w:rPr>
                <w:color w:val="595959"/>
                <w:sz w:val="18"/>
                <w:szCs w:val="18"/>
              </w:rPr>
            </w:pPr>
            <w:r>
              <w:rPr>
                <w:rFonts w:hint="eastAsia"/>
                <w:color w:val="000000"/>
                <w:sz w:val="22"/>
                <w:szCs w:val="22"/>
              </w:rPr>
              <w:t>000568</w:t>
            </w:r>
          </w:p>
        </w:tc>
        <w:tc>
          <w:tcPr>
            <w:tcW w:w="1418" w:type="dxa"/>
            <w:tcBorders>
              <w:bottom w:val="single" w:sz="4" w:space="0" w:color="auto"/>
            </w:tcBorders>
            <w:vAlign w:val="center"/>
          </w:tcPr>
          <w:p w14:paraId="441198F8" w14:textId="08817370" w:rsidR="00FF0A4B" w:rsidRPr="000B1B3C" w:rsidRDefault="00FF0A4B" w:rsidP="00FF0A4B">
            <w:pPr>
              <w:widowControl/>
              <w:jc w:val="center"/>
              <w:rPr>
                <w:color w:val="595959"/>
                <w:sz w:val="18"/>
                <w:szCs w:val="18"/>
              </w:rPr>
            </w:pPr>
            <w:r>
              <w:rPr>
                <w:rFonts w:hint="eastAsia"/>
                <w:color w:val="000000"/>
                <w:sz w:val="22"/>
                <w:szCs w:val="22"/>
              </w:rPr>
              <w:t>泸州老窖</w:t>
            </w:r>
          </w:p>
        </w:tc>
        <w:tc>
          <w:tcPr>
            <w:tcW w:w="1275" w:type="dxa"/>
            <w:tcBorders>
              <w:bottom w:val="single" w:sz="4" w:space="0" w:color="auto"/>
            </w:tcBorders>
            <w:vAlign w:val="center"/>
          </w:tcPr>
          <w:p w14:paraId="722643DF" w14:textId="641CD883" w:rsidR="00FF0A4B" w:rsidRPr="000B1B3C" w:rsidRDefault="00FF0A4B" w:rsidP="00FF0A4B">
            <w:pPr>
              <w:widowControl/>
              <w:jc w:val="center"/>
              <w:rPr>
                <w:color w:val="595959"/>
                <w:sz w:val="18"/>
                <w:szCs w:val="18"/>
              </w:rPr>
            </w:pPr>
            <w:r>
              <w:rPr>
                <w:rFonts w:hint="eastAsia"/>
                <w:color w:val="000000"/>
                <w:sz w:val="22"/>
                <w:szCs w:val="22"/>
              </w:rPr>
              <w:t>500</w:t>
            </w:r>
          </w:p>
        </w:tc>
        <w:tc>
          <w:tcPr>
            <w:tcW w:w="1418" w:type="dxa"/>
            <w:tcBorders>
              <w:bottom w:val="single" w:sz="4" w:space="0" w:color="auto"/>
            </w:tcBorders>
            <w:vAlign w:val="center"/>
          </w:tcPr>
          <w:p w14:paraId="4106C3CA" w14:textId="5785C668" w:rsidR="00FF0A4B" w:rsidRDefault="00FF0A4B" w:rsidP="00FF0A4B">
            <w:pPr>
              <w:widowControl/>
              <w:jc w:val="center"/>
              <w:rPr>
                <w:rFonts w:ascii="宋体" w:hAnsi="宋体" w:cs="宋体"/>
                <w:color w:val="000000"/>
                <w:kern w:val="0"/>
                <w:sz w:val="24"/>
              </w:rPr>
            </w:pPr>
            <w:r>
              <w:rPr>
                <w:rFonts w:hint="eastAsia"/>
                <w:color w:val="000000"/>
                <w:sz w:val="22"/>
                <w:szCs w:val="22"/>
              </w:rPr>
              <w:t>允许</w:t>
            </w:r>
          </w:p>
        </w:tc>
        <w:tc>
          <w:tcPr>
            <w:tcW w:w="1701" w:type="dxa"/>
            <w:tcBorders>
              <w:bottom w:val="single" w:sz="4" w:space="0" w:color="auto"/>
            </w:tcBorders>
            <w:vAlign w:val="center"/>
          </w:tcPr>
          <w:p w14:paraId="3B91E6F0" w14:textId="6326630D" w:rsidR="00FF0A4B" w:rsidRDefault="00FF0A4B" w:rsidP="00FF0A4B">
            <w:pPr>
              <w:widowControl/>
              <w:jc w:val="center"/>
              <w:rPr>
                <w:rFonts w:ascii="宋体" w:hAnsi="宋体" w:cs="宋体"/>
                <w:color w:val="000000"/>
                <w:kern w:val="0"/>
                <w:sz w:val="24"/>
              </w:rPr>
            </w:pPr>
            <w:r>
              <w:rPr>
                <w:rFonts w:hint="eastAsia"/>
                <w:color w:val="000000"/>
                <w:sz w:val="22"/>
                <w:szCs w:val="22"/>
              </w:rPr>
              <w:t>15%</w:t>
            </w:r>
          </w:p>
        </w:tc>
        <w:tc>
          <w:tcPr>
            <w:tcW w:w="1417" w:type="dxa"/>
            <w:tcBorders>
              <w:top w:val="single" w:sz="4" w:space="0" w:color="auto"/>
              <w:left w:val="single" w:sz="4" w:space="0" w:color="auto"/>
              <w:bottom w:val="single" w:sz="4" w:space="0" w:color="auto"/>
              <w:right w:val="single" w:sz="4" w:space="0" w:color="auto"/>
            </w:tcBorders>
            <w:vAlign w:val="center"/>
          </w:tcPr>
          <w:p w14:paraId="675554C2" w14:textId="77777777" w:rsidR="00FF0A4B" w:rsidRDefault="00FF0A4B" w:rsidP="00FF0A4B">
            <w:pPr>
              <w:widowControl/>
              <w:jc w:val="center"/>
              <w:rPr>
                <w:rFonts w:ascii="宋体" w:hAnsi="宋体" w:cs="宋体"/>
                <w:color w:val="000000"/>
                <w:kern w:val="0"/>
                <w:sz w:val="24"/>
              </w:rPr>
            </w:pPr>
          </w:p>
        </w:tc>
      </w:tr>
      <w:tr w:rsidR="00FF0A4B" w14:paraId="523A15EE" w14:textId="77777777" w:rsidTr="00607C40">
        <w:trPr>
          <w:trHeight w:val="285"/>
        </w:trPr>
        <w:tc>
          <w:tcPr>
            <w:tcW w:w="1276" w:type="dxa"/>
            <w:tcBorders>
              <w:bottom w:val="single" w:sz="4" w:space="0" w:color="auto"/>
            </w:tcBorders>
            <w:vAlign w:val="center"/>
          </w:tcPr>
          <w:p w14:paraId="048EA95A" w14:textId="3218D98D" w:rsidR="00FF0A4B" w:rsidRPr="000B1B3C" w:rsidRDefault="00FF0A4B" w:rsidP="00FF0A4B">
            <w:pPr>
              <w:widowControl/>
              <w:jc w:val="center"/>
              <w:rPr>
                <w:color w:val="595959"/>
                <w:sz w:val="18"/>
                <w:szCs w:val="18"/>
              </w:rPr>
            </w:pPr>
            <w:r>
              <w:rPr>
                <w:rFonts w:hint="eastAsia"/>
                <w:color w:val="000000"/>
                <w:sz w:val="22"/>
                <w:szCs w:val="22"/>
              </w:rPr>
              <w:t>000581</w:t>
            </w:r>
          </w:p>
        </w:tc>
        <w:tc>
          <w:tcPr>
            <w:tcW w:w="1418" w:type="dxa"/>
            <w:tcBorders>
              <w:bottom w:val="single" w:sz="4" w:space="0" w:color="auto"/>
            </w:tcBorders>
            <w:vAlign w:val="center"/>
          </w:tcPr>
          <w:p w14:paraId="7003A2F5" w14:textId="13D164F9" w:rsidR="00FF0A4B" w:rsidRPr="000B1B3C" w:rsidRDefault="00FF0A4B" w:rsidP="00FF0A4B">
            <w:pPr>
              <w:widowControl/>
              <w:jc w:val="center"/>
              <w:rPr>
                <w:color w:val="595959"/>
                <w:sz w:val="18"/>
                <w:szCs w:val="18"/>
              </w:rPr>
            </w:pPr>
            <w:proofErr w:type="gramStart"/>
            <w:r>
              <w:rPr>
                <w:rFonts w:hint="eastAsia"/>
                <w:color w:val="000000"/>
                <w:sz w:val="22"/>
                <w:szCs w:val="22"/>
              </w:rPr>
              <w:t>威孚高科</w:t>
            </w:r>
            <w:proofErr w:type="gramEnd"/>
          </w:p>
        </w:tc>
        <w:tc>
          <w:tcPr>
            <w:tcW w:w="1275" w:type="dxa"/>
            <w:tcBorders>
              <w:bottom w:val="single" w:sz="4" w:space="0" w:color="auto"/>
            </w:tcBorders>
            <w:vAlign w:val="center"/>
          </w:tcPr>
          <w:p w14:paraId="568F72DC" w14:textId="2DD21D6D" w:rsidR="00FF0A4B" w:rsidRPr="000B1B3C" w:rsidRDefault="00FF0A4B" w:rsidP="00FF0A4B">
            <w:pPr>
              <w:widowControl/>
              <w:jc w:val="center"/>
              <w:rPr>
                <w:color w:val="595959"/>
                <w:sz w:val="18"/>
                <w:szCs w:val="18"/>
              </w:rPr>
            </w:pPr>
            <w:r>
              <w:rPr>
                <w:rFonts w:hint="eastAsia"/>
                <w:color w:val="000000"/>
                <w:sz w:val="22"/>
                <w:szCs w:val="22"/>
              </w:rPr>
              <w:t>400</w:t>
            </w:r>
          </w:p>
        </w:tc>
        <w:tc>
          <w:tcPr>
            <w:tcW w:w="1418" w:type="dxa"/>
            <w:tcBorders>
              <w:bottom w:val="single" w:sz="4" w:space="0" w:color="auto"/>
            </w:tcBorders>
            <w:vAlign w:val="center"/>
          </w:tcPr>
          <w:p w14:paraId="58364474" w14:textId="02535D8F" w:rsidR="00FF0A4B" w:rsidRDefault="00FF0A4B" w:rsidP="00FF0A4B">
            <w:pPr>
              <w:widowControl/>
              <w:jc w:val="center"/>
              <w:rPr>
                <w:rFonts w:ascii="宋体" w:hAnsi="宋体" w:cs="宋体"/>
                <w:color w:val="000000"/>
                <w:kern w:val="0"/>
                <w:sz w:val="24"/>
              </w:rPr>
            </w:pPr>
            <w:r>
              <w:rPr>
                <w:rFonts w:hint="eastAsia"/>
                <w:color w:val="000000"/>
                <w:sz w:val="22"/>
                <w:szCs w:val="22"/>
              </w:rPr>
              <w:t>允许</w:t>
            </w:r>
          </w:p>
        </w:tc>
        <w:tc>
          <w:tcPr>
            <w:tcW w:w="1701" w:type="dxa"/>
            <w:tcBorders>
              <w:bottom w:val="single" w:sz="4" w:space="0" w:color="auto"/>
            </w:tcBorders>
            <w:vAlign w:val="center"/>
          </w:tcPr>
          <w:p w14:paraId="34ECEA83" w14:textId="48C2B211" w:rsidR="00FF0A4B" w:rsidRDefault="00FF0A4B" w:rsidP="00FF0A4B">
            <w:pPr>
              <w:widowControl/>
              <w:jc w:val="center"/>
              <w:rPr>
                <w:rFonts w:ascii="宋体" w:hAnsi="宋体" w:cs="宋体"/>
                <w:color w:val="000000"/>
                <w:kern w:val="0"/>
                <w:sz w:val="24"/>
              </w:rPr>
            </w:pPr>
            <w:r>
              <w:rPr>
                <w:rFonts w:hint="eastAsia"/>
                <w:color w:val="000000"/>
                <w:sz w:val="22"/>
                <w:szCs w:val="22"/>
              </w:rPr>
              <w:t>15%</w:t>
            </w:r>
          </w:p>
        </w:tc>
        <w:tc>
          <w:tcPr>
            <w:tcW w:w="1417" w:type="dxa"/>
            <w:tcBorders>
              <w:top w:val="single" w:sz="4" w:space="0" w:color="auto"/>
              <w:left w:val="single" w:sz="4" w:space="0" w:color="auto"/>
              <w:bottom w:val="single" w:sz="4" w:space="0" w:color="auto"/>
              <w:right w:val="single" w:sz="4" w:space="0" w:color="auto"/>
            </w:tcBorders>
            <w:vAlign w:val="center"/>
          </w:tcPr>
          <w:p w14:paraId="7FED6B4B" w14:textId="77777777" w:rsidR="00FF0A4B" w:rsidRDefault="00FF0A4B" w:rsidP="00FF0A4B">
            <w:pPr>
              <w:widowControl/>
              <w:jc w:val="center"/>
              <w:rPr>
                <w:rFonts w:ascii="宋体" w:hAnsi="宋体" w:cs="宋体"/>
                <w:color w:val="000000"/>
                <w:kern w:val="0"/>
                <w:sz w:val="24"/>
              </w:rPr>
            </w:pPr>
          </w:p>
        </w:tc>
      </w:tr>
      <w:tr w:rsidR="00FF0A4B" w14:paraId="29AB1B67" w14:textId="77777777" w:rsidTr="00607C40">
        <w:trPr>
          <w:trHeight w:val="285"/>
        </w:trPr>
        <w:tc>
          <w:tcPr>
            <w:tcW w:w="1276" w:type="dxa"/>
            <w:tcBorders>
              <w:bottom w:val="single" w:sz="4" w:space="0" w:color="auto"/>
            </w:tcBorders>
            <w:vAlign w:val="center"/>
          </w:tcPr>
          <w:p w14:paraId="196824B4" w14:textId="6473223C" w:rsidR="00FF0A4B" w:rsidRPr="000B1B3C" w:rsidRDefault="00FF0A4B" w:rsidP="00FF0A4B">
            <w:pPr>
              <w:widowControl/>
              <w:jc w:val="center"/>
              <w:rPr>
                <w:color w:val="595959"/>
                <w:sz w:val="18"/>
                <w:szCs w:val="18"/>
              </w:rPr>
            </w:pPr>
            <w:r>
              <w:rPr>
                <w:rFonts w:hint="eastAsia"/>
                <w:color w:val="000000"/>
                <w:sz w:val="22"/>
                <w:szCs w:val="22"/>
              </w:rPr>
              <w:t>000598</w:t>
            </w:r>
          </w:p>
        </w:tc>
        <w:tc>
          <w:tcPr>
            <w:tcW w:w="1418" w:type="dxa"/>
            <w:tcBorders>
              <w:bottom w:val="single" w:sz="4" w:space="0" w:color="auto"/>
            </w:tcBorders>
            <w:vAlign w:val="center"/>
          </w:tcPr>
          <w:p w14:paraId="4B54CDAE" w14:textId="71A85065" w:rsidR="00FF0A4B" w:rsidRPr="000B1B3C" w:rsidRDefault="00FF0A4B" w:rsidP="00FF0A4B">
            <w:pPr>
              <w:widowControl/>
              <w:jc w:val="center"/>
              <w:rPr>
                <w:color w:val="595959"/>
                <w:sz w:val="18"/>
                <w:szCs w:val="18"/>
              </w:rPr>
            </w:pPr>
            <w:proofErr w:type="gramStart"/>
            <w:r>
              <w:rPr>
                <w:rFonts w:hint="eastAsia"/>
                <w:color w:val="000000"/>
                <w:sz w:val="22"/>
                <w:szCs w:val="22"/>
              </w:rPr>
              <w:t>兴蓉环境</w:t>
            </w:r>
            <w:proofErr w:type="gramEnd"/>
          </w:p>
        </w:tc>
        <w:tc>
          <w:tcPr>
            <w:tcW w:w="1275" w:type="dxa"/>
            <w:tcBorders>
              <w:bottom w:val="single" w:sz="4" w:space="0" w:color="auto"/>
            </w:tcBorders>
            <w:vAlign w:val="center"/>
          </w:tcPr>
          <w:p w14:paraId="0F636035" w14:textId="4F37A921" w:rsidR="00FF0A4B" w:rsidRPr="000B1B3C" w:rsidRDefault="00FF0A4B" w:rsidP="00FF0A4B">
            <w:pPr>
              <w:widowControl/>
              <w:jc w:val="center"/>
              <w:rPr>
                <w:color w:val="595959"/>
                <w:sz w:val="18"/>
                <w:szCs w:val="18"/>
              </w:rPr>
            </w:pPr>
            <w:r>
              <w:rPr>
                <w:rFonts w:hint="eastAsia"/>
                <w:color w:val="000000"/>
                <w:sz w:val="22"/>
                <w:szCs w:val="22"/>
              </w:rPr>
              <w:t>1300</w:t>
            </w:r>
          </w:p>
        </w:tc>
        <w:tc>
          <w:tcPr>
            <w:tcW w:w="1418" w:type="dxa"/>
            <w:tcBorders>
              <w:bottom w:val="single" w:sz="4" w:space="0" w:color="auto"/>
            </w:tcBorders>
            <w:vAlign w:val="center"/>
          </w:tcPr>
          <w:p w14:paraId="726E9C7B" w14:textId="799F3FC2" w:rsidR="00FF0A4B" w:rsidRDefault="00FF0A4B" w:rsidP="00FF0A4B">
            <w:pPr>
              <w:widowControl/>
              <w:jc w:val="center"/>
              <w:rPr>
                <w:rFonts w:ascii="宋体" w:hAnsi="宋体" w:cs="宋体"/>
                <w:color w:val="000000"/>
                <w:kern w:val="0"/>
                <w:sz w:val="24"/>
              </w:rPr>
            </w:pPr>
            <w:r>
              <w:rPr>
                <w:rFonts w:hint="eastAsia"/>
                <w:color w:val="000000"/>
                <w:sz w:val="22"/>
                <w:szCs w:val="22"/>
              </w:rPr>
              <w:t>允许</w:t>
            </w:r>
          </w:p>
        </w:tc>
        <w:tc>
          <w:tcPr>
            <w:tcW w:w="1701" w:type="dxa"/>
            <w:tcBorders>
              <w:bottom w:val="single" w:sz="4" w:space="0" w:color="auto"/>
            </w:tcBorders>
            <w:vAlign w:val="center"/>
          </w:tcPr>
          <w:p w14:paraId="1876029D" w14:textId="46AA1CEC" w:rsidR="00FF0A4B" w:rsidRDefault="00FF0A4B" w:rsidP="00FF0A4B">
            <w:pPr>
              <w:widowControl/>
              <w:jc w:val="center"/>
              <w:rPr>
                <w:rFonts w:ascii="宋体" w:hAnsi="宋体" w:cs="宋体"/>
                <w:color w:val="000000"/>
                <w:kern w:val="0"/>
                <w:sz w:val="24"/>
              </w:rPr>
            </w:pPr>
            <w:r>
              <w:rPr>
                <w:rFonts w:hint="eastAsia"/>
                <w:color w:val="000000"/>
                <w:sz w:val="22"/>
                <w:szCs w:val="22"/>
              </w:rPr>
              <w:t>15%</w:t>
            </w:r>
          </w:p>
        </w:tc>
        <w:tc>
          <w:tcPr>
            <w:tcW w:w="1417" w:type="dxa"/>
            <w:tcBorders>
              <w:top w:val="single" w:sz="4" w:space="0" w:color="auto"/>
              <w:left w:val="single" w:sz="4" w:space="0" w:color="auto"/>
              <w:bottom w:val="single" w:sz="4" w:space="0" w:color="auto"/>
              <w:right w:val="single" w:sz="4" w:space="0" w:color="auto"/>
            </w:tcBorders>
            <w:vAlign w:val="center"/>
          </w:tcPr>
          <w:p w14:paraId="024EF21E" w14:textId="77777777" w:rsidR="00FF0A4B" w:rsidRDefault="00FF0A4B" w:rsidP="00FF0A4B">
            <w:pPr>
              <w:widowControl/>
              <w:jc w:val="center"/>
              <w:rPr>
                <w:rFonts w:ascii="宋体" w:hAnsi="宋体" w:cs="宋体"/>
                <w:color w:val="000000"/>
                <w:kern w:val="0"/>
                <w:sz w:val="24"/>
              </w:rPr>
            </w:pPr>
          </w:p>
        </w:tc>
      </w:tr>
      <w:tr w:rsidR="00FF0A4B" w14:paraId="2591958F" w14:textId="77777777" w:rsidTr="00607C40">
        <w:trPr>
          <w:trHeight w:val="285"/>
        </w:trPr>
        <w:tc>
          <w:tcPr>
            <w:tcW w:w="1276" w:type="dxa"/>
            <w:tcBorders>
              <w:bottom w:val="single" w:sz="4" w:space="0" w:color="auto"/>
            </w:tcBorders>
            <w:vAlign w:val="center"/>
          </w:tcPr>
          <w:p w14:paraId="2447023C" w14:textId="1C2937C3" w:rsidR="00FF0A4B" w:rsidRPr="000B1B3C" w:rsidRDefault="00FF0A4B" w:rsidP="00FF0A4B">
            <w:pPr>
              <w:widowControl/>
              <w:jc w:val="center"/>
              <w:rPr>
                <w:color w:val="595959"/>
                <w:sz w:val="18"/>
                <w:szCs w:val="18"/>
              </w:rPr>
            </w:pPr>
            <w:r>
              <w:rPr>
                <w:rFonts w:hint="eastAsia"/>
                <w:color w:val="000000"/>
                <w:sz w:val="22"/>
                <w:szCs w:val="22"/>
              </w:rPr>
              <w:t>000600</w:t>
            </w:r>
          </w:p>
        </w:tc>
        <w:tc>
          <w:tcPr>
            <w:tcW w:w="1418" w:type="dxa"/>
            <w:tcBorders>
              <w:bottom w:val="single" w:sz="4" w:space="0" w:color="auto"/>
            </w:tcBorders>
            <w:vAlign w:val="center"/>
          </w:tcPr>
          <w:p w14:paraId="532D6AAC" w14:textId="49E1EB97" w:rsidR="00FF0A4B" w:rsidRPr="000B1B3C" w:rsidRDefault="00FF0A4B" w:rsidP="00FF0A4B">
            <w:pPr>
              <w:widowControl/>
              <w:jc w:val="center"/>
              <w:rPr>
                <w:color w:val="595959"/>
                <w:sz w:val="18"/>
                <w:szCs w:val="18"/>
              </w:rPr>
            </w:pPr>
            <w:proofErr w:type="gramStart"/>
            <w:r>
              <w:rPr>
                <w:rFonts w:hint="eastAsia"/>
                <w:color w:val="000000"/>
                <w:sz w:val="22"/>
                <w:szCs w:val="22"/>
              </w:rPr>
              <w:t>建投能源</w:t>
            </w:r>
            <w:proofErr w:type="gramEnd"/>
          </w:p>
        </w:tc>
        <w:tc>
          <w:tcPr>
            <w:tcW w:w="1275" w:type="dxa"/>
            <w:tcBorders>
              <w:bottom w:val="single" w:sz="4" w:space="0" w:color="auto"/>
            </w:tcBorders>
            <w:vAlign w:val="center"/>
          </w:tcPr>
          <w:p w14:paraId="10622F24" w14:textId="5F2F3A81" w:rsidR="00FF0A4B" w:rsidRPr="000B1B3C" w:rsidRDefault="00FF0A4B" w:rsidP="00FF0A4B">
            <w:pPr>
              <w:widowControl/>
              <w:jc w:val="center"/>
              <w:rPr>
                <w:color w:val="595959"/>
                <w:sz w:val="18"/>
                <w:szCs w:val="18"/>
              </w:rPr>
            </w:pPr>
            <w:r>
              <w:rPr>
                <w:rFonts w:hint="eastAsia"/>
                <w:color w:val="000000"/>
                <w:sz w:val="22"/>
                <w:szCs w:val="22"/>
              </w:rPr>
              <w:t>500</w:t>
            </w:r>
          </w:p>
        </w:tc>
        <w:tc>
          <w:tcPr>
            <w:tcW w:w="1418" w:type="dxa"/>
            <w:tcBorders>
              <w:bottom w:val="single" w:sz="4" w:space="0" w:color="auto"/>
            </w:tcBorders>
            <w:vAlign w:val="center"/>
          </w:tcPr>
          <w:p w14:paraId="21B725B6" w14:textId="1EAF72C0" w:rsidR="00FF0A4B" w:rsidRDefault="00FF0A4B" w:rsidP="00FF0A4B">
            <w:pPr>
              <w:widowControl/>
              <w:jc w:val="center"/>
              <w:rPr>
                <w:rFonts w:ascii="宋体" w:hAnsi="宋体" w:cs="宋体"/>
                <w:color w:val="000000"/>
                <w:kern w:val="0"/>
                <w:sz w:val="24"/>
              </w:rPr>
            </w:pPr>
            <w:r>
              <w:rPr>
                <w:rFonts w:hint="eastAsia"/>
                <w:color w:val="000000"/>
                <w:sz w:val="22"/>
                <w:szCs w:val="22"/>
              </w:rPr>
              <w:t>允许</w:t>
            </w:r>
          </w:p>
        </w:tc>
        <w:tc>
          <w:tcPr>
            <w:tcW w:w="1701" w:type="dxa"/>
            <w:tcBorders>
              <w:bottom w:val="single" w:sz="4" w:space="0" w:color="auto"/>
            </w:tcBorders>
            <w:vAlign w:val="center"/>
          </w:tcPr>
          <w:p w14:paraId="0A2E8259" w14:textId="5296053C" w:rsidR="00FF0A4B" w:rsidRDefault="00FF0A4B" w:rsidP="00FF0A4B">
            <w:pPr>
              <w:widowControl/>
              <w:jc w:val="center"/>
              <w:rPr>
                <w:rFonts w:ascii="宋体" w:hAnsi="宋体" w:cs="宋体"/>
                <w:color w:val="000000"/>
                <w:kern w:val="0"/>
                <w:sz w:val="24"/>
              </w:rPr>
            </w:pPr>
            <w:r>
              <w:rPr>
                <w:rFonts w:hint="eastAsia"/>
                <w:color w:val="000000"/>
                <w:sz w:val="22"/>
                <w:szCs w:val="22"/>
              </w:rPr>
              <w:t>15%</w:t>
            </w:r>
          </w:p>
        </w:tc>
        <w:tc>
          <w:tcPr>
            <w:tcW w:w="1417" w:type="dxa"/>
            <w:tcBorders>
              <w:top w:val="single" w:sz="4" w:space="0" w:color="auto"/>
              <w:left w:val="single" w:sz="4" w:space="0" w:color="auto"/>
              <w:bottom w:val="single" w:sz="4" w:space="0" w:color="auto"/>
              <w:right w:val="single" w:sz="4" w:space="0" w:color="auto"/>
            </w:tcBorders>
            <w:vAlign w:val="center"/>
          </w:tcPr>
          <w:p w14:paraId="354B51E5" w14:textId="77777777" w:rsidR="00FF0A4B" w:rsidRDefault="00FF0A4B" w:rsidP="00FF0A4B">
            <w:pPr>
              <w:widowControl/>
              <w:jc w:val="center"/>
              <w:rPr>
                <w:rFonts w:ascii="宋体" w:hAnsi="宋体" w:cs="宋体"/>
                <w:color w:val="000000"/>
                <w:kern w:val="0"/>
                <w:sz w:val="24"/>
              </w:rPr>
            </w:pPr>
          </w:p>
        </w:tc>
      </w:tr>
      <w:tr w:rsidR="00FF0A4B" w14:paraId="7BC6D399" w14:textId="77777777" w:rsidTr="00607C40">
        <w:trPr>
          <w:trHeight w:val="285"/>
        </w:trPr>
        <w:tc>
          <w:tcPr>
            <w:tcW w:w="1276" w:type="dxa"/>
            <w:tcBorders>
              <w:bottom w:val="single" w:sz="4" w:space="0" w:color="auto"/>
            </w:tcBorders>
            <w:vAlign w:val="center"/>
          </w:tcPr>
          <w:p w14:paraId="5D2360D8" w14:textId="06A12E0F" w:rsidR="00FF0A4B" w:rsidRPr="000B1B3C" w:rsidRDefault="00FF0A4B" w:rsidP="00FF0A4B">
            <w:pPr>
              <w:widowControl/>
              <w:jc w:val="center"/>
              <w:rPr>
                <w:color w:val="595959"/>
                <w:sz w:val="18"/>
                <w:szCs w:val="18"/>
              </w:rPr>
            </w:pPr>
            <w:r>
              <w:rPr>
                <w:rFonts w:hint="eastAsia"/>
                <w:color w:val="000000"/>
                <w:sz w:val="22"/>
                <w:szCs w:val="22"/>
              </w:rPr>
              <w:t>000617</w:t>
            </w:r>
          </w:p>
        </w:tc>
        <w:tc>
          <w:tcPr>
            <w:tcW w:w="1418" w:type="dxa"/>
            <w:tcBorders>
              <w:bottom w:val="single" w:sz="4" w:space="0" w:color="auto"/>
            </w:tcBorders>
            <w:vAlign w:val="center"/>
          </w:tcPr>
          <w:p w14:paraId="31472CC4" w14:textId="2F2405B7" w:rsidR="00FF0A4B" w:rsidRPr="000B1B3C" w:rsidRDefault="00FF0A4B" w:rsidP="00FF0A4B">
            <w:pPr>
              <w:widowControl/>
              <w:jc w:val="center"/>
              <w:rPr>
                <w:color w:val="595959"/>
                <w:sz w:val="18"/>
                <w:szCs w:val="18"/>
              </w:rPr>
            </w:pPr>
            <w:r>
              <w:rPr>
                <w:rFonts w:hint="eastAsia"/>
                <w:color w:val="000000"/>
                <w:sz w:val="22"/>
                <w:szCs w:val="22"/>
              </w:rPr>
              <w:t>中油资本</w:t>
            </w:r>
          </w:p>
        </w:tc>
        <w:tc>
          <w:tcPr>
            <w:tcW w:w="1275" w:type="dxa"/>
            <w:tcBorders>
              <w:bottom w:val="single" w:sz="4" w:space="0" w:color="auto"/>
            </w:tcBorders>
            <w:vAlign w:val="center"/>
          </w:tcPr>
          <w:p w14:paraId="128D1D11" w14:textId="4922F5F2" w:rsidR="00FF0A4B" w:rsidRPr="000B1B3C" w:rsidRDefault="00FF0A4B" w:rsidP="00FF0A4B">
            <w:pPr>
              <w:widowControl/>
              <w:jc w:val="center"/>
              <w:rPr>
                <w:color w:val="595959"/>
                <w:sz w:val="18"/>
                <w:szCs w:val="18"/>
              </w:rPr>
            </w:pPr>
            <w:r>
              <w:rPr>
                <w:rFonts w:hint="eastAsia"/>
                <w:color w:val="000000"/>
                <w:sz w:val="22"/>
                <w:szCs w:val="22"/>
              </w:rPr>
              <w:t>100</w:t>
            </w:r>
          </w:p>
        </w:tc>
        <w:tc>
          <w:tcPr>
            <w:tcW w:w="1418" w:type="dxa"/>
            <w:tcBorders>
              <w:bottom w:val="single" w:sz="4" w:space="0" w:color="auto"/>
            </w:tcBorders>
            <w:vAlign w:val="center"/>
          </w:tcPr>
          <w:p w14:paraId="4AA0E20D" w14:textId="4A190103" w:rsidR="00FF0A4B" w:rsidRDefault="00FF0A4B" w:rsidP="00FF0A4B">
            <w:pPr>
              <w:widowControl/>
              <w:jc w:val="center"/>
              <w:rPr>
                <w:rFonts w:ascii="宋体" w:hAnsi="宋体" w:cs="宋体"/>
                <w:color w:val="000000"/>
                <w:kern w:val="0"/>
                <w:sz w:val="24"/>
              </w:rPr>
            </w:pPr>
            <w:r>
              <w:rPr>
                <w:rFonts w:hint="eastAsia"/>
                <w:color w:val="000000"/>
                <w:sz w:val="22"/>
                <w:szCs w:val="22"/>
              </w:rPr>
              <w:t>允许</w:t>
            </w:r>
          </w:p>
        </w:tc>
        <w:tc>
          <w:tcPr>
            <w:tcW w:w="1701" w:type="dxa"/>
            <w:tcBorders>
              <w:bottom w:val="single" w:sz="4" w:space="0" w:color="auto"/>
            </w:tcBorders>
            <w:vAlign w:val="center"/>
          </w:tcPr>
          <w:p w14:paraId="190CF480" w14:textId="4C32CF8B" w:rsidR="00FF0A4B" w:rsidRDefault="00FF0A4B" w:rsidP="00FF0A4B">
            <w:pPr>
              <w:widowControl/>
              <w:jc w:val="center"/>
              <w:rPr>
                <w:rFonts w:ascii="宋体" w:hAnsi="宋体" w:cs="宋体"/>
                <w:color w:val="000000"/>
                <w:kern w:val="0"/>
                <w:sz w:val="24"/>
              </w:rPr>
            </w:pPr>
            <w:r>
              <w:rPr>
                <w:rFonts w:hint="eastAsia"/>
                <w:color w:val="000000"/>
                <w:sz w:val="22"/>
                <w:szCs w:val="22"/>
              </w:rPr>
              <w:t>15%</w:t>
            </w:r>
          </w:p>
        </w:tc>
        <w:tc>
          <w:tcPr>
            <w:tcW w:w="1417" w:type="dxa"/>
            <w:tcBorders>
              <w:top w:val="single" w:sz="4" w:space="0" w:color="auto"/>
              <w:left w:val="single" w:sz="4" w:space="0" w:color="auto"/>
              <w:bottom w:val="single" w:sz="4" w:space="0" w:color="auto"/>
              <w:right w:val="single" w:sz="4" w:space="0" w:color="auto"/>
            </w:tcBorders>
            <w:vAlign w:val="center"/>
          </w:tcPr>
          <w:p w14:paraId="210C9BEF" w14:textId="77777777" w:rsidR="00FF0A4B" w:rsidRDefault="00FF0A4B" w:rsidP="00FF0A4B">
            <w:pPr>
              <w:widowControl/>
              <w:jc w:val="center"/>
              <w:rPr>
                <w:rFonts w:ascii="宋体" w:hAnsi="宋体" w:cs="宋体"/>
                <w:color w:val="000000"/>
                <w:kern w:val="0"/>
                <w:sz w:val="24"/>
              </w:rPr>
            </w:pPr>
          </w:p>
        </w:tc>
      </w:tr>
      <w:tr w:rsidR="00FF0A4B" w14:paraId="14FF7F3B" w14:textId="77777777" w:rsidTr="00607C40">
        <w:trPr>
          <w:trHeight w:val="285"/>
        </w:trPr>
        <w:tc>
          <w:tcPr>
            <w:tcW w:w="1276" w:type="dxa"/>
            <w:tcBorders>
              <w:bottom w:val="single" w:sz="4" w:space="0" w:color="auto"/>
            </w:tcBorders>
            <w:vAlign w:val="center"/>
          </w:tcPr>
          <w:p w14:paraId="15B08221" w14:textId="400F18D3" w:rsidR="00FF0A4B" w:rsidRPr="000B1B3C" w:rsidRDefault="00FF0A4B" w:rsidP="00FF0A4B">
            <w:pPr>
              <w:widowControl/>
              <w:jc w:val="center"/>
              <w:rPr>
                <w:color w:val="595959"/>
                <w:sz w:val="18"/>
                <w:szCs w:val="18"/>
              </w:rPr>
            </w:pPr>
            <w:r>
              <w:rPr>
                <w:rFonts w:hint="eastAsia"/>
                <w:color w:val="000000"/>
                <w:sz w:val="22"/>
                <w:szCs w:val="22"/>
              </w:rPr>
              <w:t>000623</w:t>
            </w:r>
          </w:p>
        </w:tc>
        <w:tc>
          <w:tcPr>
            <w:tcW w:w="1418" w:type="dxa"/>
            <w:tcBorders>
              <w:bottom w:val="single" w:sz="4" w:space="0" w:color="auto"/>
            </w:tcBorders>
            <w:vAlign w:val="center"/>
          </w:tcPr>
          <w:p w14:paraId="2F7CF50B" w14:textId="6D83999D" w:rsidR="00FF0A4B" w:rsidRPr="000B1B3C" w:rsidRDefault="00FF0A4B" w:rsidP="00FF0A4B">
            <w:pPr>
              <w:widowControl/>
              <w:jc w:val="center"/>
              <w:rPr>
                <w:color w:val="595959"/>
                <w:sz w:val="18"/>
                <w:szCs w:val="18"/>
              </w:rPr>
            </w:pPr>
            <w:r>
              <w:rPr>
                <w:rFonts w:hint="eastAsia"/>
                <w:color w:val="000000"/>
                <w:sz w:val="22"/>
                <w:szCs w:val="22"/>
              </w:rPr>
              <w:t>吉林敖东</w:t>
            </w:r>
          </w:p>
        </w:tc>
        <w:tc>
          <w:tcPr>
            <w:tcW w:w="1275" w:type="dxa"/>
            <w:tcBorders>
              <w:bottom w:val="single" w:sz="4" w:space="0" w:color="auto"/>
            </w:tcBorders>
            <w:vAlign w:val="center"/>
          </w:tcPr>
          <w:p w14:paraId="67D184A8" w14:textId="2DAA6D8C" w:rsidR="00FF0A4B" w:rsidRPr="000B1B3C" w:rsidRDefault="00FF0A4B" w:rsidP="00FF0A4B">
            <w:pPr>
              <w:widowControl/>
              <w:jc w:val="center"/>
              <w:rPr>
                <w:color w:val="595959"/>
                <w:sz w:val="18"/>
                <w:szCs w:val="18"/>
              </w:rPr>
            </w:pPr>
            <w:r>
              <w:rPr>
                <w:rFonts w:hint="eastAsia"/>
                <w:color w:val="000000"/>
                <w:sz w:val="22"/>
                <w:szCs w:val="22"/>
              </w:rPr>
              <w:t>600</w:t>
            </w:r>
          </w:p>
        </w:tc>
        <w:tc>
          <w:tcPr>
            <w:tcW w:w="1418" w:type="dxa"/>
            <w:tcBorders>
              <w:bottom w:val="single" w:sz="4" w:space="0" w:color="auto"/>
            </w:tcBorders>
            <w:vAlign w:val="center"/>
          </w:tcPr>
          <w:p w14:paraId="6BDAFCD1" w14:textId="7B46884D" w:rsidR="00FF0A4B" w:rsidRDefault="00FF0A4B" w:rsidP="00FF0A4B">
            <w:pPr>
              <w:widowControl/>
              <w:jc w:val="center"/>
              <w:rPr>
                <w:rFonts w:ascii="宋体" w:hAnsi="宋体" w:cs="宋体"/>
                <w:color w:val="000000"/>
                <w:kern w:val="0"/>
                <w:sz w:val="24"/>
              </w:rPr>
            </w:pPr>
            <w:r>
              <w:rPr>
                <w:rFonts w:hint="eastAsia"/>
                <w:color w:val="000000"/>
                <w:sz w:val="22"/>
                <w:szCs w:val="22"/>
              </w:rPr>
              <w:t>允许</w:t>
            </w:r>
          </w:p>
        </w:tc>
        <w:tc>
          <w:tcPr>
            <w:tcW w:w="1701" w:type="dxa"/>
            <w:tcBorders>
              <w:bottom w:val="single" w:sz="4" w:space="0" w:color="auto"/>
            </w:tcBorders>
            <w:vAlign w:val="center"/>
          </w:tcPr>
          <w:p w14:paraId="4B21CB52" w14:textId="6B17878B" w:rsidR="00FF0A4B" w:rsidRDefault="00FF0A4B" w:rsidP="00FF0A4B">
            <w:pPr>
              <w:widowControl/>
              <w:jc w:val="center"/>
              <w:rPr>
                <w:rFonts w:ascii="宋体" w:hAnsi="宋体" w:cs="宋体"/>
                <w:color w:val="000000"/>
                <w:kern w:val="0"/>
                <w:sz w:val="24"/>
              </w:rPr>
            </w:pPr>
            <w:r>
              <w:rPr>
                <w:rFonts w:hint="eastAsia"/>
                <w:color w:val="000000"/>
                <w:sz w:val="22"/>
                <w:szCs w:val="22"/>
              </w:rPr>
              <w:t>15%</w:t>
            </w:r>
          </w:p>
        </w:tc>
        <w:tc>
          <w:tcPr>
            <w:tcW w:w="1417" w:type="dxa"/>
            <w:tcBorders>
              <w:top w:val="single" w:sz="4" w:space="0" w:color="auto"/>
              <w:left w:val="single" w:sz="4" w:space="0" w:color="auto"/>
              <w:bottom w:val="single" w:sz="4" w:space="0" w:color="auto"/>
              <w:right w:val="single" w:sz="4" w:space="0" w:color="auto"/>
            </w:tcBorders>
            <w:vAlign w:val="center"/>
          </w:tcPr>
          <w:p w14:paraId="6A81EA1E" w14:textId="77777777" w:rsidR="00FF0A4B" w:rsidRDefault="00FF0A4B" w:rsidP="00FF0A4B">
            <w:pPr>
              <w:widowControl/>
              <w:jc w:val="center"/>
              <w:rPr>
                <w:rFonts w:ascii="宋体" w:hAnsi="宋体" w:cs="宋体"/>
                <w:color w:val="000000"/>
                <w:kern w:val="0"/>
                <w:sz w:val="24"/>
              </w:rPr>
            </w:pPr>
          </w:p>
        </w:tc>
      </w:tr>
      <w:tr w:rsidR="00FF0A4B" w14:paraId="4E34E776" w14:textId="77777777" w:rsidTr="00607C40">
        <w:trPr>
          <w:trHeight w:val="285"/>
        </w:trPr>
        <w:tc>
          <w:tcPr>
            <w:tcW w:w="1276" w:type="dxa"/>
            <w:tcBorders>
              <w:bottom w:val="single" w:sz="4" w:space="0" w:color="auto"/>
            </w:tcBorders>
            <w:vAlign w:val="center"/>
          </w:tcPr>
          <w:p w14:paraId="28C0B75A" w14:textId="2544F36F" w:rsidR="00FF0A4B" w:rsidRPr="000B1B3C" w:rsidRDefault="00FF0A4B" w:rsidP="00FF0A4B">
            <w:pPr>
              <w:widowControl/>
              <w:jc w:val="center"/>
              <w:rPr>
                <w:color w:val="595959"/>
                <w:sz w:val="18"/>
                <w:szCs w:val="18"/>
              </w:rPr>
            </w:pPr>
            <w:r>
              <w:rPr>
                <w:rFonts w:hint="eastAsia"/>
                <w:color w:val="000000"/>
                <w:sz w:val="22"/>
                <w:szCs w:val="22"/>
              </w:rPr>
              <w:t>000625</w:t>
            </w:r>
          </w:p>
        </w:tc>
        <w:tc>
          <w:tcPr>
            <w:tcW w:w="1418" w:type="dxa"/>
            <w:tcBorders>
              <w:bottom w:val="single" w:sz="4" w:space="0" w:color="auto"/>
            </w:tcBorders>
            <w:vAlign w:val="center"/>
          </w:tcPr>
          <w:p w14:paraId="0446C506" w14:textId="4A28BD0C" w:rsidR="00FF0A4B" w:rsidRPr="000B1B3C" w:rsidRDefault="00FF0A4B" w:rsidP="00FF0A4B">
            <w:pPr>
              <w:widowControl/>
              <w:jc w:val="center"/>
              <w:rPr>
                <w:color w:val="595959"/>
                <w:sz w:val="18"/>
                <w:szCs w:val="18"/>
              </w:rPr>
            </w:pPr>
            <w:r>
              <w:rPr>
                <w:rFonts w:hint="eastAsia"/>
                <w:color w:val="000000"/>
                <w:sz w:val="22"/>
                <w:szCs w:val="22"/>
              </w:rPr>
              <w:t>长安汽车</w:t>
            </w:r>
          </w:p>
        </w:tc>
        <w:tc>
          <w:tcPr>
            <w:tcW w:w="1275" w:type="dxa"/>
            <w:tcBorders>
              <w:bottom w:val="single" w:sz="4" w:space="0" w:color="auto"/>
            </w:tcBorders>
            <w:vAlign w:val="center"/>
          </w:tcPr>
          <w:p w14:paraId="2A013C0A" w14:textId="6C650B23" w:rsidR="00FF0A4B" w:rsidRPr="000B1B3C" w:rsidRDefault="00FF0A4B" w:rsidP="00FF0A4B">
            <w:pPr>
              <w:widowControl/>
              <w:jc w:val="center"/>
              <w:rPr>
                <w:color w:val="595959"/>
                <w:sz w:val="18"/>
                <w:szCs w:val="18"/>
              </w:rPr>
            </w:pPr>
            <w:r>
              <w:rPr>
                <w:rFonts w:hint="eastAsia"/>
                <w:color w:val="000000"/>
                <w:sz w:val="22"/>
                <w:szCs w:val="22"/>
              </w:rPr>
              <w:t>1400</w:t>
            </w:r>
          </w:p>
        </w:tc>
        <w:tc>
          <w:tcPr>
            <w:tcW w:w="1418" w:type="dxa"/>
            <w:tcBorders>
              <w:bottom w:val="single" w:sz="4" w:space="0" w:color="auto"/>
            </w:tcBorders>
            <w:vAlign w:val="center"/>
          </w:tcPr>
          <w:p w14:paraId="0C6922B4" w14:textId="0D2BECB5" w:rsidR="00FF0A4B" w:rsidRDefault="00FF0A4B" w:rsidP="00FF0A4B">
            <w:pPr>
              <w:widowControl/>
              <w:jc w:val="center"/>
              <w:rPr>
                <w:rFonts w:ascii="宋体" w:hAnsi="宋体" w:cs="宋体"/>
                <w:color w:val="000000"/>
                <w:kern w:val="0"/>
                <w:sz w:val="24"/>
              </w:rPr>
            </w:pPr>
            <w:r>
              <w:rPr>
                <w:rFonts w:hint="eastAsia"/>
                <w:color w:val="000000"/>
                <w:sz w:val="22"/>
                <w:szCs w:val="22"/>
              </w:rPr>
              <w:t>允许</w:t>
            </w:r>
          </w:p>
        </w:tc>
        <w:tc>
          <w:tcPr>
            <w:tcW w:w="1701" w:type="dxa"/>
            <w:tcBorders>
              <w:bottom w:val="single" w:sz="4" w:space="0" w:color="auto"/>
            </w:tcBorders>
            <w:vAlign w:val="center"/>
          </w:tcPr>
          <w:p w14:paraId="3865096A" w14:textId="3CBF8347" w:rsidR="00FF0A4B" w:rsidRDefault="00FF0A4B" w:rsidP="00FF0A4B">
            <w:pPr>
              <w:widowControl/>
              <w:jc w:val="center"/>
              <w:rPr>
                <w:rFonts w:ascii="宋体" w:hAnsi="宋体" w:cs="宋体"/>
                <w:color w:val="000000"/>
                <w:kern w:val="0"/>
                <w:sz w:val="24"/>
              </w:rPr>
            </w:pPr>
            <w:r>
              <w:rPr>
                <w:rFonts w:hint="eastAsia"/>
                <w:color w:val="000000"/>
                <w:sz w:val="22"/>
                <w:szCs w:val="22"/>
              </w:rPr>
              <w:t>15%</w:t>
            </w:r>
          </w:p>
        </w:tc>
        <w:tc>
          <w:tcPr>
            <w:tcW w:w="1417" w:type="dxa"/>
            <w:tcBorders>
              <w:top w:val="single" w:sz="4" w:space="0" w:color="auto"/>
              <w:left w:val="single" w:sz="4" w:space="0" w:color="auto"/>
              <w:bottom w:val="single" w:sz="4" w:space="0" w:color="auto"/>
              <w:right w:val="single" w:sz="4" w:space="0" w:color="auto"/>
            </w:tcBorders>
            <w:vAlign w:val="center"/>
          </w:tcPr>
          <w:p w14:paraId="1726FFED" w14:textId="77777777" w:rsidR="00FF0A4B" w:rsidRDefault="00FF0A4B" w:rsidP="00FF0A4B">
            <w:pPr>
              <w:widowControl/>
              <w:jc w:val="center"/>
              <w:rPr>
                <w:rFonts w:ascii="宋体" w:hAnsi="宋体" w:cs="宋体"/>
                <w:color w:val="000000"/>
                <w:kern w:val="0"/>
                <w:sz w:val="24"/>
              </w:rPr>
            </w:pPr>
          </w:p>
        </w:tc>
      </w:tr>
      <w:tr w:rsidR="00FF0A4B" w14:paraId="56C1A73D" w14:textId="77777777" w:rsidTr="00607C40">
        <w:trPr>
          <w:trHeight w:val="285"/>
        </w:trPr>
        <w:tc>
          <w:tcPr>
            <w:tcW w:w="1276" w:type="dxa"/>
            <w:tcBorders>
              <w:bottom w:val="single" w:sz="4" w:space="0" w:color="auto"/>
            </w:tcBorders>
            <w:vAlign w:val="center"/>
          </w:tcPr>
          <w:p w14:paraId="5EA074D4" w14:textId="3EA746AF" w:rsidR="00FF0A4B" w:rsidRPr="000B1B3C" w:rsidRDefault="00FF0A4B" w:rsidP="00FF0A4B">
            <w:pPr>
              <w:widowControl/>
              <w:jc w:val="center"/>
              <w:rPr>
                <w:color w:val="595959"/>
                <w:sz w:val="18"/>
                <w:szCs w:val="18"/>
              </w:rPr>
            </w:pPr>
            <w:r>
              <w:rPr>
                <w:rFonts w:hint="eastAsia"/>
                <w:color w:val="000000"/>
                <w:sz w:val="22"/>
                <w:szCs w:val="22"/>
              </w:rPr>
              <w:t>000630</w:t>
            </w:r>
          </w:p>
        </w:tc>
        <w:tc>
          <w:tcPr>
            <w:tcW w:w="1418" w:type="dxa"/>
            <w:tcBorders>
              <w:bottom w:val="single" w:sz="4" w:space="0" w:color="auto"/>
            </w:tcBorders>
            <w:vAlign w:val="center"/>
          </w:tcPr>
          <w:p w14:paraId="4CAED67C" w14:textId="2F3010AA" w:rsidR="00FF0A4B" w:rsidRPr="000B1B3C" w:rsidRDefault="00FF0A4B" w:rsidP="00FF0A4B">
            <w:pPr>
              <w:widowControl/>
              <w:jc w:val="center"/>
              <w:rPr>
                <w:color w:val="595959"/>
                <w:sz w:val="18"/>
                <w:szCs w:val="18"/>
              </w:rPr>
            </w:pPr>
            <w:r>
              <w:rPr>
                <w:rFonts w:hint="eastAsia"/>
                <w:color w:val="000000"/>
                <w:sz w:val="22"/>
                <w:szCs w:val="22"/>
              </w:rPr>
              <w:t>铜陵有色</w:t>
            </w:r>
          </w:p>
        </w:tc>
        <w:tc>
          <w:tcPr>
            <w:tcW w:w="1275" w:type="dxa"/>
            <w:tcBorders>
              <w:bottom w:val="single" w:sz="4" w:space="0" w:color="auto"/>
            </w:tcBorders>
            <w:vAlign w:val="center"/>
          </w:tcPr>
          <w:p w14:paraId="6A673B58" w14:textId="1E64D37C" w:rsidR="00FF0A4B" w:rsidRPr="000B1B3C" w:rsidRDefault="00FF0A4B" w:rsidP="00FF0A4B">
            <w:pPr>
              <w:widowControl/>
              <w:jc w:val="center"/>
              <w:rPr>
                <w:color w:val="595959"/>
                <w:sz w:val="18"/>
                <w:szCs w:val="18"/>
              </w:rPr>
            </w:pPr>
            <w:r>
              <w:rPr>
                <w:rFonts w:hint="eastAsia"/>
                <w:color w:val="000000"/>
                <w:sz w:val="22"/>
                <w:szCs w:val="22"/>
              </w:rPr>
              <w:t>4300</w:t>
            </w:r>
          </w:p>
        </w:tc>
        <w:tc>
          <w:tcPr>
            <w:tcW w:w="1418" w:type="dxa"/>
            <w:tcBorders>
              <w:bottom w:val="single" w:sz="4" w:space="0" w:color="auto"/>
            </w:tcBorders>
            <w:vAlign w:val="center"/>
          </w:tcPr>
          <w:p w14:paraId="155C992E" w14:textId="55A5A7C3" w:rsidR="00FF0A4B" w:rsidRDefault="00FF0A4B" w:rsidP="00FF0A4B">
            <w:pPr>
              <w:widowControl/>
              <w:jc w:val="center"/>
              <w:rPr>
                <w:rFonts w:ascii="宋体" w:hAnsi="宋体" w:cs="宋体"/>
                <w:color w:val="000000"/>
                <w:kern w:val="0"/>
                <w:sz w:val="24"/>
              </w:rPr>
            </w:pPr>
            <w:r>
              <w:rPr>
                <w:rFonts w:hint="eastAsia"/>
                <w:color w:val="000000"/>
                <w:sz w:val="22"/>
                <w:szCs w:val="22"/>
              </w:rPr>
              <w:t>允许</w:t>
            </w:r>
          </w:p>
        </w:tc>
        <w:tc>
          <w:tcPr>
            <w:tcW w:w="1701" w:type="dxa"/>
            <w:tcBorders>
              <w:bottom w:val="single" w:sz="4" w:space="0" w:color="auto"/>
            </w:tcBorders>
            <w:vAlign w:val="center"/>
          </w:tcPr>
          <w:p w14:paraId="1C6D3701" w14:textId="5EA434CB" w:rsidR="00FF0A4B" w:rsidRDefault="00FF0A4B" w:rsidP="00FF0A4B">
            <w:pPr>
              <w:widowControl/>
              <w:jc w:val="center"/>
              <w:rPr>
                <w:rFonts w:ascii="宋体" w:hAnsi="宋体" w:cs="宋体"/>
                <w:color w:val="000000"/>
                <w:kern w:val="0"/>
                <w:sz w:val="24"/>
              </w:rPr>
            </w:pPr>
            <w:r>
              <w:rPr>
                <w:rFonts w:hint="eastAsia"/>
                <w:color w:val="000000"/>
                <w:sz w:val="22"/>
                <w:szCs w:val="22"/>
              </w:rPr>
              <w:t>15%</w:t>
            </w:r>
          </w:p>
        </w:tc>
        <w:tc>
          <w:tcPr>
            <w:tcW w:w="1417" w:type="dxa"/>
            <w:tcBorders>
              <w:top w:val="single" w:sz="4" w:space="0" w:color="auto"/>
              <w:left w:val="single" w:sz="4" w:space="0" w:color="auto"/>
              <w:bottom w:val="single" w:sz="4" w:space="0" w:color="auto"/>
              <w:right w:val="single" w:sz="4" w:space="0" w:color="auto"/>
            </w:tcBorders>
            <w:vAlign w:val="center"/>
          </w:tcPr>
          <w:p w14:paraId="24E3EB2B" w14:textId="77777777" w:rsidR="00FF0A4B" w:rsidRDefault="00FF0A4B" w:rsidP="00FF0A4B">
            <w:pPr>
              <w:widowControl/>
              <w:jc w:val="center"/>
              <w:rPr>
                <w:rFonts w:ascii="宋体" w:hAnsi="宋体" w:cs="宋体"/>
                <w:color w:val="000000"/>
                <w:kern w:val="0"/>
                <w:sz w:val="24"/>
              </w:rPr>
            </w:pPr>
          </w:p>
        </w:tc>
      </w:tr>
      <w:tr w:rsidR="00FF0A4B" w14:paraId="40CB8764" w14:textId="77777777" w:rsidTr="00607C40">
        <w:trPr>
          <w:trHeight w:val="285"/>
        </w:trPr>
        <w:tc>
          <w:tcPr>
            <w:tcW w:w="1276" w:type="dxa"/>
            <w:tcBorders>
              <w:bottom w:val="single" w:sz="4" w:space="0" w:color="auto"/>
            </w:tcBorders>
            <w:vAlign w:val="center"/>
          </w:tcPr>
          <w:p w14:paraId="5E39A819" w14:textId="3C44A756" w:rsidR="00FF0A4B" w:rsidRPr="000B1B3C" w:rsidRDefault="00FF0A4B" w:rsidP="00FF0A4B">
            <w:pPr>
              <w:widowControl/>
              <w:jc w:val="center"/>
              <w:rPr>
                <w:color w:val="595959"/>
                <w:sz w:val="18"/>
                <w:szCs w:val="18"/>
              </w:rPr>
            </w:pPr>
            <w:r>
              <w:rPr>
                <w:rFonts w:hint="eastAsia"/>
                <w:color w:val="000000"/>
                <w:sz w:val="22"/>
                <w:szCs w:val="22"/>
              </w:rPr>
              <w:t>000651</w:t>
            </w:r>
          </w:p>
        </w:tc>
        <w:tc>
          <w:tcPr>
            <w:tcW w:w="1418" w:type="dxa"/>
            <w:tcBorders>
              <w:bottom w:val="single" w:sz="4" w:space="0" w:color="auto"/>
            </w:tcBorders>
            <w:vAlign w:val="center"/>
          </w:tcPr>
          <w:p w14:paraId="64F2B839" w14:textId="5EA70AF0" w:rsidR="00FF0A4B" w:rsidRPr="000B1B3C" w:rsidRDefault="00FF0A4B" w:rsidP="00FF0A4B">
            <w:pPr>
              <w:widowControl/>
              <w:jc w:val="center"/>
              <w:rPr>
                <w:color w:val="595959"/>
                <w:sz w:val="18"/>
                <w:szCs w:val="18"/>
              </w:rPr>
            </w:pPr>
            <w:r>
              <w:rPr>
                <w:rFonts w:hint="eastAsia"/>
                <w:color w:val="000000"/>
                <w:sz w:val="22"/>
                <w:szCs w:val="22"/>
              </w:rPr>
              <w:t>格力电器</w:t>
            </w:r>
          </w:p>
        </w:tc>
        <w:tc>
          <w:tcPr>
            <w:tcW w:w="1275" w:type="dxa"/>
            <w:tcBorders>
              <w:bottom w:val="single" w:sz="4" w:space="0" w:color="auto"/>
            </w:tcBorders>
            <w:vAlign w:val="center"/>
          </w:tcPr>
          <w:p w14:paraId="4E92472F" w14:textId="581E79C3" w:rsidR="00FF0A4B" w:rsidRPr="000B1B3C" w:rsidRDefault="00FF0A4B" w:rsidP="00FF0A4B">
            <w:pPr>
              <w:widowControl/>
              <w:jc w:val="center"/>
              <w:rPr>
                <w:color w:val="595959"/>
                <w:sz w:val="18"/>
                <w:szCs w:val="18"/>
              </w:rPr>
            </w:pPr>
            <w:r>
              <w:rPr>
                <w:rFonts w:hint="eastAsia"/>
                <w:color w:val="000000"/>
                <w:sz w:val="22"/>
                <w:szCs w:val="22"/>
              </w:rPr>
              <w:t>3200</w:t>
            </w:r>
          </w:p>
        </w:tc>
        <w:tc>
          <w:tcPr>
            <w:tcW w:w="1418" w:type="dxa"/>
            <w:tcBorders>
              <w:bottom w:val="single" w:sz="4" w:space="0" w:color="auto"/>
            </w:tcBorders>
            <w:vAlign w:val="center"/>
          </w:tcPr>
          <w:p w14:paraId="5CC1C62A" w14:textId="2DC236DE" w:rsidR="00FF0A4B" w:rsidRDefault="00FF0A4B" w:rsidP="00FF0A4B">
            <w:pPr>
              <w:widowControl/>
              <w:jc w:val="center"/>
              <w:rPr>
                <w:rFonts w:ascii="宋体" w:hAnsi="宋体" w:cs="宋体"/>
                <w:color w:val="000000"/>
                <w:kern w:val="0"/>
                <w:sz w:val="24"/>
              </w:rPr>
            </w:pPr>
            <w:r>
              <w:rPr>
                <w:rFonts w:hint="eastAsia"/>
                <w:color w:val="000000"/>
                <w:sz w:val="22"/>
                <w:szCs w:val="22"/>
              </w:rPr>
              <w:t>允许</w:t>
            </w:r>
          </w:p>
        </w:tc>
        <w:tc>
          <w:tcPr>
            <w:tcW w:w="1701" w:type="dxa"/>
            <w:tcBorders>
              <w:bottom w:val="single" w:sz="4" w:space="0" w:color="auto"/>
            </w:tcBorders>
            <w:vAlign w:val="center"/>
          </w:tcPr>
          <w:p w14:paraId="10DC2F46" w14:textId="6B78670C" w:rsidR="00FF0A4B" w:rsidRDefault="00FF0A4B" w:rsidP="00FF0A4B">
            <w:pPr>
              <w:widowControl/>
              <w:jc w:val="center"/>
              <w:rPr>
                <w:rFonts w:ascii="宋体" w:hAnsi="宋体" w:cs="宋体"/>
                <w:color w:val="000000"/>
                <w:kern w:val="0"/>
                <w:sz w:val="24"/>
              </w:rPr>
            </w:pPr>
            <w:r>
              <w:rPr>
                <w:rFonts w:hint="eastAsia"/>
                <w:color w:val="000000"/>
                <w:sz w:val="22"/>
                <w:szCs w:val="22"/>
              </w:rPr>
              <w:t>15%</w:t>
            </w:r>
          </w:p>
        </w:tc>
        <w:tc>
          <w:tcPr>
            <w:tcW w:w="1417" w:type="dxa"/>
            <w:tcBorders>
              <w:top w:val="single" w:sz="4" w:space="0" w:color="auto"/>
              <w:left w:val="single" w:sz="4" w:space="0" w:color="auto"/>
              <w:bottom w:val="single" w:sz="4" w:space="0" w:color="auto"/>
              <w:right w:val="single" w:sz="4" w:space="0" w:color="auto"/>
            </w:tcBorders>
            <w:vAlign w:val="center"/>
          </w:tcPr>
          <w:p w14:paraId="6A0E4720" w14:textId="77777777" w:rsidR="00FF0A4B" w:rsidRDefault="00FF0A4B" w:rsidP="00FF0A4B">
            <w:pPr>
              <w:widowControl/>
              <w:jc w:val="center"/>
              <w:rPr>
                <w:rFonts w:ascii="宋体" w:hAnsi="宋体" w:cs="宋体"/>
                <w:color w:val="000000"/>
                <w:kern w:val="0"/>
                <w:sz w:val="24"/>
              </w:rPr>
            </w:pPr>
          </w:p>
        </w:tc>
      </w:tr>
      <w:tr w:rsidR="00FF0A4B" w14:paraId="7C2A731D" w14:textId="77777777" w:rsidTr="00607C40">
        <w:trPr>
          <w:trHeight w:val="285"/>
        </w:trPr>
        <w:tc>
          <w:tcPr>
            <w:tcW w:w="1276" w:type="dxa"/>
            <w:tcBorders>
              <w:bottom w:val="single" w:sz="4" w:space="0" w:color="auto"/>
            </w:tcBorders>
            <w:vAlign w:val="center"/>
          </w:tcPr>
          <w:p w14:paraId="5B15EF54" w14:textId="3E02BC38" w:rsidR="00FF0A4B" w:rsidRPr="000B1B3C" w:rsidRDefault="00FF0A4B" w:rsidP="00FF0A4B">
            <w:pPr>
              <w:widowControl/>
              <w:jc w:val="center"/>
              <w:rPr>
                <w:color w:val="595959"/>
                <w:sz w:val="18"/>
                <w:szCs w:val="18"/>
              </w:rPr>
            </w:pPr>
            <w:r>
              <w:rPr>
                <w:rFonts w:hint="eastAsia"/>
                <w:color w:val="000000"/>
                <w:sz w:val="22"/>
                <w:szCs w:val="22"/>
              </w:rPr>
              <w:t>000656</w:t>
            </w:r>
          </w:p>
        </w:tc>
        <w:tc>
          <w:tcPr>
            <w:tcW w:w="1418" w:type="dxa"/>
            <w:tcBorders>
              <w:bottom w:val="single" w:sz="4" w:space="0" w:color="auto"/>
            </w:tcBorders>
            <w:vAlign w:val="center"/>
          </w:tcPr>
          <w:p w14:paraId="738B47D9" w14:textId="106170BA" w:rsidR="00FF0A4B" w:rsidRPr="000B1B3C" w:rsidRDefault="00FF0A4B" w:rsidP="00FF0A4B">
            <w:pPr>
              <w:widowControl/>
              <w:jc w:val="center"/>
              <w:rPr>
                <w:color w:val="595959"/>
                <w:sz w:val="18"/>
                <w:szCs w:val="18"/>
              </w:rPr>
            </w:pPr>
            <w:r>
              <w:rPr>
                <w:rFonts w:hint="eastAsia"/>
                <w:color w:val="000000"/>
                <w:sz w:val="22"/>
                <w:szCs w:val="22"/>
              </w:rPr>
              <w:t>金科股份</w:t>
            </w:r>
          </w:p>
        </w:tc>
        <w:tc>
          <w:tcPr>
            <w:tcW w:w="1275" w:type="dxa"/>
            <w:tcBorders>
              <w:bottom w:val="single" w:sz="4" w:space="0" w:color="auto"/>
            </w:tcBorders>
            <w:vAlign w:val="center"/>
          </w:tcPr>
          <w:p w14:paraId="415043F9" w14:textId="5A591A55" w:rsidR="00FF0A4B" w:rsidRPr="000B1B3C" w:rsidRDefault="00FF0A4B" w:rsidP="00FF0A4B">
            <w:pPr>
              <w:widowControl/>
              <w:jc w:val="center"/>
              <w:rPr>
                <w:color w:val="595959"/>
                <w:sz w:val="18"/>
                <w:szCs w:val="18"/>
              </w:rPr>
            </w:pPr>
            <w:r>
              <w:rPr>
                <w:rFonts w:hint="eastAsia"/>
                <w:color w:val="000000"/>
                <w:sz w:val="22"/>
                <w:szCs w:val="22"/>
              </w:rPr>
              <w:t>1800</w:t>
            </w:r>
          </w:p>
        </w:tc>
        <w:tc>
          <w:tcPr>
            <w:tcW w:w="1418" w:type="dxa"/>
            <w:tcBorders>
              <w:bottom w:val="single" w:sz="4" w:space="0" w:color="auto"/>
            </w:tcBorders>
            <w:vAlign w:val="center"/>
          </w:tcPr>
          <w:p w14:paraId="3F4C6FEA" w14:textId="60211285" w:rsidR="00FF0A4B" w:rsidRDefault="00FF0A4B" w:rsidP="00FF0A4B">
            <w:pPr>
              <w:widowControl/>
              <w:jc w:val="center"/>
              <w:rPr>
                <w:rFonts w:ascii="宋体" w:hAnsi="宋体" w:cs="宋体"/>
                <w:color w:val="000000"/>
                <w:kern w:val="0"/>
                <w:sz w:val="24"/>
              </w:rPr>
            </w:pPr>
            <w:r>
              <w:rPr>
                <w:rFonts w:hint="eastAsia"/>
                <w:color w:val="000000"/>
                <w:sz w:val="22"/>
                <w:szCs w:val="22"/>
              </w:rPr>
              <w:t>允许</w:t>
            </w:r>
          </w:p>
        </w:tc>
        <w:tc>
          <w:tcPr>
            <w:tcW w:w="1701" w:type="dxa"/>
            <w:tcBorders>
              <w:bottom w:val="single" w:sz="4" w:space="0" w:color="auto"/>
            </w:tcBorders>
            <w:vAlign w:val="center"/>
          </w:tcPr>
          <w:p w14:paraId="726E3048" w14:textId="28341FF4" w:rsidR="00FF0A4B" w:rsidRDefault="00FF0A4B" w:rsidP="00FF0A4B">
            <w:pPr>
              <w:widowControl/>
              <w:jc w:val="center"/>
              <w:rPr>
                <w:rFonts w:ascii="宋体" w:hAnsi="宋体" w:cs="宋体"/>
                <w:color w:val="000000"/>
                <w:kern w:val="0"/>
                <w:sz w:val="24"/>
              </w:rPr>
            </w:pPr>
            <w:r>
              <w:rPr>
                <w:rFonts w:hint="eastAsia"/>
                <w:color w:val="000000"/>
                <w:sz w:val="22"/>
                <w:szCs w:val="22"/>
              </w:rPr>
              <w:t>15%</w:t>
            </w:r>
          </w:p>
        </w:tc>
        <w:tc>
          <w:tcPr>
            <w:tcW w:w="1417" w:type="dxa"/>
            <w:tcBorders>
              <w:top w:val="single" w:sz="4" w:space="0" w:color="auto"/>
              <w:left w:val="single" w:sz="4" w:space="0" w:color="auto"/>
              <w:bottom w:val="single" w:sz="4" w:space="0" w:color="auto"/>
              <w:right w:val="single" w:sz="4" w:space="0" w:color="auto"/>
            </w:tcBorders>
            <w:vAlign w:val="center"/>
          </w:tcPr>
          <w:p w14:paraId="083F36EA" w14:textId="77777777" w:rsidR="00FF0A4B" w:rsidRDefault="00FF0A4B" w:rsidP="00FF0A4B">
            <w:pPr>
              <w:widowControl/>
              <w:jc w:val="center"/>
              <w:rPr>
                <w:rFonts w:ascii="宋体" w:hAnsi="宋体" w:cs="宋体"/>
                <w:color w:val="000000"/>
                <w:kern w:val="0"/>
                <w:sz w:val="24"/>
              </w:rPr>
            </w:pPr>
          </w:p>
        </w:tc>
      </w:tr>
      <w:tr w:rsidR="00FF0A4B" w14:paraId="4F667A82" w14:textId="77777777" w:rsidTr="00607C40">
        <w:trPr>
          <w:trHeight w:val="285"/>
        </w:trPr>
        <w:tc>
          <w:tcPr>
            <w:tcW w:w="1276" w:type="dxa"/>
            <w:tcBorders>
              <w:bottom w:val="single" w:sz="4" w:space="0" w:color="auto"/>
            </w:tcBorders>
            <w:vAlign w:val="center"/>
          </w:tcPr>
          <w:p w14:paraId="038F2403" w14:textId="79EC8F69" w:rsidR="00FF0A4B" w:rsidRPr="000B1B3C" w:rsidRDefault="00FF0A4B" w:rsidP="00FF0A4B">
            <w:pPr>
              <w:widowControl/>
              <w:jc w:val="center"/>
              <w:rPr>
                <w:color w:val="595959"/>
                <w:sz w:val="18"/>
                <w:szCs w:val="18"/>
              </w:rPr>
            </w:pPr>
            <w:r>
              <w:rPr>
                <w:rFonts w:hint="eastAsia"/>
                <w:color w:val="000000"/>
                <w:sz w:val="22"/>
                <w:szCs w:val="22"/>
              </w:rPr>
              <w:t>000671</w:t>
            </w:r>
          </w:p>
        </w:tc>
        <w:tc>
          <w:tcPr>
            <w:tcW w:w="1418" w:type="dxa"/>
            <w:tcBorders>
              <w:bottom w:val="single" w:sz="4" w:space="0" w:color="auto"/>
            </w:tcBorders>
            <w:vAlign w:val="center"/>
          </w:tcPr>
          <w:p w14:paraId="25653FF6" w14:textId="4920C252" w:rsidR="00FF0A4B" w:rsidRPr="000B1B3C" w:rsidRDefault="00FF0A4B" w:rsidP="00FF0A4B">
            <w:pPr>
              <w:widowControl/>
              <w:jc w:val="center"/>
              <w:rPr>
                <w:color w:val="595959"/>
                <w:sz w:val="18"/>
                <w:szCs w:val="18"/>
              </w:rPr>
            </w:pPr>
            <w:r>
              <w:rPr>
                <w:rFonts w:hint="eastAsia"/>
                <w:color w:val="000000"/>
                <w:sz w:val="22"/>
                <w:szCs w:val="22"/>
              </w:rPr>
              <w:t>阳</w:t>
            </w:r>
            <w:r>
              <w:rPr>
                <w:rFonts w:hint="eastAsia"/>
                <w:color w:val="000000"/>
                <w:sz w:val="22"/>
                <w:szCs w:val="22"/>
              </w:rPr>
              <w:t xml:space="preserve"> </w:t>
            </w:r>
            <w:r>
              <w:rPr>
                <w:rFonts w:hint="eastAsia"/>
                <w:color w:val="000000"/>
                <w:sz w:val="22"/>
                <w:szCs w:val="22"/>
              </w:rPr>
              <w:t>光</w:t>
            </w:r>
            <w:r>
              <w:rPr>
                <w:rFonts w:hint="eastAsia"/>
                <w:color w:val="000000"/>
                <w:sz w:val="22"/>
                <w:szCs w:val="22"/>
              </w:rPr>
              <w:t xml:space="preserve"> </w:t>
            </w:r>
            <w:r>
              <w:rPr>
                <w:rFonts w:hint="eastAsia"/>
                <w:color w:val="000000"/>
                <w:sz w:val="22"/>
                <w:szCs w:val="22"/>
              </w:rPr>
              <w:t>城</w:t>
            </w:r>
          </w:p>
        </w:tc>
        <w:tc>
          <w:tcPr>
            <w:tcW w:w="1275" w:type="dxa"/>
            <w:tcBorders>
              <w:bottom w:val="single" w:sz="4" w:space="0" w:color="auto"/>
            </w:tcBorders>
            <w:vAlign w:val="center"/>
          </w:tcPr>
          <w:p w14:paraId="38539509" w14:textId="077C25E2" w:rsidR="00FF0A4B" w:rsidRPr="000B1B3C" w:rsidRDefault="00FF0A4B" w:rsidP="00FF0A4B">
            <w:pPr>
              <w:widowControl/>
              <w:jc w:val="center"/>
              <w:rPr>
                <w:color w:val="595959"/>
                <w:sz w:val="18"/>
                <w:szCs w:val="18"/>
              </w:rPr>
            </w:pPr>
            <w:r>
              <w:rPr>
                <w:rFonts w:hint="eastAsia"/>
                <w:color w:val="000000"/>
                <w:sz w:val="22"/>
                <w:szCs w:val="22"/>
              </w:rPr>
              <w:t>1100</w:t>
            </w:r>
          </w:p>
        </w:tc>
        <w:tc>
          <w:tcPr>
            <w:tcW w:w="1418" w:type="dxa"/>
            <w:tcBorders>
              <w:bottom w:val="single" w:sz="4" w:space="0" w:color="auto"/>
            </w:tcBorders>
            <w:vAlign w:val="center"/>
          </w:tcPr>
          <w:p w14:paraId="79895DD9" w14:textId="04C2D772" w:rsidR="00FF0A4B" w:rsidRDefault="00FF0A4B" w:rsidP="00FF0A4B">
            <w:pPr>
              <w:widowControl/>
              <w:jc w:val="center"/>
              <w:rPr>
                <w:rFonts w:ascii="宋体" w:hAnsi="宋体" w:cs="宋体"/>
                <w:color w:val="000000"/>
                <w:kern w:val="0"/>
                <w:sz w:val="24"/>
              </w:rPr>
            </w:pPr>
            <w:r>
              <w:rPr>
                <w:rFonts w:hint="eastAsia"/>
                <w:color w:val="000000"/>
                <w:sz w:val="22"/>
                <w:szCs w:val="22"/>
              </w:rPr>
              <w:t>允许</w:t>
            </w:r>
          </w:p>
        </w:tc>
        <w:tc>
          <w:tcPr>
            <w:tcW w:w="1701" w:type="dxa"/>
            <w:tcBorders>
              <w:bottom w:val="single" w:sz="4" w:space="0" w:color="auto"/>
            </w:tcBorders>
            <w:vAlign w:val="center"/>
          </w:tcPr>
          <w:p w14:paraId="25E23709" w14:textId="5EE23973" w:rsidR="00FF0A4B" w:rsidRDefault="00FF0A4B" w:rsidP="00FF0A4B">
            <w:pPr>
              <w:widowControl/>
              <w:jc w:val="center"/>
              <w:rPr>
                <w:rFonts w:ascii="宋体" w:hAnsi="宋体" w:cs="宋体"/>
                <w:color w:val="000000"/>
                <w:kern w:val="0"/>
                <w:sz w:val="24"/>
              </w:rPr>
            </w:pPr>
            <w:r>
              <w:rPr>
                <w:rFonts w:hint="eastAsia"/>
                <w:color w:val="000000"/>
                <w:sz w:val="22"/>
                <w:szCs w:val="22"/>
              </w:rPr>
              <w:t>15%</w:t>
            </w:r>
          </w:p>
        </w:tc>
        <w:tc>
          <w:tcPr>
            <w:tcW w:w="1417" w:type="dxa"/>
            <w:tcBorders>
              <w:top w:val="single" w:sz="4" w:space="0" w:color="auto"/>
              <w:left w:val="single" w:sz="4" w:space="0" w:color="auto"/>
              <w:bottom w:val="single" w:sz="4" w:space="0" w:color="auto"/>
              <w:right w:val="single" w:sz="4" w:space="0" w:color="auto"/>
            </w:tcBorders>
            <w:vAlign w:val="center"/>
          </w:tcPr>
          <w:p w14:paraId="726608A4" w14:textId="77777777" w:rsidR="00FF0A4B" w:rsidRDefault="00FF0A4B" w:rsidP="00FF0A4B">
            <w:pPr>
              <w:widowControl/>
              <w:jc w:val="center"/>
              <w:rPr>
                <w:rFonts w:ascii="宋体" w:hAnsi="宋体" w:cs="宋体"/>
                <w:color w:val="000000"/>
                <w:kern w:val="0"/>
                <w:sz w:val="24"/>
              </w:rPr>
            </w:pPr>
          </w:p>
        </w:tc>
      </w:tr>
      <w:tr w:rsidR="00FF0A4B" w14:paraId="63AA116D" w14:textId="77777777" w:rsidTr="00607C40">
        <w:trPr>
          <w:trHeight w:val="285"/>
        </w:trPr>
        <w:tc>
          <w:tcPr>
            <w:tcW w:w="1276" w:type="dxa"/>
            <w:tcBorders>
              <w:bottom w:val="single" w:sz="4" w:space="0" w:color="auto"/>
            </w:tcBorders>
            <w:vAlign w:val="center"/>
          </w:tcPr>
          <w:p w14:paraId="29769BAE" w14:textId="767C65B9" w:rsidR="00FF0A4B" w:rsidRPr="000B1B3C" w:rsidRDefault="00FF0A4B" w:rsidP="00FF0A4B">
            <w:pPr>
              <w:widowControl/>
              <w:jc w:val="center"/>
              <w:rPr>
                <w:color w:val="595959"/>
                <w:sz w:val="18"/>
                <w:szCs w:val="18"/>
              </w:rPr>
            </w:pPr>
            <w:r>
              <w:rPr>
                <w:rFonts w:hint="eastAsia"/>
                <w:color w:val="000000"/>
                <w:sz w:val="22"/>
                <w:szCs w:val="22"/>
              </w:rPr>
              <w:t>000690</w:t>
            </w:r>
          </w:p>
        </w:tc>
        <w:tc>
          <w:tcPr>
            <w:tcW w:w="1418" w:type="dxa"/>
            <w:tcBorders>
              <w:bottom w:val="single" w:sz="4" w:space="0" w:color="auto"/>
            </w:tcBorders>
            <w:vAlign w:val="center"/>
          </w:tcPr>
          <w:p w14:paraId="463F1C81" w14:textId="3CC55976" w:rsidR="00FF0A4B" w:rsidRPr="000B1B3C" w:rsidRDefault="00FF0A4B" w:rsidP="00FF0A4B">
            <w:pPr>
              <w:widowControl/>
              <w:jc w:val="center"/>
              <w:rPr>
                <w:color w:val="595959"/>
                <w:sz w:val="18"/>
                <w:szCs w:val="18"/>
              </w:rPr>
            </w:pPr>
            <w:r>
              <w:rPr>
                <w:rFonts w:hint="eastAsia"/>
                <w:color w:val="000000"/>
                <w:sz w:val="22"/>
                <w:szCs w:val="22"/>
              </w:rPr>
              <w:t>宝新能源</w:t>
            </w:r>
          </w:p>
        </w:tc>
        <w:tc>
          <w:tcPr>
            <w:tcW w:w="1275" w:type="dxa"/>
            <w:tcBorders>
              <w:bottom w:val="single" w:sz="4" w:space="0" w:color="auto"/>
            </w:tcBorders>
            <w:vAlign w:val="center"/>
          </w:tcPr>
          <w:p w14:paraId="7E3566D6" w14:textId="4EC69289" w:rsidR="00FF0A4B" w:rsidRPr="000B1B3C" w:rsidRDefault="00FF0A4B" w:rsidP="00FF0A4B">
            <w:pPr>
              <w:widowControl/>
              <w:jc w:val="center"/>
              <w:rPr>
                <w:color w:val="595959"/>
                <w:sz w:val="18"/>
                <w:szCs w:val="18"/>
              </w:rPr>
            </w:pPr>
            <w:r>
              <w:rPr>
                <w:rFonts w:hint="eastAsia"/>
                <w:color w:val="000000"/>
                <w:sz w:val="22"/>
                <w:szCs w:val="22"/>
              </w:rPr>
              <w:t>1200</w:t>
            </w:r>
          </w:p>
        </w:tc>
        <w:tc>
          <w:tcPr>
            <w:tcW w:w="1418" w:type="dxa"/>
            <w:tcBorders>
              <w:bottom w:val="single" w:sz="4" w:space="0" w:color="auto"/>
            </w:tcBorders>
            <w:vAlign w:val="center"/>
          </w:tcPr>
          <w:p w14:paraId="61B7281C" w14:textId="4EE0F460" w:rsidR="00FF0A4B" w:rsidRDefault="00FF0A4B" w:rsidP="00FF0A4B">
            <w:pPr>
              <w:widowControl/>
              <w:jc w:val="center"/>
              <w:rPr>
                <w:rFonts w:ascii="宋体" w:hAnsi="宋体" w:cs="宋体"/>
                <w:color w:val="000000"/>
                <w:kern w:val="0"/>
                <w:sz w:val="24"/>
              </w:rPr>
            </w:pPr>
            <w:r>
              <w:rPr>
                <w:rFonts w:hint="eastAsia"/>
                <w:color w:val="000000"/>
                <w:sz w:val="22"/>
                <w:szCs w:val="22"/>
              </w:rPr>
              <w:t>允许</w:t>
            </w:r>
          </w:p>
        </w:tc>
        <w:tc>
          <w:tcPr>
            <w:tcW w:w="1701" w:type="dxa"/>
            <w:tcBorders>
              <w:bottom w:val="single" w:sz="4" w:space="0" w:color="auto"/>
            </w:tcBorders>
            <w:vAlign w:val="center"/>
          </w:tcPr>
          <w:p w14:paraId="4A8AAA7D" w14:textId="0D4B6312" w:rsidR="00FF0A4B" w:rsidRDefault="00FF0A4B" w:rsidP="00FF0A4B">
            <w:pPr>
              <w:widowControl/>
              <w:jc w:val="center"/>
              <w:rPr>
                <w:rFonts w:ascii="宋体" w:hAnsi="宋体" w:cs="宋体"/>
                <w:color w:val="000000"/>
                <w:kern w:val="0"/>
                <w:sz w:val="24"/>
              </w:rPr>
            </w:pPr>
            <w:r>
              <w:rPr>
                <w:rFonts w:hint="eastAsia"/>
                <w:color w:val="000000"/>
                <w:sz w:val="22"/>
                <w:szCs w:val="22"/>
              </w:rPr>
              <w:t>15%</w:t>
            </w:r>
          </w:p>
        </w:tc>
        <w:tc>
          <w:tcPr>
            <w:tcW w:w="1417" w:type="dxa"/>
            <w:tcBorders>
              <w:top w:val="single" w:sz="4" w:space="0" w:color="auto"/>
              <w:left w:val="single" w:sz="4" w:space="0" w:color="auto"/>
              <w:bottom w:val="single" w:sz="4" w:space="0" w:color="auto"/>
              <w:right w:val="single" w:sz="4" w:space="0" w:color="auto"/>
            </w:tcBorders>
            <w:vAlign w:val="center"/>
          </w:tcPr>
          <w:p w14:paraId="44BB61F7" w14:textId="77777777" w:rsidR="00FF0A4B" w:rsidRDefault="00FF0A4B" w:rsidP="00FF0A4B">
            <w:pPr>
              <w:widowControl/>
              <w:jc w:val="center"/>
              <w:rPr>
                <w:rFonts w:ascii="宋体" w:hAnsi="宋体" w:cs="宋体"/>
                <w:color w:val="000000"/>
                <w:kern w:val="0"/>
                <w:sz w:val="24"/>
              </w:rPr>
            </w:pPr>
          </w:p>
        </w:tc>
      </w:tr>
      <w:tr w:rsidR="00FF0A4B" w14:paraId="6A9F00C3" w14:textId="77777777" w:rsidTr="00607C40">
        <w:trPr>
          <w:trHeight w:val="285"/>
        </w:trPr>
        <w:tc>
          <w:tcPr>
            <w:tcW w:w="1276" w:type="dxa"/>
            <w:tcBorders>
              <w:bottom w:val="single" w:sz="4" w:space="0" w:color="auto"/>
            </w:tcBorders>
            <w:vAlign w:val="center"/>
          </w:tcPr>
          <w:p w14:paraId="0E6B747E" w14:textId="2E78AF78" w:rsidR="00FF0A4B" w:rsidRPr="000B1B3C" w:rsidRDefault="00FF0A4B" w:rsidP="00FF0A4B">
            <w:pPr>
              <w:widowControl/>
              <w:jc w:val="center"/>
              <w:rPr>
                <w:color w:val="595959"/>
                <w:sz w:val="18"/>
                <w:szCs w:val="18"/>
              </w:rPr>
            </w:pPr>
            <w:r>
              <w:rPr>
                <w:rFonts w:hint="eastAsia"/>
                <w:color w:val="000000"/>
                <w:sz w:val="22"/>
                <w:szCs w:val="22"/>
              </w:rPr>
              <w:t>000709</w:t>
            </w:r>
          </w:p>
        </w:tc>
        <w:tc>
          <w:tcPr>
            <w:tcW w:w="1418" w:type="dxa"/>
            <w:tcBorders>
              <w:bottom w:val="single" w:sz="4" w:space="0" w:color="auto"/>
            </w:tcBorders>
            <w:vAlign w:val="center"/>
          </w:tcPr>
          <w:p w14:paraId="4B60BCD8" w14:textId="309573FB" w:rsidR="00FF0A4B" w:rsidRPr="000B1B3C" w:rsidRDefault="00FF0A4B" w:rsidP="00FF0A4B">
            <w:pPr>
              <w:widowControl/>
              <w:jc w:val="center"/>
              <w:rPr>
                <w:color w:val="595959"/>
                <w:sz w:val="18"/>
                <w:szCs w:val="18"/>
              </w:rPr>
            </w:pPr>
            <w:proofErr w:type="gramStart"/>
            <w:r>
              <w:rPr>
                <w:rFonts w:hint="eastAsia"/>
                <w:color w:val="000000"/>
                <w:sz w:val="22"/>
                <w:szCs w:val="22"/>
              </w:rPr>
              <w:t>河钢股份</w:t>
            </w:r>
            <w:proofErr w:type="gramEnd"/>
          </w:p>
        </w:tc>
        <w:tc>
          <w:tcPr>
            <w:tcW w:w="1275" w:type="dxa"/>
            <w:tcBorders>
              <w:bottom w:val="single" w:sz="4" w:space="0" w:color="auto"/>
            </w:tcBorders>
            <w:vAlign w:val="center"/>
          </w:tcPr>
          <w:p w14:paraId="593997B7" w14:textId="3E6E6A57" w:rsidR="00FF0A4B" w:rsidRPr="000B1B3C" w:rsidRDefault="00FF0A4B" w:rsidP="00FF0A4B">
            <w:pPr>
              <w:widowControl/>
              <w:jc w:val="center"/>
              <w:rPr>
                <w:color w:val="595959"/>
                <w:sz w:val="18"/>
                <w:szCs w:val="18"/>
              </w:rPr>
            </w:pPr>
            <w:r>
              <w:rPr>
                <w:rFonts w:hint="eastAsia"/>
                <w:color w:val="000000"/>
                <w:sz w:val="22"/>
                <w:szCs w:val="22"/>
              </w:rPr>
              <w:t>3000</w:t>
            </w:r>
          </w:p>
        </w:tc>
        <w:tc>
          <w:tcPr>
            <w:tcW w:w="1418" w:type="dxa"/>
            <w:tcBorders>
              <w:bottom w:val="single" w:sz="4" w:space="0" w:color="auto"/>
            </w:tcBorders>
            <w:vAlign w:val="center"/>
          </w:tcPr>
          <w:p w14:paraId="117E1AE1" w14:textId="69DA1BB4" w:rsidR="00FF0A4B" w:rsidRDefault="00FF0A4B" w:rsidP="00FF0A4B">
            <w:pPr>
              <w:widowControl/>
              <w:jc w:val="center"/>
              <w:rPr>
                <w:rFonts w:ascii="宋体" w:hAnsi="宋体" w:cs="宋体"/>
                <w:color w:val="000000"/>
                <w:kern w:val="0"/>
                <w:sz w:val="24"/>
              </w:rPr>
            </w:pPr>
            <w:r>
              <w:rPr>
                <w:rFonts w:hint="eastAsia"/>
                <w:color w:val="000000"/>
                <w:sz w:val="22"/>
                <w:szCs w:val="22"/>
              </w:rPr>
              <w:t>允许</w:t>
            </w:r>
          </w:p>
        </w:tc>
        <w:tc>
          <w:tcPr>
            <w:tcW w:w="1701" w:type="dxa"/>
            <w:tcBorders>
              <w:bottom w:val="single" w:sz="4" w:space="0" w:color="auto"/>
            </w:tcBorders>
            <w:vAlign w:val="center"/>
          </w:tcPr>
          <w:p w14:paraId="2DD9E396" w14:textId="2EC78127" w:rsidR="00FF0A4B" w:rsidRDefault="00FF0A4B" w:rsidP="00FF0A4B">
            <w:pPr>
              <w:widowControl/>
              <w:jc w:val="center"/>
              <w:rPr>
                <w:rFonts w:ascii="宋体" w:hAnsi="宋体" w:cs="宋体"/>
                <w:color w:val="000000"/>
                <w:kern w:val="0"/>
                <w:sz w:val="24"/>
              </w:rPr>
            </w:pPr>
            <w:r>
              <w:rPr>
                <w:rFonts w:hint="eastAsia"/>
                <w:color w:val="000000"/>
                <w:sz w:val="22"/>
                <w:szCs w:val="22"/>
              </w:rPr>
              <w:t>15%</w:t>
            </w:r>
          </w:p>
        </w:tc>
        <w:tc>
          <w:tcPr>
            <w:tcW w:w="1417" w:type="dxa"/>
            <w:tcBorders>
              <w:top w:val="single" w:sz="4" w:space="0" w:color="auto"/>
              <w:left w:val="single" w:sz="4" w:space="0" w:color="auto"/>
              <w:bottom w:val="single" w:sz="4" w:space="0" w:color="auto"/>
              <w:right w:val="single" w:sz="4" w:space="0" w:color="auto"/>
            </w:tcBorders>
            <w:vAlign w:val="center"/>
          </w:tcPr>
          <w:p w14:paraId="1AFCADAA" w14:textId="77777777" w:rsidR="00FF0A4B" w:rsidRDefault="00FF0A4B" w:rsidP="00FF0A4B">
            <w:pPr>
              <w:widowControl/>
              <w:jc w:val="center"/>
              <w:rPr>
                <w:rFonts w:ascii="宋体" w:hAnsi="宋体" w:cs="宋体"/>
                <w:color w:val="000000"/>
                <w:kern w:val="0"/>
                <w:sz w:val="24"/>
              </w:rPr>
            </w:pPr>
          </w:p>
        </w:tc>
      </w:tr>
      <w:tr w:rsidR="00FF0A4B" w14:paraId="7E6FE4F0" w14:textId="77777777" w:rsidTr="00607C40">
        <w:trPr>
          <w:trHeight w:val="285"/>
        </w:trPr>
        <w:tc>
          <w:tcPr>
            <w:tcW w:w="1276" w:type="dxa"/>
            <w:tcBorders>
              <w:bottom w:val="single" w:sz="4" w:space="0" w:color="auto"/>
            </w:tcBorders>
            <w:vAlign w:val="center"/>
          </w:tcPr>
          <w:p w14:paraId="70ED26E8" w14:textId="76904629" w:rsidR="00FF0A4B" w:rsidRPr="000B1B3C" w:rsidRDefault="00FF0A4B" w:rsidP="00FF0A4B">
            <w:pPr>
              <w:widowControl/>
              <w:jc w:val="center"/>
              <w:rPr>
                <w:color w:val="595959"/>
                <w:sz w:val="18"/>
                <w:szCs w:val="18"/>
              </w:rPr>
            </w:pPr>
            <w:r>
              <w:rPr>
                <w:rFonts w:hint="eastAsia"/>
                <w:color w:val="000000"/>
                <w:sz w:val="22"/>
                <w:szCs w:val="22"/>
              </w:rPr>
              <w:t>000718</w:t>
            </w:r>
          </w:p>
        </w:tc>
        <w:tc>
          <w:tcPr>
            <w:tcW w:w="1418" w:type="dxa"/>
            <w:tcBorders>
              <w:bottom w:val="single" w:sz="4" w:space="0" w:color="auto"/>
            </w:tcBorders>
            <w:vAlign w:val="center"/>
          </w:tcPr>
          <w:p w14:paraId="54FA8BF7" w14:textId="1C69C3FD" w:rsidR="00FF0A4B" w:rsidRPr="000B1B3C" w:rsidRDefault="00FF0A4B" w:rsidP="00FF0A4B">
            <w:pPr>
              <w:widowControl/>
              <w:jc w:val="center"/>
              <w:rPr>
                <w:color w:val="595959"/>
                <w:sz w:val="18"/>
                <w:szCs w:val="18"/>
              </w:rPr>
            </w:pPr>
            <w:r>
              <w:rPr>
                <w:rFonts w:hint="eastAsia"/>
                <w:color w:val="000000"/>
                <w:sz w:val="22"/>
                <w:szCs w:val="22"/>
              </w:rPr>
              <w:t>苏宁环球</w:t>
            </w:r>
          </w:p>
        </w:tc>
        <w:tc>
          <w:tcPr>
            <w:tcW w:w="1275" w:type="dxa"/>
            <w:tcBorders>
              <w:bottom w:val="single" w:sz="4" w:space="0" w:color="auto"/>
            </w:tcBorders>
            <w:vAlign w:val="center"/>
          </w:tcPr>
          <w:p w14:paraId="2AD85BF9" w14:textId="625799EB" w:rsidR="00FF0A4B" w:rsidRPr="000B1B3C" w:rsidRDefault="00FF0A4B" w:rsidP="00FF0A4B">
            <w:pPr>
              <w:widowControl/>
              <w:jc w:val="center"/>
              <w:rPr>
                <w:color w:val="595959"/>
                <w:sz w:val="18"/>
                <w:szCs w:val="18"/>
              </w:rPr>
            </w:pPr>
            <w:r>
              <w:rPr>
                <w:rFonts w:hint="eastAsia"/>
                <w:color w:val="000000"/>
                <w:sz w:val="22"/>
                <w:szCs w:val="22"/>
              </w:rPr>
              <w:t>1000</w:t>
            </w:r>
          </w:p>
        </w:tc>
        <w:tc>
          <w:tcPr>
            <w:tcW w:w="1418" w:type="dxa"/>
            <w:tcBorders>
              <w:bottom w:val="single" w:sz="4" w:space="0" w:color="auto"/>
            </w:tcBorders>
            <w:vAlign w:val="center"/>
          </w:tcPr>
          <w:p w14:paraId="494D1FBF" w14:textId="295CC550" w:rsidR="00FF0A4B" w:rsidRDefault="00FF0A4B" w:rsidP="00FF0A4B">
            <w:pPr>
              <w:widowControl/>
              <w:jc w:val="center"/>
              <w:rPr>
                <w:rFonts w:ascii="宋体" w:hAnsi="宋体" w:cs="宋体"/>
                <w:color w:val="000000"/>
                <w:kern w:val="0"/>
                <w:sz w:val="24"/>
              </w:rPr>
            </w:pPr>
            <w:r>
              <w:rPr>
                <w:rFonts w:hint="eastAsia"/>
                <w:color w:val="000000"/>
                <w:sz w:val="22"/>
                <w:szCs w:val="22"/>
              </w:rPr>
              <w:t>允许</w:t>
            </w:r>
          </w:p>
        </w:tc>
        <w:tc>
          <w:tcPr>
            <w:tcW w:w="1701" w:type="dxa"/>
            <w:tcBorders>
              <w:bottom w:val="single" w:sz="4" w:space="0" w:color="auto"/>
            </w:tcBorders>
            <w:vAlign w:val="center"/>
          </w:tcPr>
          <w:p w14:paraId="2EC7B662" w14:textId="159436D8" w:rsidR="00FF0A4B" w:rsidRDefault="00FF0A4B" w:rsidP="00FF0A4B">
            <w:pPr>
              <w:widowControl/>
              <w:jc w:val="center"/>
              <w:rPr>
                <w:rFonts w:ascii="宋体" w:hAnsi="宋体" w:cs="宋体"/>
                <w:color w:val="000000"/>
                <w:kern w:val="0"/>
                <w:sz w:val="24"/>
              </w:rPr>
            </w:pPr>
            <w:r>
              <w:rPr>
                <w:rFonts w:hint="eastAsia"/>
                <w:color w:val="000000"/>
                <w:sz w:val="22"/>
                <w:szCs w:val="22"/>
              </w:rPr>
              <w:t>15%</w:t>
            </w:r>
          </w:p>
        </w:tc>
        <w:tc>
          <w:tcPr>
            <w:tcW w:w="1417" w:type="dxa"/>
            <w:tcBorders>
              <w:top w:val="single" w:sz="4" w:space="0" w:color="auto"/>
              <w:left w:val="single" w:sz="4" w:space="0" w:color="auto"/>
              <w:bottom w:val="single" w:sz="4" w:space="0" w:color="auto"/>
              <w:right w:val="single" w:sz="4" w:space="0" w:color="auto"/>
            </w:tcBorders>
            <w:vAlign w:val="center"/>
          </w:tcPr>
          <w:p w14:paraId="3EAC98D4" w14:textId="77777777" w:rsidR="00FF0A4B" w:rsidRDefault="00FF0A4B" w:rsidP="00FF0A4B">
            <w:pPr>
              <w:widowControl/>
              <w:jc w:val="center"/>
              <w:rPr>
                <w:rFonts w:ascii="宋体" w:hAnsi="宋体" w:cs="宋体"/>
                <w:color w:val="000000"/>
                <w:kern w:val="0"/>
                <w:sz w:val="24"/>
              </w:rPr>
            </w:pPr>
          </w:p>
        </w:tc>
      </w:tr>
      <w:tr w:rsidR="00FF0A4B" w14:paraId="5B804F9E" w14:textId="77777777" w:rsidTr="00607C40">
        <w:trPr>
          <w:trHeight w:val="285"/>
        </w:trPr>
        <w:tc>
          <w:tcPr>
            <w:tcW w:w="1276" w:type="dxa"/>
            <w:tcBorders>
              <w:bottom w:val="single" w:sz="4" w:space="0" w:color="auto"/>
            </w:tcBorders>
            <w:vAlign w:val="center"/>
          </w:tcPr>
          <w:p w14:paraId="25AEC8EB" w14:textId="5197D0FE" w:rsidR="00FF0A4B" w:rsidRPr="000B1B3C" w:rsidRDefault="00FF0A4B" w:rsidP="00FF0A4B">
            <w:pPr>
              <w:widowControl/>
              <w:jc w:val="center"/>
              <w:rPr>
                <w:color w:val="595959"/>
                <w:sz w:val="18"/>
                <w:szCs w:val="18"/>
              </w:rPr>
            </w:pPr>
            <w:r>
              <w:rPr>
                <w:rFonts w:hint="eastAsia"/>
                <w:color w:val="000000"/>
                <w:sz w:val="22"/>
                <w:szCs w:val="22"/>
              </w:rPr>
              <w:t>000725</w:t>
            </w:r>
          </w:p>
        </w:tc>
        <w:tc>
          <w:tcPr>
            <w:tcW w:w="1418" w:type="dxa"/>
            <w:tcBorders>
              <w:bottom w:val="single" w:sz="4" w:space="0" w:color="auto"/>
            </w:tcBorders>
            <w:vAlign w:val="center"/>
          </w:tcPr>
          <w:p w14:paraId="3D5EB16B" w14:textId="5FE63E04" w:rsidR="00FF0A4B" w:rsidRPr="000B1B3C" w:rsidRDefault="00FF0A4B" w:rsidP="00FF0A4B">
            <w:pPr>
              <w:widowControl/>
              <w:jc w:val="center"/>
              <w:rPr>
                <w:color w:val="595959"/>
                <w:sz w:val="18"/>
                <w:szCs w:val="18"/>
              </w:rPr>
            </w:pPr>
            <w:r>
              <w:rPr>
                <w:rFonts w:hint="eastAsia"/>
                <w:color w:val="000000"/>
                <w:sz w:val="22"/>
                <w:szCs w:val="22"/>
              </w:rPr>
              <w:t>京</w:t>
            </w:r>
            <w:proofErr w:type="gramStart"/>
            <w:r>
              <w:rPr>
                <w:rFonts w:hint="eastAsia"/>
                <w:color w:val="000000"/>
                <w:sz w:val="22"/>
                <w:szCs w:val="22"/>
              </w:rPr>
              <w:t>东方Ａ</w:t>
            </w:r>
            <w:proofErr w:type="gramEnd"/>
          </w:p>
        </w:tc>
        <w:tc>
          <w:tcPr>
            <w:tcW w:w="1275" w:type="dxa"/>
            <w:tcBorders>
              <w:bottom w:val="single" w:sz="4" w:space="0" w:color="auto"/>
            </w:tcBorders>
            <w:vAlign w:val="center"/>
          </w:tcPr>
          <w:p w14:paraId="74C92BBC" w14:textId="7A6DE353" w:rsidR="00FF0A4B" w:rsidRPr="000B1B3C" w:rsidRDefault="00FF0A4B" w:rsidP="00FF0A4B">
            <w:pPr>
              <w:widowControl/>
              <w:jc w:val="center"/>
              <w:rPr>
                <w:color w:val="595959"/>
                <w:sz w:val="18"/>
                <w:szCs w:val="18"/>
              </w:rPr>
            </w:pPr>
            <w:r>
              <w:rPr>
                <w:rFonts w:hint="eastAsia"/>
                <w:color w:val="000000"/>
                <w:sz w:val="22"/>
                <w:szCs w:val="22"/>
              </w:rPr>
              <w:t>17000</w:t>
            </w:r>
          </w:p>
        </w:tc>
        <w:tc>
          <w:tcPr>
            <w:tcW w:w="1418" w:type="dxa"/>
            <w:tcBorders>
              <w:bottom w:val="single" w:sz="4" w:space="0" w:color="auto"/>
            </w:tcBorders>
            <w:vAlign w:val="center"/>
          </w:tcPr>
          <w:p w14:paraId="649FD1A4" w14:textId="575DA53C" w:rsidR="00FF0A4B" w:rsidRDefault="00FF0A4B" w:rsidP="00FF0A4B">
            <w:pPr>
              <w:widowControl/>
              <w:jc w:val="center"/>
              <w:rPr>
                <w:rFonts w:ascii="宋体" w:hAnsi="宋体" w:cs="宋体"/>
                <w:color w:val="000000"/>
                <w:kern w:val="0"/>
                <w:sz w:val="24"/>
              </w:rPr>
            </w:pPr>
            <w:r>
              <w:rPr>
                <w:rFonts w:hint="eastAsia"/>
                <w:color w:val="000000"/>
                <w:sz w:val="22"/>
                <w:szCs w:val="22"/>
              </w:rPr>
              <w:t>允许</w:t>
            </w:r>
          </w:p>
        </w:tc>
        <w:tc>
          <w:tcPr>
            <w:tcW w:w="1701" w:type="dxa"/>
            <w:tcBorders>
              <w:bottom w:val="single" w:sz="4" w:space="0" w:color="auto"/>
            </w:tcBorders>
            <w:vAlign w:val="center"/>
          </w:tcPr>
          <w:p w14:paraId="623A74A4" w14:textId="0A4119C1" w:rsidR="00FF0A4B" w:rsidRDefault="00FF0A4B" w:rsidP="00FF0A4B">
            <w:pPr>
              <w:widowControl/>
              <w:jc w:val="center"/>
              <w:rPr>
                <w:rFonts w:ascii="宋体" w:hAnsi="宋体" w:cs="宋体"/>
                <w:color w:val="000000"/>
                <w:kern w:val="0"/>
                <w:sz w:val="24"/>
              </w:rPr>
            </w:pPr>
            <w:r>
              <w:rPr>
                <w:rFonts w:hint="eastAsia"/>
                <w:color w:val="000000"/>
                <w:sz w:val="22"/>
                <w:szCs w:val="22"/>
              </w:rPr>
              <w:t>15%</w:t>
            </w:r>
          </w:p>
        </w:tc>
        <w:tc>
          <w:tcPr>
            <w:tcW w:w="1417" w:type="dxa"/>
            <w:tcBorders>
              <w:top w:val="single" w:sz="4" w:space="0" w:color="auto"/>
              <w:left w:val="single" w:sz="4" w:space="0" w:color="auto"/>
              <w:bottom w:val="single" w:sz="4" w:space="0" w:color="auto"/>
              <w:right w:val="single" w:sz="4" w:space="0" w:color="auto"/>
            </w:tcBorders>
            <w:vAlign w:val="center"/>
          </w:tcPr>
          <w:p w14:paraId="77999F47" w14:textId="77777777" w:rsidR="00FF0A4B" w:rsidRDefault="00FF0A4B" w:rsidP="00FF0A4B">
            <w:pPr>
              <w:widowControl/>
              <w:jc w:val="center"/>
              <w:rPr>
                <w:rFonts w:ascii="宋体" w:hAnsi="宋体" w:cs="宋体"/>
                <w:color w:val="000000"/>
                <w:kern w:val="0"/>
                <w:sz w:val="24"/>
              </w:rPr>
            </w:pPr>
          </w:p>
        </w:tc>
      </w:tr>
      <w:tr w:rsidR="00FF0A4B" w14:paraId="51BB5178" w14:textId="77777777" w:rsidTr="00607C40">
        <w:trPr>
          <w:trHeight w:val="285"/>
        </w:trPr>
        <w:tc>
          <w:tcPr>
            <w:tcW w:w="1276" w:type="dxa"/>
            <w:tcBorders>
              <w:bottom w:val="single" w:sz="4" w:space="0" w:color="auto"/>
            </w:tcBorders>
            <w:vAlign w:val="center"/>
          </w:tcPr>
          <w:p w14:paraId="647B3EBB" w14:textId="6D4AD58C" w:rsidR="00FF0A4B" w:rsidRPr="000B1B3C" w:rsidRDefault="00FF0A4B" w:rsidP="00FF0A4B">
            <w:pPr>
              <w:widowControl/>
              <w:jc w:val="center"/>
              <w:rPr>
                <w:color w:val="595959"/>
                <w:sz w:val="18"/>
                <w:szCs w:val="18"/>
              </w:rPr>
            </w:pPr>
            <w:r>
              <w:rPr>
                <w:rFonts w:hint="eastAsia"/>
                <w:color w:val="000000"/>
                <w:sz w:val="22"/>
                <w:szCs w:val="22"/>
              </w:rPr>
              <w:t>000728</w:t>
            </w:r>
          </w:p>
        </w:tc>
        <w:tc>
          <w:tcPr>
            <w:tcW w:w="1418" w:type="dxa"/>
            <w:tcBorders>
              <w:bottom w:val="single" w:sz="4" w:space="0" w:color="auto"/>
            </w:tcBorders>
            <w:vAlign w:val="center"/>
          </w:tcPr>
          <w:p w14:paraId="67228012" w14:textId="795B7E32" w:rsidR="00FF0A4B" w:rsidRPr="000B1B3C" w:rsidRDefault="00FF0A4B" w:rsidP="00FF0A4B">
            <w:pPr>
              <w:widowControl/>
              <w:jc w:val="center"/>
              <w:rPr>
                <w:color w:val="595959"/>
                <w:sz w:val="18"/>
                <w:szCs w:val="18"/>
              </w:rPr>
            </w:pPr>
            <w:proofErr w:type="gramStart"/>
            <w:r>
              <w:rPr>
                <w:rFonts w:hint="eastAsia"/>
                <w:color w:val="000000"/>
                <w:sz w:val="22"/>
                <w:szCs w:val="22"/>
              </w:rPr>
              <w:t>国元证券</w:t>
            </w:r>
            <w:proofErr w:type="gramEnd"/>
          </w:p>
        </w:tc>
        <w:tc>
          <w:tcPr>
            <w:tcW w:w="1275" w:type="dxa"/>
            <w:tcBorders>
              <w:bottom w:val="single" w:sz="4" w:space="0" w:color="auto"/>
            </w:tcBorders>
            <w:vAlign w:val="center"/>
          </w:tcPr>
          <w:p w14:paraId="31982136" w14:textId="54D747FA" w:rsidR="00FF0A4B" w:rsidRPr="000B1B3C" w:rsidRDefault="00FF0A4B" w:rsidP="00FF0A4B">
            <w:pPr>
              <w:widowControl/>
              <w:jc w:val="center"/>
              <w:rPr>
                <w:color w:val="595959"/>
                <w:sz w:val="18"/>
                <w:szCs w:val="18"/>
              </w:rPr>
            </w:pPr>
            <w:r>
              <w:rPr>
                <w:rFonts w:hint="eastAsia"/>
                <w:color w:val="000000"/>
                <w:sz w:val="22"/>
                <w:szCs w:val="22"/>
              </w:rPr>
              <w:t>1400</w:t>
            </w:r>
          </w:p>
        </w:tc>
        <w:tc>
          <w:tcPr>
            <w:tcW w:w="1418" w:type="dxa"/>
            <w:tcBorders>
              <w:bottom w:val="single" w:sz="4" w:space="0" w:color="auto"/>
            </w:tcBorders>
            <w:vAlign w:val="center"/>
          </w:tcPr>
          <w:p w14:paraId="343ED2F5" w14:textId="7D59AA8D" w:rsidR="00FF0A4B" w:rsidRDefault="00FF0A4B" w:rsidP="00FF0A4B">
            <w:pPr>
              <w:widowControl/>
              <w:jc w:val="center"/>
              <w:rPr>
                <w:rFonts w:ascii="宋体" w:hAnsi="宋体" w:cs="宋体"/>
                <w:color w:val="000000"/>
                <w:kern w:val="0"/>
                <w:sz w:val="24"/>
              </w:rPr>
            </w:pPr>
            <w:r>
              <w:rPr>
                <w:rFonts w:hint="eastAsia"/>
                <w:color w:val="000000"/>
                <w:sz w:val="22"/>
                <w:szCs w:val="22"/>
              </w:rPr>
              <w:t>允许</w:t>
            </w:r>
          </w:p>
        </w:tc>
        <w:tc>
          <w:tcPr>
            <w:tcW w:w="1701" w:type="dxa"/>
            <w:tcBorders>
              <w:bottom w:val="single" w:sz="4" w:space="0" w:color="auto"/>
            </w:tcBorders>
            <w:vAlign w:val="center"/>
          </w:tcPr>
          <w:p w14:paraId="692FDFA3" w14:textId="787A5F23" w:rsidR="00FF0A4B" w:rsidRDefault="00FF0A4B" w:rsidP="00FF0A4B">
            <w:pPr>
              <w:widowControl/>
              <w:jc w:val="center"/>
              <w:rPr>
                <w:rFonts w:ascii="宋体" w:hAnsi="宋体" w:cs="宋体"/>
                <w:color w:val="000000"/>
                <w:kern w:val="0"/>
                <w:sz w:val="24"/>
              </w:rPr>
            </w:pPr>
            <w:r>
              <w:rPr>
                <w:rFonts w:hint="eastAsia"/>
                <w:color w:val="000000"/>
                <w:sz w:val="22"/>
                <w:szCs w:val="22"/>
              </w:rPr>
              <w:t>15%</w:t>
            </w:r>
          </w:p>
        </w:tc>
        <w:tc>
          <w:tcPr>
            <w:tcW w:w="1417" w:type="dxa"/>
            <w:tcBorders>
              <w:top w:val="single" w:sz="4" w:space="0" w:color="auto"/>
              <w:left w:val="single" w:sz="4" w:space="0" w:color="auto"/>
              <w:bottom w:val="single" w:sz="4" w:space="0" w:color="auto"/>
              <w:right w:val="single" w:sz="4" w:space="0" w:color="auto"/>
            </w:tcBorders>
            <w:vAlign w:val="center"/>
          </w:tcPr>
          <w:p w14:paraId="6CA359DD" w14:textId="77777777" w:rsidR="00FF0A4B" w:rsidRDefault="00FF0A4B" w:rsidP="00FF0A4B">
            <w:pPr>
              <w:widowControl/>
              <w:jc w:val="center"/>
              <w:rPr>
                <w:rFonts w:ascii="宋体" w:hAnsi="宋体" w:cs="宋体"/>
                <w:color w:val="000000"/>
                <w:kern w:val="0"/>
                <w:sz w:val="24"/>
              </w:rPr>
            </w:pPr>
          </w:p>
        </w:tc>
      </w:tr>
      <w:tr w:rsidR="00FF0A4B" w14:paraId="0E7DF719" w14:textId="77777777" w:rsidTr="00607C40">
        <w:trPr>
          <w:trHeight w:val="285"/>
        </w:trPr>
        <w:tc>
          <w:tcPr>
            <w:tcW w:w="1276" w:type="dxa"/>
            <w:tcBorders>
              <w:bottom w:val="single" w:sz="4" w:space="0" w:color="auto"/>
            </w:tcBorders>
            <w:vAlign w:val="center"/>
          </w:tcPr>
          <w:p w14:paraId="1A314EE0" w14:textId="748A4527" w:rsidR="00FF0A4B" w:rsidRPr="000B1B3C" w:rsidRDefault="00FF0A4B" w:rsidP="00FF0A4B">
            <w:pPr>
              <w:widowControl/>
              <w:jc w:val="center"/>
              <w:rPr>
                <w:color w:val="595959"/>
                <w:sz w:val="18"/>
                <w:szCs w:val="18"/>
              </w:rPr>
            </w:pPr>
            <w:r>
              <w:rPr>
                <w:rFonts w:hint="eastAsia"/>
                <w:color w:val="000000"/>
                <w:sz w:val="22"/>
                <w:szCs w:val="22"/>
              </w:rPr>
              <w:t>000729</w:t>
            </w:r>
          </w:p>
        </w:tc>
        <w:tc>
          <w:tcPr>
            <w:tcW w:w="1418" w:type="dxa"/>
            <w:tcBorders>
              <w:bottom w:val="single" w:sz="4" w:space="0" w:color="auto"/>
            </w:tcBorders>
            <w:vAlign w:val="center"/>
          </w:tcPr>
          <w:p w14:paraId="70AB9886" w14:textId="4D3CD691" w:rsidR="00FF0A4B" w:rsidRPr="000B1B3C" w:rsidRDefault="00FF0A4B" w:rsidP="00FF0A4B">
            <w:pPr>
              <w:widowControl/>
              <w:jc w:val="center"/>
              <w:rPr>
                <w:color w:val="595959"/>
                <w:sz w:val="18"/>
                <w:szCs w:val="18"/>
              </w:rPr>
            </w:pPr>
            <w:r>
              <w:rPr>
                <w:rFonts w:hint="eastAsia"/>
                <w:color w:val="000000"/>
                <w:sz w:val="22"/>
                <w:szCs w:val="22"/>
              </w:rPr>
              <w:t>燕京啤酒</w:t>
            </w:r>
          </w:p>
        </w:tc>
        <w:tc>
          <w:tcPr>
            <w:tcW w:w="1275" w:type="dxa"/>
            <w:tcBorders>
              <w:bottom w:val="single" w:sz="4" w:space="0" w:color="auto"/>
            </w:tcBorders>
            <w:vAlign w:val="center"/>
          </w:tcPr>
          <w:p w14:paraId="020752E1" w14:textId="51A3E10A" w:rsidR="00FF0A4B" w:rsidRPr="000B1B3C" w:rsidRDefault="00FF0A4B" w:rsidP="00FF0A4B">
            <w:pPr>
              <w:widowControl/>
              <w:jc w:val="center"/>
              <w:rPr>
                <w:color w:val="595959"/>
                <w:sz w:val="18"/>
                <w:szCs w:val="18"/>
              </w:rPr>
            </w:pPr>
            <w:r>
              <w:rPr>
                <w:rFonts w:hint="eastAsia"/>
                <w:color w:val="000000"/>
                <w:sz w:val="22"/>
                <w:szCs w:val="22"/>
              </w:rPr>
              <w:t>900</w:t>
            </w:r>
          </w:p>
        </w:tc>
        <w:tc>
          <w:tcPr>
            <w:tcW w:w="1418" w:type="dxa"/>
            <w:tcBorders>
              <w:bottom w:val="single" w:sz="4" w:space="0" w:color="auto"/>
            </w:tcBorders>
            <w:vAlign w:val="center"/>
          </w:tcPr>
          <w:p w14:paraId="6E034180" w14:textId="05683C3D" w:rsidR="00FF0A4B" w:rsidRDefault="00FF0A4B" w:rsidP="00FF0A4B">
            <w:pPr>
              <w:widowControl/>
              <w:jc w:val="center"/>
              <w:rPr>
                <w:rFonts w:ascii="宋体" w:hAnsi="宋体" w:cs="宋体"/>
                <w:color w:val="000000"/>
                <w:kern w:val="0"/>
                <w:sz w:val="24"/>
              </w:rPr>
            </w:pPr>
            <w:r>
              <w:rPr>
                <w:rFonts w:hint="eastAsia"/>
                <w:color w:val="000000"/>
                <w:sz w:val="22"/>
                <w:szCs w:val="22"/>
              </w:rPr>
              <w:t>允许</w:t>
            </w:r>
          </w:p>
        </w:tc>
        <w:tc>
          <w:tcPr>
            <w:tcW w:w="1701" w:type="dxa"/>
            <w:tcBorders>
              <w:bottom w:val="single" w:sz="4" w:space="0" w:color="auto"/>
            </w:tcBorders>
            <w:vAlign w:val="center"/>
          </w:tcPr>
          <w:p w14:paraId="0DF4BB73" w14:textId="25F68357" w:rsidR="00FF0A4B" w:rsidRDefault="00FF0A4B" w:rsidP="00FF0A4B">
            <w:pPr>
              <w:widowControl/>
              <w:jc w:val="center"/>
              <w:rPr>
                <w:rFonts w:ascii="宋体" w:hAnsi="宋体" w:cs="宋体"/>
                <w:color w:val="000000"/>
                <w:kern w:val="0"/>
                <w:sz w:val="24"/>
              </w:rPr>
            </w:pPr>
            <w:r>
              <w:rPr>
                <w:rFonts w:hint="eastAsia"/>
                <w:color w:val="000000"/>
                <w:sz w:val="22"/>
                <w:szCs w:val="22"/>
              </w:rPr>
              <w:t>15%</w:t>
            </w:r>
          </w:p>
        </w:tc>
        <w:tc>
          <w:tcPr>
            <w:tcW w:w="1417" w:type="dxa"/>
            <w:tcBorders>
              <w:top w:val="single" w:sz="4" w:space="0" w:color="auto"/>
              <w:left w:val="single" w:sz="4" w:space="0" w:color="auto"/>
              <w:bottom w:val="single" w:sz="4" w:space="0" w:color="auto"/>
              <w:right w:val="single" w:sz="4" w:space="0" w:color="auto"/>
            </w:tcBorders>
            <w:vAlign w:val="center"/>
          </w:tcPr>
          <w:p w14:paraId="00C7DD35" w14:textId="77777777" w:rsidR="00FF0A4B" w:rsidRDefault="00FF0A4B" w:rsidP="00FF0A4B">
            <w:pPr>
              <w:widowControl/>
              <w:jc w:val="center"/>
              <w:rPr>
                <w:rFonts w:ascii="宋体" w:hAnsi="宋体" w:cs="宋体"/>
                <w:color w:val="000000"/>
                <w:kern w:val="0"/>
                <w:sz w:val="24"/>
              </w:rPr>
            </w:pPr>
          </w:p>
        </w:tc>
      </w:tr>
      <w:tr w:rsidR="00FF0A4B" w14:paraId="0FF6BB55" w14:textId="77777777" w:rsidTr="00607C40">
        <w:trPr>
          <w:trHeight w:val="285"/>
        </w:trPr>
        <w:tc>
          <w:tcPr>
            <w:tcW w:w="1276" w:type="dxa"/>
            <w:tcBorders>
              <w:bottom w:val="single" w:sz="4" w:space="0" w:color="auto"/>
            </w:tcBorders>
            <w:vAlign w:val="center"/>
          </w:tcPr>
          <w:p w14:paraId="117D4072" w14:textId="50A730B2" w:rsidR="00FF0A4B" w:rsidRPr="000B1B3C" w:rsidRDefault="00FF0A4B" w:rsidP="00FF0A4B">
            <w:pPr>
              <w:widowControl/>
              <w:jc w:val="center"/>
              <w:rPr>
                <w:color w:val="595959"/>
                <w:sz w:val="18"/>
                <w:szCs w:val="18"/>
              </w:rPr>
            </w:pPr>
            <w:r>
              <w:rPr>
                <w:rFonts w:hint="eastAsia"/>
                <w:color w:val="000000"/>
                <w:sz w:val="22"/>
                <w:szCs w:val="22"/>
              </w:rPr>
              <w:t>000732</w:t>
            </w:r>
          </w:p>
        </w:tc>
        <w:tc>
          <w:tcPr>
            <w:tcW w:w="1418" w:type="dxa"/>
            <w:tcBorders>
              <w:bottom w:val="single" w:sz="4" w:space="0" w:color="auto"/>
            </w:tcBorders>
            <w:vAlign w:val="center"/>
          </w:tcPr>
          <w:p w14:paraId="0D1E0389" w14:textId="691CF8A3" w:rsidR="00FF0A4B" w:rsidRPr="000B1B3C" w:rsidRDefault="00FF0A4B" w:rsidP="00FF0A4B">
            <w:pPr>
              <w:widowControl/>
              <w:jc w:val="center"/>
              <w:rPr>
                <w:color w:val="595959"/>
                <w:sz w:val="18"/>
                <w:szCs w:val="18"/>
              </w:rPr>
            </w:pPr>
            <w:proofErr w:type="gramStart"/>
            <w:r>
              <w:rPr>
                <w:rFonts w:hint="eastAsia"/>
                <w:color w:val="000000"/>
                <w:sz w:val="22"/>
                <w:szCs w:val="22"/>
              </w:rPr>
              <w:t>泰禾集团</w:t>
            </w:r>
            <w:proofErr w:type="gramEnd"/>
          </w:p>
        </w:tc>
        <w:tc>
          <w:tcPr>
            <w:tcW w:w="1275" w:type="dxa"/>
            <w:tcBorders>
              <w:bottom w:val="single" w:sz="4" w:space="0" w:color="auto"/>
            </w:tcBorders>
            <w:vAlign w:val="center"/>
          </w:tcPr>
          <w:p w14:paraId="537A5DBF" w14:textId="7395A6C5" w:rsidR="00FF0A4B" w:rsidRPr="000B1B3C" w:rsidRDefault="00FF0A4B" w:rsidP="00FF0A4B">
            <w:pPr>
              <w:widowControl/>
              <w:jc w:val="center"/>
              <w:rPr>
                <w:color w:val="595959"/>
                <w:sz w:val="18"/>
                <w:szCs w:val="18"/>
              </w:rPr>
            </w:pPr>
            <w:r>
              <w:rPr>
                <w:rFonts w:hint="eastAsia"/>
                <w:color w:val="000000"/>
                <w:sz w:val="22"/>
                <w:szCs w:val="22"/>
              </w:rPr>
              <w:t>400</w:t>
            </w:r>
          </w:p>
        </w:tc>
        <w:tc>
          <w:tcPr>
            <w:tcW w:w="1418" w:type="dxa"/>
            <w:tcBorders>
              <w:bottom w:val="single" w:sz="4" w:space="0" w:color="auto"/>
            </w:tcBorders>
            <w:vAlign w:val="center"/>
          </w:tcPr>
          <w:p w14:paraId="186B48B6" w14:textId="607BF1E5" w:rsidR="00FF0A4B" w:rsidRDefault="00FF0A4B" w:rsidP="00FF0A4B">
            <w:pPr>
              <w:widowControl/>
              <w:jc w:val="center"/>
              <w:rPr>
                <w:rFonts w:ascii="宋体" w:hAnsi="宋体" w:cs="宋体"/>
                <w:color w:val="000000"/>
                <w:kern w:val="0"/>
                <w:sz w:val="24"/>
              </w:rPr>
            </w:pPr>
            <w:r>
              <w:rPr>
                <w:rFonts w:hint="eastAsia"/>
                <w:color w:val="000000"/>
                <w:sz w:val="22"/>
                <w:szCs w:val="22"/>
              </w:rPr>
              <w:t>允许</w:t>
            </w:r>
          </w:p>
        </w:tc>
        <w:tc>
          <w:tcPr>
            <w:tcW w:w="1701" w:type="dxa"/>
            <w:tcBorders>
              <w:bottom w:val="single" w:sz="4" w:space="0" w:color="auto"/>
            </w:tcBorders>
            <w:vAlign w:val="center"/>
          </w:tcPr>
          <w:p w14:paraId="66D12184" w14:textId="11BDC3CF" w:rsidR="00FF0A4B" w:rsidRDefault="00FF0A4B" w:rsidP="00FF0A4B">
            <w:pPr>
              <w:widowControl/>
              <w:jc w:val="center"/>
              <w:rPr>
                <w:rFonts w:ascii="宋体" w:hAnsi="宋体" w:cs="宋体"/>
                <w:color w:val="000000"/>
                <w:kern w:val="0"/>
                <w:sz w:val="24"/>
              </w:rPr>
            </w:pPr>
            <w:r>
              <w:rPr>
                <w:rFonts w:hint="eastAsia"/>
                <w:color w:val="000000"/>
                <w:sz w:val="22"/>
                <w:szCs w:val="22"/>
              </w:rPr>
              <w:t>15%</w:t>
            </w:r>
          </w:p>
        </w:tc>
        <w:tc>
          <w:tcPr>
            <w:tcW w:w="1417" w:type="dxa"/>
            <w:tcBorders>
              <w:top w:val="single" w:sz="4" w:space="0" w:color="auto"/>
              <w:left w:val="single" w:sz="4" w:space="0" w:color="auto"/>
              <w:bottom w:val="single" w:sz="4" w:space="0" w:color="auto"/>
              <w:right w:val="single" w:sz="4" w:space="0" w:color="auto"/>
            </w:tcBorders>
            <w:vAlign w:val="center"/>
          </w:tcPr>
          <w:p w14:paraId="7FFFB604" w14:textId="77777777" w:rsidR="00FF0A4B" w:rsidRDefault="00FF0A4B" w:rsidP="00FF0A4B">
            <w:pPr>
              <w:widowControl/>
              <w:jc w:val="center"/>
              <w:rPr>
                <w:rFonts w:ascii="宋体" w:hAnsi="宋体" w:cs="宋体"/>
                <w:color w:val="000000"/>
                <w:kern w:val="0"/>
                <w:sz w:val="24"/>
              </w:rPr>
            </w:pPr>
          </w:p>
        </w:tc>
      </w:tr>
      <w:tr w:rsidR="00FF0A4B" w14:paraId="69267F9F" w14:textId="77777777" w:rsidTr="00607C40">
        <w:trPr>
          <w:trHeight w:val="285"/>
        </w:trPr>
        <w:tc>
          <w:tcPr>
            <w:tcW w:w="1276" w:type="dxa"/>
            <w:tcBorders>
              <w:bottom w:val="single" w:sz="4" w:space="0" w:color="auto"/>
            </w:tcBorders>
            <w:vAlign w:val="center"/>
          </w:tcPr>
          <w:p w14:paraId="077D535F" w14:textId="7A539CC5" w:rsidR="00FF0A4B" w:rsidRPr="000B1B3C" w:rsidRDefault="00FF0A4B" w:rsidP="00FF0A4B">
            <w:pPr>
              <w:widowControl/>
              <w:jc w:val="center"/>
              <w:rPr>
                <w:color w:val="595959"/>
                <w:sz w:val="18"/>
                <w:szCs w:val="18"/>
              </w:rPr>
            </w:pPr>
            <w:r>
              <w:rPr>
                <w:rFonts w:hint="eastAsia"/>
                <w:color w:val="000000"/>
                <w:sz w:val="22"/>
                <w:szCs w:val="22"/>
              </w:rPr>
              <w:t>000776</w:t>
            </w:r>
          </w:p>
        </w:tc>
        <w:tc>
          <w:tcPr>
            <w:tcW w:w="1418" w:type="dxa"/>
            <w:tcBorders>
              <w:bottom w:val="single" w:sz="4" w:space="0" w:color="auto"/>
            </w:tcBorders>
            <w:vAlign w:val="center"/>
          </w:tcPr>
          <w:p w14:paraId="6DF40C6C" w14:textId="6F57F07C" w:rsidR="00FF0A4B" w:rsidRPr="000B1B3C" w:rsidRDefault="00FF0A4B" w:rsidP="00FF0A4B">
            <w:pPr>
              <w:widowControl/>
              <w:jc w:val="center"/>
              <w:rPr>
                <w:color w:val="595959"/>
                <w:sz w:val="18"/>
                <w:szCs w:val="18"/>
              </w:rPr>
            </w:pPr>
            <w:r>
              <w:rPr>
                <w:rFonts w:hint="eastAsia"/>
                <w:color w:val="000000"/>
                <w:sz w:val="22"/>
                <w:szCs w:val="22"/>
              </w:rPr>
              <w:t>广发证券</w:t>
            </w:r>
          </w:p>
        </w:tc>
        <w:tc>
          <w:tcPr>
            <w:tcW w:w="1275" w:type="dxa"/>
            <w:tcBorders>
              <w:bottom w:val="single" w:sz="4" w:space="0" w:color="auto"/>
            </w:tcBorders>
            <w:vAlign w:val="center"/>
          </w:tcPr>
          <w:p w14:paraId="468D6BD1" w14:textId="0DD1FB09" w:rsidR="00FF0A4B" w:rsidRPr="000B1B3C" w:rsidRDefault="00FF0A4B" w:rsidP="00FF0A4B">
            <w:pPr>
              <w:widowControl/>
              <w:jc w:val="center"/>
              <w:rPr>
                <w:color w:val="595959"/>
                <w:sz w:val="18"/>
                <w:szCs w:val="18"/>
              </w:rPr>
            </w:pPr>
            <w:r>
              <w:rPr>
                <w:rFonts w:hint="eastAsia"/>
                <w:color w:val="000000"/>
                <w:sz w:val="22"/>
                <w:szCs w:val="22"/>
              </w:rPr>
              <w:t>2000</w:t>
            </w:r>
          </w:p>
        </w:tc>
        <w:tc>
          <w:tcPr>
            <w:tcW w:w="1418" w:type="dxa"/>
            <w:tcBorders>
              <w:bottom w:val="single" w:sz="4" w:space="0" w:color="auto"/>
            </w:tcBorders>
            <w:vAlign w:val="center"/>
          </w:tcPr>
          <w:p w14:paraId="3A6E1003" w14:textId="2A63FE1F" w:rsidR="00FF0A4B" w:rsidRDefault="00FF0A4B" w:rsidP="00FF0A4B">
            <w:pPr>
              <w:widowControl/>
              <w:jc w:val="center"/>
              <w:rPr>
                <w:rFonts w:ascii="宋体" w:hAnsi="宋体" w:cs="宋体"/>
                <w:color w:val="000000"/>
                <w:kern w:val="0"/>
                <w:sz w:val="24"/>
              </w:rPr>
            </w:pPr>
            <w:r>
              <w:rPr>
                <w:rFonts w:hint="eastAsia"/>
                <w:color w:val="000000"/>
                <w:sz w:val="22"/>
                <w:szCs w:val="22"/>
              </w:rPr>
              <w:t>允许</w:t>
            </w:r>
          </w:p>
        </w:tc>
        <w:tc>
          <w:tcPr>
            <w:tcW w:w="1701" w:type="dxa"/>
            <w:tcBorders>
              <w:bottom w:val="single" w:sz="4" w:space="0" w:color="auto"/>
            </w:tcBorders>
            <w:vAlign w:val="center"/>
          </w:tcPr>
          <w:p w14:paraId="2B6909D3" w14:textId="22B95160" w:rsidR="00FF0A4B" w:rsidRDefault="00FF0A4B" w:rsidP="00FF0A4B">
            <w:pPr>
              <w:widowControl/>
              <w:jc w:val="center"/>
              <w:rPr>
                <w:rFonts w:ascii="宋体" w:hAnsi="宋体" w:cs="宋体"/>
                <w:color w:val="000000"/>
                <w:kern w:val="0"/>
                <w:sz w:val="24"/>
              </w:rPr>
            </w:pPr>
            <w:r>
              <w:rPr>
                <w:rFonts w:hint="eastAsia"/>
                <w:color w:val="000000"/>
                <w:sz w:val="22"/>
                <w:szCs w:val="22"/>
              </w:rPr>
              <w:t>15%</w:t>
            </w:r>
          </w:p>
        </w:tc>
        <w:tc>
          <w:tcPr>
            <w:tcW w:w="1417" w:type="dxa"/>
            <w:tcBorders>
              <w:top w:val="single" w:sz="4" w:space="0" w:color="auto"/>
              <w:left w:val="single" w:sz="4" w:space="0" w:color="auto"/>
              <w:bottom w:val="single" w:sz="4" w:space="0" w:color="auto"/>
              <w:right w:val="single" w:sz="4" w:space="0" w:color="auto"/>
            </w:tcBorders>
            <w:vAlign w:val="center"/>
          </w:tcPr>
          <w:p w14:paraId="77AAA91C" w14:textId="77777777" w:rsidR="00FF0A4B" w:rsidRDefault="00FF0A4B" w:rsidP="00FF0A4B">
            <w:pPr>
              <w:widowControl/>
              <w:jc w:val="center"/>
              <w:rPr>
                <w:rFonts w:ascii="宋体" w:hAnsi="宋体" w:cs="宋体"/>
                <w:color w:val="000000"/>
                <w:kern w:val="0"/>
                <w:sz w:val="24"/>
              </w:rPr>
            </w:pPr>
          </w:p>
        </w:tc>
      </w:tr>
      <w:tr w:rsidR="00FF0A4B" w14:paraId="769477D5" w14:textId="77777777" w:rsidTr="00607C40">
        <w:trPr>
          <w:trHeight w:val="285"/>
        </w:trPr>
        <w:tc>
          <w:tcPr>
            <w:tcW w:w="1276" w:type="dxa"/>
            <w:tcBorders>
              <w:bottom w:val="single" w:sz="4" w:space="0" w:color="auto"/>
            </w:tcBorders>
            <w:vAlign w:val="center"/>
          </w:tcPr>
          <w:p w14:paraId="04FAD8B2" w14:textId="7DFB746C" w:rsidR="00FF0A4B" w:rsidRPr="000B1B3C" w:rsidRDefault="00FF0A4B" w:rsidP="00FF0A4B">
            <w:pPr>
              <w:widowControl/>
              <w:jc w:val="center"/>
              <w:rPr>
                <w:color w:val="595959"/>
                <w:sz w:val="18"/>
                <w:szCs w:val="18"/>
              </w:rPr>
            </w:pPr>
            <w:r>
              <w:rPr>
                <w:rFonts w:hint="eastAsia"/>
                <w:color w:val="000000"/>
                <w:sz w:val="22"/>
                <w:szCs w:val="22"/>
              </w:rPr>
              <w:t>000778</w:t>
            </w:r>
          </w:p>
        </w:tc>
        <w:tc>
          <w:tcPr>
            <w:tcW w:w="1418" w:type="dxa"/>
            <w:tcBorders>
              <w:bottom w:val="single" w:sz="4" w:space="0" w:color="auto"/>
            </w:tcBorders>
            <w:vAlign w:val="center"/>
          </w:tcPr>
          <w:p w14:paraId="2657E7A7" w14:textId="644826EB" w:rsidR="00FF0A4B" w:rsidRPr="000B1B3C" w:rsidRDefault="00FF0A4B" w:rsidP="00FF0A4B">
            <w:pPr>
              <w:widowControl/>
              <w:jc w:val="center"/>
              <w:rPr>
                <w:color w:val="595959"/>
                <w:sz w:val="18"/>
                <w:szCs w:val="18"/>
              </w:rPr>
            </w:pPr>
            <w:r>
              <w:rPr>
                <w:rFonts w:hint="eastAsia"/>
                <w:color w:val="000000"/>
                <w:sz w:val="22"/>
                <w:szCs w:val="22"/>
              </w:rPr>
              <w:t>新兴铸管</w:t>
            </w:r>
          </w:p>
        </w:tc>
        <w:tc>
          <w:tcPr>
            <w:tcW w:w="1275" w:type="dxa"/>
            <w:tcBorders>
              <w:bottom w:val="single" w:sz="4" w:space="0" w:color="auto"/>
            </w:tcBorders>
            <w:vAlign w:val="center"/>
          </w:tcPr>
          <w:p w14:paraId="155EB3FC" w14:textId="7C42E411" w:rsidR="00FF0A4B" w:rsidRPr="000B1B3C" w:rsidRDefault="00FF0A4B" w:rsidP="00FF0A4B">
            <w:pPr>
              <w:widowControl/>
              <w:jc w:val="center"/>
              <w:rPr>
                <w:color w:val="595959"/>
                <w:sz w:val="18"/>
                <w:szCs w:val="18"/>
              </w:rPr>
            </w:pPr>
            <w:r>
              <w:rPr>
                <w:rFonts w:hint="eastAsia"/>
                <w:color w:val="000000"/>
                <w:sz w:val="22"/>
                <w:szCs w:val="22"/>
              </w:rPr>
              <w:t>1500</w:t>
            </w:r>
          </w:p>
        </w:tc>
        <w:tc>
          <w:tcPr>
            <w:tcW w:w="1418" w:type="dxa"/>
            <w:tcBorders>
              <w:bottom w:val="single" w:sz="4" w:space="0" w:color="auto"/>
            </w:tcBorders>
            <w:vAlign w:val="center"/>
          </w:tcPr>
          <w:p w14:paraId="6D2B7481" w14:textId="4AF836B7" w:rsidR="00FF0A4B" w:rsidRDefault="00FF0A4B" w:rsidP="00FF0A4B">
            <w:pPr>
              <w:widowControl/>
              <w:jc w:val="center"/>
              <w:rPr>
                <w:rFonts w:ascii="宋体" w:hAnsi="宋体" w:cs="宋体"/>
                <w:color w:val="000000"/>
                <w:kern w:val="0"/>
                <w:sz w:val="24"/>
              </w:rPr>
            </w:pPr>
            <w:r>
              <w:rPr>
                <w:rFonts w:hint="eastAsia"/>
                <w:color w:val="000000"/>
                <w:sz w:val="22"/>
                <w:szCs w:val="22"/>
              </w:rPr>
              <w:t>允许</w:t>
            </w:r>
          </w:p>
        </w:tc>
        <w:tc>
          <w:tcPr>
            <w:tcW w:w="1701" w:type="dxa"/>
            <w:tcBorders>
              <w:bottom w:val="single" w:sz="4" w:space="0" w:color="auto"/>
            </w:tcBorders>
            <w:vAlign w:val="center"/>
          </w:tcPr>
          <w:p w14:paraId="37216E47" w14:textId="5A5A89E6" w:rsidR="00FF0A4B" w:rsidRDefault="00FF0A4B" w:rsidP="00FF0A4B">
            <w:pPr>
              <w:widowControl/>
              <w:jc w:val="center"/>
              <w:rPr>
                <w:rFonts w:ascii="宋体" w:hAnsi="宋体" w:cs="宋体"/>
                <w:color w:val="000000"/>
                <w:kern w:val="0"/>
                <w:sz w:val="24"/>
              </w:rPr>
            </w:pPr>
            <w:r>
              <w:rPr>
                <w:rFonts w:hint="eastAsia"/>
                <w:color w:val="000000"/>
                <w:sz w:val="22"/>
                <w:szCs w:val="22"/>
              </w:rPr>
              <w:t>15%</w:t>
            </w:r>
          </w:p>
        </w:tc>
        <w:tc>
          <w:tcPr>
            <w:tcW w:w="1417" w:type="dxa"/>
            <w:tcBorders>
              <w:top w:val="single" w:sz="4" w:space="0" w:color="auto"/>
              <w:left w:val="single" w:sz="4" w:space="0" w:color="auto"/>
              <w:bottom w:val="single" w:sz="4" w:space="0" w:color="auto"/>
              <w:right w:val="single" w:sz="4" w:space="0" w:color="auto"/>
            </w:tcBorders>
            <w:vAlign w:val="center"/>
          </w:tcPr>
          <w:p w14:paraId="1890658C" w14:textId="77777777" w:rsidR="00FF0A4B" w:rsidRDefault="00FF0A4B" w:rsidP="00FF0A4B">
            <w:pPr>
              <w:widowControl/>
              <w:jc w:val="center"/>
              <w:rPr>
                <w:rFonts w:ascii="宋体" w:hAnsi="宋体" w:cs="宋体"/>
                <w:color w:val="000000"/>
                <w:kern w:val="0"/>
                <w:sz w:val="24"/>
              </w:rPr>
            </w:pPr>
          </w:p>
        </w:tc>
      </w:tr>
      <w:tr w:rsidR="00FF0A4B" w14:paraId="77F3AE38" w14:textId="77777777" w:rsidTr="00607C40">
        <w:trPr>
          <w:trHeight w:val="285"/>
        </w:trPr>
        <w:tc>
          <w:tcPr>
            <w:tcW w:w="1276" w:type="dxa"/>
            <w:tcBorders>
              <w:bottom w:val="single" w:sz="4" w:space="0" w:color="auto"/>
            </w:tcBorders>
            <w:vAlign w:val="center"/>
          </w:tcPr>
          <w:p w14:paraId="38C62DA0" w14:textId="02AC39ED" w:rsidR="00FF0A4B" w:rsidRPr="000B1B3C" w:rsidRDefault="00FF0A4B" w:rsidP="00FF0A4B">
            <w:pPr>
              <w:widowControl/>
              <w:jc w:val="center"/>
              <w:rPr>
                <w:color w:val="595959"/>
                <w:sz w:val="18"/>
                <w:szCs w:val="18"/>
              </w:rPr>
            </w:pPr>
            <w:r>
              <w:rPr>
                <w:rFonts w:hint="eastAsia"/>
                <w:color w:val="000000"/>
                <w:sz w:val="22"/>
                <w:szCs w:val="22"/>
              </w:rPr>
              <w:t>000783</w:t>
            </w:r>
          </w:p>
        </w:tc>
        <w:tc>
          <w:tcPr>
            <w:tcW w:w="1418" w:type="dxa"/>
            <w:tcBorders>
              <w:bottom w:val="single" w:sz="4" w:space="0" w:color="auto"/>
            </w:tcBorders>
            <w:vAlign w:val="center"/>
          </w:tcPr>
          <w:p w14:paraId="25D127B9" w14:textId="684FC9E5" w:rsidR="00FF0A4B" w:rsidRPr="000B1B3C" w:rsidRDefault="00FF0A4B" w:rsidP="00FF0A4B">
            <w:pPr>
              <w:widowControl/>
              <w:jc w:val="center"/>
              <w:rPr>
                <w:color w:val="595959"/>
                <w:sz w:val="18"/>
                <w:szCs w:val="18"/>
              </w:rPr>
            </w:pPr>
            <w:r>
              <w:rPr>
                <w:rFonts w:hint="eastAsia"/>
                <w:color w:val="000000"/>
                <w:sz w:val="22"/>
                <w:szCs w:val="22"/>
              </w:rPr>
              <w:t>长江证券</w:t>
            </w:r>
          </w:p>
        </w:tc>
        <w:tc>
          <w:tcPr>
            <w:tcW w:w="1275" w:type="dxa"/>
            <w:tcBorders>
              <w:bottom w:val="single" w:sz="4" w:space="0" w:color="auto"/>
            </w:tcBorders>
            <w:vAlign w:val="center"/>
          </w:tcPr>
          <w:p w14:paraId="63ED9A74" w14:textId="45AFBA1F" w:rsidR="00FF0A4B" w:rsidRPr="000B1B3C" w:rsidRDefault="00FF0A4B" w:rsidP="00FF0A4B">
            <w:pPr>
              <w:widowControl/>
              <w:jc w:val="center"/>
              <w:rPr>
                <w:color w:val="595959"/>
                <w:sz w:val="18"/>
                <w:szCs w:val="18"/>
              </w:rPr>
            </w:pPr>
            <w:r>
              <w:rPr>
                <w:rFonts w:hint="eastAsia"/>
                <w:color w:val="000000"/>
                <w:sz w:val="22"/>
                <w:szCs w:val="22"/>
              </w:rPr>
              <w:t>2800</w:t>
            </w:r>
          </w:p>
        </w:tc>
        <w:tc>
          <w:tcPr>
            <w:tcW w:w="1418" w:type="dxa"/>
            <w:tcBorders>
              <w:bottom w:val="single" w:sz="4" w:space="0" w:color="auto"/>
            </w:tcBorders>
            <w:vAlign w:val="center"/>
          </w:tcPr>
          <w:p w14:paraId="2D4B4176" w14:textId="450F0768" w:rsidR="00FF0A4B" w:rsidRDefault="00FF0A4B" w:rsidP="00FF0A4B">
            <w:pPr>
              <w:widowControl/>
              <w:jc w:val="center"/>
              <w:rPr>
                <w:rFonts w:ascii="宋体" w:hAnsi="宋体" w:cs="宋体"/>
                <w:color w:val="000000"/>
                <w:kern w:val="0"/>
                <w:sz w:val="24"/>
              </w:rPr>
            </w:pPr>
            <w:r>
              <w:rPr>
                <w:rFonts w:hint="eastAsia"/>
                <w:color w:val="000000"/>
                <w:sz w:val="22"/>
                <w:szCs w:val="22"/>
              </w:rPr>
              <w:t>允许</w:t>
            </w:r>
          </w:p>
        </w:tc>
        <w:tc>
          <w:tcPr>
            <w:tcW w:w="1701" w:type="dxa"/>
            <w:tcBorders>
              <w:bottom w:val="single" w:sz="4" w:space="0" w:color="auto"/>
            </w:tcBorders>
            <w:vAlign w:val="center"/>
          </w:tcPr>
          <w:p w14:paraId="3B1B263B" w14:textId="37B97996" w:rsidR="00FF0A4B" w:rsidRDefault="00FF0A4B" w:rsidP="00FF0A4B">
            <w:pPr>
              <w:widowControl/>
              <w:jc w:val="center"/>
              <w:rPr>
                <w:rFonts w:ascii="宋体" w:hAnsi="宋体" w:cs="宋体"/>
                <w:color w:val="000000"/>
                <w:kern w:val="0"/>
                <w:sz w:val="24"/>
              </w:rPr>
            </w:pPr>
            <w:r>
              <w:rPr>
                <w:rFonts w:hint="eastAsia"/>
                <w:color w:val="000000"/>
                <w:sz w:val="22"/>
                <w:szCs w:val="22"/>
              </w:rPr>
              <w:t>15%</w:t>
            </w:r>
          </w:p>
        </w:tc>
        <w:tc>
          <w:tcPr>
            <w:tcW w:w="1417" w:type="dxa"/>
            <w:tcBorders>
              <w:top w:val="single" w:sz="4" w:space="0" w:color="auto"/>
              <w:left w:val="single" w:sz="4" w:space="0" w:color="auto"/>
              <w:bottom w:val="single" w:sz="4" w:space="0" w:color="auto"/>
              <w:right w:val="single" w:sz="4" w:space="0" w:color="auto"/>
            </w:tcBorders>
            <w:vAlign w:val="center"/>
          </w:tcPr>
          <w:p w14:paraId="1B968186" w14:textId="77777777" w:rsidR="00FF0A4B" w:rsidRDefault="00FF0A4B" w:rsidP="00FF0A4B">
            <w:pPr>
              <w:widowControl/>
              <w:jc w:val="center"/>
              <w:rPr>
                <w:rFonts w:ascii="宋体" w:hAnsi="宋体" w:cs="宋体"/>
                <w:color w:val="000000"/>
                <w:kern w:val="0"/>
                <w:sz w:val="24"/>
              </w:rPr>
            </w:pPr>
          </w:p>
        </w:tc>
      </w:tr>
      <w:tr w:rsidR="00FF0A4B" w14:paraId="1FB3105E" w14:textId="77777777" w:rsidTr="00607C40">
        <w:trPr>
          <w:trHeight w:val="285"/>
        </w:trPr>
        <w:tc>
          <w:tcPr>
            <w:tcW w:w="1276" w:type="dxa"/>
            <w:tcBorders>
              <w:bottom w:val="single" w:sz="4" w:space="0" w:color="auto"/>
            </w:tcBorders>
            <w:vAlign w:val="center"/>
          </w:tcPr>
          <w:p w14:paraId="5A6F918E" w14:textId="2BA11073" w:rsidR="00FF0A4B" w:rsidRPr="000B1B3C" w:rsidRDefault="00FF0A4B" w:rsidP="00FF0A4B">
            <w:pPr>
              <w:widowControl/>
              <w:jc w:val="center"/>
              <w:rPr>
                <w:color w:val="595959"/>
                <w:sz w:val="18"/>
                <w:szCs w:val="18"/>
              </w:rPr>
            </w:pPr>
            <w:r>
              <w:rPr>
                <w:rFonts w:hint="eastAsia"/>
                <w:color w:val="000000"/>
                <w:sz w:val="22"/>
                <w:szCs w:val="22"/>
              </w:rPr>
              <w:t>000786</w:t>
            </w:r>
          </w:p>
        </w:tc>
        <w:tc>
          <w:tcPr>
            <w:tcW w:w="1418" w:type="dxa"/>
            <w:tcBorders>
              <w:bottom w:val="single" w:sz="4" w:space="0" w:color="auto"/>
            </w:tcBorders>
            <w:vAlign w:val="center"/>
          </w:tcPr>
          <w:p w14:paraId="052FCE21" w14:textId="03119721" w:rsidR="00FF0A4B" w:rsidRPr="000B1B3C" w:rsidRDefault="00FF0A4B" w:rsidP="00FF0A4B">
            <w:pPr>
              <w:widowControl/>
              <w:jc w:val="center"/>
              <w:rPr>
                <w:color w:val="595959"/>
                <w:sz w:val="18"/>
                <w:szCs w:val="18"/>
              </w:rPr>
            </w:pPr>
            <w:r>
              <w:rPr>
                <w:rFonts w:hint="eastAsia"/>
                <w:color w:val="000000"/>
                <w:sz w:val="22"/>
                <w:szCs w:val="22"/>
              </w:rPr>
              <w:t>北新建材</w:t>
            </w:r>
          </w:p>
        </w:tc>
        <w:tc>
          <w:tcPr>
            <w:tcW w:w="1275" w:type="dxa"/>
            <w:tcBorders>
              <w:bottom w:val="single" w:sz="4" w:space="0" w:color="auto"/>
            </w:tcBorders>
            <w:vAlign w:val="center"/>
          </w:tcPr>
          <w:p w14:paraId="16037DCA" w14:textId="1FC88A75" w:rsidR="00FF0A4B" w:rsidRPr="000B1B3C" w:rsidRDefault="00FF0A4B" w:rsidP="00FF0A4B">
            <w:pPr>
              <w:widowControl/>
              <w:jc w:val="center"/>
              <w:rPr>
                <w:color w:val="595959"/>
                <w:sz w:val="18"/>
                <w:szCs w:val="18"/>
              </w:rPr>
            </w:pPr>
            <w:r>
              <w:rPr>
                <w:rFonts w:hint="eastAsia"/>
                <w:color w:val="000000"/>
                <w:sz w:val="22"/>
                <w:szCs w:val="22"/>
              </w:rPr>
              <w:t>600</w:t>
            </w:r>
          </w:p>
        </w:tc>
        <w:tc>
          <w:tcPr>
            <w:tcW w:w="1418" w:type="dxa"/>
            <w:tcBorders>
              <w:bottom w:val="single" w:sz="4" w:space="0" w:color="auto"/>
            </w:tcBorders>
            <w:vAlign w:val="center"/>
          </w:tcPr>
          <w:p w14:paraId="1EFD71E5" w14:textId="6A041AD4" w:rsidR="00FF0A4B" w:rsidRDefault="00FF0A4B" w:rsidP="00FF0A4B">
            <w:pPr>
              <w:widowControl/>
              <w:jc w:val="center"/>
              <w:rPr>
                <w:rFonts w:ascii="宋体" w:hAnsi="宋体" w:cs="宋体"/>
                <w:color w:val="000000"/>
                <w:kern w:val="0"/>
                <w:sz w:val="24"/>
              </w:rPr>
            </w:pPr>
            <w:r>
              <w:rPr>
                <w:rFonts w:hint="eastAsia"/>
                <w:color w:val="000000"/>
                <w:sz w:val="22"/>
                <w:szCs w:val="22"/>
              </w:rPr>
              <w:t>允许</w:t>
            </w:r>
          </w:p>
        </w:tc>
        <w:tc>
          <w:tcPr>
            <w:tcW w:w="1701" w:type="dxa"/>
            <w:tcBorders>
              <w:bottom w:val="single" w:sz="4" w:space="0" w:color="auto"/>
            </w:tcBorders>
            <w:vAlign w:val="center"/>
          </w:tcPr>
          <w:p w14:paraId="7C072AEA" w14:textId="46E7D4B6" w:rsidR="00FF0A4B" w:rsidRDefault="00FF0A4B" w:rsidP="00FF0A4B">
            <w:pPr>
              <w:widowControl/>
              <w:jc w:val="center"/>
              <w:rPr>
                <w:rFonts w:ascii="宋体" w:hAnsi="宋体" w:cs="宋体"/>
                <w:color w:val="000000"/>
                <w:kern w:val="0"/>
                <w:sz w:val="24"/>
              </w:rPr>
            </w:pPr>
            <w:r>
              <w:rPr>
                <w:rFonts w:hint="eastAsia"/>
                <w:color w:val="000000"/>
                <w:sz w:val="22"/>
                <w:szCs w:val="22"/>
              </w:rPr>
              <w:t>15%</w:t>
            </w:r>
          </w:p>
        </w:tc>
        <w:tc>
          <w:tcPr>
            <w:tcW w:w="1417" w:type="dxa"/>
            <w:tcBorders>
              <w:top w:val="single" w:sz="4" w:space="0" w:color="auto"/>
              <w:left w:val="single" w:sz="4" w:space="0" w:color="auto"/>
              <w:bottom w:val="single" w:sz="4" w:space="0" w:color="auto"/>
              <w:right w:val="single" w:sz="4" w:space="0" w:color="auto"/>
            </w:tcBorders>
            <w:vAlign w:val="center"/>
          </w:tcPr>
          <w:p w14:paraId="3A065336" w14:textId="77777777" w:rsidR="00FF0A4B" w:rsidRDefault="00FF0A4B" w:rsidP="00FF0A4B">
            <w:pPr>
              <w:widowControl/>
              <w:jc w:val="center"/>
              <w:rPr>
                <w:rFonts w:ascii="宋体" w:hAnsi="宋体" w:cs="宋体"/>
                <w:color w:val="000000"/>
                <w:kern w:val="0"/>
                <w:sz w:val="24"/>
              </w:rPr>
            </w:pPr>
          </w:p>
        </w:tc>
      </w:tr>
      <w:tr w:rsidR="00FF0A4B" w14:paraId="05105650" w14:textId="77777777" w:rsidTr="00607C40">
        <w:trPr>
          <w:trHeight w:val="285"/>
        </w:trPr>
        <w:tc>
          <w:tcPr>
            <w:tcW w:w="1276" w:type="dxa"/>
            <w:tcBorders>
              <w:bottom w:val="single" w:sz="4" w:space="0" w:color="auto"/>
            </w:tcBorders>
            <w:vAlign w:val="center"/>
          </w:tcPr>
          <w:p w14:paraId="3387A025" w14:textId="6AD197BA" w:rsidR="00FF0A4B" w:rsidRPr="000B1B3C" w:rsidRDefault="00FF0A4B" w:rsidP="00FF0A4B">
            <w:pPr>
              <w:widowControl/>
              <w:jc w:val="center"/>
              <w:rPr>
                <w:color w:val="595959"/>
                <w:sz w:val="18"/>
                <w:szCs w:val="18"/>
              </w:rPr>
            </w:pPr>
            <w:r>
              <w:rPr>
                <w:rFonts w:hint="eastAsia"/>
                <w:color w:val="000000"/>
                <w:sz w:val="22"/>
                <w:szCs w:val="22"/>
              </w:rPr>
              <w:t>000792</w:t>
            </w:r>
          </w:p>
        </w:tc>
        <w:tc>
          <w:tcPr>
            <w:tcW w:w="1418" w:type="dxa"/>
            <w:tcBorders>
              <w:bottom w:val="single" w:sz="4" w:space="0" w:color="auto"/>
            </w:tcBorders>
            <w:vAlign w:val="center"/>
          </w:tcPr>
          <w:p w14:paraId="7517758B" w14:textId="4DFA11BF" w:rsidR="00FF0A4B" w:rsidRPr="000B1B3C" w:rsidRDefault="00FF0A4B" w:rsidP="00FF0A4B">
            <w:pPr>
              <w:widowControl/>
              <w:jc w:val="center"/>
              <w:rPr>
                <w:color w:val="595959"/>
                <w:sz w:val="18"/>
                <w:szCs w:val="18"/>
              </w:rPr>
            </w:pPr>
            <w:r>
              <w:rPr>
                <w:rFonts w:hint="eastAsia"/>
                <w:color w:val="000000"/>
                <w:sz w:val="22"/>
                <w:szCs w:val="22"/>
              </w:rPr>
              <w:t>盐湖股份</w:t>
            </w:r>
          </w:p>
        </w:tc>
        <w:tc>
          <w:tcPr>
            <w:tcW w:w="1275" w:type="dxa"/>
            <w:tcBorders>
              <w:bottom w:val="single" w:sz="4" w:space="0" w:color="auto"/>
            </w:tcBorders>
            <w:vAlign w:val="center"/>
          </w:tcPr>
          <w:p w14:paraId="200547FD" w14:textId="275CF81E" w:rsidR="00FF0A4B" w:rsidRPr="000B1B3C" w:rsidRDefault="00FF0A4B" w:rsidP="00FF0A4B">
            <w:pPr>
              <w:widowControl/>
              <w:jc w:val="center"/>
              <w:rPr>
                <w:color w:val="595959"/>
                <w:sz w:val="18"/>
                <w:szCs w:val="18"/>
              </w:rPr>
            </w:pPr>
            <w:r>
              <w:rPr>
                <w:rFonts w:hint="eastAsia"/>
                <w:color w:val="000000"/>
                <w:sz w:val="22"/>
                <w:szCs w:val="22"/>
              </w:rPr>
              <w:t>900</w:t>
            </w:r>
          </w:p>
        </w:tc>
        <w:tc>
          <w:tcPr>
            <w:tcW w:w="1418" w:type="dxa"/>
            <w:tcBorders>
              <w:bottom w:val="single" w:sz="4" w:space="0" w:color="auto"/>
            </w:tcBorders>
            <w:vAlign w:val="center"/>
          </w:tcPr>
          <w:p w14:paraId="05A77D5F" w14:textId="1180EF2E" w:rsidR="00FF0A4B" w:rsidRDefault="00FF0A4B" w:rsidP="00FF0A4B">
            <w:pPr>
              <w:widowControl/>
              <w:jc w:val="center"/>
              <w:rPr>
                <w:rFonts w:ascii="宋体" w:hAnsi="宋体" w:cs="宋体"/>
                <w:color w:val="000000"/>
                <w:kern w:val="0"/>
                <w:sz w:val="24"/>
              </w:rPr>
            </w:pPr>
            <w:r>
              <w:rPr>
                <w:rFonts w:hint="eastAsia"/>
                <w:color w:val="000000"/>
                <w:sz w:val="22"/>
                <w:szCs w:val="22"/>
              </w:rPr>
              <w:t>允许</w:t>
            </w:r>
          </w:p>
        </w:tc>
        <w:tc>
          <w:tcPr>
            <w:tcW w:w="1701" w:type="dxa"/>
            <w:tcBorders>
              <w:bottom w:val="single" w:sz="4" w:space="0" w:color="auto"/>
            </w:tcBorders>
            <w:vAlign w:val="center"/>
          </w:tcPr>
          <w:p w14:paraId="05814B6E" w14:textId="18AA8B09" w:rsidR="00FF0A4B" w:rsidRDefault="00FF0A4B" w:rsidP="00FF0A4B">
            <w:pPr>
              <w:widowControl/>
              <w:jc w:val="center"/>
              <w:rPr>
                <w:rFonts w:ascii="宋体" w:hAnsi="宋体" w:cs="宋体"/>
                <w:color w:val="000000"/>
                <w:kern w:val="0"/>
                <w:sz w:val="24"/>
              </w:rPr>
            </w:pPr>
            <w:r>
              <w:rPr>
                <w:rFonts w:hint="eastAsia"/>
                <w:color w:val="000000"/>
                <w:sz w:val="22"/>
                <w:szCs w:val="22"/>
              </w:rPr>
              <w:t>15%</w:t>
            </w:r>
          </w:p>
        </w:tc>
        <w:tc>
          <w:tcPr>
            <w:tcW w:w="1417" w:type="dxa"/>
            <w:tcBorders>
              <w:top w:val="single" w:sz="4" w:space="0" w:color="auto"/>
              <w:left w:val="single" w:sz="4" w:space="0" w:color="auto"/>
              <w:bottom w:val="single" w:sz="4" w:space="0" w:color="auto"/>
              <w:right w:val="single" w:sz="4" w:space="0" w:color="auto"/>
            </w:tcBorders>
            <w:vAlign w:val="center"/>
          </w:tcPr>
          <w:p w14:paraId="4C376AFD" w14:textId="77777777" w:rsidR="00FF0A4B" w:rsidRDefault="00FF0A4B" w:rsidP="00FF0A4B">
            <w:pPr>
              <w:widowControl/>
              <w:jc w:val="center"/>
              <w:rPr>
                <w:rFonts w:ascii="宋体" w:hAnsi="宋体" w:cs="宋体"/>
                <w:color w:val="000000"/>
                <w:kern w:val="0"/>
                <w:sz w:val="24"/>
              </w:rPr>
            </w:pPr>
          </w:p>
        </w:tc>
      </w:tr>
      <w:tr w:rsidR="00FF0A4B" w14:paraId="36546E2A" w14:textId="77777777" w:rsidTr="00607C40">
        <w:trPr>
          <w:trHeight w:val="285"/>
        </w:trPr>
        <w:tc>
          <w:tcPr>
            <w:tcW w:w="1276" w:type="dxa"/>
            <w:tcBorders>
              <w:bottom w:val="single" w:sz="4" w:space="0" w:color="auto"/>
            </w:tcBorders>
            <w:vAlign w:val="center"/>
          </w:tcPr>
          <w:p w14:paraId="5ECBEBD7" w14:textId="02DF358D" w:rsidR="00FF0A4B" w:rsidRPr="000B1B3C" w:rsidRDefault="00FF0A4B" w:rsidP="00FF0A4B">
            <w:pPr>
              <w:widowControl/>
              <w:jc w:val="center"/>
              <w:rPr>
                <w:color w:val="595959"/>
                <w:sz w:val="18"/>
                <w:szCs w:val="18"/>
              </w:rPr>
            </w:pPr>
            <w:r>
              <w:rPr>
                <w:rFonts w:hint="eastAsia"/>
                <w:color w:val="000000"/>
                <w:sz w:val="22"/>
                <w:szCs w:val="22"/>
              </w:rPr>
              <w:t>000793</w:t>
            </w:r>
          </w:p>
        </w:tc>
        <w:tc>
          <w:tcPr>
            <w:tcW w:w="1418" w:type="dxa"/>
            <w:tcBorders>
              <w:bottom w:val="single" w:sz="4" w:space="0" w:color="auto"/>
            </w:tcBorders>
            <w:vAlign w:val="center"/>
          </w:tcPr>
          <w:p w14:paraId="50237A76" w14:textId="121A67E7" w:rsidR="00FF0A4B" w:rsidRPr="000B1B3C" w:rsidRDefault="00FF0A4B" w:rsidP="00FF0A4B">
            <w:pPr>
              <w:widowControl/>
              <w:jc w:val="center"/>
              <w:rPr>
                <w:color w:val="595959"/>
                <w:sz w:val="18"/>
                <w:szCs w:val="18"/>
              </w:rPr>
            </w:pPr>
            <w:r>
              <w:rPr>
                <w:rFonts w:hint="eastAsia"/>
                <w:color w:val="000000"/>
                <w:sz w:val="22"/>
                <w:szCs w:val="22"/>
              </w:rPr>
              <w:t>华闻传媒</w:t>
            </w:r>
          </w:p>
        </w:tc>
        <w:tc>
          <w:tcPr>
            <w:tcW w:w="1275" w:type="dxa"/>
            <w:tcBorders>
              <w:bottom w:val="single" w:sz="4" w:space="0" w:color="auto"/>
            </w:tcBorders>
            <w:vAlign w:val="center"/>
          </w:tcPr>
          <w:p w14:paraId="7C1DD528" w14:textId="1179A4F3" w:rsidR="00FF0A4B" w:rsidRPr="000B1B3C" w:rsidRDefault="00FF0A4B" w:rsidP="00FF0A4B">
            <w:pPr>
              <w:widowControl/>
              <w:jc w:val="center"/>
              <w:rPr>
                <w:color w:val="595959"/>
                <w:sz w:val="18"/>
                <w:szCs w:val="18"/>
              </w:rPr>
            </w:pPr>
            <w:r>
              <w:rPr>
                <w:rFonts w:hint="eastAsia"/>
                <w:color w:val="000000"/>
                <w:sz w:val="22"/>
                <w:szCs w:val="22"/>
              </w:rPr>
              <w:t>1200</w:t>
            </w:r>
          </w:p>
        </w:tc>
        <w:tc>
          <w:tcPr>
            <w:tcW w:w="1418" w:type="dxa"/>
            <w:tcBorders>
              <w:bottom w:val="single" w:sz="4" w:space="0" w:color="auto"/>
            </w:tcBorders>
            <w:vAlign w:val="center"/>
          </w:tcPr>
          <w:p w14:paraId="1F876D00" w14:textId="2A213C90" w:rsidR="00FF0A4B" w:rsidRDefault="00FF0A4B" w:rsidP="00FF0A4B">
            <w:pPr>
              <w:widowControl/>
              <w:jc w:val="center"/>
              <w:rPr>
                <w:rFonts w:ascii="宋体" w:hAnsi="宋体" w:cs="宋体"/>
                <w:color w:val="000000"/>
                <w:kern w:val="0"/>
                <w:sz w:val="24"/>
              </w:rPr>
            </w:pPr>
            <w:r>
              <w:rPr>
                <w:rFonts w:hint="eastAsia"/>
                <w:color w:val="000000"/>
                <w:sz w:val="22"/>
                <w:szCs w:val="22"/>
              </w:rPr>
              <w:t>允许</w:t>
            </w:r>
          </w:p>
        </w:tc>
        <w:tc>
          <w:tcPr>
            <w:tcW w:w="1701" w:type="dxa"/>
            <w:tcBorders>
              <w:bottom w:val="single" w:sz="4" w:space="0" w:color="auto"/>
            </w:tcBorders>
            <w:vAlign w:val="center"/>
          </w:tcPr>
          <w:p w14:paraId="296D4A14" w14:textId="6F8A09AD" w:rsidR="00FF0A4B" w:rsidRDefault="00FF0A4B" w:rsidP="00FF0A4B">
            <w:pPr>
              <w:widowControl/>
              <w:jc w:val="center"/>
              <w:rPr>
                <w:rFonts w:ascii="宋体" w:hAnsi="宋体" w:cs="宋体"/>
                <w:color w:val="000000"/>
                <w:kern w:val="0"/>
                <w:sz w:val="24"/>
              </w:rPr>
            </w:pPr>
            <w:r>
              <w:rPr>
                <w:rFonts w:hint="eastAsia"/>
                <w:color w:val="000000"/>
                <w:sz w:val="22"/>
                <w:szCs w:val="22"/>
              </w:rPr>
              <w:t>15%</w:t>
            </w:r>
          </w:p>
        </w:tc>
        <w:tc>
          <w:tcPr>
            <w:tcW w:w="1417" w:type="dxa"/>
            <w:tcBorders>
              <w:top w:val="single" w:sz="4" w:space="0" w:color="auto"/>
              <w:left w:val="single" w:sz="4" w:space="0" w:color="auto"/>
              <w:bottom w:val="single" w:sz="4" w:space="0" w:color="auto"/>
              <w:right w:val="single" w:sz="4" w:space="0" w:color="auto"/>
            </w:tcBorders>
            <w:vAlign w:val="center"/>
          </w:tcPr>
          <w:p w14:paraId="60BFBA21" w14:textId="77777777" w:rsidR="00FF0A4B" w:rsidRDefault="00FF0A4B" w:rsidP="00FF0A4B">
            <w:pPr>
              <w:widowControl/>
              <w:jc w:val="center"/>
              <w:rPr>
                <w:rFonts w:ascii="宋体" w:hAnsi="宋体" w:cs="宋体"/>
                <w:color w:val="000000"/>
                <w:kern w:val="0"/>
                <w:sz w:val="24"/>
              </w:rPr>
            </w:pPr>
          </w:p>
        </w:tc>
      </w:tr>
      <w:tr w:rsidR="00FF0A4B" w14:paraId="21298D09" w14:textId="77777777" w:rsidTr="00607C40">
        <w:trPr>
          <w:trHeight w:val="285"/>
        </w:trPr>
        <w:tc>
          <w:tcPr>
            <w:tcW w:w="1276" w:type="dxa"/>
            <w:tcBorders>
              <w:bottom w:val="single" w:sz="4" w:space="0" w:color="auto"/>
            </w:tcBorders>
            <w:vAlign w:val="center"/>
          </w:tcPr>
          <w:p w14:paraId="6013037E" w14:textId="6E5EFCD2" w:rsidR="00FF0A4B" w:rsidRPr="000B1B3C" w:rsidRDefault="00FF0A4B" w:rsidP="00FF0A4B">
            <w:pPr>
              <w:widowControl/>
              <w:jc w:val="center"/>
              <w:rPr>
                <w:color w:val="595959"/>
                <w:sz w:val="18"/>
                <w:szCs w:val="18"/>
              </w:rPr>
            </w:pPr>
            <w:r>
              <w:rPr>
                <w:rFonts w:hint="eastAsia"/>
                <w:color w:val="000000"/>
                <w:sz w:val="22"/>
                <w:szCs w:val="22"/>
              </w:rPr>
              <w:t>000825</w:t>
            </w:r>
          </w:p>
        </w:tc>
        <w:tc>
          <w:tcPr>
            <w:tcW w:w="1418" w:type="dxa"/>
            <w:tcBorders>
              <w:bottom w:val="single" w:sz="4" w:space="0" w:color="auto"/>
            </w:tcBorders>
            <w:vAlign w:val="center"/>
          </w:tcPr>
          <w:p w14:paraId="5479E87E" w14:textId="5E24E536" w:rsidR="00FF0A4B" w:rsidRPr="000B1B3C" w:rsidRDefault="00FF0A4B" w:rsidP="00FF0A4B">
            <w:pPr>
              <w:widowControl/>
              <w:jc w:val="center"/>
              <w:rPr>
                <w:color w:val="595959"/>
                <w:sz w:val="18"/>
                <w:szCs w:val="18"/>
              </w:rPr>
            </w:pPr>
            <w:r>
              <w:rPr>
                <w:rFonts w:hint="eastAsia"/>
                <w:color w:val="000000"/>
                <w:sz w:val="22"/>
                <w:szCs w:val="22"/>
              </w:rPr>
              <w:t>太钢不锈</w:t>
            </w:r>
          </w:p>
        </w:tc>
        <w:tc>
          <w:tcPr>
            <w:tcW w:w="1275" w:type="dxa"/>
            <w:tcBorders>
              <w:bottom w:val="single" w:sz="4" w:space="0" w:color="auto"/>
            </w:tcBorders>
            <w:vAlign w:val="center"/>
          </w:tcPr>
          <w:p w14:paraId="63D8FCF1" w14:textId="1040D76A" w:rsidR="00FF0A4B" w:rsidRPr="000B1B3C" w:rsidRDefault="00FF0A4B" w:rsidP="00FF0A4B">
            <w:pPr>
              <w:widowControl/>
              <w:jc w:val="center"/>
              <w:rPr>
                <w:color w:val="595959"/>
                <w:sz w:val="18"/>
                <w:szCs w:val="18"/>
              </w:rPr>
            </w:pPr>
            <w:r>
              <w:rPr>
                <w:rFonts w:hint="eastAsia"/>
                <w:color w:val="000000"/>
                <w:sz w:val="22"/>
                <w:szCs w:val="22"/>
              </w:rPr>
              <w:t>1500</w:t>
            </w:r>
          </w:p>
        </w:tc>
        <w:tc>
          <w:tcPr>
            <w:tcW w:w="1418" w:type="dxa"/>
            <w:tcBorders>
              <w:bottom w:val="single" w:sz="4" w:space="0" w:color="auto"/>
            </w:tcBorders>
            <w:vAlign w:val="center"/>
          </w:tcPr>
          <w:p w14:paraId="166C9B38" w14:textId="3B767AD1" w:rsidR="00FF0A4B" w:rsidRDefault="00FF0A4B" w:rsidP="00FF0A4B">
            <w:pPr>
              <w:widowControl/>
              <w:jc w:val="center"/>
              <w:rPr>
                <w:rFonts w:ascii="宋体" w:hAnsi="宋体" w:cs="宋体"/>
                <w:color w:val="000000"/>
                <w:kern w:val="0"/>
                <w:sz w:val="24"/>
              </w:rPr>
            </w:pPr>
            <w:r>
              <w:rPr>
                <w:rFonts w:hint="eastAsia"/>
                <w:color w:val="000000"/>
                <w:sz w:val="22"/>
                <w:szCs w:val="22"/>
              </w:rPr>
              <w:t>允许</w:t>
            </w:r>
          </w:p>
        </w:tc>
        <w:tc>
          <w:tcPr>
            <w:tcW w:w="1701" w:type="dxa"/>
            <w:tcBorders>
              <w:bottom w:val="single" w:sz="4" w:space="0" w:color="auto"/>
            </w:tcBorders>
            <w:vAlign w:val="center"/>
          </w:tcPr>
          <w:p w14:paraId="5F8B7BDF" w14:textId="36453EA9" w:rsidR="00FF0A4B" w:rsidRDefault="00FF0A4B" w:rsidP="00FF0A4B">
            <w:pPr>
              <w:widowControl/>
              <w:jc w:val="center"/>
              <w:rPr>
                <w:rFonts w:ascii="宋体" w:hAnsi="宋体" w:cs="宋体"/>
                <w:color w:val="000000"/>
                <w:kern w:val="0"/>
                <w:sz w:val="24"/>
              </w:rPr>
            </w:pPr>
            <w:r>
              <w:rPr>
                <w:rFonts w:hint="eastAsia"/>
                <w:color w:val="000000"/>
                <w:sz w:val="22"/>
                <w:szCs w:val="22"/>
              </w:rPr>
              <w:t>15%</w:t>
            </w:r>
          </w:p>
        </w:tc>
        <w:tc>
          <w:tcPr>
            <w:tcW w:w="1417" w:type="dxa"/>
            <w:tcBorders>
              <w:top w:val="single" w:sz="4" w:space="0" w:color="auto"/>
              <w:left w:val="single" w:sz="4" w:space="0" w:color="auto"/>
              <w:bottom w:val="single" w:sz="4" w:space="0" w:color="auto"/>
              <w:right w:val="single" w:sz="4" w:space="0" w:color="auto"/>
            </w:tcBorders>
            <w:vAlign w:val="center"/>
          </w:tcPr>
          <w:p w14:paraId="051C13A0" w14:textId="77777777" w:rsidR="00FF0A4B" w:rsidRDefault="00FF0A4B" w:rsidP="00FF0A4B">
            <w:pPr>
              <w:widowControl/>
              <w:jc w:val="center"/>
              <w:rPr>
                <w:rFonts w:ascii="宋体" w:hAnsi="宋体" w:cs="宋体"/>
                <w:color w:val="000000"/>
                <w:kern w:val="0"/>
                <w:sz w:val="24"/>
              </w:rPr>
            </w:pPr>
          </w:p>
        </w:tc>
      </w:tr>
      <w:tr w:rsidR="00FF0A4B" w14:paraId="4451FB02" w14:textId="77777777" w:rsidTr="00607C40">
        <w:trPr>
          <w:trHeight w:val="285"/>
        </w:trPr>
        <w:tc>
          <w:tcPr>
            <w:tcW w:w="1276" w:type="dxa"/>
            <w:tcBorders>
              <w:bottom w:val="single" w:sz="4" w:space="0" w:color="auto"/>
            </w:tcBorders>
            <w:vAlign w:val="center"/>
          </w:tcPr>
          <w:p w14:paraId="521456AE" w14:textId="1F8F38EE" w:rsidR="00FF0A4B" w:rsidRPr="000B1B3C" w:rsidRDefault="00FF0A4B" w:rsidP="00FF0A4B">
            <w:pPr>
              <w:widowControl/>
              <w:jc w:val="center"/>
              <w:rPr>
                <w:color w:val="595959"/>
                <w:sz w:val="18"/>
                <w:szCs w:val="18"/>
              </w:rPr>
            </w:pPr>
            <w:r>
              <w:rPr>
                <w:rFonts w:hint="eastAsia"/>
                <w:color w:val="000000"/>
                <w:sz w:val="22"/>
                <w:szCs w:val="22"/>
              </w:rPr>
              <w:t>000830</w:t>
            </w:r>
          </w:p>
        </w:tc>
        <w:tc>
          <w:tcPr>
            <w:tcW w:w="1418" w:type="dxa"/>
            <w:tcBorders>
              <w:bottom w:val="single" w:sz="4" w:space="0" w:color="auto"/>
            </w:tcBorders>
            <w:vAlign w:val="center"/>
          </w:tcPr>
          <w:p w14:paraId="714E24D4" w14:textId="7586A7EB" w:rsidR="00FF0A4B" w:rsidRPr="000B1B3C" w:rsidRDefault="00FF0A4B" w:rsidP="00FF0A4B">
            <w:pPr>
              <w:widowControl/>
              <w:jc w:val="center"/>
              <w:rPr>
                <w:color w:val="595959"/>
                <w:sz w:val="18"/>
                <w:szCs w:val="18"/>
              </w:rPr>
            </w:pPr>
            <w:r>
              <w:rPr>
                <w:rFonts w:hint="eastAsia"/>
                <w:color w:val="000000"/>
                <w:sz w:val="22"/>
                <w:szCs w:val="22"/>
              </w:rPr>
              <w:t>鲁西化工</w:t>
            </w:r>
          </w:p>
        </w:tc>
        <w:tc>
          <w:tcPr>
            <w:tcW w:w="1275" w:type="dxa"/>
            <w:tcBorders>
              <w:bottom w:val="single" w:sz="4" w:space="0" w:color="auto"/>
            </w:tcBorders>
            <w:vAlign w:val="center"/>
          </w:tcPr>
          <w:p w14:paraId="5DE7CE21" w14:textId="693FFC54" w:rsidR="00FF0A4B" w:rsidRPr="000B1B3C" w:rsidRDefault="00FF0A4B" w:rsidP="00FF0A4B">
            <w:pPr>
              <w:widowControl/>
              <w:jc w:val="center"/>
              <w:rPr>
                <w:color w:val="595959"/>
                <w:sz w:val="18"/>
                <w:szCs w:val="18"/>
              </w:rPr>
            </w:pPr>
            <w:r>
              <w:rPr>
                <w:rFonts w:hint="eastAsia"/>
                <w:color w:val="000000"/>
                <w:sz w:val="22"/>
                <w:szCs w:val="22"/>
              </w:rPr>
              <w:t>700</w:t>
            </w:r>
          </w:p>
        </w:tc>
        <w:tc>
          <w:tcPr>
            <w:tcW w:w="1418" w:type="dxa"/>
            <w:tcBorders>
              <w:bottom w:val="single" w:sz="4" w:space="0" w:color="auto"/>
            </w:tcBorders>
            <w:vAlign w:val="center"/>
          </w:tcPr>
          <w:p w14:paraId="20DB9E3C" w14:textId="1FB98FCB" w:rsidR="00FF0A4B" w:rsidRDefault="00FF0A4B" w:rsidP="00FF0A4B">
            <w:pPr>
              <w:widowControl/>
              <w:jc w:val="center"/>
              <w:rPr>
                <w:rFonts w:ascii="宋体" w:hAnsi="宋体" w:cs="宋体"/>
                <w:color w:val="000000"/>
                <w:kern w:val="0"/>
                <w:sz w:val="24"/>
              </w:rPr>
            </w:pPr>
            <w:r>
              <w:rPr>
                <w:rFonts w:hint="eastAsia"/>
                <w:color w:val="000000"/>
                <w:sz w:val="22"/>
                <w:szCs w:val="22"/>
              </w:rPr>
              <w:t>允许</w:t>
            </w:r>
          </w:p>
        </w:tc>
        <w:tc>
          <w:tcPr>
            <w:tcW w:w="1701" w:type="dxa"/>
            <w:tcBorders>
              <w:bottom w:val="single" w:sz="4" w:space="0" w:color="auto"/>
            </w:tcBorders>
            <w:vAlign w:val="center"/>
          </w:tcPr>
          <w:p w14:paraId="245219E6" w14:textId="78224BF0" w:rsidR="00FF0A4B" w:rsidRDefault="00FF0A4B" w:rsidP="00FF0A4B">
            <w:pPr>
              <w:widowControl/>
              <w:jc w:val="center"/>
              <w:rPr>
                <w:rFonts w:ascii="宋体" w:hAnsi="宋体" w:cs="宋体"/>
                <w:color w:val="000000"/>
                <w:kern w:val="0"/>
                <w:sz w:val="24"/>
              </w:rPr>
            </w:pPr>
            <w:r>
              <w:rPr>
                <w:rFonts w:hint="eastAsia"/>
                <w:color w:val="000000"/>
                <w:sz w:val="22"/>
                <w:szCs w:val="22"/>
              </w:rPr>
              <w:t>15%</w:t>
            </w:r>
          </w:p>
        </w:tc>
        <w:tc>
          <w:tcPr>
            <w:tcW w:w="1417" w:type="dxa"/>
            <w:tcBorders>
              <w:top w:val="single" w:sz="4" w:space="0" w:color="auto"/>
              <w:left w:val="single" w:sz="4" w:space="0" w:color="auto"/>
              <w:bottom w:val="single" w:sz="4" w:space="0" w:color="auto"/>
              <w:right w:val="single" w:sz="4" w:space="0" w:color="auto"/>
            </w:tcBorders>
            <w:vAlign w:val="center"/>
          </w:tcPr>
          <w:p w14:paraId="7CB84592" w14:textId="77777777" w:rsidR="00FF0A4B" w:rsidRDefault="00FF0A4B" w:rsidP="00FF0A4B">
            <w:pPr>
              <w:widowControl/>
              <w:jc w:val="center"/>
              <w:rPr>
                <w:rFonts w:ascii="宋体" w:hAnsi="宋体" w:cs="宋体"/>
                <w:color w:val="000000"/>
                <w:kern w:val="0"/>
                <w:sz w:val="24"/>
              </w:rPr>
            </w:pPr>
          </w:p>
        </w:tc>
      </w:tr>
      <w:tr w:rsidR="00FF0A4B" w14:paraId="1994367F" w14:textId="77777777" w:rsidTr="00607C40">
        <w:trPr>
          <w:trHeight w:val="285"/>
        </w:trPr>
        <w:tc>
          <w:tcPr>
            <w:tcW w:w="1276" w:type="dxa"/>
            <w:tcBorders>
              <w:bottom w:val="single" w:sz="4" w:space="0" w:color="auto"/>
            </w:tcBorders>
            <w:vAlign w:val="center"/>
          </w:tcPr>
          <w:p w14:paraId="18175711" w14:textId="5799A625" w:rsidR="00FF0A4B" w:rsidRPr="000B1B3C" w:rsidRDefault="00FF0A4B" w:rsidP="00FF0A4B">
            <w:pPr>
              <w:widowControl/>
              <w:jc w:val="center"/>
              <w:rPr>
                <w:color w:val="595959"/>
                <w:sz w:val="18"/>
                <w:szCs w:val="18"/>
              </w:rPr>
            </w:pPr>
            <w:r>
              <w:rPr>
                <w:rFonts w:hint="eastAsia"/>
                <w:color w:val="000000"/>
                <w:sz w:val="22"/>
                <w:szCs w:val="22"/>
              </w:rPr>
              <w:t>000858</w:t>
            </w:r>
          </w:p>
        </w:tc>
        <w:tc>
          <w:tcPr>
            <w:tcW w:w="1418" w:type="dxa"/>
            <w:tcBorders>
              <w:bottom w:val="single" w:sz="4" w:space="0" w:color="auto"/>
            </w:tcBorders>
            <w:vAlign w:val="center"/>
          </w:tcPr>
          <w:p w14:paraId="5273EAC3" w14:textId="3CA24694" w:rsidR="00FF0A4B" w:rsidRPr="000B1B3C" w:rsidRDefault="00FF0A4B" w:rsidP="00FF0A4B">
            <w:pPr>
              <w:widowControl/>
              <w:jc w:val="center"/>
              <w:rPr>
                <w:color w:val="595959"/>
                <w:sz w:val="18"/>
                <w:szCs w:val="18"/>
              </w:rPr>
            </w:pPr>
            <w:r>
              <w:rPr>
                <w:rFonts w:hint="eastAsia"/>
                <w:color w:val="000000"/>
                <w:sz w:val="22"/>
                <w:szCs w:val="22"/>
              </w:rPr>
              <w:t>五</w:t>
            </w:r>
            <w:r>
              <w:rPr>
                <w:rFonts w:hint="eastAsia"/>
                <w:color w:val="000000"/>
                <w:sz w:val="22"/>
                <w:szCs w:val="22"/>
              </w:rPr>
              <w:t xml:space="preserve"> </w:t>
            </w:r>
            <w:r>
              <w:rPr>
                <w:rFonts w:hint="eastAsia"/>
                <w:color w:val="000000"/>
                <w:sz w:val="22"/>
                <w:szCs w:val="22"/>
              </w:rPr>
              <w:t>粮</w:t>
            </w:r>
            <w:r>
              <w:rPr>
                <w:rFonts w:hint="eastAsia"/>
                <w:color w:val="000000"/>
                <w:sz w:val="22"/>
                <w:szCs w:val="22"/>
              </w:rPr>
              <w:t xml:space="preserve"> </w:t>
            </w:r>
            <w:r>
              <w:rPr>
                <w:rFonts w:hint="eastAsia"/>
                <w:color w:val="000000"/>
                <w:sz w:val="22"/>
                <w:szCs w:val="22"/>
              </w:rPr>
              <w:t>液</w:t>
            </w:r>
          </w:p>
        </w:tc>
        <w:tc>
          <w:tcPr>
            <w:tcW w:w="1275" w:type="dxa"/>
            <w:tcBorders>
              <w:bottom w:val="single" w:sz="4" w:space="0" w:color="auto"/>
            </w:tcBorders>
            <w:vAlign w:val="center"/>
          </w:tcPr>
          <w:p w14:paraId="44020E89" w14:textId="4D96E620" w:rsidR="00FF0A4B" w:rsidRPr="000B1B3C" w:rsidRDefault="00FF0A4B" w:rsidP="00FF0A4B">
            <w:pPr>
              <w:widowControl/>
              <w:jc w:val="center"/>
              <w:rPr>
                <w:color w:val="595959"/>
                <w:sz w:val="18"/>
                <w:szCs w:val="18"/>
              </w:rPr>
            </w:pPr>
            <w:r>
              <w:rPr>
                <w:rFonts w:hint="eastAsia"/>
                <w:color w:val="000000"/>
                <w:sz w:val="22"/>
                <w:szCs w:val="22"/>
              </w:rPr>
              <w:t>1200</w:t>
            </w:r>
          </w:p>
        </w:tc>
        <w:tc>
          <w:tcPr>
            <w:tcW w:w="1418" w:type="dxa"/>
            <w:tcBorders>
              <w:bottom w:val="single" w:sz="4" w:space="0" w:color="auto"/>
            </w:tcBorders>
            <w:vAlign w:val="center"/>
          </w:tcPr>
          <w:p w14:paraId="1DF4737D" w14:textId="7E003A5F" w:rsidR="00FF0A4B" w:rsidRDefault="00FF0A4B" w:rsidP="00FF0A4B">
            <w:pPr>
              <w:widowControl/>
              <w:jc w:val="center"/>
              <w:rPr>
                <w:rFonts w:ascii="宋体" w:hAnsi="宋体" w:cs="宋体"/>
                <w:color w:val="000000"/>
                <w:kern w:val="0"/>
                <w:sz w:val="24"/>
              </w:rPr>
            </w:pPr>
            <w:r>
              <w:rPr>
                <w:rFonts w:hint="eastAsia"/>
                <w:color w:val="000000"/>
                <w:sz w:val="22"/>
                <w:szCs w:val="22"/>
              </w:rPr>
              <w:t>允许</w:t>
            </w:r>
          </w:p>
        </w:tc>
        <w:tc>
          <w:tcPr>
            <w:tcW w:w="1701" w:type="dxa"/>
            <w:tcBorders>
              <w:bottom w:val="single" w:sz="4" w:space="0" w:color="auto"/>
            </w:tcBorders>
            <w:vAlign w:val="center"/>
          </w:tcPr>
          <w:p w14:paraId="45FF5475" w14:textId="5C9E838A" w:rsidR="00FF0A4B" w:rsidRDefault="00FF0A4B" w:rsidP="00FF0A4B">
            <w:pPr>
              <w:widowControl/>
              <w:jc w:val="center"/>
              <w:rPr>
                <w:rFonts w:ascii="宋体" w:hAnsi="宋体" w:cs="宋体"/>
                <w:color w:val="000000"/>
                <w:kern w:val="0"/>
                <w:sz w:val="24"/>
              </w:rPr>
            </w:pPr>
            <w:r>
              <w:rPr>
                <w:rFonts w:hint="eastAsia"/>
                <w:color w:val="000000"/>
                <w:sz w:val="22"/>
                <w:szCs w:val="22"/>
              </w:rPr>
              <w:t>15%</w:t>
            </w:r>
          </w:p>
        </w:tc>
        <w:tc>
          <w:tcPr>
            <w:tcW w:w="1417" w:type="dxa"/>
            <w:tcBorders>
              <w:top w:val="single" w:sz="4" w:space="0" w:color="auto"/>
              <w:left w:val="single" w:sz="4" w:space="0" w:color="auto"/>
              <w:bottom w:val="single" w:sz="4" w:space="0" w:color="auto"/>
              <w:right w:val="single" w:sz="4" w:space="0" w:color="auto"/>
            </w:tcBorders>
            <w:vAlign w:val="center"/>
          </w:tcPr>
          <w:p w14:paraId="6F57E25F" w14:textId="77777777" w:rsidR="00FF0A4B" w:rsidRDefault="00FF0A4B" w:rsidP="00FF0A4B">
            <w:pPr>
              <w:widowControl/>
              <w:jc w:val="center"/>
              <w:rPr>
                <w:rFonts w:ascii="宋体" w:hAnsi="宋体" w:cs="宋体"/>
                <w:color w:val="000000"/>
                <w:kern w:val="0"/>
                <w:sz w:val="24"/>
              </w:rPr>
            </w:pPr>
          </w:p>
        </w:tc>
      </w:tr>
      <w:tr w:rsidR="00FF0A4B" w14:paraId="4E701E95" w14:textId="77777777" w:rsidTr="00607C40">
        <w:trPr>
          <w:trHeight w:val="285"/>
        </w:trPr>
        <w:tc>
          <w:tcPr>
            <w:tcW w:w="1276" w:type="dxa"/>
            <w:tcBorders>
              <w:bottom w:val="single" w:sz="4" w:space="0" w:color="auto"/>
            </w:tcBorders>
            <w:vAlign w:val="center"/>
          </w:tcPr>
          <w:p w14:paraId="65FB73D6" w14:textId="7105750B" w:rsidR="00FF0A4B" w:rsidRPr="000B1B3C" w:rsidRDefault="00FF0A4B" w:rsidP="00FF0A4B">
            <w:pPr>
              <w:widowControl/>
              <w:jc w:val="center"/>
              <w:rPr>
                <w:color w:val="595959"/>
                <w:sz w:val="18"/>
                <w:szCs w:val="18"/>
              </w:rPr>
            </w:pPr>
            <w:r>
              <w:rPr>
                <w:rFonts w:hint="eastAsia"/>
                <w:color w:val="000000"/>
                <w:sz w:val="22"/>
                <w:szCs w:val="22"/>
              </w:rPr>
              <w:t>000876</w:t>
            </w:r>
          </w:p>
        </w:tc>
        <w:tc>
          <w:tcPr>
            <w:tcW w:w="1418" w:type="dxa"/>
            <w:tcBorders>
              <w:bottom w:val="single" w:sz="4" w:space="0" w:color="auto"/>
            </w:tcBorders>
            <w:vAlign w:val="center"/>
          </w:tcPr>
          <w:p w14:paraId="7A97C071" w14:textId="29281E8F" w:rsidR="00FF0A4B" w:rsidRPr="000B1B3C" w:rsidRDefault="00FF0A4B" w:rsidP="00FF0A4B">
            <w:pPr>
              <w:widowControl/>
              <w:jc w:val="center"/>
              <w:rPr>
                <w:color w:val="595959"/>
                <w:sz w:val="18"/>
                <w:szCs w:val="18"/>
              </w:rPr>
            </w:pPr>
            <w:r>
              <w:rPr>
                <w:rFonts w:hint="eastAsia"/>
                <w:color w:val="000000"/>
                <w:sz w:val="22"/>
                <w:szCs w:val="22"/>
              </w:rPr>
              <w:t>新</w:t>
            </w:r>
            <w:r>
              <w:rPr>
                <w:rFonts w:hint="eastAsia"/>
                <w:color w:val="000000"/>
                <w:sz w:val="22"/>
                <w:szCs w:val="22"/>
              </w:rPr>
              <w:t xml:space="preserve"> </w:t>
            </w:r>
            <w:r>
              <w:rPr>
                <w:rFonts w:hint="eastAsia"/>
                <w:color w:val="000000"/>
                <w:sz w:val="22"/>
                <w:szCs w:val="22"/>
              </w:rPr>
              <w:t>希</w:t>
            </w:r>
            <w:r>
              <w:rPr>
                <w:rFonts w:hint="eastAsia"/>
                <w:color w:val="000000"/>
                <w:sz w:val="22"/>
                <w:szCs w:val="22"/>
              </w:rPr>
              <w:t xml:space="preserve"> </w:t>
            </w:r>
            <w:r>
              <w:rPr>
                <w:rFonts w:hint="eastAsia"/>
                <w:color w:val="000000"/>
                <w:sz w:val="22"/>
                <w:szCs w:val="22"/>
              </w:rPr>
              <w:t>望</w:t>
            </w:r>
          </w:p>
        </w:tc>
        <w:tc>
          <w:tcPr>
            <w:tcW w:w="1275" w:type="dxa"/>
            <w:tcBorders>
              <w:bottom w:val="single" w:sz="4" w:space="0" w:color="auto"/>
            </w:tcBorders>
            <w:vAlign w:val="center"/>
          </w:tcPr>
          <w:p w14:paraId="2ABE97E1" w14:textId="5A369970" w:rsidR="00FF0A4B" w:rsidRPr="000B1B3C" w:rsidRDefault="00FF0A4B" w:rsidP="00FF0A4B">
            <w:pPr>
              <w:widowControl/>
              <w:jc w:val="center"/>
              <w:rPr>
                <w:color w:val="595959"/>
                <w:sz w:val="18"/>
                <w:szCs w:val="18"/>
              </w:rPr>
            </w:pPr>
            <w:r>
              <w:rPr>
                <w:rFonts w:hint="eastAsia"/>
                <w:color w:val="000000"/>
                <w:sz w:val="22"/>
                <w:szCs w:val="22"/>
              </w:rPr>
              <w:t>1400</w:t>
            </w:r>
          </w:p>
        </w:tc>
        <w:tc>
          <w:tcPr>
            <w:tcW w:w="1418" w:type="dxa"/>
            <w:tcBorders>
              <w:bottom w:val="single" w:sz="4" w:space="0" w:color="auto"/>
            </w:tcBorders>
            <w:vAlign w:val="center"/>
          </w:tcPr>
          <w:p w14:paraId="6CD54AB5" w14:textId="27DAC6AA" w:rsidR="00FF0A4B" w:rsidRDefault="00FF0A4B" w:rsidP="00FF0A4B">
            <w:pPr>
              <w:widowControl/>
              <w:jc w:val="center"/>
              <w:rPr>
                <w:rFonts w:ascii="宋体" w:hAnsi="宋体" w:cs="宋体"/>
                <w:color w:val="000000"/>
                <w:kern w:val="0"/>
                <w:sz w:val="24"/>
              </w:rPr>
            </w:pPr>
            <w:r>
              <w:rPr>
                <w:rFonts w:hint="eastAsia"/>
                <w:color w:val="000000"/>
                <w:sz w:val="22"/>
                <w:szCs w:val="22"/>
              </w:rPr>
              <w:t>允许</w:t>
            </w:r>
          </w:p>
        </w:tc>
        <w:tc>
          <w:tcPr>
            <w:tcW w:w="1701" w:type="dxa"/>
            <w:tcBorders>
              <w:bottom w:val="single" w:sz="4" w:space="0" w:color="auto"/>
            </w:tcBorders>
            <w:vAlign w:val="center"/>
          </w:tcPr>
          <w:p w14:paraId="4D9FF5E4" w14:textId="3007EB42" w:rsidR="00FF0A4B" w:rsidRDefault="00FF0A4B" w:rsidP="00FF0A4B">
            <w:pPr>
              <w:widowControl/>
              <w:jc w:val="center"/>
              <w:rPr>
                <w:rFonts w:ascii="宋体" w:hAnsi="宋体" w:cs="宋体"/>
                <w:color w:val="000000"/>
                <w:kern w:val="0"/>
                <w:sz w:val="24"/>
              </w:rPr>
            </w:pPr>
            <w:r>
              <w:rPr>
                <w:rFonts w:hint="eastAsia"/>
                <w:color w:val="000000"/>
                <w:sz w:val="22"/>
                <w:szCs w:val="22"/>
              </w:rPr>
              <w:t>15%</w:t>
            </w:r>
          </w:p>
        </w:tc>
        <w:tc>
          <w:tcPr>
            <w:tcW w:w="1417" w:type="dxa"/>
            <w:tcBorders>
              <w:top w:val="single" w:sz="4" w:space="0" w:color="auto"/>
              <w:left w:val="single" w:sz="4" w:space="0" w:color="auto"/>
              <w:bottom w:val="single" w:sz="4" w:space="0" w:color="auto"/>
              <w:right w:val="single" w:sz="4" w:space="0" w:color="auto"/>
            </w:tcBorders>
            <w:vAlign w:val="center"/>
          </w:tcPr>
          <w:p w14:paraId="0CA91AA7" w14:textId="77777777" w:rsidR="00FF0A4B" w:rsidRDefault="00FF0A4B" w:rsidP="00FF0A4B">
            <w:pPr>
              <w:widowControl/>
              <w:jc w:val="center"/>
              <w:rPr>
                <w:rFonts w:ascii="宋体" w:hAnsi="宋体" w:cs="宋体"/>
                <w:color w:val="000000"/>
                <w:kern w:val="0"/>
                <w:sz w:val="24"/>
              </w:rPr>
            </w:pPr>
          </w:p>
        </w:tc>
      </w:tr>
      <w:tr w:rsidR="00FF0A4B" w14:paraId="577A4490" w14:textId="77777777" w:rsidTr="00607C40">
        <w:trPr>
          <w:trHeight w:val="285"/>
        </w:trPr>
        <w:tc>
          <w:tcPr>
            <w:tcW w:w="1276" w:type="dxa"/>
            <w:tcBorders>
              <w:bottom w:val="single" w:sz="4" w:space="0" w:color="auto"/>
            </w:tcBorders>
            <w:vAlign w:val="center"/>
          </w:tcPr>
          <w:p w14:paraId="3E521086" w14:textId="3308B412" w:rsidR="00FF0A4B" w:rsidRPr="000B1B3C" w:rsidRDefault="00FF0A4B" w:rsidP="00FF0A4B">
            <w:pPr>
              <w:widowControl/>
              <w:jc w:val="center"/>
              <w:rPr>
                <w:color w:val="595959"/>
                <w:sz w:val="18"/>
                <w:szCs w:val="18"/>
              </w:rPr>
            </w:pPr>
            <w:r>
              <w:rPr>
                <w:rFonts w:hint="eastAsia"/>
                <w:color w:val="000000"/>
                <w:sz w:val="22"/>
                <w:szCs w:val="22"/>
              </w:rPr>
              <w:t>000883</w:t>
            </w:r>
          </w:p>
        </w:tc>
        <w:tc>
          <w:tcPr>
            <w:tcW w:w="1418" w:type="dxa"/>
            <w:tcBorders>
              <w:bottom w:val="single" w:sz="4" w:space="0" w:color="auto"/>
            </w:tcBorders>
            <w:vAlign w:val="center"/>
          </w:tcPr>
          <w:p w14:paraId="6D50A8B6" w14:textId="0520BA82" w:rsidR="00FF0A4B" w:rsidRPr="000B1B3C" w:rsidRDefault="00FF0A4B" w:rsidP="00FF0A4B">
            <w:pPr>
              <w:widowControl/>
              <w:jc w:val="center"/>
              <w:rPr>
                <w:color w:val="595959"/>
                <w:sz w:val="18"/>
                <w:szCs w:val="18"/>
              </w:rPr>
            </w:pPr>
            <w:r>
              <w:rPr>
                <w:rFonts w:hint="eastAsia"/>
                <w:color w:val="000000"/>
                <w:sz w:val="22"/>
                <w:szCs w:val="22"/>
              </w:rPr>
              <w:t>湖北能源</w:t>
            </w:r>
          </w:p>
        </w:tc>
        <w:tc>
          <w:tcPr>
            <w:tcW w:w="1275" w:type="dxa"/>
            <w:tcBorders>
              <w:bottom w:val="single" w:sz="4" w:space="0" w:color="auto"/>
            </w:tcBorders>
            <w:vAlign w:val="center"/>
          </w:tcPr>
          <w:p w14:paraId="4A654B9F" w14:textId="2FF32A9F" w:rsidR="00FF0A4B" w:rsidRPr="000B1B3C" w:rsidRDefault="00FF0A4B" w:rsidP="00FF0A4B">
            <w:pPr>
              <w:widowControl/>
              <w:jc w:val="center"/>
              <w:rPr>
                <w:color w:val="595959"/>
                <w:sz w:val="18"/>
                <w:szCs w:val="18"/>
              </w:rPr>
            </w:pPr>
            <w:r>
              <w:rPr>
                <w:rFonts w:hint="eastAsia"/>
                <w:color w:val="000000"/>
                <w:sz w:val="22"/>
                <w:szCs w:val="22"/>
              </w:rPr>
              <w:t>1300</w:t>
            </w:r>
          </w:p>
        </w:tc>
        <w:tc>
          <w:tcPr>
            <w:tcW w:w="1418" w:type="dxa"/>
            <w:tcBorders>
              <w:bottom w:val="single" w:sz="4" w:space="0" w:color="auto"/>
            </w:tcBorders>
            <w:vAlign w:val="center"/>
          </w:tcPr>
          <w:p w14:paraId="2B12F631" w14:textId="66782DA4" w:rsidR="00FF0A4B" w:rsidRDefault="00FF0A4B" w:rsidP="00FF0A4B">
            <w:pPr>
              <w:widowControl/>
              <w:jc w:val="center"/>
              <w:rPr>
                <w:rFonts w:ascii="宋体" w:hAnsi="宋体" w:cs="宋体"/>
                <w:color w:val="000000"/>
                <w:kern w:val="0"/>
                <w:sz w:val="24"/>
              </w:rPr>
            </w:pPr>
            <w:r>
              <w:rPr>
                <w:rFonts w:hint="eastAsia"/>
                <w:color w:val="000000"/>
                <w:sz w:val="22"/>
                <w:szCs w:val="22"/>
              </w:rPr>
              <w:t>允许</w:t>
            </w:r>
          </w:p>
        </w:tc>
        <w:tc>
          <w:tcPr>
            <w:tcW w:w="1701" w:type="dxa"/>
            <w:tcBorders>
              <w:bottom w:val="single" w:sz="4" w:space="0" w:color="auto"/>
            </w:tcBorders>
            <w:vAlign w:val="center"/>
          </w:tcPr>
          <w:p w14:paraId="117B9111" w14:textId="46A5C679" w:rsidR="00FF0A4B" w:rsidRDefault="00FF0A4B" w:rsidP="00FF0A4B">
            <w:pPr>
              <w:widowControl/>
              <w:jc w:val="center"/>
              <w:rPr>
                <w:rFonts w:ascii="宋体" w:hAnsi="宋体" w:cs="宋体"/>
                <w:color w:val="000000"/>
                <w:kern w:val="0"/>
                <w:sz w:val="24"/>
              </w:rPr>
            </w:pPr>
            <w:r>
              <w:rPr>
                <w:rFonts w:hint="eastAsia"/>
                <w:color w:val="000000"/>
                <w:sz w:val="22"/>
                <w:szCs w:val="22"/>
              </w:rPr>
              <w:t>15%</w:t>
            </w:r>
          </w:p>
        </w:tc>
        <w:tc>
          <w:tcPr>
            <w:tcW w:w="1417" w:type="dxa"/>
            <w:tcBorders>
              <w:top w:val="single" w:sz="4" w:space="0" w:color="auto"/>
              <w:left w:val="single" w:sz="4" w:space="0" w:color="auto"/>
              <w:bottom w:val="single" w:sz="4" w:space="0" w:color="auto"/>
              <w:right w:val="single" w:sz="4" w:space="0" w:color="auto"/>
            </w:tcBorders>
            <w:vAlign w:val="center"/>
          </w:tcPr>
          <w:p w14:paraId="4C78F5CB" w14:textId="77777777" w:rsidR="00FF0A4B" w:rsidRDefault="00FF0A4B" w:rsidP="00FF0A4B">
            <w:pPr>
              <w:widowControl/>
              <w:jc w:val="center"/>
              <w:rPr>
                <w:rFonts w:ascii="宋体" w:hAnsi="宋体" w:cs="宋体"/>
                <w:color w:val="000000"/>
                <w:kern w:val="0"/>
                <w:sz w:val="24"/>
              </w:rPr>
            </w:pPr>
          </w:p>
        </w:tc>
      </w:tr>
      <w:tr w:rsidR="00FF0A4B" w14:paraId="291904CA" w14:textId="77777777" w:rsidTr="00607C40">
        <w:trPr>
          <w:trHeight w:val="285"/>
        </w:trPr>
        <w:tc>
          <w:tcPr>
            <w:tcW w:w="1276" w:type="dxa"/>
            <w:tcBorders>
              <w:bottom w:val="single" w:sz="4" w:space="0" w:color="auto"/>
            </w:tcBorders>
            <w:vAlign w:val="center"/>
          </w:tcPr>
          <w:p w14:paraId="08A51DA9" w14:textId="2591B6F0" w:rsidR="00FF0A4B" w:rsidRPr="000B1B3C" w:rsidRDefault="00FF0A4B" w:rsidP="00FF0A4B">
            <w:pPr>
              <w:widowControl/>
              <w:jc w:val="center"/>
              <w:rPr>
                <w:color w:val="595959"/>
                <w:sz w:val="18"/>
                <w:szCs w:val="18"/>
              </w:rPr>
            </w:pPr>
            <w:r>
              <w:rPr>
                <w:rFonts w:hint="eastAsia"/>
                <w:color w:val="000000"/>
                <w:sz w:val="22"/>
                <w:szCs w:val="22"/>
              </w:rPr>
              <w:lastRenderedPageBreak/>
              <w:t>000895</w:t>
            </w:r>
          </w:p>
        </w:tc>
        <w:tc>
          <w:tcPr>
            <w:tcW w:w="1418" w:type="dxa"/>
            <w:tcBorders>
              <w:bottom w:val="single" w:sz="4" w:space="0" w:color="auto"/>
            </w:tcBorders>
            <w:vAlign w:val="center"/>
          </w:tcPr>
          <w:p w14:paraId="416F8B99" w14:textId="12C76892" w:rsidR="00FF0A4B" w:rsidRPr="000B1B3C" w:rsidRDefault="00FF0A4B" w:rsidP="00FF0A4B">
            <w:pPr>
              <w:widowControl/>
              <w:jc w:val="center"/>
              <w:rPr>
                <w:color w:val="595959"/>
                <w:sz w:val="18"/>
                <w:szCs w:val="18"/>
              </w:rPr>
            </w:pPr>
            <w:r>
              <w:rPr>
                <w:rFonts w:hint="eastAsia"/>
                <w:color w:val="000000"/>
                <w:sz w:val="22"/>
                <w:szCs w:val="22"/>
              </w:rPr>
              <w:t>双汇发展</w:t>
            </w:r>
          </w:p>
        </w:tc>
        <w:tc>
          <w:tcPr>
            <w:tcW w:w="1275" w:type="dxa"/>
            <w:tcBorders>
              <w:bottom w:val="single" w:sz="4" w:space="0" w:color="auto"/>
            </w:tcBorders>
            <w:vAlign w:val="center"/>
          </w:tcPr>
          <w:p w14:paraId="6F4B570D" w14:textId="26CD47F4" w:rsidR="00FF0A4B" w:rsidRPr="000B1B3C" w:rsidRDefault="00FF0A4B" w:rsidP="00FF0A4B">
            <w:pPr>
              <w:widowControl/>
              <w:jc w:val="center"/>
              <w:rPr>
                <w:color w:val="595959"/>
                <w:sz w:val="18"/>
                <w:szCs w:val="18"/>
              </w:rPr>
            </w:pPr>
            <w:r>
              <w:rPr>
                <w:rFonts w:hint="eastAsia"/>
                <w:color w:val="000000"/>
                <w:sz w:val="22"/>
                <w:szCs w:val="22"/>
              </w:rPr>
              <w:t>700</w:t>
            </w:r>
          </w:p>
        </w:tc>
        <w:tc>
          <w:tcPr>
            <w:tcW w:w="1418" w:type="dxa"/>
            <w:tcBorders>
              <w:bottom w:val="single" w:sz="4" w:space="0" w:color="auto"/>
            </w:tcBorders>
            <w:vAlign w:val="center"/>
          </w:tcPr>
          <w:p w14:paraId="38579232" w14:textId="4EF38687" w:rsidR="00FF0A4B" w:rsidRDefault="00FF0A4B" w:rsidP="00FF0A4B">
            <w:pPr>
              <w:widowControl/>
              <w:jc w:val="center"/>
              <w:rPr>
                <w:rFonts w:ascii="宋体" w:hAnsi="宋体" w:cs="宋体"/>
                <w:color w:val="000000"/>
                <w:kern w:val="0"/>
                <w:sz w:val="24"/>
              </w:rPr>
            </w:pPr>
            <w:r>
              <w:rPr>
                <w:rFonts w:hint="eastAsia"/>
                <w:color w:val="000000"/>
                <w:sz w:val="22"/>
                <w:szCs w:val="22"/>
              </w:rPr>
              <w:t>允许</w:t>
            </w:r>
          </w:p>
        </w:tc>
        <w:tc>
          <w:tcPr>
            <w:tcW w:w="1701" w:type="dxa"/>
            <w:tcBorders>
              <w:bottom w:val="single" w:sz="4" w:space="0" w:color="auto"/>
            </w:tcBorders>
            <w:vAlign w:val="center"/>
          </w:tcPr>
          <w:p w14:paraId="12906767" w14:textId="21F0D6E5" w:rsidR="00FF0A4B" w:rsidRDefault="00FF0A4B" w:rsidP="00FF0A4B">
            <w:pPr>
              <w:widowControl/>
              <w:jc w:val="center"/>
              <w:rPr>
                <w:rFonts w:ascii="宋体" w:hAnsi="宋体" w:cs="宋体"/>
                <w:color w:val="000000"/>
                <w:kern w:val="0"/>
                <w:sz w:val="24"/>
              </w:rPr>
            </w:pPr>
            <w:r>
              <w:rPr>
                <w:rFonts w:hint="eastAsia"/>
                <w:color w:val="000000"/>
                <w:sz w:val="22"/>
                <w:szCs w:val="22"/>
              </w:rPr>
              <w:t>15%</w:t>
            </w:r>
          </w:p>
        </w:tc>
        <w:tc>
          <w:tcPr>
            <w:tcW w:w="1417" w:type="dxa"/>
            <w:tcBorders>
              <w:top w:val="single" w:sz="4" w:space="0" w:color="auto"/>
              <w:left w:val="single" w:sz="4" w:space="0" w:color="auto"/>
              <w:bottom w:val="single" w:sz="4" w:space="0" w:color="auto"/>
              <w:right w:val="single" w:sz="4" w:space="0" w:color="auto"/>
            </w:tcBorders>
            <w:vAlign w:val="center"/>
          </w:tcPr>
          <w:p w14:paraId="48DB88B9" w14:textId="77777777" w:rsidR="00FF0A4B" w:rsidRDefault="00FF0A4B" w:rsidP="00FF0A4B">
            <w:pPr>
              <w:widowControl/>
              <w:jc w:val="center"/>
              <w:rPr>
                <w:rFonts w:ascii="宋体" w:hAnsi="宋体" w:cs="宋体"/>
                <w:color w:val="000000"/>
                <w:kern w:val="0"/>
                <w:sz w:val="24"/>
              </w:rPr>
            </w:pPr>
          </w:p>
        </w:tc>
      </w:tr>
      <w:tr w:rsidR="00FF0A4B" w14:paraId="7E6B4964" w14:textId="77777777" w:rsidTr="00607C40">
        <w:trPr>
          <w:trHeight w:val="285"/>
        </w:trPr>
        <w:tc>
          <w:tcPr>
            <w:tcW w:w="1276" w:type="dxa"/>
            <w:tcBorders>
              <w:bottom w:val="single" w:sz="4" w:space="0" w:color="auto"/>
            </w:tcBorders>
            <w:vAlign w:val="center"/>
          </w:tcPr>
          <w:p w14:paraId="3FD97C38" w14:textId="15A9579F" w:rsidR="00FF0A4B" w:rsidRPr="000B1B3C" w:rsidRDefault="00FF0A4B" w:rsidP="00FF0A4B">
            <w:pPr>
              <w:widowControl/>
              <w:jc w:val="center"/>
              <w:rPr>
                <w:color w:val="595959"/>
                <w:sz w:val="18"/>
                <w:szCs w:val="18"/>
              </w:rPr>
            </w:pPr>
            <w:r>
              <w:rPr>
                <w:rFonts w:hint="eastAsia"/>
                <w:color w:val="000000"/>
                <w:sz w:val="22"/>
                <w:szCs w:val="22"/>
              </w:rPr>
              <w:t>000898</w:t>
            </w:r>
          </w:p>
        </w:tc>
        <w:tc>
          <w:tcPr>
            <w:tcW w:w="1418" w:type="dxa"/>
            <w:tcBorders>
              <w:bottom w:val="single" w:sz="4" w:space="0" w:color="auto"/>
            </w:tcBorders>
            <w:vAlign w:val="center"/>
          </w:tcPr>
          <w:p w14:paraId="157F4B16" w14:textId="54E88092" w:rsidR="00FF0A4B" w:rsidRPr="000B1B3C" w:rsidRDefault="00FF0A4B" w:rsidP="00FF0A4B">
            <w:pPr>
              <w:widowControl/>
              <w:jc w:val="center"/>
              <w:rPr>
                <w:color w:val="595959"/>
                <w:sz w:val="18"/>
                <w:szCs w:val="18"/>
              </w:rPr>
            </w:pPr>
            <w:r>
              <w:rPr>
                <w:rFonts w:hint="eastAsia"/>
                <w:color w:val="000000"/>
                <w:sz w:val="22"/>
                <w:szCs w:val="22"/>
              </w:rPr>
              <w:t>鞍钢股份</w:t>
            </w:r>
          </w:p>
        </w:tc>
        <w:tc>
          <w:tcPr>
            <w:tcW w:w="1275" w:type="dxa"/>
            <w:tcBorders>
              <w:bottom w:val="single" w:sz="4" w:space="0" w:color="auto"/>
            </w:tcBorders>
            <w:vAlign w:val="center"/>
          </w:tcPr>
          <w:p w14:paraId="4F703D32" w14:textId="714086B7" w:rsidR="00FF0A4B" w:rsidRPr="000B1B3C" w:rsidRDefault="00FF0A4B" w:rsidP="00FF0A4B">
            <w:pPr>
              <w:widowControl/>
              <w:jc w:val="center"/>
              <w:rPr>
                <w:color w:val="595959"/>
                <w:sz w:val="18"/>
                <w:szCs w:val="18"/>
              </w:rPr>
            </w:pPr>
            <w:r>
              <w:rPr>
                <w:rFonts w:hint="eastAsia"/>
                <w:color w:val="000000"/>
                <w:sz w:val="22"/>
                <w:szCs w:val="22"/>
              </w:rPr>
              <w:t>1000</w:t>
            </w:r>
          </w:p>
        </w:tc>
        <w:tc>
          <w:tcPr>
            <w:tcW w:w="1418" w:type="dxa"/>
            <w:tcBorders>
              <w:bottom w:val="single" w:sz="4" w:space="0" w:color="auto"/>
            </w:tcBorders>
            <w:vAlign w:val="center"/>
          </w:tcPr>
          <w:p w14:paraId="1FE87577" w14:textId="00560A42" w:rsidR="00FF0A4B" w:rsidRDefault="00FF0A4B" w:rsidP="00FF0A4B">
            <w:pPr>
              <w:widowControl/>
              <w:jc w:val="center"/>
              <w:rPr>
                <w:rFonts w:ascii="宋体" w:hAnsi="宋体" w:cs="宋体"/>
                <w:color w:val="000000"/>
                <w:kern w:val="0"/>
                <w:sz w:val="24"/>
              </w:rPr>
            </w:pPr>
            <w:r>
              <w:rPr>
                <w:rFonts w:hint="eastAsia"/>
                <w:color w:val="000000"/>
                <w:sz w:val="22"/>
                <w:szCs w:val="22"/>
              </w:rPr>
              <w:t>允许</w:t>
            </w:r>
          </w:p>
        </w:tc>
        <w:tc>
          <w:tcPr>
            <w:tcW w:w="1701" w:type="dxa"/>
            <w:tcBorders>
              <w:bottom w:val="single" w:sz="4" w:space="0" w:color="auto"/>
            </w:tcBorders>
            <w:vAlign w:val="center"/>
          </w:tcPr>
          <w:p w14:paraId="33EF28F4" w14:textId="0B2B8EA3" w:rsidR="00FF0A4B" w:rsidRDefault="00FF0A4B" w:rsidP="00FF0A4B">
            <w:pPr>
              <w:widowControl/>
              <w:jc w:val="center"/>
              <w:rPr>
                <w:rFonts w:ascii="宋体" w:hAnsi="宋体" w:cs="宋体"/>
                <w:color w:val="000000"/>
                <w:kern w:val="0"/>
                <w:sz w:val="24"/>
              </w:rPr>
            </w:pPr>
            <w:r>
              <w:rPr>
                <w:rFonts w:hint="eastAsia"/>
                <w:color w:val="000000"/>
                <w:sz w:val="22"/>
                <w:szCs w:val="22"/>
              </w:rPr>
              <w:t>15%</w:t>
            </w:r>
          </w:p>
        </w:tc>
        <w:tc>
          <w:tcPr>
            <w:tcW w:w="1417" w:type="dxa"/>
            <w:tcBorders>
              <w:top w:val="single" w:sz="4" w:space="0" w:color="auto"/>
              <w:left w:val="single" w:sz="4" w:space="0" w:color="auto"/>
              <w:bottom w:val="single" w:sz="4" w:space="0" w:color="auto"/>
              <w:right w:val="single" w:sz="4" w:space="0" w:color="auto"/>
            </w:tcBorders>
            <w:vAlign w:val="center"/>
          </w:tcPr>
          <w:p w14:paraId="7902E07E" w14:textId="77777777" w:rsidR="00FF0A4B" w:rsidRDefault="00FF0A4B" w:rsidP="00FF0A4B">
            <w:pPr>
              <w:widowControl/>
              <w:jc w:val="center"/>
              <w:rPr>
                <w:rFonts w:ascii="宋体" w:hAnsi="宋体" w:cs="宋体"/>
                <w:color w:val="000000"/>
                <w:kern w:val="0"/>
                <w:sz w:val="24"/>
              </w:rPr>
            </w:pPr>
          </w:p>
        </w:tc>
      </w:tr>
      <w:tr w:rsidR="00FF0A4B" w14:paraId="255936E3" w14:textId="77777777" w:rsidTr="00607C40">
        <w:trPr>
          <w:trHeight w:val="285"/>
        </w:trPr>
        <w:tc>
          <w:tcPr>
            <w:tcW w:w="1276" w:type="dxa"/>
            <w:tcBorders>
              <w:bottom w:val="single" w:sz="4" w:space="0" w:color="auto"/>
            </w:tcBorders>
            <w:vAlign w:val="center"/>
          </w:tcPr>
          <w:p w14:paraId="74EB78D6" w14:textId="5A91A8C8" w:rsidR="00FF0A4B" w:rsidRPr="000B1B3C" w:rsidRDefault="00FF0A4B" w:rsidP="00FF0A4B">
            <w:pPr>
              <w:widowControl/>
              <w:jc w:val="center"/>
              <w:rPr>
                <w:color w:val="595959"/>
                <w:sz w:val="18"/>
                <w:szCs w:val="18"/>
              </w:rPr>
            </w:pPr>
            <w:r>
              <w:rPr>
                <w:rFonts w:hint="eastAsia"/>
                <w:color w:val="000000"/>
                <w:sz w:val="22"/>
                <w:szCs w:val="22"/>
              </w:rPr>
              <w:t>000937</w:t>
            </w:r>
          </w:p>
        </w:tc>
        <w:tc>
          <w:tcPr>
            <w:tcW w:w="1418" w:type="dxa"/>
            <w:tcBorders>
              <w:bottom w:val="single" w:sz="4" w:space="0" w:color="auto"/>
            </w:tcBorders>
            <w:vAlign w:val="center"/>
          </w:tcPr>
          <w:p w14:paraId="08879F29" w14:textId="526D09BD" w:rsidR="00FF0A4B" w:rsidRPr="000B1B3C" w:rsidRDefault="00FF0A4B" w:rsidP="00FF0A4B">
            <w:pPr>
              <w:widowControl/>
              <w:jc w:val="center"/>
              <w:rPr>
                <w:color w:val="595959"/>
                <w:sz w:val="18"/>
                <w:szCs w:val="18"/>
              </w:rPr>
            </w:pPr>
            <w:r>
              <w:rPr>
                <w:rFonts w:hint="eastAsia"/>
                <w:color w:val="000000"/>
                <w:sz w:val="22"/>
                <w:szCs w:val="22"/>
              </w:rPr>
              <w:t>冀中能源</w:t>
            </w:r>
          </w:p>
        </w:tc>
        <w:tc>
          <w:tcPr>
            <w:tcW w:w="1275" w:type="dxa"/>
            <w:tcBorders>
              <w:bottom w:val="single" w:sz="4" w:space="0" w:color="auto"/>
            </w:tcBorders>
            <w:vAlign w:val="center"/>
          </w:tcPr>
          <w:p w14:paraId="55F18D48" w14:textId="056ABB54" w:rsidR="00FF0A4B" w:rsidRPr="000B1B3C" w:rsidRDefault="00FF0A4B" w:rsidP="00FF0A4B">
            <w:pPr>
              <w:widowControl/>
              <w:jc w:val="center"/>
              <w:rPr>
                <w:color w:val="595959"/>
                <w:sz w:val="18"/>
                <w:szCs w:val="18"/>
              </w:rPr>
            </w:pPr>
            <w:r>
              <w:rPr>
                <w:rFonts w:hint="eastAsia"/>
                <w:color w:val="000000"/>
                <w:sz w:val="22"/>
                <w:szCs w:val="22"/>
              </w:rPr>
              <w:t>800</w:t>
            </w:r>
          </w:p>
        </w:tc>
        <w:tc>
          <w:tcPr>
            <w:tcW w:w="1418" w:type="dxa"/>
            <w:tcBorders>
              <w:bottom w:val="single" w:sz="4" w:space="0" w:color="auto"/>
            </w:tcBorders>
            <w:vAlign w:val="center"/>
          </w:tcPr>
          <w:p w14:paraId="2EC5F580" w14:textId="4705AF15" w:rsidR="00FF0A4B" w:rsidRDefault="00FF0A4B" w:rsidP="00FF0A4B">
            <w:pPr>
              <w:widowControl/>
              <w:jc w:val="center"/>
              <w:rPr>
                <w:rFonts w:ascii="宋体" w:hAnsi="宋体" w:cs="宋体"/>
                <w:color w:val="000000"/>
                <w:kern w:val="0"/>
                <w:sz w:val="24"/>
              </w:rPr>
            </w:pPr>
            <w:r>
              <w:rPr>
                <w:rFonts w:hint="eastAsia"/>
                <w:color w:val="000000"/>
                <w:sz w:val="22"/>
                <w:szCs w:val="22"/>
              </w:rPr>
              <w:t>允许</w:t>
            </w:r>
          </w:p>
        </w:tc>
        <w:tc>
          <w:tcPr>
            <w:tcW w:w="1701" w:type="dxa"/>
            <w:tcBorders>
              <w:bottom w:val="single" w:sz="4" w:space="0" w:color="auto"/>
            </w:tcBorders>
            <w:vAlign w:val="center"/>
          </w:tcPr>
          <w:p w14:paraId="7B67EA04" w14:textId="563E1998" w:rsidR="00FF0A4B" w:rsidRDefault="00FF0A4B" w:rsidP="00FF0A4B">
            <w:pPr>
              <w:widowControl/>
              <w:jc w:val="center"/>
              <w:rPr>
                <w:rFonts w:ascii="宋体" w:hAnsi="宋体" w:cs="宋体"/>
                <w:color w:val="000000"/>
                <w:kern w:val="0"/>
                <w:sz w:val="24"/>
              </w:rPr>
            </w:pPr>
            <w:r>
              <w:rPr>
                <w:rFonts w:hint="eastAsia"/>
                <w:color w:val="000000"/>
                <w:sz w:val="22"/>
                <w:szCs w:val="22"/>
              </w:rPr>
              <w:t>15%</w:t>
            </w:r>
          </w:p>
        </w:tc>
        <w:tc>
          <w:tcPr>
            <w:tcW w:w="1417" w:type="dxa"/>
            <w:tcBorders>
              <w:top w:val="single" w:sz="4" w:space="0" w:color="auto"/>
              <w:left w:val="single" w:sz="4" w:space="0" w:color="auto"/>
              <w:bottom w:val="single" w:sz="4" w:space="0" w:color="auto"/>
              <w:right w:val="single" w:sz="4" w:space="0" w:color="auto"/>
            </w:tcBorders>
            <w:vAlign w:val="center"/>
          </w:tcPr>
          <w:p w14:paraId="5C899656" w14:textId="77777777" w:rsidR="00FF0A4B" w:rsidRDefault="00FF0A4B" w:rsidP="00FF0A4B">
            <w:pPr>
              <w:widowControl/>
              <w:jc w:val="center"/>
              <w:rPr>
                <w:rFonts w:ascii="宋体" w:hAnsi="宋体" w:cs="宋体"/>
                <w:color w:val="000000"/>
                <w:kern w:val="0"/>
                <w:sz w:val="24"/>
              </w:rPr>
            </w:pPr>
          </w:p>
        </w:tc>
      </w:tr>
      <w:tr w:rsidR="00FF0A4B" w14:paraId="6F956D2C" w14:textId="77777777" w:rsidTr="00607C40">
        <w:trPr>
          <w:trHeight w:val="285"/>
        </w:trPr>
        <w:tc>
          <w:tcPr>
            <w:tcW w:w="1276" w:type="dxa"/>
            <w:tcBorders>
              <w:bottom w:val="single" w:sz="4" w:space="0" w:color="auto"/>
            </w:tcBorders>
            <w:vAlign w:val="center"/>
          </w:tcPr>
          <w:p w14:paraId="6A9B6D8A" w14:textId="76AA344B" w:rsidR="00FF0A4B" w:rsidRPr="000B1B3C" w:rsidRDefault="00FF0A4B" w:rsidP="00FF0A4B">
            <w:pPr>
              <w:widowControl/>
              <w:jc w:val="center"/>
              <w:rPr>
                <w:color w:val="595959"/>
                <w:sz w:val="18"/>
                <w:szCs w:val="18"/>
              </w:rPr>
            </w:pPr>
            <w:r>
              <w:rPr>
                <w:rFonts w:hint="eastAsia"/>
                <w:color w:val="000000"/>
                <w:sz w:val="22"/>
                <w:szCs w:val="22"/>
              </w:rPr>
              <w:t>000959</w:t>
            </w:r>
          </w:p>
        </w:tc>
        <w:tc>
          <w:tcPr>
            <w:tcW w:w="1418" w:type="dxa"/>
            <w:tcBorders>
              <w:bottom w:val="single" w:sz="4" w:space="0" w:color="auto"/>
            </w:tcBorders>
            <w:vAlign w:val="center"/>
          </w:tcPr>
          <w:p w14:paraId="67C6477C" w14:textId="27E4F9DC" w:rsidR="00FF0A4B" w:rsidRPr="000B1B3C" w:rsidRDefault="00FF0A4B" w:rsidP="00FF0A4B">
            <w:pPr>
              <w:widowControl/>
              <w:jc w:val="center"/>
              <w:rPr>
                <w:color w:val="595959"/>
                <w:sz w:val="18"/>
                <w:szCs w:val="18"/>
              </w:rPr>
            </w:pPr>
            <w:r>
              <w:rPr>
                <w:rFonts w:hint="eastAsia"/>
                <w:color w:val="000000"/>
                <w:sz w:val="22"/>
                <w:szCs w:val="22"/>
              </w:rPr>
              <w:t>首钢股份</w:t>
            </w:r>
          </w:p>
        </w:tc>
        <w:tc>
          <w:tcPr>
            <w:tcW w:w="1275" w:type="dxa"/>
            <w:tcBorders>
              <w:bottom w:val="single" w:sz="4" w:space="0" w:color="auto"/>
            </w:tcBorders>
            <w:vAlign w:val="center"/>
          </w:tcPr>
          <w:p w14:paraId="3CB13FA8" w14:textId="6A805A65" w:rsidR="00FF0A4B" w:rsidRPr="000B1B3C" w:rsidRDefault="00FF0A4B" w:rsidP="00FF0A4B">
            <w:pPr>
              <w:widowControl/>
              <w:jc w:val="center"/>
              <w:rPr>
                <w:color w:val="595959"/>
                <w:sz w:val="18"/>
                <w:szCs w:val="18"/>
              </w:rPr>
            </w:pPr>
            <w:r>
              <w:rPr>
                <w:rFonts w:hint="eastAsia"/>
                <w:color w:val="000000"/>
                <w:sz w:val="22"/>
                <w:szCs w:val="22"/>
              </w:rPr>
              <w:t>500</w:t>
            </w:r>
          </w:p>
        </w:tc>
        <w:tc>
          <w:tcPr>
            <w:tcW w:w="1418" w:type="dxa"/>
            <w:tcBorders>
              <w:bottom w:val="single" w:sz="4" w:space="0" w:color="auto"/>
            </w:tcBorders>
            <w:vAlign w:val="center"/>
          </w:tcPr>
          <w:p w14:paraId="76E3E12D" w14:textId="23AFE049" w:rsidR="00FF0A4B" w:rsidRDefault="00FF0A4B" w:rsidP="00FF0A4B">
            <w:pPr>
              <w:widowControl/>
              <w:jc w:val="center"/>
              <w:rPr>
                <w:rFonts w:ascii="宋体" w:hAnsi="宋体" w:cs="宋体"/>
                <w:color w:val="000000"/>
                <w:kern w:val="0"/>
                <w:sz w:val="24"/>
              </w:rPr>
            </w:pPr>
            <w:r>
              <w:rPr>
                <w:rFonts w:hint="eastAsia"/>
                <w:color w:val="000000"/>
                <w:sz w:val="22"/>
                <w:szCs w:val="22"/>
              </w:rPr>
              <w:t>允许</w:t>
            </w:r>
          </w:p>
        </w:tc>
        <w:tc>
          <w:tcPr>
            <w:tcW w:w="1701" w:type="dxa"/>
            <w:tcBorders>
              <w:bottom w:val="single" w:sz="4" w:space="0" w:color="auto"/>
            </w:tcBorders>
            <w:vAlign w:val="center"/>
          </w:tcPr>
          <w:p w14:paraId="1F4270B0" w14:textId="7660320B" w:rsidR="00FF0A4B" w:rsidRDefault="00FF0A4B" w:rsidP="00FF0A4B">
            <w:pPr>
              <w:widowControl/>
              <w:jc w:val="center"/>
              <w:rPr>
                <w:rFonts w:ascii="宋体" w:hAnsi="宋体" w:cs="宋体"/>
                <w:color w:val="000000"/>
                <w:kern w:val="0"/>
                <w:sz w:val="24"/>
              </w:rPr>
            </w:pPr>
            <w:r>
              <w:rPr>
                <w:rFonts w:hint="eastAsia"/>
                <w:color w:val="000000"/>
                <w:sz w:val="22"/>
                <w:szCs w:val="22"/>
              </w:rPr>
              <w:t>15%</w:t>
            </w:r>
          </w:p>
        </w:tc>
        <w:tc>
          <w:tcPr>
            <w:tcW w:w="1417" w:type="dxa"/>
            <w:tcBorders>
              <w:top w:val="single" w:sz="4" w:space="0" w:color="auto"/>
              <w:left w:val="single" w:sz="4" w:space="0" w:color="auto"/>
              <w:bottom w:val="single" w:sz="4" w:space="0" w:color="auto"/>
              <w:right w:val="single" w:sz="4" w:space="0" w:color="auto"/>
            </w:tcBorders>
            <w:vAlign w:val="center"/>
          </w:tcPr>
          <w:p w14:paraId="52E9D4CC" w14:textId="77777777" w:rsidR="00FF0A4B" w:rsidRDefault="00FF0A4B" w:rsidP="00FF0A4B">
            <w:pPr>
              <w:widowControl/>
              <w:jc w:val="center"/>
              <w:rPr>
                <w:rFonts w:ascii="宋体" w:hAnsi="宋体" w:cs="宋体"/>
                <w:color w:val="000000"/>
                <w:kern w:val="0"/>
                <w:sz w:val="24"/>
              </w:rPr>
            </w:pPr>
          </w:p>
        </w:tc>
      </w:tr>
      <w:tr w:rsidR="00FF0A4B" w14:paraId="60A707FB" w14:textId="77777777" w:rsidTr="00607C40">
        <w:trPr>
          <w:trHeight w:val="285"/>
        </w:trPr>
        <w:tc>
          <w:tcPr>
            <w:tcW w:w="1276" w:type="dxa"/>
            <w:tcBorders>
              <w:bottom w:val="single" w:sz="4" w:space="0" w:color="auto"/>
            </w:tcBorders>
            <w:vAlign w:val="center"/>
          </w:tcPr>
          <w:p w14:paraId="528A33BC" w14:textId="5CFB2E9F" w:rsidR="00FF0A4B" w:rsidRPr="000B1B3C" w:rsidRDefault="00FF0A4B" w:rsidP="00FF0A4B">
            <w:pPr>
              <w:widowControl/>
              <w:jc w:val="center"/>
              <w:rPr>
                <w:color w:val="595959"/>
                <w:sz w:val="18"/>
                <w:szCs w:val="18"/>
              </w:rPr>
            </w:pPr>
            <w:r>
              <w:rPr>
                <w:rFonts w:hint="eastAsia"/>
                <w:color w:val="000000"/>
                <w:sz w:val="22"/>
                <w:szCs w:val="22"/>
              </w:rPr>
              <w:t>000963</w:t>
            </w:r>
          </w:p>
        </w:tc>
        <w:tc>
          <w:tcPr>
            <w:tcW w:w="1418" w:type="dxa"/>
            <w:tcBorders>
              <w:bottom w:val="single" w:sz="4" w:space="0" w:color="auto"/>
            </w:tcBorders>
            <w:vAlign w:val="center"/>
          </w:tcPr>
          <w:p w14:paraId="1AEF8BCA" w14:textId="3142CF3A" w:rsidR="00FF0A4B" w:rsidRPr="000B1B3C" w:rsidRDefault="00FF0A4B" w:rsidP="00FF0A4B">
            <w:pPr>
              <w:widowControl/>
              <w:jc w:val="center"/>
              <w:rPr>
                <w:color w:val="595959"/>
                <w:sz w:val="18"/>
                <w:szCs w:val="18"/>
              </w:rPr>
            </w:pPr>
            <w:r>
              <w:rPr>
                <w:rFonts w:hint="eastAsia"/>
                <w:color w:val="000000"/>
                <w:sz w:val="22"/>
                <w:szCs w:val="22"/>
              </w:rPr>
              <w:t>华东医药</w:t>
            </w:r>
          </w:p>
        </w:tc>
        <w:tc>
          <w:tcPr>
            <w:tcW w:w="1275" w:type="dxa"/>
            <w:tcBorders>
              <w:bottom w:val="single" w:sz="4" w:space="0" w:color="auto"/>
            </w:tcBorders>
            <w:vAlign w:val="center"/>
          </w:tcPr>
          <w:p w14:paraId="72D28BB6" w14:textId="11A774C8" w:rsidR="00FF0A4B" w:rsidRPr="000B1B3C" w:rsidRDefault="00FF0A4B" w:rsidP="00FF0A4B">
            <w:pPr>
              <w:widowControl/>
              <w:jc w:val="center"/>
              <w:rPr>
                <w:color w:val="595959"/>
                <w:sz w:val="18"/>
                <w:szCs w:val="18"/>
              </w:rPr>
            </w:pPr>
            <w:r>
              <w:rPr>
                <w:rFonts w:hint="eastAsia"/>
                <w:color w:val="000000"/>
                <w:sz w:val="22"/>
                <w:szCs w:val="22"/>
              </w:rPr>
              <w:t>300</w:t>
            </w:r>
          </w:p>
        </w:tc>
        <w:tc>
          <w:tcPr>
            <w:tcW w:w="1418" w:type="dxa"/>
            <w:tcBorders>
              <w:bottom w:val="single" w:sz="4" w:space="0" w:color="auto"/>
            </w:tcBorders>
            <w:vAlign w:val="center"/>
          </w:tcPr>
          <w:p w14:paraId="1246C253" w14:textId="5A99DE9B" w:rsidR="00FF0A4B" w:rsidRDefault="00FF0A4B" w:rsidP="00FF0A4B">
            <w:pPr>
              <w:widowControl/>
              <w:jc w:val="center"/>
              <w:rPr>
                <w:rFonts w:ascii="宋体" w:hAnsi="宋体" w:cs="宋体"/>
                <w:color w:val="000000"/>
                <w:kern w:val="0"/>
                <w:sz w:val="24"/>
              </w:rPr>
            </w:pPr>
            <w:r>
              <w:rPr>
                <w:rFonts w:hint="eastAsia"/>
                <w:color w:val="000000"/>
                <w:sz w:val="22"/>
                <w:szCs w:val="22"/>
              </w:rPr>
              <w:t>允许</w:t>
            </w:r>
          </w:p>
        </w:tc>
        <w:tc>
          <w:tcPr>
            <w:tcW w:w="1701" w:type="dxa"/>
            <w:tcBorders>
              <w:bottom w:val="single" w:sz="4" w:space="0" w:color="auto"/>
            </w:tcBorders>
            <w:vAlign w:val="center"/>
          </w:tcPr>
          <w:p w14:paraId="3F99B1B6" w14:textId="31174740" w:rsidR="00FF0A4B" w:rsidRDefault="00FF0A4B" w:rsidP="00FF0A4B">
            <w:pPr>
              <w:widowControl/>
              <w:jc w:val="center"/>
              <w:rPr>
                <w:rFonts w:ascii="宋体" w:hAnsi="宋体" w:cs="宋体"/>
                <w:color w:val="000000"/>
                <w:kern w:val="0"/>
                <w:sz w:val="24"/>
              </w:rPr>
            </w:pPr>
            <w:r>
              <w:rPr>
                <w:rFonts w:hint="eastAsia"/>
                <w:color w:val="000000"/>
                <w:sz w:val="22"/>
                <w:szCs w:val="22"/>
              </w:rPr>
              <w:t>15%</w:t>
            </w:r>
          </w:p>
        </w:tc>
        <w:tc>
          <w:tcPr>
            <w:tcW w:w="1417" w:type="dxa"/>
            <w:tcBorders>
              <w:top w:val="single" w:sz="4" w:space="0" w:color="auto"/>
              <w:left w:val="single" w:sz="4" w:space="0" w:color="auto"/>
              <w:bottom w:val="single" w:sz="4" w:space="0" w:color="auto"/>
              <w:right w:val="single" w:sz="4" w:space="0" w:color="auto"/>
            </w:tcBorders>
            <w:vAlign w:val="center"/>
          </w:tcPr>
          <w:p w14:paraId="06435881" w14:textId="77777777" w:rsidR="00FF0A4B" w:rsidRDefault="00FF0A4B" w:rsidP="00FF0A4B">
            <w:pPr>
              <w:widowControl/>
              <w:jc w:val="center"/>
              <w:rPr>
                <w:rFonts w:ascii="宋体" w:hAnsi="宋体" w:cs="宋体"/>
                <w:color w:val="000000"/>
                <w:kern w:val="0"/>
                <w:sz w:val="24"/>
              </w:rPr>
            </w:pPr>
          </w:p>
        </w:tc>
      </w:tr>
      <w:tr w:rsidR="00FF0A4B" w14:paraId="480121F3" w14:textId="77777777" w:rsidTr="00607C40">
        <w:trPr>
          <w:trHeight w:val="285"/>
        </w:trPr>
        <w:tc>
          <w:tcPr>
            <w:tcW w:w="1276" w:type="dxa"/>
            <w:tcBorders>
              <w:bottom w:val="single" w:sz="4" w:space="0" w:color="auto"/>
            </w:tcBorders>
            <w:vAlign w:val="center"/>
          </w:tcPr>
          <w:p w14:paraId="02EA0E17" w14:textId="7BAC04A5" w:rsidR="00FF0A4B" w:rsidRPr="000B1B3C" w:rsidRDefault="00FF0A4B" w:rsidP="00FF0A4B">
            <w:pPr>
              <w:widowControl/>
              <w:jc w:val="center"/>
              <w:rPr>
                <w:color w:val="595959"/>
                <w:sz w:val="18"/>
                <w:szCs w:val="18"/>
              </w:rPr>
            </w:pPr>
            <w:r>
              <w:rPr>
                <w:rFonts w:hint="eastAsia"/>
                <w:color w:val="000000"/>
                <w:sz w:val="22"/>
                <w:szCs w:val="22"/>
              </w:rPr>
              <w:t>000983</w:t>
            </w:r>
          </w:p>
        </w:tc>
        <w:tc>
          <w:tcPr>
            <w:tcW w:w="1418" w:type="dxa"/>
            <w:tcBorders>
              <w:bottom w:val="single" w:sz="4" w:space="0" w:color="auto"/>
            </w:tcBorders>
            <w:vAlign w:val="center"/>
          </w:tcPr>
          <w:p w14:paraId="682B3D07" w14:textId="23B9F1F8" w:rsidR="00FF0A4B" w:rsidRPr="000B1B3C" w:rsidRDefault="00FF0A4B" w:rsidP="00FF0A4B">
            <w:pPr>
              <w:widowControl/>
              <w:jc w:val="center"/>
              <w:rPr>
                <w:color w:val="595959"/>
                <w:sz w:val="18"/>
                <w:szCs w:val="18"/>
              </w:rPr>
            </w:pPr>
            <w:r>
              <w:rPr>
                <w:rFonts w:hint="eastAsia"/>
                <w:color w:val="000000"/>
                <w:sz w:val="22"/>
                <w:szCs w:val="22"/>
              </w:rPr>
              <w:t>西山煤电</w:t>
            </w:r>
          </w:p>
        </w:tc>
        <w:tc>
          <w:tcPr>
            <w:tcW w:w="1275" w:type="dxa"/>
            <w:tcBorders>
              <w:bottom w:val="single" w:sz="4" w:space="0" w:color="auto"/>
            </w:tcBorders>
            <w:vAlign w:val="center"/>
          </w:tcPr>
          <w:p w14:paraId="5DD129FB" w14:textId="0A34E3F5" w:rsidR="00FF0A4B" w:rsidRPr="000B1B3C" w:rsidRDefault="00FF0A4B" w:rsidP="00FF0A4B">
            <w:pPr>
              <w:widowControl/>
              <w:jc w:val="center"/>
              <w:rPr>
                <w:color w:val="595959"/>
                <w:sz w:val="18"/>
                <w:szCs w:val="18"/>
              </w:rPr>
            </w:pPr>
            <w:r>
              <w:rPr>
                <w:rFonts w:hint="eastAsia"/>
                <w:color w:val="000000"/>
                <w:sz w:val="22"/>
                <w:szCs w:val="22"/>
              </w:rPr>
              <w:t>1100</w:t>
            </w:r>
          </w:p>
        </w:tc>
        <w:tc>
          <w:tcPr>
            <w:tcW w:w="1418" w:type="dxa"/>
            <w:tcBorders>
              <w:bottom w:val="single" w:sz="4" w:space="0" w:color="auto"/>
            </w:tcBorders>
            <w:vAlign w:val="center"/>
          </w:tcPr>
          <w:p w14:paraId="3C447D5E" w14:textId="40BD7CE5" w:rsidR="00FF0A4B" w:rsidRDefault="00FF0A4B" w:rsidP="00FF0A4B">
            <w:pPr>
              <w:widowControl/>
              <w:jc w:val="center"/>
              <w:rPr>
                <w:rFonts w:ascii="宋体" w:hAnsi="宋体" w:cs="宋体"/>
                <w:color w:val="000000"/>
                <w:kern w:val="0"/>
                <w:sz w:val="24"/>
              </w:rPr>
            </w:pPr>
            <w:r>
              <w:rPr>
                <w:rFonts w:hint="eastAsia"/>
                <w:color w:val="000000"/>
                <w:sz w:val="22"/>
                <w:szCs w:val="22"/>
              </w:rPr>
              <w:t>允许</w:t>
            </w:r>
          </w:p>
        </w:tc>
        <w:tc>
          <w:tcPr>
            <w:tcW w:w="1701" w:type="dxa"/>
            <w:tcBorders>
              <w:bottom w:val="single" w:sz="4" w:space="0" w:color="auto"/>
            </w:tcBorders>
            <w:vAlign w:val="center"/>
          </w:tcPr>
          <w:p w14:paraId="2A8A4A4E" w14:textId="390A5DE6" w:rsidR="00FF0A4B" w:rsidRDefault="00FF0A4B" w:rsidP="00FF0A4B">
            <w:pPr>
              <w:widowControl/>
              <w:jc w:val="center"/>
              <w:rPr>
                <w:rFonts w:ascii="宋体" w:hAnsi="宋体" w:cs="宋体"/>
                <w:color w:val="000000"/>
                <w:kern w:val="0"/>
                <w:sz w:val="24"/>
              </w:rPr>
            </w:pPr>
            <w:r>
              <w:rPr>
                <w:rFonts w:hint="eastAsia"/>
                <w:color w:val="000000"/>
                <w:sz w:val="22"/>
                <w:szCs w:val="22"/>
              </w:rPr>
              <w:t>15%</w:t>
            </w:r>
          </w:p>
        </w:tc>
        <w:tc>
          <w:tcPr>
            <w:tcW w:w="1417" w:type="dxa"/>
            <w:tcBorders>
              <w:top w:val="single" w:sz="4" w:space="0" w:color="auto"/>
              <w:left w:val="single" w:sz="4" w:space="0" w:color="auto"/>
              <w:bottom w:val="single" w:sz="4" w:space="0" w:color="auto"/>
              <w:right w:val="single" w:sz="4" w:space="0" w:color="auto"/>
            </w:tcBorders>
            <w:vAlign w:val="center"/>
          </w:tcPr>
          <w:p w14:paraId="16514CEF" w14:textId="77777777" w:rsidR="00FF0A4B" w:rsidRDefault="00FF0A4B" w:rsidP="00FF0A4B">
            <w:pPr>
              <w:widowControl/>
              <w:jc w:val="center"/>
              <w:rPr>
                <w:rFonts w:ascii="宋体" w:hAnsi="宋体" w:cs="宋体"/>
                <w:color w:val="000000"/>
                <w:kern w:val="0"/>
                <w:sz w:val="24"/>
              </w:rPr>
            </w:pPr>
          </w:p>
        </w:tc>
      </w:tr>
      <w:tr w:rsidR="00FF0A4B" w14:paraId="10794A68" w14:textId="77777777" w:rsidTr="00607C40">
        <w:trPr>
          <w:trHeight w:val="285"/>
        </w:trPr>
        <w:tc>
          <w:tcPr>
            <w:tcW w:w="1276" w:type="dxa"/>
            <w:tcBorders>
              <w:bottom w:val="single" w:sz="4" w:space="0" w:color="auto"/>
            </w:tcBorders>
            <w:vAlign w:val="center"/>
          </w:tcPr>
          <w:p w14:paraId="6E8038CC" w14:textId="51C5A164" w:rsidR="00FF0A4B" w:rsidRPr="000B1B3C" w:rsidRDefault="00FF0A4B" w:rsidP="00FF0A4B">
            <w:pPr>
              <w:widowControl/>
              <w:jc w:val="center"/>
              <w:rPr>
                <w:color w:val="595959"/>
                <w:sz w:val="18"/>
                <w:szCs w:val="18"/>
              </w:rPr>
            </w:pPr>
            <w:r>
              <w:rPr>
                <w:rFonts w:hint="eastAsia"/>
                <w:color w:val="000000"/>
                <w:sz w:val="22"/>
                <w:szCs w:val="22"/>
              </w:rPr>
              <w:t>000999</w:t>
            </w:r>
          </w:p>
        </w:tc>
        <w:tc>
          <w:tcPr>
            <w:tcW w:w="1418" w:type="dxa"/>
            <w:tcBorders>
              <w:bottom w:val="single" w:sz="4" w:space="0" w:color="auto"/>
            </w:tcBorders>
            <w:vAlign w:val="center"/>
          </w:tcPr>
          <w:p w14:paraId="480FDBED" w14:textId="53832D32" w:rsidR="00FF0A4B" w:rsidRPr="000B1B3C" w:rsidRDefault="00FF0A4B" w:rsidP="00FF0A4B">
            <w:pPr>
              <w:widowControl/>
              <w:jc w:val="center"/>
              <w:rPr>
                <w:color w:val="595959"/>
                <w:sz w:val="18"/>
                <w:szCs w:val="18"/>
              </w:rPr>
            </w:pPr>
            <w:r>
              <w:rPr>
                <w:rFonts w:hint="eastAsia"/>
                <w:color w:val="000000"/>
                <w:sz w:val="22"/>
                <w:szCs w:val="22"/>
              </w:rPr>
              <w:t>华润三九</w:t>
            </w:r>
          </w:p>
        </w:tc>
        <w:tc>
          <w:tcPr>
            <w:tcW w:w="1275" w:type="dxa"/>
            <w:tcBorders>
              <w:bottom w:val="single" w:sz="4" w:space="0" w:color="auto"/>
            </w:tcBorders>
            <w:vAlign w:val="center"/>
          </w:tcPr>
          <w:p w14:paraId="2374E9A4" w14:textId="72ACF10F" w:rsidR="00FF0A4B" w:rsidRPr="000B1B3C" w:rsidRDefault="00FF0A4B" w:rsidP="00FF0A4B">
            <w:pPr>
              <w:widowControl/>
              <w:jc w:val="center"/>
              <w:rPr>
                <w:color w:val="595959"/>
                <w:sz w:val="18"/>
                <w:szCs w:val="18"/>
              </w:rPr>
            </w:pPr>
            <w:r>
              <w:rPr>
                <w:rFonts w:hint="eastAsia"/>
                <w:color w:val="000000"/>
                <w:sz w:val="22"/>
                <w:szCs w:val="22"/>
              </w:rPr>
              <w:t>300</w:t>
            </w:r>
          </w:p>
        </w:tc>
        <w:tc>
          <w:tcPr>
            <w:tcW w:w="1418" w:type="dxa"/>
            <w:tcBorders>
              <w:bottom w:val="single" w:sz="4" w:space="0" w:color="auto"/>
            </w:tcBorders>
            <w:vAlign w:val="center"/>
          </w:tcPr>
          <w:p w14:paraId="57340A8C" w14:textId="39A055C3" w:rsidR="00FF0A4B" w:rsidRDefault="00FF0A4B" w:rsidP="00FF0A4B">
            <w:pPr>
              <w:widowControl/>
              <w:jc w:val="center"/>
              <w:rPr>
                <w:rFonts w:ascii="宋体" w:hAnsi="宋体" w:cs="宋体"/>
                <w:color w:val="000000"/>
                <w:kern w:val="0"/>
                <w:sz w:val="24"/>
              </w:rPr>
            </w:pPr>
            <w:r>
              <w:rPr>
                <w:rFonts w:hint="eastAsia"/>
                <w:color w:val="000000"/>
                <w:sz w:val="22"/>
                <w:szCs w:val="22"/>
              </w:rPr>
              <w:t>允许</w:t>
            </w:r>
          </w:p>
        </w:tc>
        <w:tc>
          <w:tcPr>
            <w:tcW w:w="1701" w:type="dxa"/>
            <w:tcBorders>
              <w:bottom w:val="single" w:sz="4" w:space="0" w:color="auto"/>
            </w:tcBorders>
            <w:vAlign w:val="center"/>
          </w:tcPr>
          <w:p w14:paraId="02859220" w14:textId="41BC2081" w:rsidR="00FF0A4B" w:rsidRDefault="00FF0A4B" w:rsidP="00FF0A4B">
            <w:pPr>
              <w:widowControl/>
              <w:jc w:val="center"/>
              <w:rPr>
                <w:rFonts w:ascii="宋体" w:hAnsi="宋体" w:cs="宋体"/>
                <w:color w:val="000000"/>
                <w:kern w:val="0"/>
                <w:sz w:val="24"/>
              </w:rPr>
            </w:pPr>
            <w:r>
              <w:rPr>
                <w:rFonts w:hint="eastAsia"/>
                <w:color w:val="000000"/>
                <w:sz w:val="22"/>
                <w:szCs w:val="22"/>
              </w:rPr>
              <w:t>15%</w:t>
            </w:r>
          </w:p>
        </w:tc>
        <w:tc>
          <w:tcPr>
            <w:tcW w:w="1417" w:type="dxa"/>
            <w:tcBorders>
              <w:top w:val="single" w:sz="4" w:space="0" w:color="auto"/>
              <w:left w:val="single" w:sz="4" w:space="0" w:color="auto"/>
              <w:bottom w:val="single" w:sz="4" w:space="0" w:color="auto"/>
              <w:right w:val="single" w:sz="4" w:space="0" w:color="auto"/>
            </w:tcBorders>
            <w:vAlign w:val="center"/>
          </w:tcPr>
          <w:p w14:paraId="5943935D" w14:textId="77777777" w:rsidR="00FF0A4B" w:rsidRDefault="00FF0A4B" w:rsidP="00FF0A4B">
            <w:pPr>
              <w:widowControl/>
              <w:jc w:val="center"/>
              <w:rPr>
                <w:rFonts w:ascii="宋体" w:hAnsi="宋体" w:cs="宋体"/>
                <w:color w:val="000000"/>
                <w:kern w:val="0"/>
                <w:sz w:val="24"/>
              </w:rPr>
            </w:pPr>
          </w:p>
        </w:tc>
      </w:tr>
      <w:tr w:rsidR="00FF0A4B" w14:paraId="00D55780" w14:textId="77777777" w:rsidTr="00607C40">
        <w:trPr>
          <w:trHeight w:val="285"/>
        </w:trPr>
        <w:tc>
          <w:tcPr>
            <w:tcW w:w="1276" w:type="dxa"/>
            <w:tcBorders>
              <w:bottom w:val="single" w:sz="4" w:space="0" w:color="auto"/>
            </w:tcBorders>
            <w:vAlign w:val="center"/>
          </w:tcPr>
          <w:p w14:paraId="18282651" w14:textId="1A557FD8" w:rsidR="00FF0A4B" w:rsidRPr="000B1B3C" w:rsidRDefault="00FF0A4B" w:rsidP="00FF0A4B">
            <w:pPr>
              <w:widowControl/>
              <w:jc w:val="center"/>
              <w:rPr>
                <w:color w:val="595959"/>
                <w:sz w:val="18"/>
                <w:szCs w:val="18"/>
              </w:rPr>
            </w:pPr>
            <w:r>
              <w:rPr>
                <w:rFonts w:hint="eastAsia"/>
                <w:color w:val="000000"/>
                <w:sz w:val="22"/>
                <w:szCs w:val="22"/>
              </w:rPr>
              <w:t>001979</w:t>
            </w:r>
          </w:p>
        </w:tc>
        <w:tc>
          <w:tcPr>
            <w:tcW w:w="1418" w:type="dxa"/>
            <w:tcBorders>
              <w:bottom w:val="single" w:sz="4" w:space="0" w:color="auto"/>
            </w:tcBorders>
            <w:vAlign w:val="center"/>
          </w:tcPr>
          <w:p w14:paraId="57529D2F" w14:textId="3B2A54DC" w:rsidR="00FF0A4B" w:rsidRPr="000B1B3C" w:rsidRDefault="00FF0A4B" w:rsidP="00FF0A4B">
            <w:pPr>
              <w:widowControl/>
              <w:jc w:val="center"/>
              <w:rPr>
                <w:color w:val="595959"/>
                <w:sz w:val="18"/>
                <w:szCs w:val="18"/>
              </w:rPr>
            </w:pPr>
            <w:r>
              <w:rPr>
                <w:rFonts w:hint="eastAsia"/>
                <w:color w:val="000000"/>
                <w:sz w:val="22"/>
                <w:szCs w:val="22"/>
              </w:rPr>
              <w:t>招商蛇口</w:t>
            </w:r>
          </w:p>
        </w:tc>
        <w:tc>
          <w:tcPr>
            <w:tcW w:w="1275" w:type="dxa"/>
            <w:tcBorders>
              <w:bottom w:val="single" w:sz="4" w:space="0" w:color="auto"/>
            </w:tcBorders>
            <w:vAlign w:val="center"/>
          </w:tcPr>
          <w:p w14:paraId="1764F0EA" w14:textId="25184DEA" w:rsidR="00FF0A4B" w:rsidRPr="000B1B3C" w:rsidRDefault="00FF0A4B" w:rsidP="00FF0A4B">
            <w:pPr>
              <w:widowControl/>
              <w:jc w:val="center"/>
              <w:rPr>
                <w:color w:val="595959"/>
                <w:sz w:val="18"/>
                <w:szCs w:val="18"/>
              </w:rPr>
            </w:pPr>
            <w:r>
              <w:rPr>
                <w:rFonts w:hint="eastAsia"/>
                <w:color w:val="000000"/>
                <w:sz w:val="22"/>
                <w:szCs w:val="22"/>
              </w:rPr>
              <w:t>1300</w:t>
            </w:r>
          </w:p>
        </w:tc>
        <w:tc>
          <w:tcPr>
            <w:tcW w:w="1418" w:type="dxa"/>
            <w:tcBorders>
              <w:bottom w:val="single" w:sz="4" w:space="0" w:color="auto"/>
            </w:tcBorders>
            <w:vAlign w:val="center"/>
          </w:tcPr>
          <w:p w14:paraId="167AF682" w14:textId="19BAEA7A" w:rsidR="00FF0A4B" w:rsidRDefault="00FF0A4B" w:rsidP="00FF0A4B">
            <w:pPr>
              <w:widowControl/>
              <w:jc w:val="center"/>
              <w:rPr>
                <w:rFonts w:ascii="宋体" w:hAnsi="宋体" w:cs="宋体"/>
                <w:color w:val="000000"/>
                <w:kern w:val="0"/>
                <w:sz w:val="24"/>
              </w:rPr>
            </w:pPr>
            <w:r>
              <w:rPr>
                <w:rFonts w:hint="eastAsia"/>
                <w:color w:val="000000"/>
                <w:sz w:val="22"/>
                <w:szCs w:val="22"/>
              </w:rPr>
              <w:t>允许</w:t>
            </w:r>
          </w:p>
        </w:tc>
        <w:tc>
          <w:tcPr>
            <w:tcW w:w="1701" w:type="dxa"/>
            <w:tcBorders>
              <w:bottom w:val="single" w:sz="4" w:space="0" w:color="auto"/>
            </w:tcBorders>
            <w:vAlign w:val="center"/>
          </w:tcPr>
          <w:p w14:paraId="064FA73B" w14:textId="577D096B" w:rsidR="00FF0A4B" w:rsidRDefault="00FF0A4B" w:rsidP="00FF0A4B">
            <w:pPr>
              <w:widowControl/>
              <w:jc w:val="center"/>
              <w:rPr>
                <w:rFonts w:ascii="宋体" w:hAnsi="宋体" w:cs="宋体"/>
                <w:color w:val="000000"/>
                <w:kern w:val="0"/>
                <w:sz w:val="24"/>
              </w:rPr>
            </w:pPr>
            <w:r>
              <w:rPr>
                <w:rFonts w:hint="eastAsia"/>
                <w:color w:val="000000"/>
                <w:sz w:val="22"/>
                <w:szCs w:val="22"/>
              </w:rPr>
              <w:t>15%</w:t>
            </w:r>
          </w:p>
        </w:tc>
        <w:tc>
          <w:tcPr>
            <w:tcW w:w="1417" w:type="dxa"/>
            <w:tcBorders>
              <w:top w:val="single" w:sz="4" w:space="0" w:color="auto"/>
              <w:left w:val="single" w:sz="4" w:space="0" w:color="auto"/>
              <w:bottom w:val="single" w:sz="4" w:space="0" w:color="auto"/>
              <w:right w:val="single" w:sz="4" w:space="0" w:color="auto"/>
            </w:tcBorders>
            <w:vAlign w:val="center"/>
          </w:tcPr>
          <w:p w14:paraId="38CF3948" w14:textId="77777777" w:rsidR="00FF0A4B" w:rsidRDefault="00FF0A4B" w:rsidP="00FF0A4B">
            <w:pPr>
              <w:widowControl/>
              <w:jc w:val="center"/>
              <w:rPr>
                <w:rFonts w:ascii="宋体" w:hAnsi="宋体" w:cs="宋体"/>
                <w:color w:val="000000"/>
                <w:kern w:val="0"/>
                <w:sz w:val="24"/>
              </w:rPr>
            </w:pPr>
          </w:p>
        </w:tc>
      </w:tr>
      <w:tr w:rsidR="00FF0A4B" w14:paraId="72F8A3E6" w14:textId="77777777" w:rsidTr="00607C40">
        <w:trPr>
          <w:trHeight w:val="285"/>
        </w:trPr>
        <w:tc>
          <w:tcPr>
            <w:tcW w:w="1276" w:type="dxa"/>
            <w:tcBorders>
              <w:bottom w:val="single" w:sz="4" w:space="0" w:color="auto"/>
            </w:tcBorders>
            <w:vAlign w:val="center"/>
          </w:tcPr>
          <w:p w14:paraId="138A82E6" w14:textId="7722B5DA" w:rsidR="00FF0A4B" w:rsidRPr="000B1B3C" w:rsidRDefault="00FF0A4B" w:rsidP="00FF0A4B">
            <w:pPr>
              <w:widowControl/>
              <w:jc w:val="center"/>
              <w:rPr>
                <w:color w:val="595959"/>
                <w:sz w:val="18"/>
                <w:szCs w:val="18"/>
              </w:rPr>
            </w:pPr>
            <w:r>
              <w:rPr>
                <w:rFonts w:hint="eastAsia"/>
                <w:color w:val="000000"/>
                <w:sz w:val="22"/>
                <w:szCs w:val="22"/>
              </w:rPr>
              <w:t>002001</w:t>
            </w:r>
          </w:p>
        </w:tc>
        <w:tc>
          <w:tcPr>
            <w:tcW w:w="1418" w:type="dxa"/>
            <w:tcBorders>
              <w:bottom w:val="single" w:sz="4" w:space="0" w:color="auto"/>
            </w:tcBorders>
            <w:vAlign w:val="center"/>
          </w:tcPr>
          <w:p w14:paraId="43CC6A47" w14:textId="7866463F" w:rsidR="00FF0A4B" w:rsidRPr="000B1B3C" w:rsidRDefault="00FF0A4B" w:rsidP="00FF0A4B">
            <w:pPr>
              <w:widowControl/>
              <w:jc w:val="center"/>
              <w:rPr>
                <w:color w:val="595959"/>
                <w:sz w:val="18"/>
                <w:szCs w:val="18"/>
              </w:rPr>
            </w:pPr>
            <w:r>
              <w:rPr>
                <w:rFonts w:hint="eastAsia"/>
                <w:color w:val="000000"/>
                <w:sz w:val="22"/>
                <w:szCs w:val="22"/>
              </w:rPr>
              <w:t>新</w:t>
            </w:r>
            <w:r>
              <w:rPr>
                <w:rFonts w:hint="eastAsia"/>
                <w:color w:val="000000"/>
                <w:sz w:val="22"/>
                <w:szCs w:val="22"/>
              </w:rPr>
              <w:t xml:space="preserve"> </w:t>
            </w:r>
            <w:r>
              <w:rPr>
                <w:rFonts w:hint="eastAsia"/>
                <w:color w:val="000000"/>
                <w:sz w:val="22"/>
                <w:szCs w:val="22"/>
              </w:rPr>
              <w:t>和</w:t>
            </w:r>
            <w:r>
              <w:rPr>
                <w:rFonts w:hint="eastAsia"/>
                <w:color w:val="000000"/>
                <w:sz w:val="22"/>
                <w:szCs w:val="22"/>
              </w:rPr>
              <w:t xml:space="preserve"> </w:t>
            </w:r>
            <w:r>
              <w:rPr>
                <w:rFonts w:hint="eastAsia"/>
                <w:color w:val="000000"/>
                <w:sz w:val="22"/>
                <w:szCs w:val="22"/>
              </w:rPr>
              <w:t>成</w:t>
            </w:r>
          </w:p>
        </w:tc>
        <w:tc>
          <w:tcPr>
            <w:tcW w:w="1275" w:type="dxa"/>
            <w:tcBorders>
              <w:bottom w:val="single" w:sz="4" w:space="0" w:color="auto"/>
            </w:tcBorders>
            <w:vAlign w:val="center"/>
          </w:tcPr>
          <w:p w14:paraId="1415F808" w14:textId="07A28D97" w:rsidR="00FF0A4B" w:rsidRPr="000B1B3C" w:rsidRDefault="00FF0A4B" w:rsidP="00FF0A4B">
            <w:pPr>
              <w:widowControl/>
              <w:jc w:val="center"/>
              <w:rPr>
                <w:color w:val="595959"/>
                <w:sz w:val="18"/>
                <w:szCs w:val="18"/>
              </w:rPr>
            </w:pPr>
            <w:r>
              <w:rPr>
                <w:rFonts w:hint="eastAsia"/>
                <w:color w:val="000000"/>
                <w:sz w:val="22"/>
                <w:szCs w:val="22"/>
              </w:rPr>
              <w:t>300</w:t>
            </w:r>
          </w:p>
        </w:tc>
        <w:tc>
          <w:tcPr>
            <w:tcW w:w="1418" w:type="dxa"/>
            <w:tcBorders>
              <w:bottom w:val="single" w:sz="4" w:space="0" w:color="auto"/>
            </w:tcBorders>
            <w:vAlign w:val="center"/>
          </w:tcPr>
          <w:p w14:paraId="29D8F89D" w14:textId="6A99569B" w:rsidR="00FF0A4B" w:rsidRDefault="00FF0A4B" w:rsidP="00FF0A4B">
            <w:pPr>
              <w:widowControl/>
              <w:jc w:val="center"/>
              <w:rPr>
                <w:rFonts w:ascii="宋体" w:hAnsi="宋体" w:cs="宋体"/>
                <w:color w:val="000000"/>
                <w:kern w:val="0"/>
                <w:sz w:val="24"/>
              </w:rPr>
            </w:pPr>
            <w:r>
              <w:rPr>
                <w:rFonts w:hint="eastAsia"/>
                <w:color w:val="000000"/>
                <w:sz w:val="22"/>
                <w:szCs w:val="22"/>
              </w:rPr>
              <w:t>允许</w:t>
            </w:r>
          </w:p>
        </w:tc>
        <w:tc>
          <w:tcPr>
            <w:tcW w:w="1701" w:type="dxa"/>
            <w:tcBorders>
              <w:bottom w:val="single" w:sz="4" w:space="0" w:color="auto"/>
            </w:tcBorders>
            <w:vAlign w:val="center"/>
          </w:tcPr>
          <w:p w14:paraId="03C6713C" w14:textId="684C87D3" w:rsidR="00FF0A4B" w:rsidRDefault="00FF0A4B" w:rsidP="00FF0A4B">
            <w:pPr>
              <w:widowControl/>
              <w:jc w:val="center"/>
              <w:rPr>
                <w:rFonts w:ascii="宋体" w:hAnsi="宋体" w:cs="宋体"/>
                <w:color w:val="000000"/>
                <w:kern w:val="0"/>
                <w:sz w:val="24"/>
              </w:rPr>
            </w:pPr>
            <w:r>
              <w:rPr>
                <w:rFonts w:hint="eastAsia"/>
                <w:color w:val="000000"/>
                <w:sz w:val="22"/>
                <w:szCs w:val="22"/>
              </w:rPr>
              <w:t>15%</w:t>
            </w:r>
          </w:p>
        </w:tc>
        <w:tc>
          <w:tcPr>
            <w:tcW w:w="1417" w:type="dxa"/>
            <w:tcBorders>
              <w:top w:val="single" w:sz="4" w:space="0" w:color="auto"/>
              <w:left w:val="single" w:sz="4" w:space="0" w:color="auto"/>
              <w:bottom w:val="single" w:sz="4" w:space="0" w:color="auto"/>
              <w:right w:val="single" w:sz="4" w:space="0" w:color="auto"/>
            </w:tcBorders>
            <w:vAlign w:val="center"/>
          </w:tcPr>
          <w:p w14:paraId="6EF2C83C" w14:textId="77777777" w:rsidR="00FF0A4B" w:rsidRDefault="00FF0A4B" w:rsidP="00FF0A4B">
            <w:pPr>
              <w:widowControl/>
              <w:jc w:val="center"/>
              <w:rPr>
                <w:rFonts w:ascii="宋体" w:hAnsi="宋体" w:cs="宋体"/>
                <w:color w:val="000000"/>
                <w:kern w:val="0"/>
                <w:sz w:val="24"/>
              </w:rPr>
            </w:pPr>
          </w:p>
        </w:tc>
      </w:tr>
      <w:tr w:rsidR="00FF0A4B" w14:paraId="17EC92AA" w14:textId="77777777" w:rsidTr="00607C40">
        <w:trPr>
          <w:trHeight w:val="285"/>
        </w:trPr>
        <w:tc>
          <w:tcPr>
            <w:tcW w:w="1276" w:type="dxa"/>
            <w:tcBorders>
              <w:bottom w:val="single" w:sz="4" w:space="0" w:color="auto"/>
            </w:tcBorders>
            <w:vAlign w:val="center"/>
          </w:tcPr>
          <w:p w14:paraId="47B4A35E" w14:textId="32FA71E0" w:rsidR="00FF0A4B" w:rsidRPr="000B1B3C" w:rsidRDefault="00FF0A4B" w:rsidP="00FF0A4B">
            <w:pPr>
              <w:widowControl/>
              <w:jc w:val="center"/>
              <w:rPr>
                <w:color w:val="595959"/>
                <w:sz w:val="18"/>
                <w:szCs w:val="18"/>
              </w:rPr>
            </w:pPr>
            <w:r>
              <w:rPr>
                <w:rFonts w:hint="eastAsia"/>
                <w:color w:val="000000"/>
                <w:sz w:val="22"/>
                <w:szCs w:val="22"/>
              </w:rPr>
              <w:t>002002</w:t>
            </w:r>
          </w:p>
        </w:tc>
        <w:tc>
          <w:tcPr>
            <w:tcW w:w="1418" w:type="dxa"/>
            <w:tcBorders>
              <w:bottom w:val="single" w:sz="4" w:space="0" w:color="auto"/>
            </w:tcBorders>
            <w:vAlign w:val="center"/>
          </w:tcPr>
          <w:p w14:paraId="77EC2DE1" w14:textId="1776C397" w:rsidR="00FF0A4B" w:rsidRPr="000B1B3C" w:rsidRDefault="00FF0A4B" w:rsidP="00FF0A4B">
            <w:pPr>
              <w:widowControl/>
              <w:jc w:val="center"/>
              <w:rPr>
                <w:color w:val="595959"/>
                <w:sz w:val="18"/>
                <w:szCs w:val="18"/>
              </w:rPr>
            </w:pPr>
            <w:r>
              <w:rPr>
                <w:rFonts w:hint="eastAsia"/>
                <w:color w:val="000000"/>
                <w:sz w:val="22"/>
                <w:szCs w:val="22"/>
              </w:rPr>
              <w:t>鸿达兴业</w:t>
            </w:r>
          </w:p>
        </w:tc>
        <w:tc>
          <w:tcPr>
            <w:tcW w:w="1275" w:type="dxa"/>
            <w:tcBorders>
              <w:bottom w:val="single" w:sz="4" w:space="0" w:color="auto"/>
            </w:tcBorders>
            <w:vAlign w:val="center"/>
          </w:tcPr>
          <w:p w14:paraId="3AA8FDAF" w14:textId="4DB6E0E0" w:rsidR="00FF0A4B" w:rsidRPr="000B1B3C" w:rsidRDefault="00FF0A4B" w:rsidP="00FF0A4B">
            <w:pPr>
              <w:widowControl/>
              <w:jc w:val="center"/>
              <w:rPr>
                <w:color w:val="595959"/>
                <w:sz w:val="18"/>
                <w:szCs w:val="18"/>
              </w:rPr>
            </w:pPr>
            <w:r>
              <w:rPr>
                <w:rFonts w:hint="eastAsia"/>
                <w:color w:val="000000"/>
                <w:sz w:val="22"/>
                <w:szCs w:val="22"/>
              </w:rPr>
              <w:t>700</w:t>
            </w:r>
          </w:p>
        </w:tc>
        <w:tc>
          <w:tcPr>
            <w:tcW w:w="1418" w:type="dxa"/>
            <w:tcBorders>
              <w:bottom w:val="single" w:sz="4" w:space="0" w:color="auto"/>
            </w:tcBorders>
            <w:vAlign w:val="center"/>
          </w:tcPr>
          <w:p w14:paraId="0019009D" w14:textId="09703023" w:rsidR="00FF0A4B" w:rsidRDefault="00FF0A4B" w:rsidP="00FF0A4B">
            <w:pPr>
              <w:widowControl/>
              <w:jc w:val="center"/>
              <w:rPr>
                <w:rFonts w:ascii="宋体" w:hAnsi="宋体" w:cs="宋体"/>
                <w:color w:val="000000"/>
                <w:kern w:val="0"/>
                <w:sz w:val="24"/>
              </w:rPr>
            </w:pPr>
            <w:r>
              <w:rPr>
                <w:rFonts w:hint="eastAsia"/>
                <w:color w:val="000000"/>
                <w:sz w:val="22"/>
                <w:szCs w:val="22"/>
              </w:rPr>
              <w:t>允许</w:t>
            </w:r>
          </w:p>
        </w:tc>
        <w:tc>
          <w:tcPr>
            <w:tcW w:w="1701" w:type="dxa"/>
            <w:tcBorders>
              <w:bottom w:val="single" w:sz="4" w:space="0" w:color="auto"/>
            </w:tcBorders>
            <w:vAlign w:val="center"/>
          </w:tcPr>
          <w:p w14:paraId="5A3938F0" w14:textId="24F9DB45" w:rsidR="00FF0A4B" w:rsidRDefault="00FF0A4B" w:rsidP="00FF0A4B">
            <w:pPr>
              <w:widowControl/>
              <w:jc w:val="center"/>
              <w:rPr>
                <w:rFonts w:ascii="宋体" w:hAnsi="宋体" w:cs="宋体"/>
                <w:color w:val="000000"/>
                <w:kern w:val="0"/>
                <w:sz w:val="24"/>
              </w:rPr>
            </w:pPr>
            <w:r>
              <w:rPr>
                <w:rFonts w:hint="eastAsia"/>
                <w:color w:val="000000"/>
                <w:sz w:val="22"/>
                <w:szCs w:val="22"/>
              </w:rPr>
              <w:t>15%</w:t>
            </w:r>
          </w:p>
        </w:tc>
        <w:tc>
          <w:tcPr>
            <w:tcW w:w="1417" w:type="dxa"/>
            <w:tcBorders>
              <w:top w:val="single" w:sz="4" w:space="0" w:color="auto"/>
              <w:left w:val="single" w:sz="4" w:space="0" w:color="auto"/>
              <w:bottom w:val="single" w:sz="4" w:space="0" w:color="auto"/>
              <w:right w:val="single" w:sz="4" w:space="0" w:color="auto"/>
            </w:tcBorders>
            <w:vAlign w:val="center"/>
          </w:tcPr>
          <w:p w14:paraId="604A27FA" w14:textId="77777777" w:rsidR="00FF0A4B" w:rsidRDefault="00FF0A4B" w:rsidP="00FF0A4B">
            <w:pPr>
              <w:widowControl/>
              <w:jc w:val="center"/>
              <w:rPr>
                <w:rFonts w:ascii="宋体" w:hAnsi="宋体" w:cs="宋体"/>
                <w:color w:val="000000"/>
                <w:kern w:val="0"/>
                <w:sz w:val="24"/>
              </w:rPr>
            </w:pPr>
          </w:p>
        </w:tc>
      </w:tr>
      <w:tr w:rsidR="00FF0A4B" w14:paraId="33CBD8AA" w14:textId="77777777" w:rsidTr="00607C40">
        <w:trPr>
          <w:trHeight w:val="285"/>
        </w:trPr>
        <w:tc>
          <w:tcPr>
            <w:tcW w:w="1276" w:type="dxa"/>
            <w:tcBorders>
              <w:bottom w:val="single" w:sz="4" w:space="0" w:color="auto"/>
            </w:tcBorders>
            <w:vAlign w:val="center"/>
          </w:tcPr>
          <w:p w14:paraId="69C34C5C" w14:textId="462DC940" w:rsidR="00FF0A4B" w:rsidRPr="000B1B3C" w:rsidRDefault="00FF0A4B" w:rsidP="00FF0A4B">
            <w:pPr>
              <w:widowControl/>
              <w:jc w:val="center"/>
              <w:rPr>
                <w:color w:val="595959"/>
                <w:sz w:val="18"/>
                <w:szCs w:val="18"/>
              </w:rPr>
            </w:pPr>
            <w:r>
              <w:rPr>
                <w:rFonts w:hint="eastAsia"/>
                <w:color w:val="000000"/>
                <w:sz w:val="22"/>
                <w:szCs w:val="22"/>
              </w:rPr>
              <w:t>002004</w:t>
            </w:r>
          </w:p>
        </w:tc>
        <w:tc>
          <w:tcPr>
            <w:tcW w:w="1418" w:type="dxa"/>
            <w:tcBorders>
              <w:bottom w:val="single" w:sz="4" w:space="0" w:color="auto"/>
            </w:tcBorders>
            <w:vAlign w:val="center"/>
          </w:tcPr>
          <w:p w14:paraId="04556601" w14:textId="2297C196" w:rsidR="00FF0A4B" w:rsidRPr="000B1B3C" w:rsidRDefault="00FF0A4B" w:rsidP="00FF0A4B">
            <w:pPr>
              <w:widowControl/>
              <w:jc w:val="center"/>
              <w:rPr>
                <w:color w:val="595959"/>
                <w:sz w:val="18"/>
                <w:szCs w:val="18"/>
              </w:rPr>
            </w:pPr>
            <w:r>
              <w:rPr>
                <w:rFonts w:hint="eastAsia"/>
                <w:color w:val="000000"/>
                <w:sz w:val="22"/>
                <w:szCs w:val="22"/>
              </w:rPr>
              <w:t>华邦健康</w:t>
            </w:r>
          </w:p>
        </w:tc>
        <w:tc>
          <w:tcPr>
            <w:tcW w:w="1275" w:type="dxa"/>
            <w:tcBorders>
              <w:bottom w:val="single" w:sz="4" w:space="0" w:color="auto"/>
            </w:tcBorders>
            <w:vAlign w:val="center"/>
          </w:tcPr>
          <w:p w14:paraId="5B36DC26" w14:textId="62701093" w:rsidR="00FF0A4B" w:rsidRPr="000B1B3C" w:rsidRDefault="00FF0A4B" w:rsidP="00FF0A4B">
            <w:pPr>
              <w:widowControl/>
              <w:jc w:val="center"/>
              <w:rPr>
                <w:color w:val="595959"/>
                <w:sz w:val="18"/>
                <w:szCs w:val="18"/>
              </w:rPr>
            </w:pPr>
            <w:r>
              <w:rPr>
                <w:rFonts w:hint="eastAsia"/>
                <w:color w:val="000000"/>
                <w:sz w:val="22"/>
                <w:szCs w:val="22"/>
              </w:rPr>
              <w:t>900</w:t>
            </w:r>
          </w:p>
        </w:tc>
        <w:tc>
          <w:tcPr>
            <w:tcW w:w="1418" w:type="dxa"/>
            <w:tcBorders>
              <w:bottom w:val="single" w:sz="4" w:space="0" w:color="auto"/>
            </w:tcBorders>
            <w:vAlign w:val="center"/>
          </w:tcPr>
          <w:p w14:paraId="62A888F3" w14:textId="1A226721" w:rsidR="00FF0A4B" w:rsidRDefault="00FF0A4B" w:rsidP="00FF0A4B">
            <w:pPr>
              <w:widowControl/>
              <w:jc w:val="center"/>
              <w:rPr>
                <w:rFonts w:ascii="宋体" w:hAnsi="宋体" w:cs="宋体"/>
                <w:color w:val="000000"/>
                <w:kern w:val="0"/>
                <w:sz w:val="24"/>
              </w:rPr>
            </w:pPr>
            <w:r>
              <w:rPr>
                <w:rFonts w:hint="eastAsia"/>
                <w:color w:val="000000"/>
                <w:sz w:val="22"/>
                <w:szCs w:val="22"/>
              </w:rPr>
              <w:t>允许</w:t>
            </w:r>
          </w:p>
        </w:tc>
        <w:tc>
          <w:tcPr>
            <w:tcW w:w="1701" w:type="dxa"/>
            <w:tcBorders>
              <w:bottom w:val="single" w:sz="4" w:space="0" w:color="auto"/>
            </w:tcBorders>
            <w:vAlign w:val="center"/>
          </w:tcPr>
          <w:p w14:paraId="769AC8BC" w14:textId="54A0336C" w:rsidR="00FF0A4B" w:rsidRDefault="00FF0A4B" w:rsidP="00FF0A4B">
            <w:pPr>
              <w:widowControl/>
              <w:jc w:val="center"/>
              <w:rPr>
                <w:rFonts w:ascii="宋体" w:hAnsi="宋体" w:cs="宋体"/>
                <w:color w:val="000000"/>
                <w:kern w:val="0"/>
                <w:sz w:val="24"/>
              </w:rPr>
            </w:pPr>
            <w:r>
              <w:rPr>
                <w:rFonts w:hint="eastAsia"/>
                <w:color w:val="000000"/>
                <w:sz w:val="22"/>
                <w:szCs w:val="22"/>
              </w:rPr>
              <w:t>15%</w:t>
            </w:r>
          </w:p>
        </w:tc>
        <w:tc>
          <w:tcPr>
            <w:tcW w:w="1417" w:type="dxa"/>
            <w:tcBorders>
              <w:top w:val="single" w:sz="4" w:space="0" w:color="auto"/>
              <w:left w:val="single" w:sz="4" w:space="0" w:color="auto"/>
              <w:bottom w:val="single" w:sz="4" w:space="0" w:color="auto"/>
              <w:right w:val="single" w:sz="4" w:space="0" w:color="auto"/>
            </w:tcBorders>
            <w:vAlign w:val="center"/>
          </w:tcPr>
          <w:p w14:paraId="2B13DB2B" w14:textId="77777777" w:rsidR="00FF0A4B" w:rsidRDefault="00FF0A4B" w:rsidP="00FF0A4B">
            <w:pPr>
              <w:widowControl/>
              <w:jc w:val="center"/>
              <w:rPr>
                <w:rFonts w:ascii="宋体" w:hAnsi="宋体" w:cs="宋体"/>
                <w:color w:val="000000"/>
                <w:kern w:val="0"/>
                <w:sz w:val="24"/>
              </w:rPr>
            </w:pPr>
          </w:p>
        </w:tc>
      </w:tr>
      <w:tr w:rsidR="00FF0A4B" w14:paraId="199B4CEF" w14:textId="77777777" w:rsidTr="00607C40">
        <w:trPr>
          <w:trHeight w:val="285"/>
        </w:trPr>
        <w:tc>
          <w:tcPr>
            <w:tcW w:w="1276" w:type="dxa"/>
            <w:tcBorders>
              <w:bottom w:val="single" w:sz="4" w:space="0" w:color="auto"/>
            </w:tcBorders>
            <w:vAlign w:val="center"/>
          </w:tcPr>
          <w:p w14:paraId="2E43B5A5" w14:textId="09C84A69" w:rsidR="00FF0A4B" w:rsidRPr="000B1B3C" w:rsidRDefault="00FF0A4B" w:rsidP="00FF0A4B">
            <w:pPr>
              <w:widowControl/>
              <w:jc w:val="center"/>
              <w:rPr>
                <w:color w:val="595959"/>
                <w:sz w:val="18"/>
                <w:szCs w:val="18"/>
              </w:rPr>
            </w:pPr>
            <w:r>
              <w:rPr>
                <w:rFonts w:hint="eastAsia"/>
                <w:color w:val="000000"/>
                <w:sz w:val="22"/>
                <w:szCs w:val="22"/>
              </w:rPr>
              <w:t>002027</w:t>
            </w:r>
          </w:p>
        </w:tc>
        <w:tc>
          <w:tcPr>
            <w:tcW w:w="1418" w:type="dxa"/>
            <w:tcBorders>
              <w:bottom w:val="single" w:sz="4" w:space="0" w:color="auto"/>
            </w:tcBorders>
            <w:vAlign w:val="center"/>
          </w:tcPr>
          <w:p w14:paraId="769C4425" w14:textId="73100D50" w:rsidR="00FF0A4B" w:rsidRPr="000B1B3C" w:rsidRDefault="00FF0A4B" w:rsidP="00FF0A4B">
            <w:pPr>
              <w:widowControl/>
              <w:jc w:val="center"/>
              <w:rPr>
                <w:color w:val="595959"/>
                <w:sz w:val="18"/>
                <w:szCs w:val="18"/>
              </w:rPr>
            </w:pPr>
            <w:r>
              <w:rPr>
                <w:rFonts w:hint="eastAsia"/>
                <w:color w:val="000000"/>
                <w:sz w:val="22"/>
                <w:szCs w:val="22"/>
              </w:rPr>
              <w:t>分众传媒</w:t>
            </w:r>
          </w:p>
        </w:tc>
        <w:tc>
          <w:tcPr>
            <w:tcW w:w="1275" w:type="dxa"/>
            <w:tcBorders>
              <w:bottom w:val="single" w:sz="4" w:space="0" w:color="auto"/>
            </w:tcBorders>
            <w:vAlign w:val="center"/>
          </w:tcPr>
          <w:p w14:paraId="63EF2B09" w14:textId="0DD4F5E7" w:rsidR="00FF0A4B" w:rsidRPr="000B1B3C" w:rsidRDefault="00FF0A4B" w:rsidP="00FF0A4B">
            <w:pPr>
              <w:widowControl/>
              <w:jc w:val="center"/>
              <w:rPr>
                <w:color w:val="595959"/>
                <w:sz w:val="18"/>
                <w:szCs w:val="18"/>
              </w:rPr>
            </w:pPr>
            <w:r>
              <w:rPr>
                <w:rFonts w:hint="eastAsia"/>
                <w:color w:val="000000"/>
                <w:sz w:val="22"/>
                <w:szCs w:val="22"/>
              </w:rPr>
              <w:t>3000</w:t>
            </w:r>
          </w:p>
        </w:tc>
        <w:tc>
          <w:tcPr>
            <w:tcW w:w="1418" w:type="dxa"/>
            <w:tcBorders>
              <w:bottom w:val="single" w:sz="4" w:space="0" w:color="auto"/>
            </w:tcBorders>
            <w:vAlign w:val="center"/>
          </w:tcPr>
          <w:p w14:paraId="6952F22D" w14:textId="630E4B5A" w:rsidR="00FF0A4B" w:rsidRDefault="00FF0A4B" w:rsidP="00FF0A4B">
            <w:pPr>
              <w:widowControl/>
              <w:jc w:val="center"/>
              <w:rPr>
                <w:rFonts w:ascii="宋体" w:hAnsi="宋体" w:cs="宋体"/>
                <w:color w:val="000000"/>
                <w:kern w:val="0"/>
                <w:sz w:val="24"/>
              </w:rPr>
            </w:pPr>
            <w:r>
              <w:rPr>
                <w:rFonts w:hint="eastAsia"/>
                <w:color w:val="000000"/>
                <w:sz w:val="22"/>
                <w:szCs w:val="22"/>
              </w:rPr>
              <w:t>允许</w:t>
            </w:r>
          </w:p>
        </w:tc>
        <w:tc>
          <w:tcPr>
            <w:tcW w:w="1701" w:type="dxa"/>
            <w:tcBorders>
              <w:bottom w:val="single" w:sz="4" w:space="0" w:color="auto"/>
            </w:tcBorders>
            <w:vAlign w:val="center"/>
          </w:tcPr>
          <w:p w14:paraId="2E21967E" w14:textId="2630CD62" w:rsidR="00FF0A4B" w:rsidRDefault="00FF0A4B" w:rsidP="00FF0A4B">
            <w:pPr>
              <w:widowControl/>
              <w:jc w:val="center"/>
              <w:rPr>
                <w:rFonts w:ascii="宋体" w:hAnsi="宋体" w:cs="宋体"/>
                <w:color w:val="000000"/>
                <w:kern w:val="0"/>
                <w:sz w:val="24"/>
              </w:rPr>
            </w:pPr>
            <w:r>
              <w:rPr>
                <w:rFonts w:hint="eastAsia"/>
                <w:color w:val="000000"/>
                <w:sz w:val="22"/>
                <w:szCs w:val="22"/>
              </w:rPr>
              <w:t>15%</w:t>
            </w:r>
          </w:p>
        </w:tc>
        <w:tc>
          <w:tcPr>
            <w:tcW w:w="1417" w:type="dxa"/>
            <w:tcBorders>
              <w:top w:val="single" w:sz="4" w:space="0" w:color="auto"/>
              <w:left w:val="single" w:sz="4" w:space="0" w:color="auto"/>
              <w:bottom w:val="single" w:sz="4" w:space="0" w:color="auto"/>
              <w:right w:val="single" w:sz="4" w:space="0" w:color="auto"/>
            </w:tcBorders>
            <w:vAlign w:val="center"/>
          </w:tcPr>
          <w:p w14:paraId="59973A10" w14:textId="77777777" w:rsidR="00FF0A4B" w:rsidRDefault="00FF0A4B" w:rsidP="00FF0A4B">
            <w:pPr>
              <w:widowControl/>
              <w:jc w:val="center"/>
              <w:rPr>
                <w:rFonts w:ascii="宋体" w:hAnsi="宋体" w:cs="宋体"/>
                <w:color w:val="000000"/>
                <w:kern w:val="0"/>
                <w:sz w:val="24"/>
              </w:rPr>
            </w:pPr>
          </w:p>
        </w:tc>
      </w:tr>
      <w:tr w:rsidR="00FF0A4B" w14:paraId="65535D78" w14:textId="77777777" w:rsidTr="00607C40">
        <w:trPr>
          <w:trHeight w:val="285"/>
        </w:trPr>
        <w:tc>
          <w:tcPr>
            <w:tcW w:w="1276" w:type="dxa"/>
            <w:tcBorders>
              <w:bottom w:val="single" w:sz="4" w:space="0" w:color="auto"/>
            </w:tcBorders>
            <w:vAlign w:val="center"/>
          </w:tcPr>
          <w:p w14:paraId="75E32D7C" w14:textId="7C2AD3C1" w:rsidR="00FF0A4B" w:rsidRPr="000B1B3C" w:rsidRDefault="00FF0A4B" w:rsidP="00FF0A4B">
            <w:pPr>
              <w:widowControl/>
              <w:jc w:val="center"/>
              <w:rPr>
                <w:color w:val="595959"/>
                <w:sz w:val="18"/>
                <w:szCs w:val="18"/>
              </w:rPr>
            </w:pPr>
            <w:r>
              <w:rPr>
                <w:rFonts w:hint="eastAsia"/>
                <w:color w:val="000000"/>
                <w:sz w:val="22"/>
                <w:szCs w:val="22"/>
              </w:rPr>
              <w:t>002050</w:t>
            </w:r>
          </w:p>
        </w:tc>
        <w:tc>
          <w:tcPr>
            <w:tcW w:w="1418" w:type="dxa"/>
            <w:tcBorders>
              <w:bottom w:val="single" w:sz="4" w:space="0" w:color="auto"/>
            </w:tcBorders>
            <w:vAlign w:val="center"/>
          </w:tcPr>
          <w:p w14:paraId="2754E4E3" w14:textId="37166663" w:rsidR="00FF0A4B" w:rsidRPr="000B1B3C" w:rsidRDefault="00FF0A4B" w:rsidP="00FF0A4B">
            <w:pPr>
              <w:widowControl/>
              <w:jc w:val="center"/>
              <w:rPr>
                <w:color w:val="595959"/>
                <w:sz w:val="18"/>
                <w:szCs w:val="18"/>
              </w:rPr>
            </w:pPr>
            <w:r>
              <w:rPr>
                <w:rFonts w:hint="eastAsia"/>
                <w:color w:val="000000"/>
                <w:sz w:val="22"/>
                <w:szCs w:val="22"/>
              </w:rPr>
              <w:t>三</w:t>
            </w:r>
            <w:proofErr w:type="gramStart"/>
            <w:r>
              <w:rPr>
                <w:rFonts w:hint="eastAsia"/>
                <w:color w:val="000000"/>
                <w:sz w:val="22"/>
                <w:szCs w:val="22"/>
              </w:rPr>
              <w:t>花智控</w:t>
            </w:r>
            <w:proofErr w:type="gramEnd"/>
          </w:p>
        </w:tc>
        <w:tc>
          <w:tcPr>
            <w:tcW w:w="1275" w:type="dxa"/>
            <w:tcBorders>
              <w:bottom w:val="single" w:sz="4" w:space="0" w:color="auto"/>
            </w:tcBorders>
            <w:vAlign w:val="center"/>
          </w:tcPr>
          <w:p w14:paraId="7EDD8F3C" w14:textId="74C1F1E0" w:rsidR="00FF0A4B" w:rsidRPr="000B1B3C" w:rsidRDefault="00FF0A4B" w:rsidP="00FF0A4B">
            <w:pPr>
              <w:widowControl/>
              <w:jc w:val="center"/>
              <w:rPr>
                <w:color w:val="595959"/>
                <w:sz w:val="18"/>
                <w:szCs w:val="18"/>
              </w:rPr>
            </w:pPr>
            <w:r>
              <w:rPr>
                <w:rFonts w:hint="eastAsia"/>
                <w:color w:val="000000"/>
                <w:sz w:val="22"/>
                <w:szCs w:val="22"/>
              </w:rPr>
              <w:t>600</w:t>
            </w:r>
          </w:p>
        </w:tc>
        <w:tc>
          <w:tcPr>
            <w:tcW w:w="1418" w:type="dxa"/>
            <w:tcBorders>
              <w:bottom w:val="single" w:sz="4" w:space="0" w:color="auto"/>
            </w:tcBorders>
            <w:vAlign w:val="center"/>
          </w:tcPr>
          <w:p w14:paraId="14CCE889" w14:textId="0CC73C89" w:rsidR="00FF0A4B" w:rsidRDefault="00FF0A4B" w:rsidP="00FF0A4B">
            <w:pPr>
              <w:widowControl/>
              <w:jc w:val="center"/>
              <w:rPr>
                <w:rFonts w:ascii="宋体" w:hAnsi="宋体" w:cs="宋体"/>
                <w:color w:val="000000"/>
                <w:kern w:val="0"/>
                <w:sz w:val="24"/>
              </w:rPr>
            </w:pPr>
            <w:r>
              <w:rPr>
                <w:rFonts w:hint="eastAsia"/>
                <w:color w:val="000000"/>
                <w:sz w:val="22"/>
                <w:szCs w:val="22"/>
              </w:rPr>
              <w:t>允许</w:t>
            </w:r>
          </w:p>
        </w:tc>
        <w:tc>
          <w:tcPr>
            <w:tcW w:w="1701" w:type="dxa"/>
            <w:tcBorders>
              <w:bottom w:val="single" w:sz="4" w:space="0" w:color="auto"/>
            </w:tcBorders>
            <w:vAlign w:val="center"/>
          </w:tcPr>
          <w:p w14:paraId="14018D70" w14:textId="4A511A4A" w:rsidR="00FF0A4B" w:rsidRDefault="00FF0A4B" w:rsidP="00FF0A4B">
            <w:pPr>
              <w:widowControl/>
              <w:jc w:val="center"/>
              <w:rPr>
                <w:rFonts w:ascii="宋体" w:hAnsi="宋体" w:cs="宋体"/>
                <w:color w:val="000000"/>
                <w:kern w:val="0"/>
                <w:sz w:val="24"/>
              </w:rPr>
            </w:pPr>
            <w:r>
              <w:rPr>
                <w:rFonts w:hint="eastAsia"/>
                <w:color w:val="000000"/>
                <w:sz w:val="22"/>
                <w:szCs w:val="22"/>
              </w:rPr>
              <w:t>15%</w:t>
            </w:r>
          </w:p>
        </w:tc>
        <w:tc>
          <w:tcPr>
            <w:tcW w:w="1417" w:type="dxa"/>
            <w:tcBorders>
              <w:top w:val="single" w:sz="4" w:space="0" w:color="auto"/>
              <w:left w:val="single" w:sz="4" w:space="0" w:color="auto"/>
              <w:bottom w:val="single" w:sz="4" w:space="0" w:color="auto"/>
              <w:right w:val="single" w:sz="4" w:space="0" w:color="auto"/>
            </w:tcBorders>
            <w:vAlign w:val="center"/>
          </w:tcPr>
          <w:p w14:paraId="1A9BC7F9" w14:textId="77777777" w:rsidR="00FF0A4B" w:rsidRDefault="00FF0A4B" w:rsidP="00FF0A4B">
            <w:pPr>
              <w:widowControl/>
              <w:jc w:val="center"/>
              <w:rPr>
                <w:rFonts w:ascii="宋体" w:hAnsi="宋体" w:cs="宋体"/>
                <w:color w:val="000000"/>
                <w:kern w:val="0"/>
                <w:sz w:val="24"/>
              </w:rPr>
            </w:pPr>
          </w:p>
        </w:tc>
      </w:tr>
      <w:tr w:rsidR="00FF0A4B" w14:paraId="7F827317" w14:textId="77777777" w:rsidTr="00607C40">
        <w:trPr>
          <w:trHeight w:val="285"/>
        </w:trPr>
        <w:tc>
          <w:tcPr>
            <w:tcW w:w="1276" w:type="dxa"/>
            <w:tcBorders>
              <w:bottom w:val="single" w:sz="4" w:space="0" w:color="auto"/>
            </w:tcBorders>
            <w:vAlign w:val="center"/>
          </w:tcPr>
          <w:p w14:paraId="4A359F68" w14:textId="2040460C" w:rsidR="00FF0A4B" w:rsidRPr="000B1B3C" w:rsidRDefault="00FF0A4B" w:rsidP="00FF0A4B">
            <w:pPr>
              <w:widowControl/>
              <w:jc w:val="center"/>
              <w:rPr>
                <w:color w:val="595959"/>
                <w:sz w:val="18"/>
                <w:szCs w:val="18"/>
              </w:rPr>
            </w:pPr>
            <w:r>
              <w:rPr>
                <w:rFonts w:hint="eastAsia"/>
                <w:color w:val="000000"/>
                <w:sz w:val="22"/>
                <w:szCs w:val="22"/>
              </w:rPr>
              <w:t>002051</w:t>
            </w:r>
          </w:p>
        </w:tc>
        <w:tc>
          <w:tcPr>
            <w:tcW w:w="1418" w:type="dxa"/>
            <w:tcBorders>
              <w:bottom w:val="single" w:sz="4" w:space="0" w:color="auto"/>
            </w:tcBorders>
            <w:vAlign w:val="center"/>
          </w:tcPr>
          <w:p w14:paraId="06313852" w14:textId="162DDF64" w:rsidR="00FF0A4B" w:rsidRPr="000B1B3C" w:rsidRDefault="00FF0A4B" w:rsidP="00FF0A4B">
            <w:pPr>
              <w:widowControl/>
              <w:jc w:val="center"/>
              <w:rPr>
                <w:color w:val="595959"/>
                <w:sz w:val="18"/>
                <w:szCs w:val="18"/>
              </w:rPr>
            </w:pPr>
            <w:r>
              <w:rPr>
                <w:rFonts w:hint="eastAsia"/>
                <w:color w:val="000000"/>
                <w:sz w:val="22"/>
                <w:szCs w:val="22"/>
              </w:rPr>
              <w:t>中工国际</w:t>
            </w:r>
          </w:p>
        </w:tc>
        <w:tc>
          <w:tcPr>
            <w:tcW w:w="1275" w:type="dxa"/>
            <w:tcBorders>
              <w:bottom w:val="single" w:sz="4" w:space="0" w:color="auto"/>
            </w:tcBorders>
            <w:vAlign w:val="center"/>
          </w:tcPr>
          <w:p w14:paraId="294A459B" w14:textId="3B7EDC1E" w:rsidR="00FF0A4B" w:rsidRPr="000B1B3C" w:rsidRDefault="00FF0A4B" w:rsidP="00FF0A4B">
            <w:pPr>
              <w:widowControl/>
              <w:jc w:val="center"/>
              <w:rPr>
                <w:color w:val="595959"/>
                <w:sz w:val="18"/>
                <w:szCs w:val="18"/>
              </w:rPr>
            </w:pPr>
            <w:r>
              <w:rPr>
                <w:rFonts w:hint="eastAsia"/>
                <w:color w:val="000000"/>
                <w:sz w:val="22"/>
                <w:szCs w:val="22"/>
              </w:rPr>
              <w:t>300</w:t>
            </w:r>
          </w:p>
        </w:tc>
        <w:tc>
          <w:tcPr>
            <w:tcW w:w="1418" w:type="dxa"/>
            <w:tcBorders>
              <w:bottom w:val="single" w:sz="4" w:space="0" w:color="auto"/>
            </w:tcBorders>
            <w:vAlign w:val="center"/>
          </w:tcPr>
          <w:p w14:paraId="215D1E68" w14:textId="05172926" w:rsidR="00FF0A4B" w:rsidRDefault="00FF0A4B" w:rsidP="00FF0A4B">
            <w:pPr>
              <w:widowControl/>
              <w:jc w:val="center"/>
              <w:rPr>
                <w:rFonts w:ascii="宋体" w:hAnsi="宋体" w:cs="宋体"/>
                <w:color w:val="000000"/>
                <w:kern w:val="0"/>
                <w:sz w:val="24"/>
              </w:rPr>
            </w:pPr>
            <w:r>
              <w:rPr>
                <w:rFonts w:hint="eastAsia"/>
                <w:color w:val="000000"/>
                <w:sz w:val="22"/>
                <w:szCs w:val="22"/>
              </w:rPr>
              <w:t>允许</w:t>
            </w:r>
          </w:p>
        </w:tc>
        <w:tc>
          <w:tcPr>
            <w:tcW w:w="1701" w:type="dxa"/>
            <w:tcBorders>
              <w:bottom w:val="single" w:sz="4" w:space="0" w:color="auto"/>
            </w:tcBorders>
            <w:vAlign w:val="center"/>
          </w:tcPr>
          <w:p w14:paraId="0C64401F" w14:textId="5AF380EE" w:rsidR="00FF0A4B" w:rsidRDefault="00FF0A4B" w:rsidP="00FF0A4B">
            <w:pPr>
              <w:widowControl/>
              <w:jc w:val="center"/>
              <w:rPr>
                <w:rFonts w:ascii="宋体" w:hAnsi="宋体" w:cs="宋体"/>
                <w:color w:val="000000"/>
                <w:kern w:val="0"/>
                <w:sz w:val="24"/>
              </w:rPr>
            </w:pPr>
            <w:r>
              <w:rPr>
                <w:rFonts w:hint="eastAsia"/>
                <w:color w:val="000000"/>
                <w:sz w:val="22"/>
                <w:szCs w:val="22"/>
              </w:rPr>
              <w:t>15%</w:t>
            </w:r>
          </w:p>
        </w:tc>
        <w:tc>
          <w:tcPr>
            <w:tcW w:w="1417" w:type="dxa"/>
            <w:tcBorders>
              <w:top w:val="single" w:sz="4" w:space="0" w:color="auto"/>
              <w:left w:val="single" w:sz="4" w:space="0" w:color="auto"/>
              <w:bottom w:val="single" w:sz="4" w:space="0" w:color="auto"/>
              <w:right w:val="single" w:sz="4" w:space="0" w:color="auto"/>
            </w:tcBorders>
            <w:vAlign w:val="center"/>
          </w:tcPr>
          <w:p w14:paraId="7CFC8B8C" w14:textId="77777777" w:rsidR="00FF0A4B" w:rsidRDefault="00FF0A4B" w:rsidP="00FF0A4B">
            <w:pPr>
              <w:widowControl/>
              <w:jc w:val="center"/>
              <w:rPr>
                <w:rFonts w:ascii="宋体" w:hAnsi="宋体" w:cs="宋体"/>
                <w:color w:val="000000"/>
                <w:kern w:val="0"/>
                <w:sz w:val="24"/>
              </w:rPr>
            </w:pPr>
          </w:p>
        </w:tc>
      </w:tr>
      <w:tr w:rsidR="00FF0A4B" w14:paraId="252D1216" w14:textId="77777777" w:rsidTr="00607C40">
        <w:trPr>
          <w:trHeight w:val="285"/>
        </w:trPr>
        <w:tc>
          <w:tcPr>
            <w:tcW w:w="1276" w:type="dxa"/>
            <w:tcBorders>
              <w:bottom w:val="single" w:sz="4" w:space="0" w:color="auto"/>
            </w:tcBorders>
            <w:vAlign w:val="center"/>
          </w:tcPr>
          <w:p w14:paraId="4A8635A9" w14:textId="61416A23" w:rsidR="00FF0A4B" w:rsidRPr="000B1B3C" w:rsidRDefault="00FF0A4B" w:rsidP="00FF0A4B">
            <w:pPr>
              <w:widowControl/>
              <w:jc w:val="center"/>
              <w:rPr>
                <w:color w:val="595959"/>
                <w:sz w:val="18"/>
                <w:szCs w:val="18"/>
              </w:rPr>
            </w:pPr>
            <w:r>
              <w:rPr>
                <w:rFonts w:hint="eastAsia"/>
                <w:color w:val="000000"/>
                <w:sz w:val="22"/>
                <w:szCs w:val="22"/>
              </w:rPr>
              <w:t>002078</w:t>
            </w:r>
          </w:p>
        </w:tc>
        <w:tc>
          <w:tcPr>
            <w:tcW w:w="1418" w:type="dxa"/>
            <w:tcBorders>
              <w:bottom w:val="single" w:sz="4" w:space="0" w:color="auto"/>
            </w:tcBorders>
            <w:vAlign w:val="center"/>
          </w:tcPr>
          <w:p w14:paraId="19C57B6C" w14:textId="62B153E8" w:rsidR="00FF0A4B" w:rsidRPr="000B1B3C" w:rsidRDefault="00FF0A4B" w:rsidP="00FF0A4B">
            <w:pPr>
              <w:widowControl/>
              <w:jc w:val="center"/>
              <w:rPr>
                <w:color w:val="595959"/>
                <w:sz w:val="18"/>
                <w:szCs w:val="18"/>
              </w:rPr>
            </w:pPr>
            <w:r>
              <w:rPr>
                <w:rFonts w:hint="eastAsia"/>
                <w:color w:val="000000"/>
                <w:sz w:val="22"/>
                <w:szCs w:val="22"/>
              </w:rPr>
              <w:t>太阳纸业</w:t>
            </w:r>
          </w:p>
        </w:tc>
        <w:tc>
          <w:tcPr>
            <w:tcW w:w="1275" w:type="dxa"/>
            <w:tcBorders>
              <w:bottom w:val="single" w:sz="4" w:space="0" w:color="auto"/>
            </w:tcBorders>
            <w:vAlign w:val="center"/>
          </w:tcPr>
          <w:p w14:paraId="481CAEB5" w14:textId="61644728" w:rsidR="00FF0A4B" w:rsidRPr="000B1B3C" w:rsidRDefault="00FF0A4B" w:rsidP="00FF0A4B">
            <w:pPr>
              <w:widowControl/>
              <w:jc w:val="center"/>
              <w:rPr>
                <w:color w:val="595959"/>
                <w:sz w:val="18"/>
                <w:szCs w:val="18"/>
              </w:rPr>
            </w:pPr>
            <w:r>
              <w:rPr>
                <w:rFonts w:hint="eastAsia"/>
                <w:color w:val="000000"/>
                <w:sz w:val="22"/>
                <w:szCs w:val="22"/>
              </w:rPr>
              <w:t>900</w:t>
            </w:r>
          </w:p>
        </w:tc>
        <w:tc>
          <w:tcPr>
            <w:tcW w:w="1418" w:type="dxa"/>
            <w:tcBorders>
              <w:bottom w:val="single" w:sz="4" w:space="0" w:color="auto"/>
            </w:tcBorders>
            <w:vAlign w:val="center"/>
          </w:tcPr>
          <w:p w14:paraId="0F6732BE" w14:textId="38242E6C" w:rsidR="00FF0A4B" w:rsidRDefault="00FF0A4B" w:rsidP="00FF0A4B">
            <w:pPr>
              <w:widowControl/>
              <w:jc w:val="center"/>
              <w:rPr>
                <w:rFonts w:ascii="宋体" w:hAnsi="宋体" w:cs="宋体"/>
                <w:color w:val="000000"/>
                <w:kern w:val="0"/>
                <w:sz w:val="24"/>
              </w:rPr>
            </w:pPr>
            <w:r>
              <w:rPr>
                <w:rFonts w:hint="eastAsia"/>
                <w:color w:val="000000"/>
                <w:sz w:val="22"/>
                <w:szCs w:val="22"/>
              </w:rPr>
              <w:t>允许</w:t>
            </w:r>
          </w:p>
        </w:tc>
        <w:tc>
          <w:tcPr>
            <w:tcW w:w="1701" w:type="dxa"/>
            <w:tcBorders>
              <w:bottom w:val="single" w:sz="4" w:space="0" w:color="auto"/>
            </w:tcBorders>
            <w:vAlign w:val="center"/>
          </w:tcPr>
          <w:p w14:paraId="05126676" w14:textId="60C8C824" w:rsidR="00FF0A4B" w:rsidRDefault="00FF0A4B" w:rsidP="00FF0A4B">
            <w:pPr>
              <w:widowControl/>
              <w:jc w:val="center"/>
              <w:rPr>
                <w:rFonts w:ascii="宋体" w:hAnsi="宋体" w:cs="宋体"/>
                <w:color w:val="000000"/>
                <w:kern w:val="0"/>
                <w:sz w:val="24"/>
              </w:rPr>
            </w:pPr>
            <w:r>
              <w:rPr>
                <w:rFonts w:hint="eastAsia"/>
                <w:color w:val="000000"/>
                <w:sz w:val="22"/>
                <w:szCs w:val="22"/>
              </w:rPr>
              <w:t>15%</w:t>
            </w:r>
          </w:p>
        </w:tc>
        <w:tc>
          <w:tcPr>
            <w:tcW w:w="1417" w:type="dxa"/>
            <w:tcBorders>
              <w:top w:val="single" w:sz="4" w:space="0" w:color="auto"/>
              <w:left w:val="single" w:sz="4" w:space="0" w:color="auto"/>
              <w:bottom w:val="single" w:sz="4" w:space="0" w:color="auto"/>
              <w:right w:val="single" w:sz="4" w:space="0" w:color="auto"/>
            </w:tcBorders>
            <w:vAlign w:val="center"/>
          </w:tcPr>
          <w:p w14:paraId="2DF182A0" w14:textId="77777777" w:rsidR="00FF0A4B" w:rsidRDefault="00FF0A4B" w:rsidP="00FF0A4B">
            <w:pPr>
              <w:widowControl/>
              <w:jc w:val="center"/>
              <w:rPr>
                <w:rFonts w:ascii="宋体" w:hAnsi="宋体" w:cs="宋体"/>
                <w:color w:val="000000"/>
                <w:kern w:val="0"/>
                <w:sz w:val="24"/>
              </w:rPr>
            </w:pPr>
          </w:p>
        </w:tc>
      </w:tr>
      <w:tr w:rsidR="00FF0A4B" w14:paraId="78CFB26F" w14:textId="77777777" w:rsidTr="00607C40">
        <w:trPr>
          <w:trHeight w:val="285"/>
        </w:trPr>
        <w:tc>
          <w:tcPr>
            <w:tcW w:w="1276" w:type="dxa"/>
            <w:tcBorders>
              <w:bottom w:val="single" w:sz="4" w:space="0" w:color="auto"/>
            </w:tcBorders>
            <w:vAlign w:val="center"/>
          </w:tcPr>
          <w:p w14:paraId="4D1BA74A" w14:textId="1A0EF77D" w:rsidR="00FF0A4B" w:rsidRPr="000B1B3C" w:rsidRDefault="00FF0A4B" w:rsidP="00FF0A4B">
            <w:pPr>
              <w:widowControl/>
              <w:jc w:val="center"/>
              <w:rPr>
                <w:color w:val="595959"/>
                <w:sz w:val="18"/>
                <w:szCs w:val="18"/>
              </w:rPr>
            </w:pPr>
            <w:r>
              <w:rPr>
                <w:rFonts w:hint="eastAsia"/>
                <w:color w:val="000000"/>
                <w:sz w:val="22"/>
                <w:szCs w:val="22"/>
              </w:rPr>
              <w:t>002081</w:t>
            </w:r>
          </w:p>
        </w:tc>
        <w:tc>
          <w:tcPr>
            <w:tcW w:w="1418" w:type="dxa"/>
            <w:tcBorders>
              <w:bottom w:val="single" w:sz="4" w:space="0" w:color="auto"/>
            </w:tcBorders>
            <w:vAlign w:val="center"/>
          </w:tcPr>
          <w:p w14:paraId="38ED9ECB" w14:textId="6F80C7AA" w:rsidR="00FF0A4B" w:rsidRPr="000B1B3C" w:rsidRDefault="00FF0A4B" w:rsidP="00FF0A4B">
            <w:pPr>
              <w:widowControl/>
              <w:jc w:val="center"/>
              <w:rPr>
                <w:color w:val="595959"/>
                <w:sz w:val="18"/>
                <w:szCs w:val="18"/>
              </w:rPr>
            </w:pPr>
            <w:r>
              <w:rPr>
                <w:rFonts w:hint="eastAsia"/>
                <w:color w:val="000000"/>
                <w:sz w:val="22"/>
                <w:szCs w:val="22"/>
              </w:rPr>
              <w:t>金</w:t>
            </w:r>
            <w:r>
              <w:rPr>
                <w:rFonts w:hint="eastAsia"/>
                <w:color w:val="000000"/>
                <w:sz w:val="22"/>
                <w:szCs w:val="22"/>
              </w:rPr>
              <w:t xml:space="preserve"> </w:t>
            </w:r>
            <w:proofErr w:type="gramStart"/>
            <w:r>
              <w:rPr>
                <w:rFonts w:hint="eastAsia"/>
                <w:color w:val="000000"/>
                <w:sz w:val="22"/>
                <w:szCs w:val="22"/>
              </w:rPr>
              <w:t>螳</w:t>
            </w:r>
            <w:proofErr w:type="gramEnd"/>
            <w:r>
              <w:rPr>
                <w:rFonts w:hint="eastAsia"/>
                <w:color w:val="000000"/>
                <w:sz w:val="22"/>
                <w:szCs w:val="22"/>
              </w:rPr>
              <w:t xml:space="preserve"> </w:t>
            </w:r>
            <w:proofErr w:type="gramStart"/>
            <w:r>
              <w:rPr>
                <w:rFonts w:hint="eastAsia"/>
                <w:color w:val="000000"/>
                <w:sz w:val="22"/>
                <w:szCs w:val="22"/>
              </w:rPr>
              <w:t>螂</w:t>
            </w:r>
            <w:proofErr w:type="gramEnd"/>
          </w:p>
        </w:tc>
        <w:tc>
          <w:tcPr>
            <w:tcW w:w="1275" w:type="dxa"/>
            <w:tcBorders>
              <w:bottom w:val="single" w:sz="4" w:space="0" w:color="auto"/>
            </w:tcBorders>
            <w:vAlign w:val="center"/>
          </w:tcPr>
          <w:p w14:paraId="0EF1B494" w14:textId="41C215CF" w:rsidR="00FF0A4B" w:rsidRPr="000B1B3C" w:rsidRDefault="00FF0A4B" w:rsidP="00FF0A4B">
            <w:pPr>
              <w:widowControl/>
              <w:jc w:val="center"/>
              <w:rPr>
                <w:color w:val="595959"/>
                <w:sz w:val="18"/>
                <w:szCs w:val="18"/>
              </w:rPr>
            </w:pPr>
            <w:r>
              <w:rPr>
                <w:rFonts w:hint="eastAsia"/>
                <w:color w:val="000000"/>
                <w:sz w:val="22"/>
                <w:szCs w:val="22"/>
              </w:rPr>
              <w:t>900</w:t>
            </w:r>
          </w:p>
        </w:tc>
        <w:tc>
          <w:tcPr>
            <w:tcW w:w="1418" w:type="dxa"/>
            <w:tcBorders>
              <w:bottom w:val="single" w:sz="4" w:space="0" w:color="auto"/>
            </w:tcBorders>
            <w:vAlign w:val="center"/>
          </w:tcPr>
          <w:p w14:paraId="69A95BA5" w14:textId="1496DED0" w:rsidR="00FF0A4B" w:rsidRDefault="00FF0A4B" w:rsidP="00FF0A4B">
            <w:pPr>
              <w:widowControl/>
              <w:jc w:val="center"/>
              <w:rPr>
                <w:rFonts w:ascii="宋体" w:hAnsi="宋体" w:cs="宋体"/>
                <w:color w:val="000000"/>
                <w:kern w:val="0"/>
                <w:sz w:val="24"/>
              </w:rPr>
            </w:pPr>
            <w:r>
              <w:rPr>
                <w:rFonts w:hint="eastAsia"/>
                <w:color w:val="000000"/>
                <w:sz w:val="22"/>
                <w:szCs w:val="22"/>
              </w:rPr>
              <w:t>允许</w:t>
            </w:r>
          </w:p>
        </w:tc>
        <w:tc>
          <w:tcPr>
            <w:tcW w:w="1701" w:type="dxa"/>
            <w:tcBorders>
              <w:bottom w:val="single" w:sz="4" w:space="0" w:color="auto"/>
            </w:tcBorders>
            <w:vAlign w:val="center"/>
          </w:tcPr>
          <w:p w14:paraId="212DA687" w14:textId="2F0D58CB" w:rsidR="00FF0A4B" w:rsidRDefault="00FF0A4B" w:rsidP="00FF0A4B">
            <w:pPr>
              <w:widowControl/>
              <w:jc w:val="center"/>
              <w:rPr>
                <w:rFonts w:ascii="宋体" w:hAnsi="宋体" w:cs="宋体"/>
                <w:color w:val="000000"/>
                <w:kern w:val="0"/>
                <w:sz w:val="24"/>
              </w:rPr>
            </w:pPr>
            <w:r>
              <w:rPr>
                <w:rFonts w:hint="eastAsia"/>
                <w:color w:val="000000"/>
                <w:sz w:val="22"/>
                <w:szCs w:val="22"/>
              </w:rPr>
              <w:t>15%</w:t>
            </w:r>
          </w:p>
        </w:tc>
        <w:tc>
          <w:tcPr>
            <w:tcW w:w="1417" w:type="dxa"/>
            <w:tcBorders>
              <w:top w:val="single" w:sz="4" w:space="0" w:color="auto"/>
              <w:left w:val="single" w:sz="4" w:space="0" w:color="auto"/>
              <w:bottom w:val="single" w:sz="4" w:space="0" w:color="auto"/>
              <w:right w:val="single" w:sz="4" w:space="0" w:color="auto"/>
            </w:tcBorders>
            <w:vAlign w:val="center"/>
          </w:tcPr>
          <w:p w14:paraId="6F5A5DDC" w14:textId="77777777" w:rsidR="00FF0A4B" w:rsidRDefault="00FF0A4B" w:rsidP="00FF0A4B">
            <w:pPr>
              <w:widowControl/>
              <w:jc w:val="center"/>
              <w:rPr>
                <w:rFonts w:ascii="宋体" w:hAnsi="宋体" w:cs="宋体"/>
                <w:color w:val="000000"/>
                <w:kern w:val="0"/>
                <w:sz w:val="24"/>
              </w:rPr>
            </w:pPr>
          </w:p>
        </w:tc>
      </w:tr>
      <w:tr w:rsidR="00FF0A4B" w14:paraId="5B0E832A" w14:textId="77777777" w:rsidTr="00607C40">
        <w:trPr>
          <w:trHeight w:val="285"/>
        </w:trPr>
        <w:tc>
          <w:tcPr>
            <w:tcW w:w="1276" w:type="dxa"/>
            <w:tcBorders>
              <w:bottom w:val="single" w:sz="4" w:space="0" w:color="auto"/>
            </w:tcBorders>
            <w:vAlign w:val="center"/>
          </w:tcPr>
          <w:p w14:paraId="52FD53B8" w14:textId="56B715C1" w:rsidR="00FF0A4B" w:rsidRPr="000B1B3C" w:rsidRDefault="00FF0A4B" w:rsidP="00FF0A4B">
            <w:pPr>
              <w:widowControl/>
              <w:jc w:val="center"/>
              <w:rPr>
                <w:color w:val="595959"/>
                <w:sz w:val="18"/>
                <w:szCs w:val="18"/>
              </w:rPr>
            </w:pPr>
            <w:r>
              <w:rPr>
                <w:rFonts w:hint="eastAsia"/>
                <w:color w:val="000000"/>
                <w:sz w:val="22"/>
                <w:szCs w:val="22"/>
              </w:rPr>
              <w:t>002092</w:t>
            </w:r>
          </w:p>
        </w:tc>
        <w:tc>
          <w:tcPr>
            <w:tcW w:w="1418" w:type="dxa"/>
            <w:tcBorders>
              <w:bottom w:val="single" w:sz="4" w:space="0" w:color="auto"/>
            </w:tcBorders>
            <w:vAlign w:val="center"/>
          </w:tcPr>
          <w:p w14:paraId="5B819C60" w14:textId="1832AC6F" w:rsidR="00FF0A4B" w:rsidRPr="000B1B3C" w:rsidRDefault="00FF0A4B" w:rsidP="00FF0A4B">
            <w:pPr>
              <w:widowControl/>
              <w:jc w:val="center"/>
              <w:rPr>
                <w:color w:val="595959"/>
                <w:sz w:val="18"/>
                <w:szCs w:val="18"/>
              </w:rPr>
            </w:pPr>
            <w:r>
              <w:rPr>
                <w:rFonts w:hint="eastAsia"/>
                <w:color w:val="000000"/>
                <w:sz w:val="22"/>
                <w:szCs w:val="22"/>
              </w:rPr>
              <w:t>中泰化学</w:t>
            </w:r>
          </w:p>
        </w:tc>
        <w:tc>
          <w:tcPr>
            <w:tcW w:w="1275" w:type="dxa"/>
            <w:tcBorders>
              <w:bottom w:val="single" w:sz="4" w:space="0" w:color="auto"/>
            </w:tcBorders>
            <w:vAlign w:val="center"/>
          </w:tcPr>
          <w:p w14:paraId="1658E33F" w14:textId="109D4474" w:rsidR="00FF0A4B" w:rsidRPr="000B1B3C" w:rsidRDefault="00FF0A4B" w:rsidP="00FF0A4B">
            <w:pPr>
              <w:widowControl/>
              <w:jc w:val="center"/>
              <w:rPr>
                <w:color w:val="595959"/>
                <w:sz w:val="18"/>
                <w:szCs w:val="18"/>
              </w:rPr>
            </w:pPr>
            <w:r>
              <w:rPr>
                <w:rFonts w:hint="eastAsia"/>
                <w:color w:val="000000"/>
                <w:sz w:val="22"/>
                <w:szCs w:val="22"/>
              </w:rPr>
              <w:t>1000</w:t>
            </w:r>
          </w:p>
        </w:tc>
        <w:tc>
          <w:tcPr>
            <w:tcW w:w="1418" w:type="dxa"/>
            <w:tcBorders>
              <w:bottom w:val="single" w:sz="4" w:space="0" w:color="auto"/>
            </w:tcBorders>
            <w:vAlign w:val="center"/>
          </w:tcPr>
          <w:p w14:paraId="6B12AF97" w14:textId="4E320BD4" w:rsidR="00FF0A4B" w:rsidRDefault="00FF0A4B" w:rsidP="00FF0A4B">
            <w:pPr>
              <w:widowControl/>
              <w:jc w:val="center"/>
              <w:rPr>
                <w:rFonts w:ascii="宋体" w:hAnsi="宋体" w:cs="宋体"/>
                <w:color w:val="000000"/>
                <w:kern w:val="0"/>
                <w:sz w:val="24"/>
              </w:rPr>
            </w:pPr>
            <w:r>
              <w:rPr>
                <w:rFonts w:hint="eastAsia"/>
                <w:color w:val="000000"/>
                <w:sz w:val="22"/>
                <w:szCs w:val="22"/>
              </w:rPr>
              <w:t>允许</w:t>
            </w:r>
          </w:p>
        </w:tc>
        <w:tc>
          <w:tcPr>
            <w:tcW w:w="1701" w:type="dxa"/>
            <w:tcBorders>
              <w:bottom w:val="single" w:sz="4" w:space="0" w:color="auto"/>
            </w:tcBorders>
            <w:vAlign w:val="center"/>
          </w:tcPr>
          <w:p w14:paraId="46E72D8A" w14:textId="28C48F43" w:rsidR="00FF0A4B" w:rsidRDefault="00FF0A4B" w:rsidP="00FF0A4B">
            <w:pPr>
              <w:widowControl/>
              <w:jc w:val="center"/>
              <w:rPr>
                <w:rFonts w:ascii="宋体" w:hAnsi="宋体" w:cs="宋体"/>
                <w:color w:val="000000"/>
                <w:kern w:val="0"/>
                <w:sz w:val="24"/>
              </w:rPr>
            </w:pPr>
            <w:r>
              <w:rPr>
                <w:rFonts w:hint="eastAsia"/>
                <w:color w:val="000000"/>
                <w:sz w:val="22"/>
                <w:szCs w:val="22"/>
              </w:rPr>
              <w:t>15%</w:t>
            </w:r>
          </w:p>
        </w:tc>
        <w:tc>
          <w:tcPr>
            <w:tcW w:w="1417" w:type="dxa"/>
            <w:tcBorders>
              <w:top w:val="single" w:sz="4" w:space="0" w:color="auto"/>
              <w:left w:val="single" w:sz="4" w:space="0" w:color="auto"/>
              <w:bottom w:val="single" w:sz="4" w:space="0" w:color="auto"/>
              <w:right w:val="single" w:sz="4" w:space="0" w:color="auto"/>
            </w:tcBorders>
            <w:vAlign w:val="center"/>
          </w:tcPr>
          <w:p w14:paraId="2DCAE060" w14:textId="77777777" w:rsidR="00FF0A4B" w:rsidRDefault="00FF0A4B" w:rsidP="00FF0A4B">
            <w:pPr>
              <w:widowControl/>
              <w:jc w:val="center"/>
              <w:rPr>
                <w:rFonts w:ascii="宋体" w:hAnsi="宋体" w:cs="宋体"/>
                <w:color w:val="000000"/>
                <w:kern w:val="0"/>
                <w:sz w:val="24"/>
              </w:rPr>
            </w:pPr>
          </w:p>
        </w:tc>
      </w:tr>
      <w:tr w:rsidR="00FF0A4B" w14:paraId="031E2AA5" w14:textId="77777777" w:rsidTr="00607C40">
        <w:trPr>
          <w:trHeight w:val="285"/>
        </w:trPr>
        <w:tc>
          <w:tcPr>
            <w:tcW w:w="1276" w:type="dxa"/>
            <w:tcBorders>
              <w:bottom w:val="single" w:sz="4" w:space="0" w:color="auto"/>
            </w:tcBorders>
            <w:vAlign w:val="center"/>
          </w:tcPr>
          <w:p w14:paraId="56CAB640" w14:textId="28BC560A" w:rsidR="00FF0A4B" w:rsidRPr="000B1B3C" w:rsidRDefault="00FF0A4B" w:rsidP="00FF0A4B">
            <w:pPr>
              <w:widowControl/>
              <w:jc w:val="center"/>
              <w:rPr>
                <w:color w:val="595959"/>
                <w:sz w:val="18"/>
                <w:szCs w:val="18"/>
              </w:rPr>
            </w:pPr>
            <w:r>
              <w:rPr>
                <w:rFonts w:hint="eastAsia"/>
                <w:color w:val="000000"/>
                <w:sz w:val="22"/>
                <w:szCs w:val="22"/>
              </w:rPr>
              <w:t>002142</w:t>
            </w:r>
          </w:p>
        </w:tc>
        <w:tc>
          <w:tcPr>
            <w:tcW w:w="1418" w:type="dxa"/>
            <w:tcBorders>
              <w:bottom w:val="single" w:sz="4" w:space="0" w:color="auto"/>
            </w:tcBorders>
            <w:vAlign w:val="center"/>
          </w:tcPr>
          <w:p w14:paraId="39BEA6D8" w14:textId="41141833" w:rsidR="00FF0A4B" w:rsidRPr="000B1B3C" w:rsidRDefault="00FF0A4B" w:rsidP="00FF0A4B">
            <w:pPr>
              <w:widowControl/>
              <w:jc w:val="center"/>
              <w:rPr>
                <w:color w:val="595959"/>
                <w:sz w:val="18"/>
                <w:szCs w:val="18"/>
              </w:rPr>
            </w:pPr>
            <w:r>
              <w:rPr>
                <w:rFonts w:hint="eastAsia"/>
                <w:color w:val="000000"/>
                <w:sz w:val="22"/>
                <w:szCs w:val="22"/>
              </w:rPr>
              <w:t>宁波银行</w:t>
            </w:r>
          </w:p>
        </w:tc>
        <w:tc>
          <w:tcPr>
            <w:tcW w:w="1275" w:type="dxa"/>
            <w:tcBorders>
              <w:bottom w:val="single" w:sz="4" w:space="0" w:color="auto"/>
            </w:tcBorders>
            <w:vAlign w:val="center"/>
          </w:tcPr>
          <w:p w14:paraId="62136E07" w14:textId="526389F5" w:rsidR="00FF0A4B" w:rsidRPr="000B1B3C" w:rsidRDefault="00FF0A4B" w:rsidP="00FF0A4B">
            <w:pPr>
              <w:widowControl/>
              <w:jc w:val="center"/>
              <w:rPr>
                <w:color w:val="595959"/>
                <w:sz w:val="18"/>
                <w:szCs w:val="18"/>
              </w:rPr>
            </w:pPr>
            <w:r>
              <w:rPr>
                <w:rFonts w:hint="eastAsia"/>
                <w:color w:val="000000"/>
                <w:sz w:val="22"/>
                <w:szCs w:val="22"/>
              </w:rPr>
              <w:t>1500</w:t>
            </w:r>
          </w:p>
        </w:tc>
        <w:tc>
          <w:tcPr>
            <w:tcW w:w="1418" w:type="dxa"/>
            <w:tcBorders>
              <w:bottom w:val="single" w:sz="4" w:space="0" w:color="auto"/>
            </w:tcBorders>
            <w:vAlign w:val="center"/>
          </w:tcPr>
          <w:p w14:paraId="1E710046" w14:textId="3D4CB4F3" w:rsidR="00FF0A4B" w:rsidRDefault="00FF0A4B" w:rsidP="00FF0A4B">
            <w:pPr>
              <w:widowControl/>
              <w:jc w:val="center"/>
              <w:rPr>
                <w:rFonts w:ascii="宋体" w:hAnsi="宋体" w:cs="宋体"/>
                <w:color w:val="000000"/>
                <w:kern w:val="0"/>
                <w:sz w:val="24"/>
              </w:rPr>
            </w:pPr>
            <w:r>
              <w:rPr>
                <w:rFonts w:hint="eastAsia"/>
                <w:color w:val="000000"/>
                <w:sz w:val="22"/>
                <w:szCs w:val="22"/>
              </w:rPr>
              <w:t>允许</w:t>
            </w:r>
          </w:p>
        </w:tc>
        <w:tc>
          <w:tcPr>
            <w:tcW w:w="1701" w:type="dxa"/>
            <w:tcBorders>
              <w:bottom w:val="single" w:sz="4" w:space="0" w:color="auto"/>
            </w:tcBorders>
            <w:vAlign w:val="center"/>
          </w:tcPr>
          <w:p w14:paraId="70244F53" w14:textId="57B3F505" w:rsidR="00FF0A4B" w:rsidRDefault="00FF0A4B" w:rsidP="00FF0A4B">
            <w:pPr>
              <w:widowControl/>
              <w:jc w:val="center"/>
              <w:rPr>
                <w:rFonts w:ascii="宋体" w:hAnsi="宋体" w:cs="宋体"/>
                <w:color w:val="000000"/>
                <w:kern w:val="0"/>
                <w:sz w:val="24"/>
              </w:rPr>
            </w:pPr>
            <w:r>
              <w:rPr>
                <w:rFonts w:hint="eastAsia"/>
                <w:color w:val="000000"/>
                <w:sz w:val="22"/>
                <w:szCs w:val="22"/>
              </w:rPr>
              <w:t>15%</w:t>
            </w:r>
          </w:p>
        </w:tc>
        <w:tc>
          <w:tcPr>
            <w:tcW w:w="1417" w:type="dxa"/>
            <w:tcBorders>
              <w:top w:val="single" w:sz="4" w:space="0" w:color="auto"/>
              <w:left w:val="single" w:sz="4" w:space="0" w:color="auto"/>
              <w:bottom w:val="single" w:sz="4" w:space="0" w:color="auto"/>
              <w:right w:val="single" w:sz="4" w:space="0" w:color="auto"/>
            </w:tcBorders>
            <w:vAlign w:val="center"/>
          </w:tcPr>
          <w:p w14:paraId="3C041173" w14:textId="77777777" w:rsidR="00FF0A4B" w:rsidRDefault="00FF0A4B" w:rsidP="00FF0A4B">
            <w:pPr>
              <w:widowControl/>
              <w:jc w:val="center"/>
              <w:rPr>
                <w:rFonts w:ascii="宋体" w:hAnsi="宋体" w:cs="宋体"/>
                <w:color w:val="000000"/>
                <w:kern w:val="0"/>
                <w:sz w:val="24"/>
              </w:rPr>
            </w:pPr>
          </w:p>
        </w:tc>
      </w:tr>
      <w:tr w:rsidR="00FF0A4B" w14:paraId="2E448542" w14:textId="77777777" w:rsidTr="00607C40">
        <w:trPr>
          <w:trHeight w:val="285"/>
        </w:trPr>
        <w:tc>
          <w:tcPr>
            <w:tcW w:w="1276" w:type="dxa"/>
            <w:tcBorders>
              <w:bottom w:val="single" w:sz="4" w:space="0" w:color="auto"/>
            </w:tcBorders>
            <w:vAlign w:val="center"/>
          </w:tcPr>
          <w:p w14:paraId="3756A275" w14:textId="7A8B0793" w:rsidR="00FF0A4B" w:rsidRPr="000B1B3C" w:rsidRDefault="00FF0A4B" w:rsidP="00FF0A4B">
            <w:pPr>
              <w:widowControl/>
              <w:jc w:val="center"/>
              <w:rPr>
                <w:color w:val="595959"/>
                <w:sz w:val="18"/>
                <w:szCs w:val="18"/>
              </w:rPr>
            </w:pPr>
            <w:r>
              <w:rPr>
                <w:rFonts w:hint="eastAsia"/>
                <w:color w:val="000000"/>
                <w:sz w:val="22"/>
                <w:szCs w:val="22"/>
              </w:rPr>
              <w:t>002146</w:t>
            </w:r>
          </w:p>
        </w:tc>
        <w:tc>
          <w:tcPr>
            <w:tcW w:w="1418" w:type="dxa"/>
            <w:tcBorders>
              <w:bottom w:val="single" w:sz="4" w:space="0" w:color="auto"/>
            </w:tcBorders>
            <w:vAlign w:val="center"/>
          </w:tcPr>
          <w:p w14:paraId="11A323EC" w14:textId="3D3E2170" w:rsidR="00FF0A4B" w:rsidRPr="000B1B3C" w:rsidRDefault="00FF0A4B" w:rsidP="00FF0A4B">
            <w:pPr>
              <w:widowControl/>
              <w:jc w:val="center"/>
              <w:rPr>
                <w:color w:val="595959"/>
                <w:sz w:val="18"/>
                <w:szCs w:val="18"/>
              </w:rPr>
            </w:pPr>
            <w:r>
              <w:rPr>
                <w:rFonts w:hint="eastAsia"/>
                <w:color w:val="000000"/>
                <w:sz w:val="22"/>
                <w:szCs w:val="22"/>
              </w:rPr>
              <w:t>荣</w:t>
            </w:r>
            <w:proofErr w:type="gramStart"/>
            <w:r>
              <w:rPr>
                <w:rFonts w:hint="eastAsia"/>
                <w:color w:val="000000"/>
                <w:sz w:val="22"/>
                <w:szCs w:val="22"/>
              </w:rPr>
              <w:t>盛发展</w:t>
            </w:r>
            <w:proofErr w:type="gramEnd"/>
          </w:p>
        </w:tc>
        <w:tc>
          <w:tcPr>
            <w:tcW w:w="1275" w:type="dxa"/>
            <w:tcBorders>
              <w:bottom w:val="single" w:sz="4" w:space="0" w:color="auto"/>
            </w:tcBorders>
            <w:vAlign w:val="center"/>
          </w:tcPr>
          <w:p w14:paraId="3AA5CECE" w14:textId="6BEB08AC" w:rsidR="00FF0A4B" w:rsidRPr="000B1B3C" w:rsidRDefault="00FF0A4B" w:rsidP="00FF0A4B">
            <w:pPr>
              <w:widowControl/>
              <w:jc w:val="center"/>
              <w:rPr>
                <w:color w:val="595959"/>
                <w:sz w:val="18"/>
                <w:szCs w:val="18"/>
              </w:rPr>
            </w:pPr>
            <w:r>
              <w:rPr>
                <w:rFonts w:hint="eastAsia"/>
                <w:color w:val="000000"/>
                <w:sz w:val="22"/>
                <w:szCs w:val="22"/>
              </w:rPr>
              <w:t>1200</w:t>
            </w:r>
          </w:p>
        </w:tc>
        <w:tc>
          <w:tcPr>
            <w:tcW w:w="1418" w:type="dxa"/>
            <w:tcBorders>
              <w:bottom w:val="single" w:sz="4" w:space="0" w:color="auto"/>
            </w:tcBorders>
            <w:vAlign w:val="center"/>
          </w:tcPr>
          <w:p w14:paraId="05FB85EA" w14:textId="70775A1A" w:rsidR="00FF0A4B" w:rsidRDefault="00FF0A4B" w:rsidP="00FF0A4B">
            <w:pPr>
              <w:widowControl/>
              <w:jc w:val="center"/>
              <w:rPr>
                <w:rFonts w:ascii="宋体" w:hAnsi="宋体" w:cs="宋体"/>
                <w:color w:val="000000"/>
                <w:kern w:val="0"/>
                <w:sz w:val="24"/>
              </w:rPr>
            </w:pPr>
            <w:r>
              <w:rPr>
                <w:rFonts w:hint="eastAsia"/>
                <w:color w:val="000000"/>
                <w:sz w:val="22"/>
                <w:szCs w:val="22"/>
              </w:rPr>
              <w:t>允许</w:t>
            </w:r>
          </w:p>
        </w:tc>
        <w:tc>
          <w:tcPr>
            <w:tcW w:w="1701" w:type="dxa"/>
            <w:tcBorders>
              <w:bottom w:val="single" w:sz="4" w:space="0" w:color="auto"/>
            </w:tcBorders>
            <w:vAlign w:val="center"/>
          </w:tcPr>
          <w:p w14:paraId="1D4D03A7" w14:textId="7FB15830" w:rsidR="00FF0A4B" w:rsidRDefault="00FF0A4B" w:rsidP="00FF0A4B">
            <w:pPr>
              <w:widowControl/>
              <w:jc w:val="center"/>
              <w:rPr>
                <w:rFonts w:ascii="宋体" w:hAnsi="宋体" w:cs="宋体"/>
                <w:color w:val="000000"/>
                <w:kern w:val="0"/>
                <w:sz w:val="24"/>
              </w:rPr>
            </w:pPr>
            <w:r>
              <w:rPr>
                <w:rFonts w:hint="eastAsia"/>
                <w:color w:val="000000"/>
                <w:sz w:val="22"/>
                <w:szCs w:val="22"/>
              </w:rPr>
              <w:t>15%</w:t>
            </w:r>
          </w:p>
        </w:tc>
        <w:tc>
          <w:tcPr>
            <w:tcW w:w="1417" w:type="dxa"/>
            <w:tcBorders>
              <w:top w:val="single" w:sz="4" w:space="0" w:color="auto"/>
              <w:left w:val="single" w:sz="4" w:space="0" w:color="auto"/>
              <w:bottom w:val="single" w:sz="4" w:space="0" w:color="auto"/>
              <w:right w:val="single" w:sz="4" w:space="0" w:color="auto"/>
            </w:tcBorders>
            <w:vAlign w:val="center"/>
          </w:tcPr>
          <w:p w14:paraId="2E91E680" w14:textId="77777777" w:rsidR="00FF0A4B" w:rsidRDefault="00FF0A4B" w:rsidP="00FF0A4B">
            <w:pPr>
              <w:widowControl/>
              <w:jc w:val="center"/>
              <w:rPr>
                <w:rFonts w:ascii="宋体" w:hAnsi="宋体" w:cs="宋体"/>
                <w:color w:val="000000"/>
                <w:kern w:val="0"/>
                <w:sz w:val="24"/>
              </w:rPr>
            </w:pPr>
          </w:p>
        </w:tc>
      </w:tr>
      <w:tr w:rsidR="00FF0A4B" w14:paraId="107F5914" w14:textId="77777777" w:rsidTr="00607C40">
        <w:trPr>
          <w:trHeight w:val="285"/>
        </w:trPr>
        <w:tc>
          <w:tcPr>
            <w:tcW w:w="1276" w:type="dxa"/>
            <w:tcBorders>
              <w:bottom w:val="single" w:sz="4" w:space="0" w:color="auto"/>
            </w:tcBorders>
            <w:vAlign w:val="center"/>
          </w:tcPr>
          <w:p w14:paraId="15B8F6C4" w14:textId="49AC6241" w:rsidR="00FF0A4B" w:rsidRPr="000B1B3C" w:rsidRDefault="00FF0A4B" w:rsidP="00FF0A4B">
            <w:pPr>
              <w:widowControl/>
              <w:jc w:val="center"/>
              <w:rPr>
                <w:color w:val="595959"/>
                <w:sz w:val="18"/>
                <w:szCs w:val="18"/>
              </w:rPr>
            </w:pPr>
            <w:r>
              <w:rPr>
                <w:rFonts w:hint="eastAsia"/>
                <w:color w:val="000000"/>
                <w:sz w:val="22"/>
                <w:szCs w:val="22"/>
              </w:rPr>
              <w:t>002152</w:t>
            </w:r>
          </w:p>
        </w:tc>
        <w:tc>
          <w:tcPr>
            <w:tcW w:w="1418" w:type="dxa"/>
            <w:tcBorders>
              <w:bottom w:val="single" w:sz="4" w:space="0" w:color="auto"/>
            </w:tcBorders>
            <w:vAlign w:val="center"/>
          </w:tcPr>
          <w:p w14:paraId="73DF831C" w14:textId="050BBC5D" w:rsidR="00FF0A4B" w:rsidRPr="000B1B3C" w:rsidRDefault="00FF0A4B" w:rsidP="00FF0A4B">
            <w:pPr>
              <w:widowControl/>
              <w:jc w:val="center"/>
              <w:rPr>
                <w:color w:val="595959"/>
                <w:sz w:val="18"/>
                <w:szCs w:val="18"/>
              </w:rPr>
            </w:pPr>
            <w:r>
              <w:rPr>
                <w:rFonts w:hint="eastAsia"/>
                <w:color w:val="000000"/>
                <w:sz w:val="22"/>
                <w:szCs w:val="22"/>
              </w:rPr>
              <w:t>广电运通</w:t>
            </w:r>
          </w:p>
        </w:tc>
        <w:tc>
          <w:tcPr>
            <w:tcW w:w="1275" w:type="dxa"/>
            <w:tcBorders>
              <w:bottom w:val="single" w:sz="4" w:space="0" w:color="auto"/>
            </w:tcBorders>
            <w:vAlign w:val="center"/>
          </w:tcPr>
          <w:p w14:paraId="60B5B511" w14:textId="4B3AF78C" w:rsidR="00FF0A4B" w:rsidRPr="000B1B3C" w:rsidRDefault="00FF0A4B" w:rsidP="00FF0A4B">
            <w:pPr>
              <w:widowControl/>
              <w:jc w:val="center"/>
              <w:rPr>
                <w:color w:val="595959"/>
                <w:sz w:val="18"/>
                <w:szCs w:val="18"/>
              </w:rPr>
            </w:pPr>
            <w:r>
              <w:rPr>
                <w:rFonts w:hint="eastAsia"/>
                <w:color w:val="000000"/>
                <w:sz w:val="22"/>
                <w:szCs w:val="22"/>
              </w:rPr>
              <w:t>700</w:t>
            </w:r>
          </w:p>
        </w:tc>
        <w:tc>
          <w:tcPr>
            <w:tcW w:w="1418" w:type="dxa"/>
            <w:tcBorders>
              <w:bottom w:val="single" w:sz="4" w:space="0" w:color="auto"/>
            </w:tcBorders>
            <w:vAlign w:val="center"/>
          </w:tcPr>
          <w:p w14:paraId="35F03C98" w14:textId="5F039286" w:rsidR="00FF0A4B" w:rsidRDefault="00FF0A4B" w:rsidP="00FF0A4B">
            <w:pPr>
              <w:widowControl/>
              <w:jc w:val="center"/>
              <w:rPr>
                <w:rFonts w:ascii="宋体" w:hAnsi="宋体" w:cs="宋体"/>
                <w:color w:val="000000"/>
                <w:kern w:val="0"/>
                <w:sz w:val="24"/>
              </w:rPr>
            </w:pPr>
            <w:r>
              <w:rPr>
                <w:rFonts w:hint="eastAsia"/>
                <w:color w:val="000000"/>
                <w:sz w:val="22"/>
                <w:szCs w:val="22"/>
              </w:rPr>
              <w:t>允许</w:t>
            </w:r>
          </w:p>
        </w:tc>
        <w:tc>
          <w:tcPr>
            <w:tcW w:w="1701" w:type="dxa"/>
            <w:tcBorders>
              <w:bottom w:val="single" w:sz="4" w:space="0" w:color="auto"/>
            </w:tcBorders>
            <w:vAlign w:val="center"/>
          </w:tcPr>
          <w:p w14:paraId="5C5170E1" w14:textId="07FC6A36" w:rsidR="00FF0A4B" w:rsidRDefault="00FF0A4B" w:rsidP="00FF0A4B">
            <w:pPr>
              <w:widowControl/>
              <w:jc w:val="center"/>
              <w:rPr>
                <w:rFonts w:ascii="宋体" w:hAnsi="宋体" w:cs="宋体"/>
                <w:color w:val="000000"/>
                <w:kern w:val="0"/>
                <w:sz w:val="24"/>
              </w:rPr>
            </w:pPr>
            <w:r>
              <w:rPr>
                <w:rFonts w:hint="eastAsia"/>
                <w:color w:val="000000"/>
                <w:sz w:val="22"/>
                <w:szCs w:val="22"/>
              </w:rPr>
              <w:t>15%</w:t>
            </w:r>
          </w:p>
        </w:tc>
        <w:tc>
          <w:tcPr>
            <w:tcW w:w="1417" w:type="dxa"/>
            <w:tcBorders>
              <w:top w:val="single" w:sz="4" w:space="0" w:color="auto"/>
              <w:left w:val="single" w:sz="4" w:space="0" w:color="auto"/>
              <w:bottom w:val="single" w:sz="4" w:space="0" w:color="auto"/>
              <w:right w:val="single" w:sz="4" w:space="0" w:color="auto"/>
            </w:tcBorders>
            <w:vAlign w:val="center"/>
          </w:tcPr>
          <w:p w14:paraId="3B644387" w14:textId="77777777" w:rsidR="00FF0A4B" w:rsidRDefault="00FF0A4B" w:rsidP="00FF0A4B">
            <w:pPr>
              <w:widowControl/>
              <w:jc w:val="center"/>
              <w:rPr>
                <w:rFonts w:ascii="宋体" w:hAnsi="宋体" w:cs="宋体"/>
                <w:color w:val="000000"/>
                <w:kern w:val="0"/>
                <w:sz w:val="24"/>
              </w:rPr>
            </w:pPr>
          </w:p>
        </w:tc>
      </w:tr>
      <w:tr w:rsidR="00FF0A4B" w14:paraId="02B86544" w14:textId="77777777" w:rsidTr="00607C40">
        <w:trPr>
          <w:trHeight w:val="285"/>
        </w:trPr>
        <w:tc>
          <w:tcPr>
            <w:tcW w:w="1276" w:type="dxa"/>
            <w:tcBorders>
              <w:bottom w:val="single" w:sz="4" w:space="0" w:color="auto"/>
            </w:tcBorders>
            <w:vAlign w:val="center"/>
          </w:tcPr>
          <w:p w14:paraId="00890F3D" w14:textId="3CF7E5FA" w:rsidR="00FF0A4B" w:rsidRPr="000B1B3C" w:rsidRDefault="00FF0A4B" w:rsidP="00FF0A4B">
            <w:pPr>
              <w:widowControl/>
              <w:jc w:val="center"/>
              <w:rPr>
                <w:color w:val="595959"/>
                <w:sz w:val="18"/>
                <w:szCs w:val="18"/>
              </w:rPr>
            </w:pPr>
            <w:r>
              <w:rPr>
                <w:rFonts w:hint="eastAsia"/>
                <w:color w:val="000000"/>
                <w:sz w:val="22"/>
                <w:szCs w:val="22"/>
              </w:rPr>
              <w:t>002185</w:t>
            </w:r>
          </w:p>
        </w:tc>
        <w:tc>
          <w:tcPr>
            <w:tcW w:w="1418" w:type="dxa"/>
            <w:tcBorders>
              <w:bottom w:val="single" w:sz="4" w:space="0" w:color="auto"/>
            </w:tcBorders>
            <w:vAlign w:val="center"/>
          </w:tcPr>
          <w:p w14:paraId="251A48C4" w14:textId="32CFF8C2" w:rsidR="00FF0A4B" w:rsidRPr="000B1B3C" w:rsidRDefault="00FF0A4B" w:rsidP="00FF0A4B">
            <w:pPr>
              <w:widowControl/>
              <w:jc w:val="center"/>
              <w:rPr>
                <w:color w:val="595959"/>
                <w:sz w:val="18"/>
                <w:szCs w:val="18"/>
              </w:rPr>
            </w:pPr>
            <w:r>
              <w:rPr>
                <w:rFonts w:hint="eastAsia"/>
                <w:color w:val="000000"/>
                <w:sz w:val="22"/>
                <w:szCs w:val="22"/>
              </w:rPr>
              <w:t>华天科技</w:t>
            </w:r>
          </w:p>
        </w:tc>
        <w:tc>
          <w:tcPr>
            <w:tcW w:w="1275" w:type="dxa"/>
            <w:tcBorders>
              <w:bottom w:val="single" w:sz="4" w:space="0" w:color="auto"/>
            </w:tcBorders>
            <w:vAlign w:val="center"/>
          </w:tcPr>
          <w:p w14:paraId="7C66441E" w14:textId="25735A81" w:rsidR="00FF0A4B" w:rsidRPr="000B1B3C" w:rsidRDefault="00FF0A4B" w:rsidP="00FF0A4B">
            <w:pPr>
              <w:widowControl/>
              <w:jc w:val="center"/>
              <w:rPr>
                <w:color w:val="595959"/>
                <w:sz w:val="18"/>
                <w:szCs w:val="18"/>
              </w:rPr>
            </w:pPr>
            <w:r>
              <w:rPr>
                <w:rFonts w:hint="eastAsia"/>
                <w:color w:val="000000"/>
                <w:sz w:val="22"/>
                <w:szCs w:val="22"/>
              </w:rPr>
              <w:t>1100</w:t>
            </w:r>
          </w:p>
        </w:tc>
        <w:tc>
          <w:tcPr>
            <w:tcW w:w="1418" w:type="dxa"/>
            <w:tcBorders>
              <w:bottom w:val="single" w:sz="4" w:space="0" w:color="auto"/>
            </w:tcBorders>
            <w:vAlign w:val="center"/>
          </w:tcPr>
          <w:p w14:paraId="7A503216" w14:textId="6E12EBB9" w:rsidR="00FF0A4B" w:rsidRDefault="00FF0A4B" w:rsidP="00FF0A4B">
            <w:pPr>
              <w:widowControl/>
              <w:jc w:val="center"/>
              <w:rPr>
                <w:rFonts w:ascii="宋体" w:hAnsi="宋体" w:cs="宋体"/>
                <w:color w:val="000000"/>
                <w:kern w:val="0"/>
                <w:sz w:val="24"/>
              </w:rPr>
            </w:pPr>
            <w:r>
              <w:rPr>
                <w:rFonts w:hint="eastAsia"/>
                <w:color w:val="000000"/>
                <w:sz w:val="22"/>
                <w:szCs w:val="22"/>
              </w:rPr>
              <w:t>允许</w:t>
            </w:r>
          </w:p>
        </w:tc>
        <w:tc>
          <w:tcPr>
            <w:tcW w:w="1701" w:type="dxa"/>
            <w:tcBorders>
              <w:bottom w:val="single" w:sz="4" w:space="0" w:color="auto"/>
            </w:tcBorders>
            <w:vAlign w:val="center"/>
          </w:tcPr>
          <w:p w14:paraId="719E6FE6" w14:textId="3BFC99CF" w:rsidR="00FF0A4B" w:rsidRDefault="00FF0A4B" w:rsidP="00FF0A4B">
            <w:pPr>
              <w:widowControl/>
              <w:jc w:val="center"/>
              <w:rPr>
                <w:rFonts w:ascii="宋体" w:hAnsi="宋体" w:cs="宋体"/>
                <w:color w:val="000000"/>
                <w:kern w:val="0"/>
                <w:sz w:val="24"/>
              </w:rPr>
            </w:pPr>
            <w:r>
              <w:rPr>
                <w:rFonts w:hint="eastAsia"/>
                <w:color w:val="000000"/>
                <w:sz w:val="22"/>
                <w:szCs w:val="22"/>
              </w:rPr>
              <w:t>15%</w:t>
            </w:r>
          </w:p>
        </w:tc>
        <w:tc>
          <w:tcPr>
            <w:tcW w:w="1417" w:type="dxa"/>
            <w:tcBorders>
              <w:top w:val="single" w:sz="4" w:space="0" w:color="auto"/>
              <w:left w:val="single" w:sz="4" w:space="0" w:color="auto"/>
              <w:bottom w:val="single" w:sz="4" w:space="0" w:color="auto"/>
              <w:right w:val="single" w:sz="4" w:space="0" w:color="auto"/>
            </w:tcBorders>
            <w:vAlign w:val="center"/>
          </w:tcPr>
          <w:p w14:paraId="6637B8C6" w14:textId="77777777" w:rsidR="00FF0A4B" w:rsidRDefault="00FF0A4B" w:rsidP="00FF0A4B">
            <w:pPr>
              <w:widowControl/>
              <w:jc w:val="center"/>
              <w:rPr>
                <w:rFonts w:ascii="宋体" w:hAnsi="宋体" w:cs="宋体"/>
                <w:color w:val="000000"/>
                <w:kern w:val="0"/>
                <w:sz w:val="24"/>
              </w:rPr>
            </w:pPr>
          </w:p>
        </w:tc>
      </w:tr>
      <w:tr w:rsidR="00FF0A4B" w14:paraId="2FCDCC5D" w14:textId="77777777" w:rsidTr="00607C40">
        <w:trPr>
          <w:trHeight w:val="285"/>
        </w:trPr>
        <w:tc>
          <w:tcPr>
            <w:tcW w:w="1276" w:type="dxa"/>
            <w:tcBorders>
              <w:bottom w:val="single" w:sz="4" w:space="0" w:color="auto"/>
            </w:tcBorders>
            <w:vAlign w:val="center"/>
          </w:tcPr>
          <w:p w14:paraId="7711934D" w14:textId="38BAE851" w:rsidR="00FF0A4B" w:rsidRPr="000B1B3C" w:rsidRDefault="00FF0A4B" w:rsidP="00FF0A4B">
            <w:pPr>
              <w:widowControl/>
              <w:jc w:val="center"/>
              <w:rPr>
                <w:color w:val="595959"/>
                <w:sz w:val="18"/>
                <w:szCs w:val="18"/>
              </w:rPr>
            </w:pPr>
            <w:r>
              <w:rPr>
                <w:rFonts w:hint="eastAsia"/>
                <w:color w:val="000000"/>
                <w:sz w:val="22"/>
                <w:szCs w:val="22"/>
              </w:rPr>
              <w:t>002191</w:t>
            </w:r>
          </w:p>
        </w:tc>
        <w:tc>
          <w:tcPr>
            <w:tcW w:w="1418" w:type="dxa"/>
            <w:tcBorders>
              <w:bottom w:val="single" w:sz="4" w:space="0" w:color="auto"/>
            </w:tcBorders>
            <w:vAlign w:val="center"/>
          </w:tcPr>
          <w:p w14:paraId="784CFA9D" w14:textId="477C41FD" w:rsidR="00FF0A4B" w:rsidRPr="000B1B3C" w:rsidRDefault="00FF0A4B" w:rsidP="00FF0A4B">
            <w:pPr>
              <w:widowControl/>
              <w:jc w:val="center"/>
              <w:rPr>
                <w:color w:val="595959"/>
                <w:sz w:val="18"/>
                <w:szCs w:val="18"/>
              </w:rPr>
            </w:pPr>
            <w:proofErr w:type="gramStart"/>
            <w:r>
              <w:rPr>
                <w:rFonts w:hint="eastAsia"/>
                <w:color w:val="000000"/>
                <w:sz w:val="22"/>
                <w:szCs w:val="22"/>
              </w:rPr>
              <w:t>劲嘉股份</w:t>
            </w:r>
            <w:proofErr w:type="gramEnd"/>
          </w:p>
        </w:tc>
        <w:tc>
          <w:tcPr>
            <w:tcW w:w="1275" w:type="dxa"/>
            <w:tcBorders>
              <w:bottom w:val="single" w:sz="4" w:space="0" w:color="auto"/>
            </w:tcBorders>
            <w:vAlign w:val="center"/>
          </w:tcPr>
          <w:p w14:paraId="3C3763BA" w14:textId="61D62EE2" w:rsidR="00FF0A4B" w:rsidRPr="000B1B3C" w:rsidRDefault="00FF0A4B" w:rsidP="00FF0A4B">
            <w:pPr>
              <w:widowControl/>
              <w:jc w:val="center"/>
              <w:rPr>
                <w:color w:val="595959"/>
                <w:sz w:val="18"/>
                <w:szCs w:val="18"/>
              </w:rPr>
            </w:pPr>
            <w:r>
              <w:rPr>
                <w:rFonts w:hint="eastAsia"/>
                <w:color w:val="000000"/>
                <w:sz w:val="22"/>
                <w:szCs w:val="22"/>
              </w:rPr>
              <w:t>600</w:t>
            </w:r>
          </w:p>
        </w:tc>
        <w:tc>
          <w:tcPr>
            <w:tcW w:w="1418" w:type="dxa"/>
            <w:tcBorders>
              <w:bottom w:val="single" w:sz="4" w:space="0" w:color="auto"/>
            </w:tcBorders>
            <w:vAlign w:val="center"/>
          </w:tcPr>
          <w:p w14:paraId="33F9B8CD" w14:textId="329DCCBC" w:rsidR="00FF0A4B" w:rsidRDefault="00FF0A4B" w:rsidP="00FF0A4B">
            <w:pPr>
              <w:widowControl/>
              <w:jc w:val="center"/>
              <w:rPr>
                <w:rFonts w:ascii="宋体" w:hAnsi="宋体" w:cs="宋体"/>
                <w:color w:val="000000"/>
                <w:kern w:val="0"/>
                <w:sz w:val="24"/>
              </w:rPr>
            </w:pPr>
            <w:r>
              <w:rPr>
                <w:rFonts w:hint="eastAsia"/>
                <w:color w:val="000000"/>
                <w:sz w:val="22"/>
                <w:szCs w:val="22"/>
              </w:rPr>
              <w:t>允许</w:t>
            </w:r>
          </w:p>
        </w:tc>
        <w:tc>
          <w:tcPr>
            <w:tcW w:w="1701" w:type="dxa"/>
            <w:tcBorders>
              <w:bottom w:val="single" w:sz="4" w:space="0" w:color="auto"/>
            </w:tcBorders>
            <w:vAlign w:val="center"/>
          </w:tcPr>
          <w:p w14:paraId="0E336F56" w14:textId="7EF18651" w:rsidR="00FF0A4B" w:rsidRDefault="00FF0A4B" w:rsidP="00FF0A4B">
            <w:pPr>
              <w:widowControl/>
              <w:jc w:val="center"/>
              <w:rPr>
                <w:rFonts w:ascii="宋体" w:hAnsi="宋体" w:cs="宋体"/>
                <w:color w:val="000000"/>
                <w:kern w:val="0"/>
                <w:sz w:val="24"/>
              </w:rPr>
            </w:pPr>
            <w:r>
              <w:rPr>
                <w:rFonts w:hint="eastAsia"/>
                <w:color w:val="000000"/>
                <w:sz w:val="22"/>
                <w:szCs w:val="22"/>
              </w:rPr>
              <w:t>15%</w:t>
            </w:r>
          </w:p>
        </w:tc>
        <w:tc>
          <w:tcPr>
            <w:tcW w:w="1417" w:type="dxa"/>
            <w:tcBorders>
              <w:top w:val="single" w:sz="4" w:space="0" w:color="auto"/>
              <w:left w:val="single" w:sz="4" w:space="0" w:color="auto"/>
              <w:bottom w:val="single" w:sz="4" w:space="0" w:color="auto"/>
              <w:right w:val="single" w:sz="4" w:space="0" w:color="auto"/>
            </w:tcBorders>
            <w:vAlign w:val="center"/>
          </w:tcPr>
          <w:p w14:paraId="6642E811" w14:textId="77777777" w:rsidR="00FF0A4B" w:rsidRDefault="00FF0A4B" w:rsidP="00FF0A4B">
            <w:pPr>
              <w:widowControl/>
              <w:jc w:val="center"/>
              <w:rPr>
                <w:rFonts w:ascii="宋体" w:hAnsi="宋体" w:cs="宋体"/>
                <w:color w:val="000000"/>
                <w:kern w:val="0"/>
                <w:sz w:val="24"/>
              </w:rPr>
            </w:pPr>
          </w:p>
        </w:tc>
      </w:tr>
      <w:tr w:rsidR="00FF0A4B" w14:paraId="244F41BE" w14:textId="77777777" w:rsidTr="00607C40">
        <w:trPr>
          <w:trHeight w:val="285"/>
        </w:trPr>
        <w:tc>
          <w:tcPr>
            <w:tcW w:w="1276" w:type="dxa"/>
            <w:tcBorders>
              <w:bottom w:val="single" w:sz="4" w:space="0" w:color="auto"/>
            </w:tcBorders>
            <w:vAlign w:val="center"/>
          </w:tcPr>
          <w:p w14:paraId="0525CCC0" w14:textId="25229290" w:rsidR="00FF0A4B" w:rsidRPr="000B1B3C" w:rsidRDefault="00FF0A4B" w:rsidP="00FF0A4B">
            <w:pPr>
              <w:widowControl/>
              <w:jc w:val="center"/>
              <w:rPr>
                <w:color w:val="595959"/>
                <w:sz w:val="18"/>
                <w:szCs w:val="18"/>
              </w:rPr>
            </w:pPr>
            <w:r>
              <w:rPr>
                <w:rFonts w:hint="eastAsia"/>
                <w:color w:val="000000"/>
                <w:sz w:val="22"/>
                <w:szCs w:val="22"/>
              </w:rPr>
              <w:t>002202</w:t>
            </w:r>
          </w:p>
        </w:tc>
        <w:tc>
          <w:tcPr>
            <w:tcW w:w="1418" w:type="dxa"/>
            <w:tcBorders>
              <w:bottom w:val="single" w:sz="4" w:space="0" w:color="auto"/>
            </w:tcBorders>
            <w:vAlign w:val="center"/>
          </w:tcPr>
          <w:p w14:paraId="162CA7BC" w14:textId="2CC93982" w:rsidR="00FF0A4B" w:rsidRPr="000B1B3C" w:rsidRDefault="00FF0A4B" w:rsidP="00FF0A4B">
            <w:pPr>
              <w:widowControl/>
              <w:jc w:val="center"/>
              <w:rPr>
                <w:color w:val="595959"/>
                <w:sz w:val="18"/>
                <w:szCs w:val="18"/>
              </w:rPr>
            </w:pPr>
            <w:r>
              <w:rPr>
                <w:rFonts w:hint="eastAsia"/>
                <w:color w:val="000000"/>
                <w:sz w:val="22"/>
                <w:szCs w:val="22"/>
              </w:rPr>
              <w:t>金风科技</w:t>
            </w:r>
          </w:p>
        </w:tc>
        <w:tc>
          <w:tcPr>
            <w:tcW w:w="1275" w:type="dxa"/>
            <w:tcBorders>
              <w:bottom w:val="single" w:sz="4" w:space="0" w:color="auto"/>
            </w:tcBorders>
            <w:vAlign w:val="center"/>
          </w:tcPr>
          <w:p w14:paraId="4A2BA3CC" w14:textId="0076B743" w:rsidR="00FF0A4B" w:rsidRPr="000B1B3C" w:rsidRDefault="00FF0A4B" w:rsidP="00FF0A4B">
            <w:pPr>
              <w:widowControl/>
              <w:jc w:val="center"/>
              <w:rPr>
                <w:color w:val="595959"/>
                <w:sz w:val="18"/>
                <w:szCs w:val="18"/>
              </w:rPr>
            </w:pPr>
            <w:r>
              <w:rPr>
                <w:rFonts w:hint="eastAsia"/>
                <w:color w:val="000000"/>
                <w:sz w:val="22"/>
                <w:szCs w:val="22"/>
              </w:rPr>
              <w:t>1400</w:t>
            </w:r>
          </w:p>
        </w:tc>
        <w:tc>
          <w:tcPr>
            <w:tcW w:w="1418" w:type="dxa"/>
            <w:tcBorders>
              <w:bottom w:val="single" w:sz="4" w:space="0" w:color="auto"/>
            </w:tcBorders>
            <w:vAlign w:val="center"/>
          </w:tcPr>
          <w:p w14:paraId="0737B469" w14:textId="5A89013B" w:rsidR="00FF0A4B" w:rsidRDefault="00FF0A4B" w:rsidP="00FF0A4B">
            <w:pPr>
              <w:widowControl/>
              <w:jc w:val="center"/>
              <w:rPr>
                <w:rFonts w:ascii="宋体" w:hAnsi="宋体" w:cs="宋体"/>
                <w:color w:val="000000"/>
                <w:kern w:val="0"/>
                <w:sz w:val="24"/>
              </w:rPr>
            </w:pPr>
            <w:r>
              <w:rPr>
                <w:rFonts w:hint="eastAsia"/>
                <w:color w:val="000000"/>
                <w:sz w:val="22"/>
                <w:szCs w:val="22"/>
              </w:rPr>
              <w:t>允许</w:t>
            </w:r>
          </w:p>
        </w:tc>
        <w:tc>
          <w:tcPr>
            <w:tcW w:w="1701" w:type="dxa"/>
            <w:tcBorders>
              <w:bottom w:val="single" w:sz="4" w:space="0" w:color="auto"/>
            </w:tcBorders>
            <w:vAlign w:val="center"/>
          </w:tcPr>
          <w:p w14:paraId="7F10D7D0" w14:textId="27B240E4" w:rsidR="00FF0A4B" w:rsidRDefault="00FF0A4B" w:rsidP="00FF0A4B">
            <w:pPr>
              <w:widowControl/>
              <w:jc w:val="center"/>
              <w:rPr>
                <w:rFonts w:ascii="宋体" w:hAnsi="宋体" w:cs="宋体"/>
                <w:color w:val="000000"/>
                <w:kern w:val="0"/>
                <w:sz w:val="24"/>
              </w:rPr>
            </w:pPr>
            <w:r>
              <w:rPr>
                <w:rFonts w:hint="eastAsia"/>
                <w:color w:val="000000"/>
                <w:sz w:val="22"/>
                <w:szCs w:val="22"/>
              </w:rPr>
              <w:t>15%</w:t>
            </w:r>
          </w:p>
        </w:tc>
        <w:tc>
          <w:tcPr>
            <w:tcW w:w="1417" w:type="dxa"/>
            <w:tcBorders>
              <w:top w:val="single" w:sz="4" w:space="0" w:color="auto"/>
              <w:left w:val="single" w:sz="4" w:space="0" w:color="auto"/>
              <w:bottom w:val="single" w:sz="4" w:space="0" w:color="auto"/>
              <w:right w:val="single" w:sz="4" w:space="0" w:color="auto"/>
            </w:tcBorders>
            <w:vAlign w:val="center"/>
          </w:tcPr>
          <w:p w14:paraId="44344531" w14:textId="77777777" w:rsidR="00FF0A4B" w:rsidRDefault="00FF0A4B" w:rsidP="00FF0A4B">
            <w:pPr>
              <w:widowControl/>
              <w:jc w:val="center"/>
              <w:rPr>
                <w:rFonts w:ascii="宋体" w:hAnsi="宋体" w:cs="宋体"/>
                <w:color w:val="000000"/>
                <w:kern w:val="0"/>
                <w:sz w:val="24"/>
              </w:rPr>
            </w:pPr>
          </w:p>
        </w:tc>
      </w:tr>
      <w:tr w:rsidR="00FF0A4B" w14:paraId="498B8FAC" w14:textId="77777777" w:rsidTr="00607C40">
        <w:trPr>
          <w:trHeight w:val="285"/>
        </w:trPr>
        <w:tc>
          <w:tcPr>
            <w:tcW w:w="1276" w:type="dxa"/>
            <w:tcBorders>
              <w:bottom w:val="single" w:sz="4" w:space="0" w:color="auto"/>
            </w:tcBorders>
            <w:vAlign w:val="center"/>
          </w:tcPr>
          <w:p w14:paraId="0F99E0CE" w14:textId="7982EBBD" w:rsidR="00FF0A4B" w:rsidRPr="000B1B3C" w:rsidRDefault="00FF0A4B" w:rsidP="00FF0A4B">
            <w:pPr>
              <w:widowControl/>
              <w:jc w:val="center"/>
              <w:rPr>
                <w:color w:val="595959"/>
                <w:sz w:val="18"/>
                <w:szCs w:val="18"/>
              </w:rPr>
            </w:pPr>
            <w:r>
              <w:rPr>
                <w:rFonts w:hint="eastAsia"/>
                <w:color w:val="000000"/>
                <w:sz w:val="22"/>
                <w:szCs w:val="22"/>
              </w:rPr>
              <w:t>002285</w:t>
            </w:r>
          </w:p>
        </w:tc>
        <w:tc>
          <w:tcPr>
            <w:tcW w:w="1418" w:type="dxa"/>
            <w:tcBorders>
              <w:bottom w:val="single" w:sz="4" w:space="0" w:color="auto"/>
            </w:tcBorders>
            <w:vAlign w:val="center"/>
          </w:tcPr>
          <w:p w14:paraId="1D51FCF4" w14:textId="7F3EC1AF" w:rsidR="00FF0A4B" w:rsidRPr="000B1B3C" w:rsidRDefault="00FF0A4B" w:rsidP="00FF0A4B">
            <w:pPr>
              <w:widowControl/>
              <w:jc w:val="center"/>
              <w:rPr>
                <w:color w:val="595959"/>
                <w:sz w:val="18"/>
                <w:szCs w:val="18"/>
              </w:rPr>
            </w:pPr>
            <w:proofErr w:type="gramStart"/>
            <w:r>
              <w:rPr>
                <w:rFonts w:hint="eastAsia"/>
                <w:color w:val="000000"/>
                <w:sz w:val="22"/>
                <w:szCs w:val="22"/>
              </w:rPr>
              <w:t>世</w:t>
            </w:r>
            <w:proofErr w:type="gramEnd"/>
            <w:r>
              <w:rPr>
                <w:rFonts w:hint="eastAsia"/>
                <w:color w:val="000000"/>
                <w:sz w:val="22"/>
                <w:szCs w:val="22"/>
              </w:rPr>
              <w:t>联行</w:t>
            </w:r>
          </w:p>
        </w:tc>
        <w:tc>
          <w:tcPr>
            <w:tcW w:w="1275" w:type="dxa"/>
            <w:tcBorders>
              <w:bottom w:val="single" w:sz="4" w:space="0" w:color="auto"/>
            </w:tcBorders>
            <w:vAlign w:val="center"/>
          </w:tcPr>
          <w:p w14:paraId="6D61E65E" w14:textId="06D97FA9" w:rsidR="00FF0A4B" w:rsidRPr="000B1B3C" w:rsidRDefault="00FF0A4B" w:rsidP="00FF0A4B">
            <w:pPr>
              <w:widowControl/>
              <w:jc w:val="center"/>
              <w:rPr>
                <w:color w:val="595959"/>
                <w:sz w:val="18"/>
                <w:szCs w:val="18"/>
              </w:rPr>
            </w:pPr>
            <w:r>
              <w:rPr>
                <w:rFonts w:hint="eastAsia"/>
                <w:color w:val="000000"/>
                <w:sz w:val="22"/>
                <w:szCs w:val="22"/>
              </w:rPr>
              <w:t>700</w:t>
            </w:r>
          </w:p>
        </w:tc>
        <w:tc>
          <w:tcPr>
            <w:tcW w:w="1418" w:type="dxa"/>
            <w:tcBorders>
              <w:bottom w:val="single" w:sz="4" w:space="0" w:color="auto"/>
            </w:tcBorders>
            <w:vAlign w:val="center"/>
          </w:tcPr>
          <w:p w14:paraId="5FCF9A29" w14:textId="53332D1F" w:rsidR="00FF0A4B" w:rsidRDefault="00FF0A4B" w:rsidP="00FF0A4B">
            <w:pPr>
              <w:widowControl/>
              <w:jc w:val="center"/>
              <w:rPr>
                <w:rFonts w:ascii="宋体" w:hAnsi="宋体" w:cs="宋体"/>
                <w:color w:val="000000"/>
                <w:kern w:val="0"/>
                <w:sz w:val="24"/>
              </w:rPr>
            </w:pPr>
            <w:r>
              <w:rPr>
                <w:rFonts w:hint="eastAsia"/>
                <w:color w:val="000000"/>
                <w:sz w:val="22"/>
                <w:szCs w:val="22"/>
              </w:rPr>
              <w:t>允许</w:t>
            </w:r>
          </w:p>
        </w:tc>
        <w:tc>
          <w:tcPr>
            <w:tcW w:w="1701" w:type="dxa"/>
            <w:tcBorders>
              <w:bottom w:val="single" w:sz="4" w:space="0" w:color="auto"/>
            </w:tcBorders>
            <w:vAlign w:val="center"/>
          </w:tcPr>
          <w:p w14:paraId="3A59F408" w14:textId="37261532" w:rsidR="00FF0A4B" w:rsidRDefault="00FF0A4B" w:rsidP="00FF0A4B">
            <w:pPr>
              <w:widowControl/>
              <w:jc w:val="center"/>
              <w:rPr>
                <w:rFonts w:ascii="宋体" w:hAnsi="宋体" w:cs="宋体"/>
                <w:color w:val="000000"/>
                <w:kern w:val="0"/>
                <w:sz w:val="24"/>
              </w:rPr>
            </w:pPr>
            <w:r>
              <w:rPr>
                <w:rFonts w:hint="eastAsia"/>
                <w:color w:val="000000"/>
                <w:sz w:val="22"/>
                <w:szCs w:val="22"/>
              </w:rPr>
              <w:t>15%</w:t>
            </w:r>
          </w:p>
        </w:tc>
        <w:tc>
          <w:tcPr>
            <w:tcW w:w="1417" w:type="dxa"/>
            <w:tcBorders>
              <w:top w:val="single" w:sz="4" w:space="0" w:color="auto"/>
              <w:left w:val="single" w:sz="4" w:space="0" w:color="auto"/>
              <w:bottom w:val="single" w:sz="4" w:space="0" w:color="auto"/>
              <w:right w:val="single" w:sz="4" w:space="0" w:color="auto"/>
            </w:tcBorders>
            <w:vAlign w:val="center"/>
          </w:tcPr>
          <w:p w14:paraId="27F3A848" w14:textId="77777777" w:rsidR="00FF0A4B" w:rsidRDefault="00FF0A4B" w:rsidP="00FF0A4B">
            <w:pPr>
              <w:widowControl/>
              <w:jc w:val="center"/>
              <w:rPr>
                <w:rFonts w:ascii="宋体" w:hAnsi="宋体" w:cs="宋体"/>
                <w:color w:val="000000"/>
                <w:kern w:val="0"/>
                <w:sz w:val="24"/>
              </w:rPr>
            </w:pPr>
          </w:p>
        </w:tc>
      </w:tr>
      <w:tr w:rsidR="00FF0A4B" w14:paraId="7DD3A563" w14:textId="77777777" w:rsidTr="00607C40">
        <w:trPr>
          <w:trHeight w:val="285"/>
        </w:trPr>
        <w:tc>
          <w:tcPr>
            <w:tcW w:w="1276" w:type="dxa"/>
            <w:tcBorders>
              <w:bottom w:val="single" w:sz="4" w:space="0" w:color="auto"/>
            </w:tcBorders>
            <w:vAlign w:val="center"/>
          </w:tcPr>
          <w:p w14:paraId="0A139833" w14:textId="0C21EA74" w:rsidR="00FF0A4B" w:rsidRPr="000B1B3C" w:rsidRDefault="00FF0A4B" w:rsidP="00FF0A4B">
            <w:pPr>
              <w:widowControl/>
              <w:jc w:val="center"/>
              <w:rPr>
                <w:color w:val="595959"/>
                <w:sz w:val="18"/>
                <w:szCs w:val="18"/>
              </w:rPr>
            </w:pPr>
            <w:r>
              <w:rPr>
                <w:rFonts w:hint="eastAsia"/>
                <w:color w:val="000000"/>
                <w:sz w:val="22"/>
                <w:szCs w:val="22"/>
              </w:rPr>
              <w:t>002294</w:t>
            </w:r>
          </w:p>
        </w:tc>
        <w:tc>
          <w:tcPr>
            <w:tcW w:w="1418" w:type="dxa"/>
            <w:tcBorders>
              <w:bottom w:val="single" w:sz="4" w:space="0" w:color="auto"/>
            </w:tcBorders>
            <w:vAlign w:val="center"/>
          </w:tcPr>
          <w:p w14:paraId="2CC2806B" w14:textId="11A724AE" w:rsidR="00FF0A4B" w:rsidRPr="000B1B3C" w:rsidRDefault="00FF0A4B" w:rsidP="00FF0A4B">
            <w:pPr>
              <w:widowControl/>
              <w:jc w:val="center"/>
              <w:rPr>
                <w:color w:val="595959"/>
                <w:sz w:val="18"/>
                <w:szCs w:val="18"/>
              </w:rPr>
            </w:pPr>
            <w:r>
              <w:rPr>
                <w:rFonts w:hint="eastAsia"/>
                <w:color w:val="000000"/>
                <w:sz w:val="22"/>
                <w:szCs w:val="22"/>
              </w:rPr>
              <w:t>信立泰</w:t>
            </w:r>
          </w:p>
        </w:tc>
        <w:tc>
          <w:tcPr>
            <w:tcW w:w="1275" w:type="dxa"/>
            <w:tcBorders>
              <w:bottom w:val="single" w:sz="4" w:space="0" w:color="auto"/>
            </w:tcBorders>
            <w:vAlign w:val="center"/>
          </w:tcPr>
          <w:p w14:paraId="3CC562EF" w14:textId="5645710F" w:rsidR="00FF0A4B" w:rsidRPr="000B1B3C" w:rsidRDefault="00FF0A4B" w:rsidP="00FF0A4B">
            <w:pPr>
              <w:widowControl/>
              <w:jc w:val="center"/>
              <w:rPr>
                <w:color w:val="595959"/>
                <w:sz w:val="18"/>
                <w:szCs w:val="18"/>
              </w:rPr>
            </w:pPr>
            <w:r>
              <w:rPr>
                <w:rFonts w:hint="eastAsia"/>
                <w:color w:val="000000"/>
                <w:sz w:val="22"/>
                <w:szCs w:val="22"/>
              </w:rPr>
              <w:t>200</w:t>
            </w:r>
          </w:p>
        </w:tc>
        <w:tc>
          <w:tcPr>
            <w:tcW w:w="1418" w:type="dxa"/>
            <w:tcBorders>
              <w:bottom w:val="single" w:sz="4" w:space="0" w:color="auto"/>
            </w:tcBorders>
            <w:vAlign w:val="center"/>
          </w:tcPr>
          <w:p w14:paraId="7B715166" w14:textId="7E286BF2" w:rsidR="00FF0A4B" w:rsidRDefault="00FF0A4B" w:rsidP="00FF0A4B">
            <w:pPr>
              <w:widowControl/>
              <w:jc w:val="center"/>
              <w:rPr>
                <w:rFonts w:ascii="宋体" w:hAnsi="宋体" w:cs="宋体"/>
                <w:color w:val="000000"/>
                <w:kern w:val="0"/>
                <w:sz w:val="24"/>
              </w:rPr>
            </w:pPr>
            <w:r>
              <w:rPr>
                <w:rFonts w:hint="eastAsia"/>
                <w:color w:val="000000"/>
                <w:sz w:val="22"/>
                <w:szCs w:val="22"/>
              </w:rPr>
              <w:t>允许</w:t>
            </w:r>
          </w:p>
        </w:tc>
        <w:tc>
          <w:tcPr>
            <w:tcW w:w="1701" w:type="dxa"/>
            <w:tcBorders>
              <w:bottom w:val="single" w:sz="4" w:space="0" w:color="auto"/>
            </w:tcBorders>
            <w:vAlign w:val="center"/>
          </w:tcPr>
          <w:p w14:paraId="454CA972" w14:textId="06D27BC0" w:rsidR="00FF0A4B" w:rsidRDefault="00FF0A4B" w:rsidP="00FF0A4B">
            <w:pPr>
              <w:widowControl/>
              <w:jc w:val="center"/>
              <w:rPr>
                <w:rFonts w:ascii="宋体" w:hAnsi="宋体" w:cs="宋体"/>
                <w:color w:val="000000"/>
                <w:kern w:val="0"/>
                <w:sz w:val="24"/>
              </w:rPr>
            </w:pPr>
            <w:r>
              <w:rPr>
                <w:rFonts w:hint="eastAsia"/>
                <w:color w:val="000000"/>
                <w:sz w:val="22"/>
                <w:szCs w:val="22"/>
              </w:rPr>
              <w:t>15%</w:t>
            </w:r>
          </w:p>
        </w:tc>
        <w:tc>
          <w:tcPr>
            <w:tcW w:w="1417" w:type="dxa"/>
            <w:tcBorders>
              <w:top w:val="single" w:sz="4" w:space="0" w:color="auto"/>
              <w:left w:val="single" w:sz="4" w:space="0" w:color="auto"/>
              <w:bottom w:val="single" w:sz="4" w:space="0" w:color="auto"/>
              <w:right w:val="single" w:sz="4" w:space="0" w:color="auto"/>
            </w:tcBorders>
            <w:vAlign w:val="center"/>
          </w:tcPr>
          <w:p w14:paraId="290D49C4" w14:textId="77777777" w:rsidR="00FF0A4B" w:rsidRDefault="00FF0A4B" w:rsidP="00FF0A4B">
            <w:pPr>
              <w:widowControl/>
              <w:jc w:val="center"/>
              <w:rPr>
                <w:rFonts w:ascii="宋体" w:hAnsi="宋体" w:cs="宋体"/>
                <w:color w:val="000000"/>
                <w:kern w:val="0"/>
                <w:sz w:val="24"/>
              </w:rPr>
            </w:pPr>
          </w:p>
        </w:tc>
      </w:tr>
      <w:tr w:rsidR="00FF0A4B" w14:paraId="1DB53084" w14:textId="77777777" w:rsidTr="00607C40">
        <w:trPr>
          <w:trHeight w:val="285"/>
        </w:trPr>
        <w:tc>
          <w:tcPr>
            <w:tcW w:w="1276" w:type="dxa"/>
            <w:tcBorders>
              <w:bottom w:val="single" w:sz="4" w:space="0" w:color="auto"/>
            </w:tcBorders>
            <w:vAlign w:val="center"/>
          </w:tcPr>
          <w:p w14:paraId="3B7CC837" w14:textId="27D7779B" w:rsidR="00FF0A4B" w:rsidRPr="000B1B3C" w:rsidRDefault="00FF0A4B" w:rsidP="00FF0A4B">
            <w:pPr>
              <w:widowControl/>
              <w:jc w:val="center"/>
              <w:rPr>
                <w:color w:val="595959"/>
                <w:sz w:val="18"/>
                <w:szCs w:val="18"/>
              </w:rPr>
            </w:pPr>
            <w:r>
              <w:rPr>
                <w:rFonts w:hint="eastAsia"/>
                <w:color w:val="000000"/>
                <w:sz w:val="22"/>
                <w:szCs w:val="22"/>
              </w:rPr>
              <w:t>002299</w:t>
            </w:r>
          </w:p>
        </w:tc>
        <w:tc>
          <w:tcPr>
            <w:tcW w:w="1418" w:type="dxa"/>
            <w:tcBorders>
              <w:bottom w:val="single" w:sz="4" w:space="0" w:color="auto"/>
            </w:tcBorders>
            <w:vAlign w:val="center"/>
          </w:tcPr>
          <w:p w14:paraId="3D19CC8F" w14:textId="70F1B2BD" w:rsidR="00FF0A4B" w:rsidRPr="000B1B3C" w:rsidRDefault="00FF0A4B" w:rsidP="00FF0A4B">
            <w:pPr>
              <w:widowControl/>
              <w:jc w:val="center"/>
              <w:rPr>
                <w:color w:val="595959"/>
                <w:sz w:val="18"/>
                <w:szCs w:val="18"/>
              </w:rPr>
            </w:pPr>
            <w:proofErr w:type="gramStart"/>
            <w:r>
              <w:rPr>
                <w:rFonts w:hint="eastAsia"/>
                <w:color w:val="000000"/>
                <w:sz w:val="22"/>
                <w:szCs w:val="22"/>
              </w:rPr>
              <w:t>圣农发展</w:t>
            </w:r>
            <w:proofErr w:type="gramEnd"/>
          </w:p>
        </w:tc>
        <w:tc>
          <w:tcPr>
            <w:tcW w:w="1275" w:type="dxa"/>
            <w:tcBorders>
              <w:bottom w:val="single" w:sz="4" w:space="0" w:color="auto"/>
            </w:tcBorders>
            <w:vAlign w:val="center"/>
          </w:tcPr>
          <w:p w14:paraId="21C956FA" w14:textId="07D078EF" w:rsidR="00FF0A4B" w:rsidRPr="000B1B3C" w:rsidRDefault="00FF0A4B" w:rsidP="00FF0A4B">
            <w:pPr>
              <w:widowControl/>
              <w:jc w:val="center"/>
              <w:rPr>
                <w:color w:val="595959"/>
                <w:sz w:val="18"/>
                <w:szCs w:val="18"/>
              </w:rPr>
            </w:pPr>
            <w:r>
              <w:rPr>
                <w:rFonts w:hint="eastAsia"/>
                <w:color w:val="000000"/>
                <w:sz w:val="22"/>
                <w:szCs w:val="22"/>
              </w:rPr>
              <w:t>300</w:t>
            </w:r>
          </w:p>
        </w:tc>
        <w:tc>
          <w:tcPr>
            <w:tcW w:w="1418" w:type="dxa"/>
            <w:tcBorders>
              <w:bottom w:val="single" w:sz="4" w:space="0" w:color="auto"/>
            </w:tcBorders>
            <w:vAlign w:val="center"/>
          </w:tcPr>
          <w:p w14:paraId="441A842B" w14:textId="403DC2AD" w:rsidR="00FF0A4B" w:rsidRDefault="00FF0A4B" w:rsidP="00FF0A4B">
            <w:pPr>
              <w:widowControl/>
              <w:jc w:val="center"/>
              <w:rPr>
                <w:rFonts w:ascii="宋体" w:hAnsi="宋体" w:cs="宋体"/>
                <w:color w:val="000000"/>
                <w:kern w:val="0"/>
                <w:sz w:val="24"/>
              </w:rPr>
            </w:pPr>
            <w:r>
              <w:rPr>
                <w:rFonts w:hint="eastAsia"/>
                <w:color w:val="000000"/>
                <w:sz w:val="22"/>
                <w:szCs w:val="22"/>
              </w:rPr>
              <w:t>允许</w:t>
            </w:r>
          </w:p>
        </w:tc>
        <w:tc>
          <w:tcPr>
            <w:tcW w:w="1701" w:type="dxa"/>
            <w:tcBorders>
              <w:bottom w:val="single" w:sz="4" w:space="0" w:color="auto"/>
            </w:tcBorders>
            <w:vAlign w:val="center"/>
          </w:tcPr>
          <w:p w14:paraId="484D4D2C" w14:textId="7D1F76B9" w:rsidR="00FF0A4B" w:rsidRDefault="00FF0A4B" w:rsidP="00FF0A4B">
            <w:pPr>
              <w:widowControl/>
              <w:jc w:val="center"/>
              <w:rPr>
                <w:rFonts w:ascii="宋体" w:hAnsi="宋体" w:cs="宋体"/>
                <w:color w:val="000000"/>
                <w:kern w:val="0"/>
                <w:sz w:val="24"/>
              </w:rPr>
            </w:pPr>
            <w:r>
              <w:rPr>
                <w:rFonts w:hint="eastAsia"/>
                <w:color w:val="000000"/>
                <w:sz w:val="22"/>
                <w:szCs w:val="22"/>
              </w:rPr>
              <w:t>15%</w:t>
            </w:r>
          </w:p>
        </w:tc>
        <w:tc>
          <w:tcPr>
            <w:tcW w:w="1417" w:type="dxa"/>
            <w:tcBorders>
              <w:top w:val="single" w:sz="4" w:space="0" w:color="auto"/>
              <w:left w:val="single" w:sz="4" w:space="0" w:color="auto"/>
              <w:bottom w:val="single" w:sz="4" w:space="0" w:color="auto"/>
              <w:right w:val="single" w:sz="4" w:space="0" w:color="auto"/>
            </w:tcBorders>
            <w:vAlign w:val="center"/>
          </w:tcPr>
          <w:p w14:paraId="58966BDF" w14:textId="77777777" w:rsidR="00FF0A4B" w:rsidRDefault="00FF0A4B" w:rsidP="00FF0A4B">
            <w:pPr>
              <w:widowControl/>
              <w:jc w:val="center"/>
              <w:rPr>
                <w:rFonts w:ascii="宋体" w:hAnsi="宋体" w:cs="宋体"/>
                <w:color w:val="000000"/>
                <w:kern w:val="0"/>
                <w:sz w:val="24"/>
              </w:rPr>
            </w:pPr>
          </w:p>
        </w:tc>
      </w:tr>
      <w:tr w:rsidR="00FF0A4B" w14:paraId="14386C2B" w14:textId="77777777" w:rsidTr="00607C40">
        <w:trPr>
          <w:trHeight w:val="285"/>
        </w:trPr>
        <w:tc>
          <w:tcPr>
            <w:tcW w:w="1276" w:type="dxa"/>
            <w:tcBorders>
              <w:bottom w:val="single" w:sz="4" w:space="0" w:color="auto"/>
            </w:tcBorders>
            <w:vAlign w:val="center"/>
          </w:tcPr>
          <w:p w14:paraId="4B12FE03" w14:textId="052414FF" w:rsidR="00FF0A4B" w:rsidRPr="000B1B3C" w:rsidRDefault="00FF0A4B" w:rsidP="00FF0A4B">
            <w:pPr>
              <w:widowControl/>
              <w:jc w:val="center"/>
              <w:rPr>
                <w:color w:val="595959"/>
                <w:sz w:val="18"/>
                <w:szCs w:val="18"/>
              </w:rPr>
            </w:pPr>
            <w:r>
              <w:rPr>
                <w:rFonts w:hint="eastAsia"/>
                <w:color w:val="000000"/>
                <w:sz w:val="22"/>
                <w:szCs w:val="22"/>
              </w:rPr>
              <w:t>002304</w:t>
            </w:r>
          </w:p>
        </w:tc>
        <w:tc>
          <w:tcPr>
            <w:tcW w:w="1418" w:type="dxa"/>
            <w:tcBorders>
              <w:bottom w:val="single" w:sz="4" w:space="0" w:color="auto"/>
            </w:tcBorders>
            <w:vAlign w:val="center"/>
          </w:tcPr>
          <w:p w14:paraId="32A78C90" w14:textId="255AE994" w:rsidR="00FF0A4B" w:rsidRPr="000B1B3C" w:rsidRDefault="00FF0A4B" w:rsidP="00FF0A4B">
            <w:pPr>
              <w:widowControl/>
              <w:jc w:val="center"/>
              <w:rPr>
                <w:color w:val="595959"/>
                <w:sz w:val="18"/>
                <w:szCs w:val="18"/>
              </w:rPr>
            </w:pPr>
            <w:r>
              <w:rPr>
                <w:rFonts w:hint="eastAsia"/>
                <w:color w:val="000000"/>
                <w:sz w:val="22"/>
                <w:szCs w:val="22"/>
              </w:rPr>
              <w:t>洋河股份</w:t>
            </w:r>
          </w:p>
        </w:tc>
        <w:tc>
          <w:tcPr>
            <w:tcW w:w="1275" w:type="dxa"/>
            <w:tcBorders>
              <w:bottom w:val="single" w:sz="4" w:space="0" w:color="auto"/>
            </w:tcBorders>
            <w:vAlign w:val="center"/>
          </w:tcPr>
          <w:p w14:paraId="60C83120" w14:textId="6EA49DA6" w:rsidR="00FF0A4B" w:rsidRPr="000B1B3C" w:rsidRDefault="00FF0A4B" w:rsidP="00FF0A4B">
            <w:pPr>
              <w:widowControl/>
              <w:jc w:val="center"/>
              <w:rPr>
                <w:color w:val="595959"/>
                <w:sz w:val="18"/>
                <w:szCs w:val="18"/>
              </w:rPr>
            </w:pPr>
            <w:r>
              <w:rPr>
                <w:rFonts w:hint="eastAsia"/>
                <w:color w:val="000000"/>
                <w:sz w:val="22"/>
                <w:szCs w:val="22"/>
              </w:rPr>
              <w:t>400</w:t>
            </w:r>
          </w:p>
        </w:tc>
        <w:tc>
          <w:tcPr>
            <w:tcW w:w="1418" w:type="dxa"/>
            <w:tcBorders>
              <w:bottom w:val="single" w:sz="4" w:space="0" w:color="auto"/>
            </w:tcBorders>
            <w:vAlign w:val="center"/>
          </w:tcPr>
          <w:p w14:paraId="7B117708" w14:textId="1ECFAEA2" w:rsidR="00FF0A4B" w:rsidRDefault="00FF0A4B" w:rsidP="00FF0A4B">
            <w:pPr>
              <w:widowControl/>
              <w:jc w:val="center"/>
              <w:rPr>
                <w:rFonts w:ascii="宋体" w:hAnsi="宋体" w:cs="宋体"/>
                <w:color w:val="000000"/>
                <w:kern w:val="0"/>
                <w:sz w:val="24"/>
              </w:rPr>
            </w:pPr>
            <w:r>
              <w:rPr>
                <w:rFonts w:hint="eastAsia"/>
                <w:color w:val="000000"/>
                <w:sz w:val="22"/>
                <w:szCs w:val="22"/>
              </w:rPr>
              <w:t>允许</w:t>
            </w:r>
          </w:p>
        </w:tc>
        <w:tc>
          <w:tcPr>
            <w:tcW w:w="1701" w:type="dxa"/>
            <w:tcBorders>
              <w:bottom w:val="single" w:sz="4" w:space="0" w:color="auto"/>
            </w:tcBorders>
            <w:vAlign w:val="center"/>
          </w:tcPr>
          <w:p w14:paraId="68106903" w14:textId="4BB0F21C" w:rsidR="00FF0A4B" w:rsidRDefault="00FF0A4B" w:rsidP="00FF0A4B">
            <w:pPr>
              <w:widowControl/>
              <w:jc w:val="center"/>
              <w:rPr>
                <w:rFonts w:ascii="宋体" w:hAnsi="宋体" w:cs="宋体"/>
                <w:color w:val="000000"/>
                <w:kern w:val="0"/>
                <w:sz w:val="24"/>
              </w:rPr>
            </w:pPr>
            <w:r>
              <w:rPr>
                <w:rFonts w:hint="eastAsia"/>
                <w:color w:val="000000"/>
                <w:sz w:val="22"/>
                <w:szCs w:val="22"/>
              </w:rPr>
              <w:t>15%</w:t>
            </w:r>
          </w:p>
        </w:tc>
        <w:tc>
          <w:tcPr>
            <w:tcW w:w="1417" w:type="dxa"/>
            <w:tcBorders>
              <w:top w:val="single" w:sz="4" w:space="0" w:color="auto"/>
              <w:left w:val="single" w:sz="4" w:space="0" w:color="auto"/>
              <w:bottom w:val="single" w:sz="4" w:space="0" w:color="auto"/>
              <w:right w:val="single" w:sz="4" w:space="0" w:color="auto"/>
            </w:tcBorders>
            <w:vAlign w:val="center"/>
          </w:tcPr>
          <w:p w14:paraId="589982B6" w14:textId="77777777" w:rsidR="00FF0A4B" w:rsidRDefault="00FF0A4B" w:rsidP="00FF0A4B">
            <w:pPr>
              <w:widowControl/>
              <w:jc w:val="center"/>
              <w:rPr>
                <w:rFonts w:ascii="宋体" w:hAnsi="宋体" w:cs="宋体"/>
                <w:color w:val="000000"/>
                <w:kern w:val="0"/>
                <w:sz w:val="24"/>
              </w:rPr>
            </w:pPr>
          </w:p>
        </w:tc>
      </w:tr>
      <w:tr w:rsidR="00FF0A4B" w14:paraId="5DB34DD1" w14:textId="77777777" w:rsidTr="00607C40">
        <w:trPr>
          <w:trHeight w:val="285"/>
        </w:trPr>
        <w:tc>
          <w:tcPr>
            <w:tcW w:w="1276" w:type="dxa"/>
            <w:tcBorders>
              <w:bottom w:val="single" w:sz="4" w:space="0" w:color="auto"/>
            </w:tcBorders>
            <w:vAlign w:val="center"/>
          </w:tcPr>
          <w:p w14:paraId="539A5E40" w14:textId="164586C6" w:rsidR="00FF0A4B" w:rsidRPr="000B1B3C" w:rsidRDefault="00FF0A4B" w:rsidP="00FF0A4B">
            <w:pPr>
              <w:widowControl/>
              <w:jc w:val="center"/>
              <w:rPr>
                <w:color w:val="595959"/>
                <w:sz w:val="18"/>
                <w:szCs w:val="18"/>
              </w:rPr>
            </w:pPr>
            <w:r>
              <w:rPr>
                <w:rFonts w:hint="eastAsia"/>
                <w:color w:val="000000"/>
                <w:sz w:val="22"/>
                <w:szCs w:val="22"/>
              </w:rPr>
              <w:t>002311</w:t>
            </w:r>
          </w:p>
        </w:tc>
        <w:tc>
          <w:tcPr>
            <w:tcW w:w="1418" w:type="dxa"/>
            <w:tcBorders>
              <w:bottom w:val="single" w:sz="4" w:space="0" w:color="auto"/>
            </w:tcBorders>
            <w:vAlign w:val="center"/>
          </w:tcPr>
          <w:p w14:paraId="641E92AB" w14:textId="0FF3AB60" w:rsidR="00FF0A4B" w:rsidRPr="000B1B3C" w:rsidRDefault="00FF0A4B" w:rsidP="00FF0A4B">
            <w:pPr>
              <w:widowControl/>
              <w:jc w:val="center"/>
              <w:rPr>
                <w:color w:val="595959"/>
                <w:sz w:val="18"/>
                <w:szCs w:val="18"/>
              </w:rPr>
            </w:pPr>
            <w:r>
              <w:rPr>
                <w:rFonts w:hint="eastAsia"/>
                <w:color w:val="000000"/>
                <w:sz w:val="22"/>
                <w:szCs w:val="22"/>
              </w:rPr>
              <w:t>海大集团</w:t>
            </w:r>
          </w:p>
        </w:tc>
        <w:tc>
          <w:tcPr>
            <w:tcW w:w="1275" w:type="dxa"/>
            <w:tcBorders>
              <w:bottom w:val="single" w:sz="4" w:space="0" w:color="auto"/>
            </w:tcBorders>
            <w:vAlign w:val="center"/>
          </w:tcPr>
          <w:p w14:paraId="03ED86A9" w14:textId="7C85CFAE" w:rsidR="00FF0A4B" w:rsidRPr="000B1B3C" w:rsidRDefault="00FF0A4B" w:rsidP="00FF0A4B">
            <w:pPr>
              <w:widowControl/>
              <w:jc w:val="center"/>
              <w:rPr>
                <w:color w:val="595959"/>
                <w:sz w:val="18"/>
                <w:szCs w:val="18"/>
              </w:rPr>
            </w:pPr>
            <w:r>
              <w:rPr>
                <w:rFonts w:hint="eastAsia"/>
                <w:color w:val="000000"/>
                <w:sz w:val="22"/>
                <w:szCs w:val="22"/>
              </w:rPr>
              <w:t>500</w:t>
            </w:r>
          </w:p>
        </w:tc>
        <w:tc>
          <w:tcPr>
            <w:tcW w:w="1418" w:type="dxa"/>
            <w:tcBorders>
              <w:bottom w:val="single" w:sz="4" w:space="0" w:color="auto"/>
            </w:tcBorders>
            <w:vAlign w:val="center"/>
          </w:tcPr>
          <w:p w14:paraId="4A53C162" w14:textId="431D5830" w:rsidR="00FF0A4B" w:rsidRDefault="00FF0A4B" w:rsidP="00FF0A4B">
            <w:pPr>
              <w:widowControl/>
              <w:jc w:val="center"/>
              <w:rPr>
                <w:rFonts w:ascii="宋体" w:hAnsi="宋体" w:cs="宋体"/>
                <w:color w:val="000000"/>
                <w:kern w:val="0"/>
                <w:sz w:val="24"/>
              </w:rPr>
            </w:pPr>
            <w:r>
              <w:rPr>
                <w:rFonts w:hint="eastAsia"/>
                <w:color w:val="000000"/>
                <w:sz w:val="22"/>
                <w:szCs w:val="22"/>
              </w:rPr>
              <w:t>允许</w:t>
            </w:r>
          </w:p>
        </w:tc>
        <w:tc>
          <w:tcPr>
            <w:tcW w:w="1701" w:type="dxa"/>
            <w:tcBorders>
              <w:bottom w:val="single" w:sz="4" w:space="0" w:color="auto"/>
            </w:tcBorders>
            <w:vAlign w:val="center"/>
          </w:tcPr>
          <w:p w14:paraId="0A2EAB17" w14:textId="6C2C4D2F" w:rsidR="00FF0A4B" w:rsidRDefault="00FF0A4B" w:rsidP="00FF0A4B">
            <w:pPr>
              <w:widowControl/>
              <w:jc w:val="center"/>
              <w:rPr>
                <w:rFonts w:ascii="宋体" w:hAnsi="宋体" w:cs="宋体"/>
                <w:color w:val="000000"/>
                <w:kern w:val="0"/>
                <w:sz w:val="24"/>
              </w:rPr>
            </w:pPr>
            <w:r>
              <w:rPr>
                <w:rFonts w:hint="eastAsia"/>
                <w:color w:val="000000"/>
                <w:sz w:val="22"/>
                <w:szCs w:val="22"/>
              </w:rPr>
              <w:t>15%</w:t>
            </w:r>
          </w:p>
        </w:tc>
        <w:tc>
          <w:tcPr>
            <w:tcW w:w="1417" w:type="dxa"/>
            <w:tcBorders>
              <w:top w:val="single" w:sz="4" w:space="0" w:color="auto"/>
              <w:left w:val="single" w:sz="4" w:space="0" w:color="auto"/>
              <w:bottom w:val="single" w:sz="4" w:space="0" w:color="auto"/>
              <w:right w:val="single" w:sz="4" w:space="0" w:color="auto"/>
            </w:tcBorders>
            <w:vAlign w:val="center"/>
          </w:tcPr>
          <w:p w14:paraId="3B6646B4" w14:textId="77777777" w:rsidR="00FF0A4B" w:rsidRDefault="00FF0A4B" w:rsidP="00FF0A4B">
            <w:pPr>
              <w:widowControl/>
              <w:jc w:val="center"/>
              <w:rPr>
                <w:rFonts w:ascii="宋体" w:hAnsi="宋体" w:cs="宋体"/>
                <w:color w:val="000000"/>
                <w:kern w:val="0"/>
                <w:sz w:val="24"/>
              </w:rPr>
            </w:pPr>
          </w:p>
        </w:tc>
      </w:tr>
      <w:tr w:rsidR="00FF0A4B" w14:paraId="2D8F3754" w14:textId="77777777" w:rsidTr="00607C40">
        <w:trPr>
          <w:trHeight w:val="285"/>
        </w:trPr>
        <w:tc>
          <w:tcPr>
            <w:tcW w:w="1276" w:type="dxa"/>
            <w:tcBorders>
              <w:bottom w:val="single" w:sz="4" w:space="0" w:color="auto"/>
            </w:tcBorders>
            <w:vAlign w:val="center"/>
          </w:tcPr>
          <w:p w14:paraId="42BD3061" w14:textId="7CD780AF" w:rsidR="00FF0A4B" w:rsidRPr="000B1B3C" w:rsidRDefault="00FF0A4B" w:rsidP="00FF0A4B">
            <w:pPr>
              <w:widowControl/>
              <w:jc w:val="center"/>
              <w:rPr>
                <w:color w:val="595959"/>
                <w:sz w:val="18"/>
                <w:szCs w:val="18"/>
              </w:rPr>
            </w:pPr>
            <w:r>
              <w:rPr>
                <w:rFonts w:hint="eastAsia"/>
                <w:color w:val="000000"/>
                <w:sz w:val="22"/>
                <w:szCs w:val="22"/>
              </w:rPr>
              <w:t>002352</w:t>
            </w:r>
          </w:p>
        </w:tc>
        <w:tc>
          <w:tcPr>
            <w:tcW w:w="1418" w:type="dxa"/>
            <w:tcBorders>
              <w:bottom w:val="single" w:sz="4" w:space="0" w:color="auto"/>
            </w:tcBorders>
            <w:vAlign w:val="center"/>
          </w:tcPr>
          <w:p w14:paraId="6EF5D0D4" w14:textId="68C4E259" w:rsidR="00FF0A4B" w:rsidRPr="000B1B3C" w:rsidRDefault="00FF0A4B" w:rsidP="00FF0A4B">
            <w:pPr>
              <w:widowControl/>
              <w:jc w:val="center"/>
              <w:rPr>
                <w:color w:val="595959"/>
                <w:sz w:val="18"/>
                <w:szCs w:val="18"/>
              </w:rPr>
            </w:pPr>
            <w:r>
              <w:rPr>
                <w:rFonts w:hint="eastAsia"/>
                <w:color w:val="000000"/>
                <w:sz w:val="22"/>
                <w:szCs w:val="22"/>
              </w:rPr>
              <w:t>顺丰控股</w:t>
            </w:r>
          </w:p>
        </w:tc>
        <w:tc>
          <w:tcPr>
            <w:tcW w:w="1275" w:type="dxa"/>
            <w:tcBorders>
              <w:bottom w:val="single" w:sz="4" w:space="0" w:color="auto"/>
            </w:tcBorders>
            <w:vAlign w:val="center"/>
          </w:tcPr>
          <w:p w14:paraId="67593BD1" w14:textId="175C0FA7" w:rsidR="00FF0A4B" w:rsidRPr="000B1B3C" w:rsidRDefault="00FF0A4B" w:rsidP="00FF0A4B">
            <w:pPr>
              <w:widowControl/>
              <w:jc w:val="center"/>
              <w:rPr>
                <w:color w:val="595959"/>
                <w:sz w:val="18"/>
                <w:szCs w:val="18"/>
              </w:rPr>
            </w:pPr>
            <w:r>
              <w:rPr>
                <w:rFonts w:hint="eastAsia"/>
                <w:color w:val="000000"/>
                <w:sz w:val="22"/>
                <w:szCs w:val="22"/>
              </w:rPr>
              <w:t>100</w:t>
            </w:r>
          </w:p>
        </w:tc>
        <w:tc>
          <w:tcPr>
            <w:tcW w:w="1418" w:type="dxa"/>
            <w:tcBorders>
              <w:bottom w:val="single" w:sz="4" w:space="0" w:color="auto"/>
            </w:tcBorders>
            <w:vAlign w:val="center"/>
          </w:tcPr>
          <w:p w14:paraId="6558A2DB" w14:textId="11926C8C" w:rsidR="00FF0A4B" w:rsidRDefault="00FF0A4B" w:rsidP="00FF0A4B">
            <w:pPr>
              <w:widowControl/>
              <w:jc w:val="center"/>
              <w:rPr>
                <w:rFonts w:ascii="宋体" w:hAnsi="宋体" w:cs="宋体"/>
                <w:color w:val="000000"/>
                <w:kern w:val="0"/>
                <w:sz w:val="24"/>
              </w:rPr>
            </w:pPr>
            <w:r>
              <w:rPr>
                <w:rFonts w:hint="eastAsia"/>
                <w:color w:val="000000"/>
                <w:sz w:val="22"/>
                <w:szCs w:val="22"/>
              </w:rPr>
              <w:t>允许</w:t>
            </w:r>
          </w:p>
        </w:tc>
        <w:tc>
          <w:tcPr>
            <w:tcW w:w="1701" w:type="dxa"/>
            <w:tcBorders>
              <w:bottom w:val="single" w:sz="4" w:space="0" w:color="auto"/>
            </w:tcBorders>
            <w:vAlign w:val="center"/>
          </w:tcPr>
          <w:p w14:paraId="146C94E9" w14:textId="70163453" w:rsidR="00FF0A4B" w:rsidRDefault="00FF0A4B" w:rsidP="00FF0A4B">
            <w:pPr>
              <w:widowControl/>
              <w:jc w:val="center"/>
              <w:rPr>
                <w:rFonts w:ascii="宋体" w:hAnsi="宋体" w:cs="宋体"/>
                <w:color w:val="000000"/>
                <w:kern w:val="0"/>
                <w:sz w:val="24"/>
              </w:rPr>
            </w:pPr>
            <w:r>
              <w:rPr>
                <w:rFonts w:hint="eastAsia"/>
                <w:color w:val="000000"/>
                <w:sz w:val="22"/>
                <w:szCs w:val="22"/>
              </w:rPr>
              <w:t>15%</w:t>
            </w:r>
          </w:p>
        </w:tc>
        <w:tc>
          <w:tcPr>
            <w:tcW w:w="1417" w:type="dxa"/>
            <w:tcBorders>
              <w:top w:val="single" w:sz="4" w:space="0" w:color="auto"/>
              <w:left w:val="single" w:sz="4" w:space="0" w:color="auto"/>
              <w:bottom w:val="single" w:sz="4" w:space="0" w:color="auto"/>
              <w:right w:val="single" w:sz="4" w:space="0" w:color="auto"/>
            </w:tcBorders>
            <w:vAlign w:val="center"/>
          </w:tcPr>
          <w:p w14:paraId="249970F5" w14:textId="77777777" w:rsidR="00FF0A4B" w:rsidRDefault="00FF0A4B" w:rsidP="00FF0A4B">
            <w:pPr>
              <w:widowControl/>
              <w:jc w:val="center"/>
              <w:rPr>
                <w:rFonts w:ascii="宋体" w:hAnsi="宋体" w:cs="宋体"/>
                <w:color w:val="000000"/>
                <w:kern w:val="0"/>
                <w:sz w:val="24"/>
              </w:rPr>
            </w:pPr>
          </w:p>
        </w:tc>
      </w:tr>
      <w:tr w:rsidR="00FF0A4B" w14:paraId="12EF3DC4" w14:textId="77777777" w:rsidTr="00607C40">
        <w:trPr>
          <w:trHeight w:val="285"/>
        </w:trPr>
        <w:tc>
          <w:tcPr>
            <w:tcW w:w="1276" w:type="dxa"/>
            <w:tcBorders>
              <w:bottom w:val="single" w:sz="4" w:space="0" w:color="auto"/>
            </w:tcBorders>
            <w:vAlign w:val="center"/>
          </w:tcPr>
          <w:p w14:paraId="6A4A6090" w14:textId="6ADF4368" w:rsidR="00FF0A4B" w:rsidRPr="000B1B3C" w:rsidRDefault="00FF0A4B" w:rsidP="00FF0A4B">
            <w:pPr>
              <w:widowControl/>
              <w:jc w:val="center"/>
              <w:rPr>
                <w:color w:val="595959"/>
                <w:sz w:val="18"/>
                <w:szCs w:val="18"/>
              </w:rPr>
            </w:pPr>
            <w:r>
              <w:rPr>
                <w:rFonts w:hint="eastAsia"/>
                <w:color w:val="000000"/>
                <w:sz w:val="22"/>
                <w:szCs w:val="22"/>
              </w:rPr>
              <w:t>002399</w:t>
            </w:r>
          </w:p>
        </w:tc>
        <w:tc>
          <w:tcPr>
            <w:tcW w:w="1418" w:type="dxa"/>
            <w:tcBorders>
              <w:bottom w:val="single" w:sz="4" w:space="0" w:color="auto"/>
            </w:tcBorders>
            <w:vAlign w:val="center"/>
          </w:tcPr>
          <w:p w14:paraId="4267665B" w14:textId="6D55B2A4" w:rsidR="00FF0A4B" w:rsidRPr="000B1B3C" w:rsidRDefault="00FF0A4B" w:rsidP="00FF0A4B">
            <w:pPr>
              <w:widowControl/>
              <w:jc w:val="center"/>
              <w:rPr>
                <w:color w:val="595959"/>
                <w:sz w:val="18"/>
                <w:szCs w:val="18"/>
              </w:rPr>
            </w:pPr>
            <w:proofErr w:type="gramStart"/>
            <w:r>
              <w:rPr>
                <w:rFonts w:hint="eastAsia"/>
                <w:color w:val="000000"/>
                <w:sz w:val="22"/>
                <w:szCs w:val="22"/>
              </w:rPr>
              <w:t>海普瑞</w:t>
            </w:r>
            <w:proofErr w:type="gramEnd"/>
          </w:p>
        </w:tc>
        <w:tc>
          <w:tcPr>
            <w:tcW w:w="1275" w:type="dxa"/>
            <w:tcBorders>
              <w:bottom w:val="single" w:sz="4" w:space="0" w:color="auto"/>
            </w:tcBorders>
            <w:vAlign w:val="center"/>
          </w:tcPr>
          <w:p w14:paraId="13CE7612" w14:textId="71904A70" w:rsidR="00FF0A4B" w:rsidRPr="000B1B3C" w:rsidRDefault="00FF0A4B" w:rsidP="00FF0A4B">
            <w:pPr>
              <w:widowControl/>
              <w:jc w:val="center"/>
              <w:rPr>
                <w:color w:val="595959"/>
                <w:sz w:val="18"/>
                <w:szCs w:val="18"/>
              </w:rPr>
            </w:pPr>
            <w:r>
              <w:rPr>
                <w:rFonts w:hint="eastAsia"/>
                <w:color w:val="000000"/>
                <w:sz w:val="22"/>
                <w:szCs w:val="22"/>
              </w:rPr>
              <w:t>200</w:t>
            </w:r>
          </w:p>
        </w:tc>
        <w:tc>
          <w:tcPr>
            <w:tcW w:w="1418" w:type="dxa"/>
            <w:tcBorders>
              <w:bottom w:val="single" w:sz="4" w:space="0" w:color="auto"/>
            </w:tcBorders>
            <w:vAlign w:val="center"/>
          </w:tcPr>
          <w:p w14:paraId="72944F2D" w14:textId="47A55E43" w:rsidR="00FF0A4B" w:rsidRDefault="00FF0A4B" w:rsidP="00FF0A4B">
            <w:pPr>
              <w:widowControl/>
              <w:jc w:val="center"/>
              <w:rPr>
                <w:rFonts w:ascii="宋体" w:hAnsi="宋体" w:cs="宋体"/>
                <w:color w:val="000000"/>
                <w:kern w:val="0"/>
                <w:sz w:val="24"/>
              </w:rPr>
            </w:pPr>
            <w:r>
              <w:rPr>
                <w:rFonts w:hint="eastAsia"/>
                <w:color w:val="000000"/>
                <w:sz w:val="22"/>
                <w:szCs w:val="22"/>
              </w:rPr>
              <w:t>允许</w:t>
            </w:r>
          </w:p>
        </w:tc>
        <w:tc>
          <w:tcPr>
            <w:tcW w:w="1701" w:type="dxa"/>
            <w:tcBorders>
              <w:bottom w:val="single" w:sz="4" w:space="0" w:color="auto"/>
            </w:tcBorders>
            <w:vAlign w:val="center"/>
          </w:tcPr>
          <w:p w14:paraId="3EAE6BDB" w14:textId="51A47671" w:rsidR="00FF0A4B" w:rsidRDefault="00FF0A4B" w:rsidP="00FF0A4B">
            <w:pPr>
              <w:widowControl/>
              <w:jc w:val="center"/>
              <w:rPr>
                <w:rFonts w:ascii="宋体" w:hAnsi="宋体" w:cs="宋体"/>
                <w:color w:val="000000"/>
                <w:kern w:val="0"/>
                <w:sz w:val="24"/>
              </w:rPr>
            </w:pPr>
            <w:r>
              <w:rPr>
                <w:rFonts w:hint="eastAsia"/>
                <w:color w:val="000000"/>
                <w:sz w:val="22"/>
                <w:szCs w:val="22"/>
              </w:rPr>
              <w:t>15%</w:t>
            </w:r>
          </w:p>
        </w:tc>
        <w:tc>
          <w:tcPr>
            <w:tcW w:w="1417" w:type="dxa"/>
            <w:tcBorders>
              <w:top w:val="single" w:sz="4" w:space="0" w:color="auto"/>
              <w:left w:val="single" w:sz="4" w:space="0" w:color="auto"/>
              <w:bottom w:val="single" w:sz="4" w:space="0" w:color="auto"/>
              <w:right w:val="single" w:sz="4" w:space="0" w:color="auto"/>
            </w:tcBorders>
            <w:vAlign w:val="center"/>
          </w:tcPr>
          <w:p w14:paraId="446C89CC" w14:textId="77777777" w:rsidR="00FF0A4B" w:rsidRDefault="00FF0A4B" w:rsidP="00FF0A4B">
            <w:pPr>
              <w:widowControl/>
              <w:jc w:val="center"/>
              <w:rPr>
                <w:rFonts w:ascii="宋体" w:hAnsi="宋体" w:cs="宋体"/>
                <w:color w:val="000000"/>
                <w:kern w:val="0"/>
                <w:sz w:val="24"/>
              </w:rPr>
            </w:pPr>
          </w:p>
        </w:tc>
      </w:tr>
      <w:tr w:rsidR="00FF0A4B" w14:paraId="3FA2B031" w14:textId="77777777" w:rsidTr="00607C40">
        <w:trPr>
          <w:trHeight w:val="285"/>
        </w:trPr>
        <w:tc>
          <w:tcPr>
            <w:tcW w:w="1276" w:type="dxa"/>
            <w:tcBorders>
              <w:bottom w:val="single" w:sz="4" w:space="0" w:color="auto"/>
            </w:tcBorders>
            <w:vAlign w:val="center"/>
          </w:tcPr>
          <w:p w14:paraId="7F2135D5" w14:textId="721A118A" w:rsidR="00FF0A4B" w:rsidRPr="000B1B3C" w:rsidRDefault="00FF0A4B" w:rsidP="00FF0A4B">
            <w:pPr>
              <w:widowControl/>
              <w:jc w:val="center"/>
              <w:rPr>
                <w:color w:val="595959"/>
                <w:sz w:val="18"/>
                <w:szCs w:val="18"/>
              </w:rPr>
            </w:pPr>
            <w:r>
              <w:rPr>
                <w:rFonts w:hint="eastAsia"/>
                <w:color w:val="000000"/>
                <w:sz w:val="22"/>
                <w:szCs w:val="22"/>
              </w:rPr>
              <w:t>002408</w:t>
            </w:r>
          </w:p>
        </w:tc>
        <w:tc>
          <w:tcPr>
            <w:tcW w:w="1418" w:type="dxa"/>
            <w:tcBorders>
              <w:bottom w:val="single" w:sz="4" w:space="0" w:color="auto"/>
            </w:tcBorders>
            <w:vAlign w:val="center"/>
          </w:tcPr>
          <w:p w14:paraId="381B1DF9" w14:textId="75E71556" w:rsidR="00FF0A4B" w:rsidRPr="000B1B3C" w:rsidRDefault="00FF0A4B" w:rsidP="00FF0A4B">
            <w:pPr>
              <w:widowControl/>
              <w:jc w:val="center"/>
              <w:rPr>
                <w:color w:val="595959"/>
                <w:sz w:val="18"/>
                <w:szCs w:val="18"/>
              </w:rPr>
            </w:pPr>
            <w:r>
              <w:rPr>
                <w:rFonts w:hint="eastAsia"/>
                <w:color w:val="000000"/>
                <w:sz w:val="22"/>
                <w:szCs w:val="22"/>
              </w:rPr>
              <w:t>齐翔腾达</w:t>
            </w:r>
          </w:p>
        </w:tc>
        <w:tc>
          <w:tcPr>
            <w:tcW w:w="1275" w:type="dxa"/>
            <w:tcBorders>
              <w:bottom w:val="single" w:sz="4" w:space="0" w:color="auto"/>
            </w:tcBorders>
            <w:vAlign w:val="center"/>
          </w:tcPr>
          <w:p w14:paraId="03599B06" w14:textId="1F060AC1" w:rsidR="00FF0A4B" w:rsidRPr="000B1B3C" w:rsidRDefault="00FF0A4B" w:rsidP="00FF0A4B">
            <w:pPr>
              <w:widowControl/>
              <w:jc w:val="center"/>
              <w:rPr>
                <w:color w:val="595959"/>
                <w:sz w:val="18"/>
                <w:szCs w:val="18"/>
              </w:rPr>
            </w:pPr>
            <w:r>
              <w:rPr>
                <w:rFonts w:hint="eastAsia"/>
                <w:color w:val="000000"/>
                <w:sz w:val="22"/>
                <w:szCs w:val="22"/>
              </w:rPr>
              <w:t>500</w:t>
            </w:r>
          </w:p>
        </w:tc>
        <w:tc>
          <w:tcPr>
            <w:tcW w:w="1418" w:type="dxa"/>
            <w:tcBorders>
              <w:bottom w:val="single" w:sz="4" w:space="0" w:color="auto"/>
            </w:tcBorders>
            <w:vAlign w:val="center"/>
          </w:tcPr>
          <w:p w14:paraId="1F9CE62F" w14:textId="72040119" w:rsidR="00FF0A4B" w:rsidRDefault="00FF0A4B" w:rsidP="00FF0A4B">
            <w:pPr>
              <w:widowControl/>
              <w:jc w:val="center"/>
              <w:rPr>
                <w:rFonts w:ascii="宋体" w:hAnsi="宋体" w:cs="宋体"/>
                <w:color w:val="000000"/>
                <w:kern w:val="0"/>
                <w:sz w:val="24"/>
              </w:rPr>
            </w:pPr>
            <w:r>
              <w:rPr>
                <w:rFonts w:hint="eastAsia"/>
                <w:color w:val="000000"/>
                <w:sz w:val="22"/>
                <w:szCs w:val="22"/>
              </w:rPr>
              <w:t>允许</w:t>
            </w:r>
          </w:p>
        </w:tc>
        <w:tc>
          <w:tcPr>
            <w:tcW w:w="1701" w:type="dxa"/>
            <w:tcBorders>
              <w:bottom w:val="single" w:sz="4" w:space="0" w:color="auto"/>
            </w:tcBorders>
            <w:vAlign w:val="center"/>
          </w:tcPr>
          <w:p w14:paraId="61376AF8" w14:textId="2218F458" w:rsidR="00FF0A4B" w:rsidRDefault="00FF0A4B" w:rsidP="00FF0A4B">
            <w:pPr>
              <w:widowControl/>
              <w:jc w:val="center"/>
              <w:rPr>
                <w:rFonts w:ascii="宋体" w:hAnsi="宋体" w:cs="宋体"/>
                <w:color w:val="000000"/>
                <w:kern w:val="0"/>
                <w:sz w:val="24"/>
              </w:rPr>
            </w:pPr>
            <w:r>
              <w:rPr>
                <w:rFonts w:hint="eastAsia"/>
                <w:color w:val="000000"/>
                <w:sz w:val="22"/>
                <w:szCs w:val="22"/>
              </w:rPr>
              <w:t>15%</w:t>
            </w:r>
          </w:p>
        </w:tc>
        <w:tc>
          <w:tcPr>
            <w:tcW w:w="1417" w:type="dxa"/>
            <w:tcBorders>
              <w:top w:val="single" w:sz="4" w:space="0" w:color="auto"/>
              <w:left w:val="single" w:sz="4" w:space="0" w:color="auto"/>
              <w:bottom w:val="single" w:sz="4" w:space="0" w:color="auto"/>
              <w:right w:val="single" w:sz="4" w:space="0" w:color="auto"/>
            </w:tcBorders>
            <w:vAlign w:val="center"/>
          </w:tcPr>
          <w:p w14:paraId="260F9A64" w14:textId="77777777" w:rsidR="00FF0A4B" w:rsidRDefault="00FF0A4B" w:rsidP="00FF0A4B">
            <w:pPr>
              <w:widowControl/>
              <w:jc w:val="center"/>
              <w:rPr>
                <w:rFonts w:ascii="宋体" w:hAnsi="宋体" w:cs="宋体"/>
                <w:color w:val="000000"/>
                <w:kern w:val="0"/>
                <w:sz w:val="24"/>
              </w:rPr>
            </w:pPr>
          </w:p>
        </w:tc>
      </w:tr>
      <w:tr w:rsidR="00FF0A4B" w14:paraId="72FD7647" w14:textId="77777777" w:rsidTr="00607C40">
        <w:trPr>
          <w:trHeight w:val="285"/>
        </w:trPr>
        <w:tc>
          <w:tcPr>
            <w:tcW w:w="1276" w:type="dxa"/>
            <w:tcBorders>
              <w:bottom w:val="single" w:sz="4" w:space="0" w:color="auto"/>
            </w:tcBorders>
            <w:vAlign w:val="center"/>
          </w:tcPr>
          <w:p w14:paraId="5F4E14AD" w14:textId="0CD86537" w:rsidR="00FF0A4B" w:rsidRPr="000B1B3C" w:rsidRDefault="00FF0A4B" w:rsidP="00FF0A4B">
            <w:pPr>
              <w:widowControl/>
              <w:jc w:val="center"/>
              <w:rPr>
                <w:color w:val="595959"/>
                <w:sz w:val="18"/>
                <w:szCs w:val="18"/>
              </w:rPr>
            </w:pPr>
            <w:r>
              <w:rPr>
                <w:rFonts w:hint="eastAsia"/>
                <w:color w:val="000000"/>
                <w:sz w:val="22"/>
                <w:szCs w:val="22"/>
              </w:rPr>
              <w:t>002410</w:t>
            </w:r>
          </w:p>
        </w:tc>
        <w:tc>
          <w:tcPr>
            <w:tcW w:w="1418" w:type="dxa"/>
            <w:tcBorders>
              <w:bottom w:val="single" w:sz="4" w:space="0" w:color="auto"/>
            </w:tcBorders>
            <w:vAlign w:val="center"/>
          </w:tcPr>
          <w:p w14:paraId="517C189F" w14:textId="3F51A730" w:rsidR="00FF0A4B" w:rsidRPr="000B1B3C" w:rsidRDefault="00FF0A4B" w:rsidP="00FF0A4B">
            <w:pPr>
              <w:widowControl/>
              <w:jc w:val="center"/>
              <w:rPr>
                <w:color w:val="595959"/>
                <w:sz w:val="18"/>
                <w:szCs w:val="18"/>
              </w:rPr>
            </w:pPr>
            <w:r>
              <w:rPr>
                <w:rFonts w:hint="eastAsia"/>
                <w:color w:val="000000"/>
                <w:sz w:val="22"/>
                <w:szCs w:val="22"/>
              </w:rPr>
              <w:t>广联达</w:t>
            </w:r>
          </w:p>
        </w:tc>
        <w:tc>
          <w:tcPr>
            <w:tcW w:w="1275" w:type="dxa"/>
            <w:tcBorders>
              <w:bottom w:val="single" w:sz="4" w:space="0" w:color="auto"/>
            </w:tcBorders>
            <w:vAlign w:val="center"/>
          </w:tcPr>
          <w:p w14:paraId="20C97B8F" w14:textId="0223C215" w:rsidR="00FF0A4B" w:rsidRPr="000B1B3C" w:rsidRDefault="00FF0A4B" w:rsidP="00FF0A4B">
            <w:pPr>
              <w:widowControl/>
              <w:jc w:val="center"/>
              <w:rPr>
                <w:color w:val="595959"/>
                <w:sz w:val="18"/>
                <w:szCs w:val="18"/>
              </w:rPr>
            </w:pPr>
            <w:r>
              <w:rPr>
                <w:rFonts w:hint="eastAsia"/>
                <w:color w:val="000000"/>
                <w:sz w:val="22"/>
                <w:szCs w:val="22"/>
              </w:rPr>
              <w:t>400</w:t>
            </w:r>
          </w:p>
        </w:tc>
        <w:tc>
          <w:tcPr>
            <w:tcW w:w="1418" w:type="dxa"/>
            <w:tcBorders>
              <w:bottom w:val="single" w:sz="4" w:space="0" w:color="auto"/>
            </w:tcBorders>
            <w:vAlign w:val="center"/>
          </w:tcPr>
          <w:p w14:paraId="6C95D0B9" w14:textId="1D10DC14" w:rsidR="00FF0A4B" w:rsidRDefault="00FF0A4B" w:rsidP="00FF0A4B">
            <w:pPr>
              <w:widowControl/>
              <w:jc w:val="center"/>
              <w:rPr>
                <w:rFonts w:ascii="宋体" w:hAnsi="宋体" w:cs="宋体"/>
                <w:color w:val="000000"/>
                <w:kern w:val="0"/>
                <w:sz w:val="24"/>
              </w:rPr>
            </w:pPr>
            <w:r>
              <w:rPr>
                <w:rFonts w:hint="eastAsia"/>
                <w:color w:val="000000"/>
                <w:sz w:val="22"/>
                <w:szCs w:val="22"/>
              </w:rPr>
              <w:t>允许</w:t>
            </w:r>
          </w:p>
        </w:tc>
        <w:tc>
          <w:tcPr>
            <w:tcW w:w="1701" w:type="dxa"/>
            <w:tcBorders>
              <w:bottom w:val="single" w:sz="4" w:space="0" w:color="auto"/>
            </w:tcBorders>
            <w:vAlign w:val="center"/>
          </w:tcPr>
          <w:p w14:paraId="4A7536C0" w14:textId="306CC89B" w:rsidR="00FF0A4B" w:rsidRDefault="00FF0A4B" w:rsidP="00FF0A4B">
            <w:pPr>
              <w:widowControl/>
              <w:jc w:val="center"/>
              <w:rPr>
                <w:rFonts w:ascii="宋体" w:hAnsi="宋体" w:cs="宋体"/>
                <w:color w:val="000000"/>
                <w:kern w:val="0"/>
                <w:sz w:val="24"/>
              </w:rPr>
            </w:pPr>
            <w:r>
              <w:rPr>
                <w:rFonts w:hint="eastAsia"/>
                <w:color w:val="000000"/>
                <w:sz w:val="22"/>
                <w:szCs w:val="22"/>
              </w:rPr>
              <w:t>15%</w:t>
            </w:r>
          </w:p>
        </w:tc>
        <w:tc>
          <w:tcPr>
            <w:tcW w:w="1417" w:type="dxa"/>
            <w:tcBorders>
              <w:top w:val="single" w:sz="4" w:space="0" w:color="auto"/>
              <w:left w:val="single" w:sz="4" w:space="0" w:color="auto"/>
              <w:bottom w:val="single" w:sz="4" w:space="0" w:color="auto"/>
              <w:right w:val="single" w:sz="4" w:space="0" w:color="auto"/>
            </w:tcBorders>
            <w:vAlign w:val="center"/>
          </w:tcPr>
          <w:p w14:paraId="0DC2532C" w14:textId="77777777" w:rsidR="00FF0A4B" w:rsidRDefault="00FF0A4B" w:rsidP="00FF0A4B">
            <w:pPr>
              <w:widowControl/>
              <w:jc w:val="center"/>
              <w:rPr>
                <w:rFonts w:ascii="宋体" w:hAnsi="宋体" w:cs="宋体"/>
                <w:color w:val="000000"/>
                <w:kern w:val="0"/>
                <w:sz w:val="24"/>
              </w:rPr>
            </w:pPr>
          </w:p>
        </w:tc>
      </w:tr>
      <w:tr w:rsidR="00FF0A4B" w14:paraId="552EA018" w14:textId="77777777" w:rsidTr="00607C40">
        <w:trPr>
          <w:trHeight w:val="285"/>
        </w:trPr>
        <w:tc>
          <w:tcPr>
            <w:tcW w:w="1276" w:type="dxa"/>
            <w:tcBorders>
              <w:bottom w:val="single" w:sz="4" w:space="0" w:color="auto"/>
            </w:tcBorders>
            <w:vAlign w:val="center"/>
          </w:tcPr>
          <w:p w14:paraId="00AF83F3" w14:textId="5D6AE42B" w:rsidR="00FF0A4B" w:rsidRPr="000B1B3C" w:rsidRDefault="00FF0A4B" w:rsidP="00FF0A4B">
            <w:pPr>
              <w:widowControl/>
              <w:jc w:val="center"/>
              <w:rPr>
                <w:color w:val="595959"/>
                <w:sz w:val="18"/>
                <w:szCs w:val="18"/>
              </w:rPr>
            </w:pPr>
            <w:r>
              <w:rPr>
                <w:rFonts w:hint="eastAsia"/>
                <w:color w:val="000000"/>
                <w:sz w:val="22"/>
                <w:szCs w:val="22"/>
              </w:rPr>
              <w:t>002415</w:t>
            </w:r>
          </w:p>
        </w:tc>
        <w:tc>
          <w:tcPr>
            <w:tcW w:w="1418" w:type="dxa"/>
            <w:tcBorders>
              <w:bottom w:val="single" w:sz="4" w:space="0" w:color="auto"/>
            </w:tcBorders>
            <w:vAlign w:val="center"/>
          </w:tcPr>
          <w:p w14:paraId="6865A205" w14:textId="2E8677E7" w:rsidR="00FF0A4B" w:rsidRPr="000B1B3C" w:rsidRDefault="00FF0A4B" w:rsidP="00FF0A4B">
            <w:pPr>
              <w:widowControl/>
              <w:jc w:val="center"/>
              <w:rPr>
                <w:color w:val="595959"/>
                <w:sz w:val="18"/>
                <w:szCs w:val="18"/>
              </w:rPr>
            </w:pPr>
            <w:proofErr w:type="gramStart"/>
            <w:r>
              <w:rPr>
                <w:rFonts w:hint="eastAsia"/>
                <w:color w:val="000000"/>
                <w:sz w:val="22"/>
                <w:szCs w:val="22"/>
              </w:rPr>
              <w:t>海康威视</w:t>
            </w:r>
            <w:proofErr w:type="gramEnd"/>
          </w:p>
        </w:tc>
        <w:tc>
          <w:tcPr>
            <w:tcW w:w="1275" w:type="dxa"/>
            <w:tcBorders>
              <w:bottom w:val="single" w:sz="4" w:space="0" w:color="auto"/>
            </w:tcBorders>
            <w:vAlign w:val="center"/>
          </w:tcPr>
          <w:p w14:paraId="1E05821F" w14:textId="19983B28" w:rsidR="00FF0A4B" w:rsidRPr="000B1B3C" w:rsidRDefault="00FF0A4B" w:rsidP="00FF0A4B">
            <w:pPr>
              <w:widowControl/>
              <w:jc w:val="center"/>
              <w:rPr>
                <w:color w:val="595959"/>
                <w:sz w:val="18"/>
                <w:szCs w:val="18"/>
              </w:rPr>
            </w:pPr>
            <w:r>
              <w:rPr>
                <w:rFonts w:hint="eastAsia"/>
                <w:color w:val="000000"/>
                <w:sz w:val="22"/>
                <w:szCs w:val="22"/>
              </w:rPr>
              <w:t>2200</w:t>
            </w:r>
          </w:p>
        </w:tc>
        <w:tc>
          <w:tcPr>
            <w:tcW w:w="1418" w:type="dxa"/>
            <w:tcBorders>
              <w:bottom w:val="single" w:sz="4" w:space="0" w:color="auto"/>
            </w:tcBorders>
            <w:vAlign w:val="center"/>
          </w:tcPr>
          <w:p w14:paraId="545D9835" w14:textId="3A810292" w:rsidR="00FF0A4B" w:rsidRDefault="00FF0A4B" w:rsidP="00FF0A4B">
            <w:pPr>
              <w:widowControl/>
              <w:jc w:val="center"/>
              <w:rPr>
                <w:rFonts w:ascii="宋体" w:hAnsi="宋体" w:cs="宋体"/>
                <w:color w:val="000000"/>
                <w:kern w:val="0"/>
                <w:sz w:val="24"/>
              </w:rPr>
            </w:pPr>
            <w:r>
              <w:rPr>
                <w:rFonts w:hint="eastAsia"/>
                <w:color w:val="000000"/>
                <w:sz w:val="22"/>
                <w:szCs w:val="22"/>
              </w:rPr>
              <w:t>允许</w:t>
            </w:r>
          </w:p>
        </w:tc>
        <w:tc>
          <w:tcPr>
            <w:tcW w:w="1701" w:type="dxa"/>
            <w:tcBorders>
              <w:bottom w:val="single" w:sz="4" w:space="0" w:color="auto"/>
            </w:tcBorders>
            <w:vAlign w:val="center"/>
          </w:tcPr>
          <w:p w14:paraId="25A504E5" w14:textId="4683A5F5" w:rsidR="00FF0A4B" w:rsidRDefault="00FF0A4B" w:rsidP="00FF0A4B">
            <w:pPr>
              <w:widowControl/>
              <w:jc w:val="center"/>
              <w:rPr>
                <w:rFonts w:ascii="宋体" w:hAnsi="宋体" w:cs="宋体"/>
                <w:color w:val="000000"/>
                <w:kern w:val="0"/>
                <w:sz w:val="24"/>
              </w:rPr>
            </w:pPr>
            <w:r>
              <w:rPr>
                <w:rFonts w:hint="eastAsia"/>
                <w:color w:val="000000"/>
                <w:sz w:val="22"/>
                <w:szCs w:val="22"/>
              </w:rPr>
              <w:t>15%</w:t>
            </w:r>
          </w:p>
        </w:tc>
        <w:tc>
          <w:tcPr>
            <w:tcW w:w="1417" w:type="dxa"/>
            <w:tcBorders>
              <w:top w:val="single" w:sz="4" w:space="0" w:color="auto"/>
              <w:left w:val="single" w:sz="4" w:space="0" w:color="auto"/>
              <w:bottom w:val="single" w:sz="4" w:space="0" w:color="auto"/>
              <w:right w:val="single" w:sz="4" w:space="0" w:color="auto"/>
            </w:tcBorders>
            <w:vAlign w:val="center"/>
          </w:tcPr>
          <w:p w14:paraId="46B97E49" w14:textId="77777777" w:rsidR="00FF0A4B" w:rsidRDefault="00FF0A4B" w:rsidP="00FF0A4B">
            <w:pPr>
              <w:widowControl/>
              <w:jc w:val="center"/>
              <w:rPr>
                <w:rFonts w:ascii="宋体" w:hAnsi="宋体" w:cs="宋体"/>
                <w:color w:val="000000"/>
                <w:kern w:val="0"/>
                <w:sz w:val="24"/>
              </w:rPr>
            </w:pPr>
          </w:p>
        </w:tc>
      </w:tr>
      <w:tr w:rsidR="00FF0A4B" w14:paraId="38CB1A2D" w14:textId="77777777" w:rsidTr="00607C40">
        <w:trPr>
          <w:trHeight w:val="285"/>
        </w:trPr>
        <w:tc>
          <w:tcPr>
            <w:tcW w:w="1276" w:type="dxa"/>
            <w:tcBorders>
              <w:bottom w:val="single" w:sz="4" w:space="0" w:color="auto"/>
            </w:tcBorders>
            <w:vAlign w:val="center"/>
          </w:tcPr>
          <w:p w14:paraId="78C08FEF" w14:textId="000FABE8" w:rsidR="00FF0A4B" w:rsidRPr="000B1B3C" w:rsidRDefault="00FF0A4B" w:rsidP="00FF0A4B">
            <w:pPr>
              <w:widowControl/>
              <w:jc w:val="center"/>
              <w:rPr>
                <w:color w:val="595959"/>
                <w:sz w:val="18"/>
                <w:szCs w:val="18"/>
              </w:rPr>
            </w:pPr>
            <w:r>
              <w:rPr>
                <w:rFonts w:hint="eastAsia"/>
                <w:color w:val="000000"/>
                <w:sz w:val="22"/>
                <w:szCs w:val="22"/>
              </w:rPr>
              <w:t>002422</w:t>
            </w:r>
          </w:p>
        </w:tc>
        <w:tc>
          <w:tcPr>
            <w:tcW w:w="1418" w:type="dxa"/>
            <w:tcBorders>
              <w:bottom w:val="single" w:sz="4" w:space="0" w:color="auto"/>
            </w:tcBorders>
            <w:vAlign w:val="center"/>
          </w:tcPr>
          <w:p w14:paraId="0E5EAE27" w14:textId="3AC0B517" w:rsidR="00FF0A4B" w:rsidRPr="000B1B3C" w:rsidRDefault="00FF0A4B" w:rsidP="00FF0A4B">
            <w:pPr>
              <w:widowControl/>
              <w:jc w:val="center"/>
              <w:rPr>
                <w:color w:val="595959"/>
                <w:sz w:val="18"/>
                <w:szCs w:val="18"/>
              </w:rPr>
            </w:pPr>
            <w:r>
              <w:rPr>
                <w:rFonts w:hint="eastAsia"/>
                <w:color w:val="000000"/>
                <w:sz w:val="22"/>
                <w:szCs w:val="22"/>
              </w:rPr>
              <w:t>科伦药业</w:t>
            </w:r>
          </w:p>
        </w:tc>
        <w:tc>
          <w:tcPr>
            <w:tcW w:w="1275" w:type="dxa"/>
            <w:tcBorders>
              <w:bottom w:val="single" w:sz="4" w:space="0" w:color="auto"/>
            </w:tcBorders>
            <w:vAlign w:val="center"/>
          </w:tcPr>
          <w:p w14:paraId="614BB80D" w14:textId="4A516A34" w:rsidR="00FF0A4B" w:rsidRPr="000B1B3C" w:rsidRDefault="00FF0A4B" w:rsidP="00FF0A4B">
            <w:pPr>
              <w:widowControl/>
              <w:jc w:val="center"/>
              <w:rPr>
                <w:color w:val="595959"/>
                <w:sz w:val="18"/>
                <w:szCs w:val="18"/>
              </w:rPr>
            </w:pPr>
            <w:r>
              <w:rPr>
                <w:rFonts w:hint="eastAsia"/>
                <w:color w:val="000000"/>
                <w:sz w:val="22"/>
                <w:szCs w:val="22"/>
              </w:rPr>
              <w:t>600</w:t>
            </w:r>
          </w:p>
        </w:tc>
        <w:tc>
          <w:tcPr>
            <w:tcW w:w="1418" w:type="dxa"/>
            <w:tcBorders>
              <w:bottom w:val="single" w:sz="4" w:space="0" w:color="auto"/>
            </w:tcBorders>
            <w:vAlign w:val="center"/>
          </w:tcPr>
          <w:p w14:paraId="30E0B92B" w14:textId="0B79B944" w:rsidR="00FF0A4B" w:rsidRDefault="00FF0A4B" w:rsidP="00FF0A4B">
            <w:pPr>
              <w:widowControl/>
              <w:jc w:val="center"/>
              <w:rPr>
                <w:rFonts w:ascii="宋体" w:hAnsi="宋体" w:cs="宋体"/>
                <w:color w:val="000000"/>
                <w:kern w:val="0"/>
                <w:sz w:val="24"/>
              </w:rPr>
            </w:pPr>
            <w:r>
              <w:rPr>
                <w:rFonts w:hint="eastAsia"/>
                <w:color w:val="000000"/>
                <w:sz w:val="22"/>
                <w:szCs w:val="22"/>
              </w:rPr>
              <w:t>允许</w:t>
            </w:r>
          </w:p>
        </w:tc>
        <w:tc>
          <w:tcPr>
            <w:tcW w:w="1701" w:type="dxa"/>
            <w:tcBorders>
              <w:bottom w:val="single" w:sz="4" w:space="0" w:color="auto"/>
            </w:tcBorders>
            <w:vAlign w:val="center"/>
          </w:tcPr>
          <w:p w14:paraId="382C766C" w14:textId="4135766F" w:rsidR="00FF0A4B" w:rsidRDefault="00FF0A4B" w:rsidP="00FF0A4B">
            <w:pPr>
              <w:widowControl/>
              <w:jc w:val="center"/>
              <w:rPr>
                <w:rFonts w:ascii="宋体" w:hAnsi="宋体" w:cs="宋体"/>
                <w:color w:val="000000"/>
                <w:kern w:val="0"/>
                <w:sz w:val="24"/>
              </w:rPr>
            </w:pPr>
            <w:r>
              <w:rPr>
                <w:rFonts w:hint="eastAsia"/>
                <w:color w:val="000000"/>
                <w:sz w:val="22"/>
                <w:szCs w:val="22"/>
              </w:rPr>
              <w:t>15%</w:t>
            </w:r>
          </w:p>
        </w:tc>
        <w:tc>
          <w:tcPr>
            <w:tcW w:w="1417" w:type="dxa"/>
            <w:tcBorders>
              <w:top w:val="single" w:sz="4" w:space="0" w:color="auto"/>
              <w:left w:val="single" w:sz="4" w:space="0" w:color="auto"/>
              <w:bottom w:val="single" w:sz="4" w:space="0" w:color="auto"/>
              <w:right w:val="single" w:sz="4" w:space="0" w:color="auto"/>
            </w:tcBorders>
            <w:vAlign w:val="center"/>
          </w:tcPr>
          <w:p w14:paraId="1CC7D1DF" w14:textId="77777777" w:rsidR="00FF0A4B" w:rsidRDefault="00FF0A4B" w:rsidP="00FF0A4B">
            <w:pPr>
              <w:widowControl/>
              <w:jc w:val="center"/>
              <w:rPr>
                <w:rFonts w:ascii="宋体" w:hAnsi="宋体" w:cs="宋体"/>
                <w:color w:val="000000"/>
                <w:kern w:val="0"/>
                <w:sz w:val="24"/>
              </w:rPr>
            </w:pPr>
          </w:p>
        </w:tc>
      </w:tr>
      <w:tr w:rsidR="00FF0A4B" w14:paraId="54EA807A" w14:textId="77777777" w:rsidTr="00607C40">
        <w:trPr>
          <w:trHeight w:val="285"/>
        </w:trPr>
        <w:tc>
          <w:tcPr>
            <w:tcW w:w="1276" w:type="dxa"/>
            <w:tcBorders>
              <w:bottom w:val="single" w:sz="4" w:space="0" w:color="auto"/>
            </w:tcBorders>
            <w:vAlign w:val="center"/>
          </w:tcPr>
          <w:p w14:paraId="62B7F2BB" w14:textId="07E76A5A" w:rsidR="00FF0A4B" w:rsidRPr="000B1B3C" w:rsidRDefault="00FF0A4B" w:rsidP="00FF0A4B">
            <w:pPr>
              <w:widowControl/>
              <w:jc w:val="center"/>
              <w:rPr>
                <w:color w:val="595959"/>
                <w:sz w:val="18"/>
                <w:szCs w:val="18"/>
              </w:rPr>
            </w:pPr>
            <w:r>
              <w:rPr>
                <w:rFonts w:hint="eastAsia"/>
                <w:color w:val="000000"/>
                <w:sz w:val="22"/>
                <w:szCs w:val="22"/>
              </w:rPr>
              <w:t>002444</w:t>
            </w:r>
          </w:p>
        </w:tc>
        <w:tc>
          <w:tcPr>
            <w:tcW w:w="1418" w:type="dxa"/>
            <w:tcBorders>
              <w:bottom w:val="single" w:sz="4" w:space="0" w:color="auto"/>
            </w:tcBorders>
            <w:vAlign w:val="center"/>
          </w:tcPr>
          <w:p w14:paraId="45E7ED97" w14:textId="794C636E" w:rsidR="00FF0A4B" w:rsidRPr="000B1B3C" w:rsidRDefault="00FF0A4B" w:rsidP="00FF0A4B">
            <w:pPr>
              <w:widowControl/>
              <w:jc w:val="center"/>
              <w:rPr>
                <w:color w:val="595959"/>
                <w:sz w:val="18"/>
                <w:szCs w:val="18"/>
              </w:rPr>
            </w:pPr>
            <w:r>
              <w:rPr>
                <w:rFonts w:hint="eastAsia"/>
                <w:color w:val="000000"/>
                <w:sz w:val="22"/>
                <w:szCs w:val="22"/>
              </w:rPr>
              <w:t>巨星科技</w:t>
            </w:r>
          </w:p>
        </w:tc>
        <w:tc>
          <w:tcPr>
            <w:tcW w:w="1275" w:type="dxa"/>
            <w:tcBorders>
              <w:bottom w:val="single" w:sz="4" w:space="0" w:color="auto"/>
            </w:tcBorders>
            <w:vAlign w:val="center"/>
          </w:tcPr>
          <w:p w14:paraId="6D9284C8" w14:textId="54CBDDCC" w:rsidR="00FF0A4B" w:rsidRPr="000B1B3C" w:rsidRDefault="00FF0A4B" w:rsidP="00FF0A4B">
            <w:pPr>
              <w:widowControl/>
              <w:jc w:val="center"/>
              <w:rPr>
                <w:color w:val="595959"/>
                <w:sz w:val="18"/>
                <w:szCs w:val="18"/>
              </w:rPr>
            </w:pPr>
            <w:r>
              <w:rPr>
                <w:rFonts w:hint="eastAsia"/>
                <w:color w:val="000000"/>
                <w:sz w:val="22"/>
                <w:szCs w:val="22"/>
              </w:rPr>
              <w:t>400</w:t>
            </w:r>
          </w:p>
        </w:tc>
        <w:tc>
          <w:tcPr>
            <w:tcW w:w="1418" w:type="dxa"/>
            <w:tcBorders>
              <w:bottom w:val="single" w:sz="4" w:space="0" w:color="auto"/>
            </w:tcBorders>
            <w:vAlign w:val="center"/>
          </w:tcPr>
          <w:p w14:paraId="28FCDF13" w14:textId="6526D60C" w:rsidR="00FF0A4B" w:rsidRDefault="00FF0A4B" w:rsidP="00FF0A4B">
            <w:pPr>
              <w:widowControl/>
              <w:jc w:val="center"/>
              <w:rPr>
                <w:rFonts w:ascii="宋体" w:hAnsi="宋体" w:cs="宋体"/>
                <w:color w:val="000000"/>
                <w:kern w:val="0"/>
                <w:sz w:val="24"/>
              </w:rPr>
            </w:pPr>
            <w:r>
              <w:rPr>
                <w:rFonts w:hint="eastAsia"/>
                <w:color w:val="000000"/>
                <w:sz w:val="22"/>
                <w:szCs w:val="22"/>
              </w:rPr>
              <w:t>允许</w:t>
            </w:r>
          </w:p>
        </w:tc>
        <w:tc>
          <w:tcPr>
            <w:tcW w:w="1701" w:type="dxa"/>
            <w:tcBorders>
              <w:bottom w:val="single" w:sz="4" w:space="0" w:color="auto"/>
            </w:tcBorders>
            <w:vAlign w:val="center"/>
          </w:tcPr>
          <w:p w14:paraId="08069D78" w14:textId="5D86CA33" w:rsidR="00FF0A4B" w:rsidRDefault="00FF0A4B" w:rsidP="00FF0A4B">
            <w:pPr>
              <w:widowControl/>
              <w:jc w:val="center"/>
              <w:rPr>
                <w:rFonts w:ascii="宋体" w:hAnsi="宋体" w:cs="宋体"/>
                <w:color w:val="000000"/>
                <w:kern w:val="0"/>
                <w:sz w:val="24"/>
              </w:rPr>
            </w:pPr>
            <w:r>
              <w:rPr>
                <w:rFonts w:hint="eastAsia"/>
                <w:color w:val="000000"/>
                <w:sz w:val="22"/>
                <w:szCs w:val="22"/>
              </w:rPr>
              <w:t>15%</w:t>
            </w:r>
          </w:p>
        </w:tc>
        <w:tc>
          <w:tcPr>
            <w:tcW w:w="1417" w:type="dxa"/>
            <w:tcBorders>
              <w:top w:val="single" w:sz="4" w:space="0" w:color="auto"/>
              <w:left w:val="single" w:sz="4" w:space="0" w:color="auto"/>
              <w:bottom w:val="single" w:sz="4" w:space="0" w:color="auto"/>
              <w:right w:val="single" w:sz="4" w:space="0" w:color="auto"/>
            </w:tcBorders>
            <w:vAlign w:val="center"/>
          </w:tcPr>
          <w:p w14:paraId="00D3B59A" w14:textId="77777777" w:rsidR="00FF0A4B" w:rsidRDefault="00FF0A4B" w:rsidP="00FF0A4B">
            <w:pPr>
              <w:widowControl/>
              <w:jc w:val="center"/>
              <w:rPr>
                <w:rFonts w:ascii="宋体" w:hAnsi="宋体" w:cs="宋体"/>
                <w:color w:val="000000"/>
                <w:kern w:val="0"/>
                <w:sz w:val="24"/>
              </w:rPr>
            </w:pPr>
          </w:p>
        </w:tc>
      </w:tr>
      <w:tr w:rsidR="00FF0A4B" w14:paraId="63E7151A" w14:textId="77777777" w:rsidTr="00607C40">
        <w:trPr>
          <w:trHeight w:val="285"/>
        </w:trPr>
        <w:tc>
          <w:tcPr>
            <w:tcW w:w="1276" w:type="dxa"/>
            <w:tcBorders>
              <w:bottom w:val="single" w:sz="4" w:space="0" w:color="auto"/>
            </w:tcBorders>
            <w:vAlign w:val="center"/>
          </w:tcPr>
          <w:p w14:paraId="434FB69E" w14:textId="24260899" w:rsidR="00FF0A4B" w:rsidRPr="000B1B3C" w:rsidRDefault="00FF0A4B" w:rsidP="00FF0A4B">
            <w:pPr>
              <w:widowControl/>
              <w:jc w:val="center"/>
              <w:rPr>
                <w:color w:val="595959"/>
                <w:sz w:val="18"/>
                <w:szCs w:val="18"/>
              </w:rPr>
            </w:pPr>
            <w:r>
              <w:rPr>
                <w:rFonts w:hint="eastAsia"/>
                <w:color w:val="000000"/>
                <w:sz w:val="22"/>
                <w:szCs w:val="22"/>
              </w:rPr>
              <w:t>002470</w:t>
            </w:r>
          </w:p>
        </w:tc>
        <w:tc>
          <w:tcPr>
            <w:tcW w:w="1418" w:type="dxa"/>
            <w:tcBorders>
              <w:bottom w:val="single" w:sz="4" w:space="0" w:color="auto"/>
            </w:tcBorders>
            <w:vAlign w:val="center"/>
          </w:tcPr>
          <w:p w14:paraId="641D98B9" w14:textId="324E2C38" w:rsidR="00FF0A4B" w:rsidRPr="000B1B3C" w:rsidRDefault="00FF0A4B" w:rsidP="00FF0A4B">
            <w:pPr>
              <w:widowControl/>
              <w:jc w:val="center"/>
              <w:rPr>
                <w:color w:val="595959"/>
                <w:sz w:val="18"/>
                <w:szCs w:val="18"/>
              </w:rPr>
            </w:pPr>
            <w:r>
              <w:rPr>
                <w:rFonts w:hint="eastAsia"/>
                <w:color w:val="000000"/>
                <w:sz w:val="22"/>
                <w:szCs w:val="22"/>
              </w:rPr>
              <w:t>金正大</w:t>
            </w:r>
          </w:p>
        </w:tc>
        <w:tc>
          <w:tcPr>
            <w:tcW w:w="1275" w:type="dxa"/>
            <w:tcBorders>
              <w:bottom w:val="single" w:sz="4" w:space="0" w:color="auto"/>
            </w:tcBorders>
            <w:vAlign w:val="center"/>
          </w:tcPr>
          <w:p w14:paraId="5E78DC6E" w14:textId="23EA2297" w:rsidR="00FF0A4B" w:rsidRPr="000B1B3C" w:rsidRDefault="00FF0A4B" w:rsidP="00FF0A4B">
            <w:pPr>
              <w:widowControl/>
              <w:jc w:val="center"/>
              <w:rPr>
                <w:color w:val="595959"/>
                <w:sz w:val="18"/>
                <w:szCs w:val="18"/>
              </w:rPr>
            </w:pPr>
            <w:r>
              <w:rPr>
                <w:rFonts w:hint="eastAsia"/>
                <w:color w:val="000000"/>
                <w:sz w:val="22"/>
                <w:szCs w:val="22"/>
              </w:rPr>
              <w:t>1000</w:t>
            </w:r>
          </w:p>
        </w:tc>
        <w:tc>
          <w:tcPr>
            <w:tcW w:w="1418" w:type="dxa"/>
            <w:tcBorders>
              <w:bottom w:val="single" w:sz="4" w:space="0" w:color="auto"/>
            </w:tcBorders>
            <w:vAlign w:val="center"/>
          </w:tcPr>
          <w:p w14:paraId="5DAD3F07" w14:textId="26748994" w:rsidR="00FF0A4B" w:rsidRDefault="00FF0A4B" w:rsidP="00FF0A4B">
            <w:pPr>
              <w:widowControl/>
              <w:jc w:val="center"/>
              <w:rPr>
                <w:rFonts w:ascii="宋体" w:hAnsi="宋体" w:cs="宋体"/>
                <w:color w:val="000000"/>
                <w:kern w:val="0"/>
                <w:sz w:val="24"/>
              </w:rPr>
            </w:pPr>
            <w:r>
              <w:rPr>
                <w:rFonts w:hint="eastAsia"/>
                <w:color w:val="000000"/>
                <w:sz w:val="22"/>
                <w:szCs w:val="22"/>
              </w:rPr>
              <w:t>允许</w:t>
            </w:r>
          </w:p>
        </w:tc>
        <w:tc>
          <w:tcPr>
            <w:tcW w:w="1701" w:type="dxa"/>
            <w:tcBorders>
              <w:bottom w:val="single" w:sz="4" w:space="0" w:color="auto"/>
            </w:tcBorders>
            <w:vAlign w:val="center"/>
          </w:tcPr>
          <w:p w14:paraId="5A57CBEE" w14:textId="1B91E7B9" w:rsidR="00FF0A4B" w:rsidRDefault="00FF0A4B" w:rsidP="00FF0A4B">
            <w:pPr>
              <w:widowControl/>
              <w:jc w:val="center"/>
              <w:rPr>
                <w:rFonts w:ascii="宋体" w:hAnsi="宋体" w:cs="宋体"/>
                <w:color w:val="000000"/>
                <w:kern w:val="0"/>
                <w:sz w:val="24"/>
              </w:rPr>
            </w:pPr>
            <w:r>
              <w:rPr>
                <w:rFonts w:hint="eastAsia"/>
                <w:color w:val="000000"/>
                <w:sz w:val="22"/>
                <w:szCs w:val="22"/>
              </w:rPr>
              <w:t>15%</w:t>
            </w:r>
          </w:p>
        </w:tc>
        <w:tc>
          <w:tcPr>
            <w:tcW w:w="1417" w:type="dxa"/>
            <w:tcBorders>
              <w:top w:val="single" w:sz="4" w:space="0" w:color="auto"/>
              <w:left w:val="single" w:sz="4" w:space="0" w:color="auto"/>
              <w:bottom w:val="single" w:sz="4" w:space="0" w:color="auto"/>
              <w:right w:val="single" w:sz="4" w:space="0" w:color="auto"/>
            </w:tcBorders>
            <w:vAlign w:val="center"/>
          </w:tcPr>
          <w:p w14:paraId="753741E0" w14:textId="77777777" w:rsidR="00FF0A4B" w:rsidRDefault="00FF0A4B" w:rsidP="00FF0A4B">
            <w:pPr>
              <w:widowControl/>
              <w:jc w:val="center"/>
              <w:rPr>
                <w:rFonts w:ascii="宋体" w:hAnsi="宋体" w:cs="宋体"/>
                <w:color w:val="000000"/>
                <w:kern w:val="0"/>
                <w:sz w:val="24"/>
              </w:rPr>
            </w:pPr>
          </w:p>
        </w:tc>
      </w:tr>
      <w:tr w:rsidR="00FF0A4B" w14:paraId="2B89C1D9" w14:textId="77777777" w:rsidTr="00607C40">
        <w:trPr>
          <w:trHeight w:val="285"/>
        </w:trPr>
        <w:tc>
          <w:tcPr>
            <w:tcW w:w="1276" w:type="dxa"/>
            <w:tcBorders>
              <w:bottom w:val="single" w:sz="4" w:space="0" w:color="auto"/>
            </w:tcBorders>
            <w:vAlign w:val="center"/>
          </w:tcPr>
          <w:p w14:paraId="3321617C" w14:textId="3369F309" w:rsidR="00FF0A4B" w:rsidRPr="000B1B3C" w:rsidRDefault="00FF0A4B" w:rsidP="00FF0A4B">
            <w:pPr>
              <w:widowControl/>
              <w:jc w:val="center"/>
              <w:rPr>
                <w:color w:val="595959"/>
                <w:sz w:val="18"/>
                <w:szCs w:val="18"/>
              </w:rPr>
            </w:pPr>
            <w:r>
              <w:rPr>
                <w:rFonts w:hint="eastAsia"/>
                <w:color w:val="000000"/>
                <w:sz w:val="22"/>
                <w:szCs w:val="22"/>
              </w:rPr>
              <w:t>002477</w:t>
            </w:r>
          </w:p>
        </w:tc>
        <w:tc>
          <w:tcPr>
            <w:tcW w:w="1418" w:type="dxa"/>
            <w:tcBorders>
              <w:bottom w:val="single" w:sz="4" w:space="0" w:color="auto"/>
            </w:tcBorders>
            <w:vAlign w:val="center"/>
          </w:tcPr>
          <w:p w14:paraId="22A5A020" w14:textId="6B37BA50" w:rsidR="00FF0A4B" w:rsidRPr="000B1B3C" w:rsidRDefault="00FF0A4B" w:rsidP="00FF0A4B">
            <w:pPr>
              <w:widowControl/>
              <w:jc w:val="center"/>
              <w:rPr>
                <w:color w:val="595959"/>
                <w:sz w:val="18"/>
                <w:szCs w:val="18"/>
              </w:rPr>
            </w:pPr>
            <w:r>
              <w:rPr>
                <w:rFonts w:hint="eastAsia"/>
                <w:color w:val="000000"/>
                <w:sz w:val="22"/>
                <w:szCs w:val="22"/>
              </w:rPr>
              <w:t>雏鹰农牧</w:t>
            </w:r>
          </w:p>
        </w:tc>
        <w:tc>
          <w:tcPr>
            <w:tcW w:w="1275" w:type="dxa"/>
            <w:tcBorders>
              <w:bottom w:val="single" w:sz="4" w:space="0" w:color="auto"/>
            </w:tcBorders>
            <w:vAlign w:val="center"/>
          </w:tcPr>
          <w:p w14:paraId="46FCA971" w14:textId="3DAA3BF8" w:rsidR="00FF0A4B" w:rsidRPr="000B1B3C" w:rsidRDefault="00FF0A4B" w:rsidP="00FF0A4B">
            <w:pPr>
              <w:widowControl/>
              <w:jc w:val="center"/>
              <w:rPr>
                <w:color w:val="595959"/>
                <w:sz w:val="18"/>
                <w:szCs w:val="18"/>
              </w:rPr>
            </w:pPr>
            <w:r>
              <w:rPr>
                <w:rFonts w:hint="eastAsia"/>
                <w:color w:val="000000"/>
                <w:sz w:val="22"/>
                <w:szCs w:val="22"/>
              </w:rPr>
              <w:t>1100</w:t>
            </w:r>
          </w:p>
        </w:tc>
        <w:tc>
          <w:tcPr>
            <w:tcW w:w="1418" w:type="dxa"/>
            <w:tcBorders>
              <w:bottom w:val="single" w:sz="4" w:space="0" w:color="auto"/>
            </w:tcBorders>
            <w:vAlign w:val="center"/>
          </w:tcPr>
          <w:p w14:paraId="65FD2845" w14:textId="07A5D9BF" w:rsidR="00FF0A4B" w:rsidRDefault="00FF0A4B" w:rsidP="00FF0A4B">
            <w:pPr>
              <w:widowControl/>
              <w:jc w:val="center"/>
              <w:rPr>
                <w:rFonts w:ascii="宋体" w:hAnsi="宋体" w:cs="宋体"/>
                <w:color w:val="000000"/>
                <w:kern w:val="0"/>
                <w:sz w:val="24"/>
              </w:rPr>
            </w:pPr>
            <w:r>
              <w:rPr>
                <w:rFonts w:hint="eastAsia"/>
                <w:color w:val="000000"/>
                <w:sz w:val="22"/>
                <w:szCs w:val="22"/>
              </w:rPr>
              <w:t>允许</w:t>
            </w:r>
          </w:p>
        </w:tc>
        <w:tc>
          <w:tcPr>
            <w:tcW w:w="1701" w:type="dxa"/>
            <w:tcBorders>
              <w:bottom w:val="single" w:sz="4" w:space="0" w:color="auto"/>
            </w:tcBorders>
            <w:vAlign w:val="center"/>
          </w:tcPr>
          <w:p w14:paraId="3BFEBF33" w14:textId="77279FAB" w:rsidR="00FF0A4B" w:rsidRDefault="00FF0A4B" w:rsidP="00FF0A4B">
            <w:pPr>
              <w:widowControl/>
              <w:jc w:val="center"/>
              <w:rPr>
                <w:rFonts w:ascii="宋体" w:hAnsi="宋体" w:cs="宋体"/>
                <w:color w:val="000000"/>
                <w:kern w:val="0"/>
                <w:sz w:val="24"/>
              </w:rPr>
            </w:pPr>
            <w:r>
              <w:rPr>
                <w:rFonts w:hint="eastAsia"/>
                <w:color w:val="000000"/>
                <w:sz w:val="22"/>
                <w:szCs w:val="22"/>
              </w:rPr>
              <w:t>15%</w:t>
            </w:r>
          </w:p>
        </w:tc>
        <w:tc>
          <w:tcPr>
            <w:tcW w:w="1417" w:type="dxa"/>
            <w:tcBorders>
              <w:top w:val="single" w:sz="4" w:space="0" w:color="auto"/>
              <w:left w:val="single" w:sz="4" w:space="0" w:color="auto"/>
              <w:bottom w:val="single" w:sz="4" w:space="0" w:color="auto"/>
              <w:right w:val="single" w:sz="4" w:space="0" w:color="auto"/>
            </w:tcBorders>
            <w:vAlign w:val="center"/>
          </w:tcPr>
          <w:p w14:paraId="36F9E317" w14:textId="77777777" w:rsidR="00FF0A4B" w:rsidRDefault="00FF0A4B" w:rsidP="00FF0A4B">
            <w:pPr>
              <w:widowControl/>
              <w:jc w:val="center"/>
              <w:rPr>
                <w:rFonts w:ascii="宋体" w:hAnsi="宋体" w:cs="宋体"/>
                <w:color w:val="000000"/>
                <w:kern w:val="0"/>
                <w:sz w:val="24"/>
              </w:rPr>
            </w:pPr>
          </w:p>
        </w:tc>
      </w:tr>
      <w:tr w:rsidR="00FF0A4B" w14:paraId="435F75E4" w14:textId="77777777" w:rsidTr="00607C40">
        <w:trPr>
          <w:trHeight w:val="285"/>
        </w:trPr>
        <w:tc>
          <w:tcPr>
            <w:tcW w:w="1276" w:type="dxa"/>
            <w:tcBorders>
              <w:bottom w:val="single" w:sz="4" w:space="0" w:color="auto"/>
            </w:tcBorders>
            <w:vAlign w:val="center"/>
          </w:tcPr>
          <w:p w14:paraId="5EDE692A" w14:textId="1F7AD13E" w:rsidR="00FF0A4B" w:rsidRPr="000B1B3C" w:rsidRDefault="00FF0A4B" w:rsidP="00FF0A4B">
            <w:pPr>
              <w:widowControl/>
              <w:jc w:val="center"/>
              <w:rPr>
                <w:color w:val="595959"/>
                <w:sz w:val="18"/>
                <w:szCs w:val="18"/>
              </w:rPr>
            </w:pPr>
            <w:r>
              <w:rPr>
                <w:rFonts w:hint="eastAsia"/>
                <w:color w:val="000000"/>
                <w:sz w:val="22"/>
                <w:szCs w:val="22"/>
              </w:rPr>
              <w:t>002493</w:t>
            </w:r>
          </w:p>
        </w:tc>
        <w:tc>
          <w:tcPr>
            <w:tcW w:w="1418" w:type="dxa"/>
            <w:tcBorders>
              <w:bottom w:val="single" w:sz="4" w:space="0" w:color="auto"/>
            </w:tcBorders>
            <w:vAlign w:val="center"/>
          </w:tcPr>
          <w:p w14:paraId="1575471A" w14:textId="09D50107" w:rsidR="00FF0A4B" w:rsidRPr="000B1B3C" w:rsidRDefault="00FF0A4B" w:rsidP="00FF0A4B">
            <w:pPr>
              <w:widowControl/>
              <w:jc w:val="center"/>
              <w:rPr>
                <w:color w:val="595959"/>
                <w:sz w:val="18"/>
                <w:szCs w:val="18"/>
              </w:rPr>
            </w:pPr>
            <w:r>
              <w:rPr>
                <w:rFonts w:hint="eastAsia"/>
                <w:color w:val="000000"/>
                <w:sz w:val="22"/>
                <w:szCs w:val="22"/>
              </w:rPr>
              <w:t>荣盛石化</w:t>
            </w:r>
          </w:p>
        </w:tc>
        <w:tc>
          <w:tcPr>
            <w:tcW w:w="1275" w:type="dxa"/>
            <w:tcBorders>
              <w:bottom w:val="single" w:sz="4" w:space="0" w:color="auto"/>
            </w:tcBorders>
            <w:vAlign w:val="center"/>
          </w:tcPr>
          <w:p w14:paraId="4F3577ED" w14:textId="3278BB23" w:rsidR="00FF0A4B" w:rsidRPr="000B1B3C" w:rsidRDefault="00FF0A4B" w:rsidP="00FF0A4B">
            <w:pPr>
              <w:widowControl/>
              <w:jc w:val="center"/>
              <w:rPr>
                <w:color w:val="595959"/>
                <w:sz w:val="18"/>
                <w:szCs w:val="18"/>
              </w:rPr>
            </w:pPr>
            <w:r>
              <w:rPr>
                <w:rFonts w:hint="eastAsia"/>
                <w:color w:val="000000"/>
                <w:sz w:val="22"/>
                <w:szCs w:val="22"/>
              </w:rPr>
              <w:t>500</w:t>
            </w:r>
          </w:p>
        </w:tc>
        <w:tc>
          <w:tcPr>
            <w:tcW w:w="1418" w:type="dxa"/>
            <w:tcBorders>
              <w:bottom w:val="single" w:sz="4" w:space="0" w:color="auto"/>
            </w:tcBorders>
            <w:vAlign w:val="center"/>
          </w:tcPr>
          <w:p w14:paraId="5146A3E0" w14:textId="656423AF" w:rsidR="00FF0A4B" w:rsidRDefault="00FF0A4B" w:rsidP="00FF0A4B">
            <w:pPr>
              <w:widowControl/>
              <w:jc w:val="center"/>
              <w:rPr>
                <w:rFonts w:ascii="宋体" w:hAnsi="宋体" w:cs="宋体"/>
                <w:color w:val="000000"/>
                <w:kern w:val="0"/>
                <w:sz w:val="24"/>
              </w:rPr>
            </w:pPr>
            <w:r>
              <w:rPr>
                <w:rFonts w:hint="eastAsia"/>
                <w:color w:val="000000"/>
                <w:sz w:val="22"/>
                <w:szCs w:val="22"/>
              </w:rPr>
              <w:t>允许</w:t>
            </w:r>
          </w:p>
        </w:tc>
        <w:tc>
          <w:tcPr>
            <w:tcW w:w="1701" w:type="dxa"/>
            <w:tcBorders>
              <w:bottom w:val="single" w:sz="4" w:space="0" w:color="auto"/>
            </w:tcBorders>
            <w:vAlign w:val="center"/>
          </w:tcPr>
          <w:p w14:paraId="1E09ADFB" w14:textId="6C1E3019" w:rsidR="00FF0A4B" w:rsidRDefault="00FF0A4B" w:rsidP="00FF0A4B">
            <w:pPr>
              <w:widowControl/>
              <w:jc w:val="center"/>
              <w:rPr>
                <w:rFonts w:ascii="宋体" w:hAnsi="宋体" w:cs="宋体"/>
                <w:color w:val="000000"/>
                <w:kern w:val="0"/>
                <w:sz w:val="24"/>
              </w:rPr>
            </w:pPr>
            <w:r>
              <w:rPr>
                <w:rFonts w:hint="eastAsia"/>
                <w:color w:val="000000"/>
                <w:sz w:val="22"/>
                <w:szCs w:val="22"/>
              </w:rPr>
              <w:t>15%</w:t>
            </w:r>
          </w:p>
        </w:tc>
        <w:tc>
          <w:tcPr>
            <w:tcW w:w="1417" w:type="dxa"/>
            <w:tcBorders>
              <w:top w:val="single" w:sz="4" w:space="0" w:color="auto"/>
              <w:left w:val="single" w:sz="4" w:space="0" w:color="auto"/>
              <w:bottom w:val="single" w:sz="4" w:space="0" w:color="auto"/>
              <w:right w:val="single" w:sz="4" w:space="0" w:color="auto"/>
            </w:tcBorders>
            <w:vAlign w:val="center"/>
          </w:tcPr>
          <w:p w14:paraId="74643558" w14:textId="77777777" w:rsidR="00FF0A4B" w:rsidRDefault="00FF0A4B" w:rsidP="00FF0A4B">
            <w:pPr>
              <w:widowControl/>
              <w:jc w:val="center"/>
              <w:rPr>
                <w:rFonts w:ascii="宋体" w:hAnsi="宋体" w:cs="宋体"/>
                <w:color w:val="000000"/>
                <w:kern w:val="0"/>
                <w:sz w:val="24"/>
              </w:rPr>
            </w:pPr>
          </w:p>
        </w:tc>
      </w:tr>
      <w:tr w:rsidR="00FF0A4B" w14:paraId="65B6187A" w14:textId="77777777" w:rsidTr="00607C40">
        <w:trPr>
          <w:trHeight w:val="285"/>
        </w:trPr>
        <w:tc>
          <w:tcPr>
            <w:tcW w:w="1276" w:type="dxa"/>
            <w:tcBorders>
              <w:bottom w:val="single" w:sz="4" w:space="0" w:color="auto"/>
            </w:tcBorders>
            <w:vAlign w:val="center"/>
          </w:tcPr>
          <w:p w14:paraId="403A8EA9" w14:textId="6951B933" w:rsidR="00FF0A4B" w:rsidRPr="000B1B3C" w:rsidRDefault="00FF0A4B" w:rsidP="00FF0A4B">
            <w:pPr>
              <w:widowControl/>
              <w:jc w:val="center"/>
              <w:rPr>
                <w:color w:val="595959"/>
                <w:sz w:val="18"/>
                <w:szCs w:val="18"/>
              </w:rPr>
            </w:pPr>
            <w:r>
              <w:rPr>
                <w:rFonts w:hint="eastAsia"/>
                <w:color w:val="000000"/>
                <w:sz w:val="22"/>
                <w:szCs w:val="22"/>
              </w:rPr>
              <w:t>002501</w:t>
            </w:r>
          </w:p>
        </w:tc>
        <w:tc>
          <w:tcPr>
            <w:tcW w:w="1418" w:type="dxa"/>
            <w:tcBorders>
              <w:bottom w:val="single" w:sz="4" w:space="0" w:color="auto"/>
            </w:tcBorders>
            <w:vAlign w:val="center"/>
          </w:tcPr>
          <w:p w14:paraId="217FB347" w14:textId="0BD479BE" w:rsidR="00FF0A4B" w:rsidRPr="000B1B3C" w:rsidRDefault="00FF0A4B" w:rsidP="00FF0A4B">
            <w:pPr>
              <w:widowControl/>
              <w:jc w:val="center"/>
              <w:rPr>
                <w:color w:val="595959"/>
                <w:sz w:val="18"/>
                <w:szCs w:val="18"/>
              </w:rPr>
            </w:pPr>
            <w:r>
              <w:rPr>
                <w:rFonts w:hint="eastAsia"/>
                <w:color w:val="000000"/>
                <w:sz w:val="22"/>
                <w:szCs w:val="22"/>
              </w:rPr>
              <w:t>利源精制</w:t>
            </w:r>
          </w:p>
        </w:tc>
        <w:tc>
          <w:tcPr>
            <w:tcW w:w="1275" w:type="dxa"/>
            <w:tcBorders>
              <w:bottom w:val="single" w:sz="4" w:space="0" w:color="auto"/>
            </w:tcBorders>
            <w:vAlign w:val="center"/>
          </w:tcPr>
          <w:p w14:paraId="3B0D6204" w14:textId="06881D5D" w:rsidR="00FF0A4B" w:rsidRPr="000B1B3C" w:rsidRDefault="00FF0A4B" w:rsidP="00FF0A4B">
            <w:pPr>
              <w:widowControl/>
              <w:jc w:val="center"/>
              <w:rPr>
                <w:color w:val="595959"/>
                <w:sz w:val="18"/>
                <w:szCs w:val="18"/>
              </w:rPr>
            </w:pPr>
            <w:r>
              <w:rPr>
                <w:rFonts w:hint="eastAsia"/>
                <w:color w:val="000000"/>
                <w:sz w:val="22"/>
                <w:szCs w:val="22"/>
              </w:rPr>
              <w:t>500</w:t>
            </w:r>
          </w:p>
        </w:tc>
        <w:tc>
          <w:tcPr>
            <w:tcW w:w="1418" w:type="dxa"/>
            <w:tcBorders>
              <w:bottom w:val="single" w:sz="4" w:space="0" w:color="auto"/>
            </w:tcBorders>
            <w:vAlign w:val="center"/>
          </w:tcPr>
          <w:p w14:paraId="0B760847" w14:textId="26B9F4FC" w:rsidR="00FF0A4B" w:rsidRDefault="00FF0A4B" w:rsidP="00FF0A4B">
            <w:pPr>
              <w:widowControl/>
              <w:jc w:val="center"/>
              <w:rPr>
                <w:rFonts w:ascii="宋体" w:hAnsi="宋体" w:cs="宋体"/>
                <w:color w:val="000000"/>
                <w:kern w:val="0"/>
                <w:sz w:val="24"/>
              </w:rPr>
            </w:pPr>
            <w:r>
              <w:rPr>
                <w:rFonts w:hint="eastAsia"/>
                <w:color w:val="000000"/>
                <w:sz w:val="22"/>
                <w:szCs w:val="22"/>
              </w:rPr>
              <w:t>允许</w:t>
            </w:r>
          </w:p>
        </w:tc>
        <w:tc>
          <w:tcPr>
            <w:tcW w:w="1701" w:type="dxa"/>
            <w:tcBorders>
              <w:bottom w:val="single" w:sz="4" w:space="0" w:color="auto"/>
            </w:tcBorders>
            <w:vAlign w:val="center"/>
          </w:tcPr>
          <w:p w14:paraId="4A283095" w14:textId="377C437D" w:rsidR="00FF0A4B" w:rsidRDefault="00FF0A4B" w:rsidP="00FF0A4B">
            <w:pPr>
              <w:widowControl/>
              <w:jc w:val="center"/>
              <w:rPr>
                <w:rFonts w:ascii="宋体" w:hAnsi="宋体" w:cs="宋体"/>
                <w:color w:val="000000"/>
                <w:kern w:val="0"/>
                <w:sz w:val="24"/>
              </w:rPr>
            </w:pPr>
            <w:r>
              <w:rPr>
                <w:rFonts w:hint="eastAsia"/>
                <w:color w:val="000000"/>
                <w:sz w:val="22"/>
                <w:szCs w:val="22"/>
              </w:rPr>
              <w:t>15%</w:t>
            </w:r>
          </w:p>
        </w:tc>
        <w:tc>
          <w:tcPr>
            <w:tcW w:w="1417" w:type="dxa"/>
            <w:tcBorders>
              <w:top w:val="single" w:sz="4" w:space="0" w:color="auto"/>
              <w:left w:val="single" w:sz="4" w:space="0" w:color="auto"/>
              <w:bottom w:val="single" w:sz="4" w:space="0" w:color="auto"/>
              <w:right w:val="single" w:sz="4" w:space="0" w:color="auto"/>
            </w:tcBorders>
            <w:vAlign w:val="center"/>
          </w:tcPr>
          <w:p w14:paraId="02DCA517" w14:textId="77777777" w:rsidR="00FF0A4B" w:rsidRDefault="00FF0A4B" w:rsidP="00FF0A4B">
            <w:pPr>
              <w:widowControl/>
              <w:jc w:val="center"/>
              <w:rPr>
                <w:rFonts w:ascii="宋体" w:hAnsi="宋体" w:cs="宋体"/>
                <w:color w:val="000000"/>
                <w:kern w:val="0"/>
                <w:sz w:val="24"/>
              </w:rPr>
            </w:pPr>
          </w:p>
        </w:tc>
      </w:tr>
      <w:tr w:rsidR="00FF0A4B" w14:paraId="3069C056" w14:textId="77777777" w:rsidTr="00607C40">
        <w:trPr>
          <w:trHeight w:val="285"/>
        </w:trPr>
        <w:tc>
          <w:tcPr>
            <w:tcW w:w="1276" w:type="dxa"/>
            <w:tcBorders>
              <w:bottom w:val="single" w:sz="4" w:space="0" w:color="auto"/>
            </w:tcBorders>
            <w:vAlign w:val="center"/>
          </w:tcPr>
          <w:p w14:paraId="15D5F836" w14:textId="71D497FD" w:rsidR="00FF0A4B" w:rsidRPr="000B1B3C" w:rsidRDefault="00FF0A4B" w:rsidP="00FF0A4B">
            <w:pPr>
              <w:widowControl/>
              <w:jc w:val="center"/>
              <w:rPr>
                <w:color w:val="595959"/>
                <w:sz w:val="18"/>
                <w:szCs w:val="18"/>
              </w:rPr>
            </w:pPr>
            <w:r>
              <w:rPr>
                <w:rFonts w:hint="eastAsia"/>
                <w:color w:val="000000"/>
                <w:sz w:val="22"/>
                <w:szCs w:val="22"/>
              </w:rPr>
              <w:t>002601</w:t>
            </w:r>
          </w:p>
        </w:tc>
        <w:tc>
          <w:tcPr>
            <w:tcW w:w="1418" w:type="dxa"/>
            <w:tcBorders>
              <w:bottom w:val="single" w:sz="4" w:space="0" w:color="auto"/>
            </w:tcBorders>
            <w:vAlign w:val="center"/>
          </w:tcPr>
          <w:p w14:paraId="4C9FEBB6" w14:textId="035C2D35" w:rsidR="00FF0A4B" w:rsidRPr="000B1B3C" w:rsidRDefault="00FF0A4B" w:rsidP="00FF0A4B">
            <w:pPr>
              <w:widowControl/>
              <w:jc w:val="center"/>
              <w:rPr>
                <w:color w:val="595959"/>
                <w:sz w:val="18"/>
                <w:szCs w:val="18"/>
              </w:rPr>
            </w:pPr>
            <w:r>
              <w:rPr>
                <w:rFonts w:hint="eastAsia"/>
                <w:color w:val="000000"/>
                <w:sz w:val="22"/>
                <w:szCs w:val="22"/>
              </w:rPr>
              <w:t>龙蟒佰利</w:t>
            </w:r>
          </w:p>
        </w:tc>
        <w:tc>
          <w:tcPr>
            <w:tcW w:w="1275" w:type="dxa"/>
            <w:tcBorders>
              <w:bottom w:val="single" w:sz="4" w:space="0" w:color="auto"/>
            </w:tcBorders>
            <w:vAlign w:val="center"/>
          </w:tcPr>
          <w:p w14:paraId="2E227285" w14:textId="437F38CA" w:rsidR="00FF0A4B" w:rsidRPr="000B1B3C" w:rsidRDefault="00FF0A4B" w:rsidP="00FF0A4B">
            <w:pPr>
              <w:widowControl/>
              <w:jc w:val="center"/>
              <w:rPr>
                <w:color w:val="595959"/>
                <w:sz w:val="18"/>
                <w:szCs w:val="18"/>
              </w:rPr>
            </w:pPr>
            <w:r>
              <w:rPr>
                <w:rFonts w:hint="eastAsia"/>
                <w:color w:val="000000"/>
                <w:sz w:val="22"/>
                <w:szCs w:val="22"/>
              </w:rPr>
              <w:t>400</w:t>
            </w:r>
          </w:p>
        </w:tc>
        <w:tc>
          <w:tcPr>
            <w:tcW w:w="1418" w:type="dxa"/>
            <w:tcBorders>
              <w:bottom w:val="single" w:sz="4" w:space="0" w:color="auto"/>
            </w:tcBorders>
            <w:vAlign w:val="center"/>
          </w:tcPr>
          <w:p w14:paraId="7A902424" w14:textId="1404C957" w:rsidR="00FF0A4B" w:rsidRDefault="00FF0A4B" w:rsidP="00FF0A4B">
            <w:pPr>
              <w:widowControl/>
              <w:jc w:val="center"/>
              <w:rPr>
                <w:rFonts w:ascii="宋体" w:hAnsi="宋体" w:cs="宋体"/>
                <w:color w:val="000000"/>
                <w:kern w:val="0"/>
                <w:sz w:val="24"/>
              </w:rPr>
            </w:pPr>
            <w:r>
              <w:rPr>
                <w:rFonts w:hint="eastAsia"/>
                <w:color w:val="000000"/>
                <w:sz w:val="22"/>
                <w:szCs w:val="22"/>
              </w:rPr>
              <w:t>允许</w:t>
            </w:r>
          </w:p>
        </w:tc>
        <w:tc>
          <w:tcPr>
            <w:tcW w:w="1701" w:type="dxa"/>
            <w:tcBorders>
              <w:bottom w:val="single" w:sz="4" w:space="0" w:color="auto"/>
            </w:tcBorders>
            <w:vAlign w:val="center"/>
          </w:tcPr>
          <w:p w14:paraId="06C77264" w14:textId="7FDA630E" w:rsidR="00FF0A4B" w:rsidRDefault="00FF0A4B" w:rsidP="00FF0A4B">
            <w:pPr>
              <w:widowControl/>
              <w:jc w:val="center"/>
              <w:rPr>
                <w:rFonts w:ascii="宋体" w:hAnsi="宋体" w:cs="宋体"/>
                <w:color w:val="000000"/>
                <w:kern w:val="0"/>
                <w:sz w:val="24"/>
              </w:rPr>
            </w:pPr>
            <w:r>
              <w:rPr>
                <w:rFonts w:hint="eastAsia"/>
                <w:color w:val="000000"/>
                <w:sz w:val="22"/>
                <w:szCs w:val="22"/>
              </w:rPr>
              <w:t>15%</w:t>
            </w:r>
          </w:p>
        </w:tc>
        <w:tc>
          <w:tcPr>
            <w:tcW w:w="1417" w:type="dxa"/>
            <w:tcBorders>
              <w:top w:val="single" w:sz="4" w:space="0" w:color="auto"/>
              <w:left w:val="single" w:sz="4" w:space="0" w:color="auto"/>
              <w:bottom w:val="single" w:sz="4" w:space="0" w:color="auto"/>
              <w:right w:val="single" w:sz="4" w:space="0" w:color="auto"/>
            </w:tcBorders>
            <w:vAlign w:val="center"/>
          </w:tcPr>
          <w:p w14:paraId="2C7C1CCD" w14:textId="77777777" w:rsidR="00FF0A4B" w:rsidRDefault="00FF0A4B" w:rsidP="00FF0A4B">
            <w:pPr>
              <w:widowControl/>
              <w:jc w:val="center"/>
              <w:rPr>
                <w:rFonts w:ascii="宋体" w:hAnsi="宋体" w:cs="宋体"/>
                <w:color w:val="000000"/>
                <w:kern w:val="0"/>
                <w:sz w:val="24"/>
              </w:rPr>
            </w:pPr>
          </w:p>
        </w:tc>
      </w:tr>
      <w:tr w:rsidR="00FF0A4B" w14:paraId="56FEB6E4" w14:textId="77777777" w:rsidTr="00607C40">
        <w:trPr>
          <w:trHeight w:val="285"/>
        </w:trPr>
        <w:tc>
          <w:tcPr>
            <w:tcW w:w="1276" w:type="dxa"/>
            <w:tcBorders>
              <w:bottom w:val="single" w:sz="4" w:space="0" w:color="auto"/>
            </w:tcBorders>
            <w:vAlign w:val="center"/>
          </w:tcPr>
          <w:p w14:paraId="6404713E" w14:textId="26C7A4D8" w:rsidR="00FF0A4B" w:rsidRPr="000B1B3C" w:rsidRDefault="00FF0A4B" w:rsidP="00FF0A4B">
            <w:pPr>
              <w:widowControl/>
              <w:jc w:val="center"/>
              <w:rPr>
                <w:color w:val="595959"/>
                <w:sz w:val="18"/>
                <w:szCs w:val="18"/>
              </w:rPr>
            </w:pPr>
            <w:r>
              <w:rPr>
                <w:rFonts w:hint="eastAsia"/>
                <w:color w:val="000000"/>
                <w:sz w:val="22"/>
                <w:szCs w:val="22"/>
              </w:rPr>
              <w:t>002701</w:t>
            </w:r>
          </w:p>
        </w:tc>
        <w:tc>
          <w:tcPr>
            <w:tcW w:w="1418" w:type="dxa"/>
            <w:tcBorders>
              <w:bottom w:val="single" w:sz="4" w:space="0" w:color="auto"/>
            </w:tcBorders>
            <w:vAlign w:val="center"/>
          </w:tcPr>
          <w:p w14:paraId="197934BD" w14:textId="5F0979A7" w:rsidR="00FF0A4B" w:rsidRPr="000B1B3C" w:rsidRDefault="00FF0A4B" w:rsidP="00FF0A4B">
            <w:pPr>
              <w:widowControl/>
              <w:jc w:val="center"/>
              <w:rPr>
                <w:color w:val="595959"/>
                <w:sz w:val="18"/>
                <w:szCs w:val="18"/>
              </w:rPr>
            </w:pPr>
            <w:r>
              <w:rPr>
                <w:rFonts w:hint="eastAsia"/>
                <w:color w:val="000000"/>
                <w:sz w:val="22"/>
                <w:szCs w:val="22"/>
              </w:rPr>
              <w:t>奥瑞金</w:t>
            </w:r>
          </w:p>
        </w:tc>
        <w:tc>
          <w:tcPr>
            <w:tcW w:w="1275" w:type="dxa"/>
            <w:tcBorders>
              <w:bottom w:val="single" w:sz="4" w:space="0" w:color="auto"/>
            </w:tcBorders>
            <w:vAlign w:val="center"/>
          </w:tcPr>
          <w:p w14:paraId="59E8E8A3" w14:textId="7C51DD9A" w:rsidR="00FF0A4B" w:rsidRPr="000B1B3C" w:rsidRDefault="00FF0A4B" w:rsidP="00FF0A4B">
            <w:pPr>
              <w:widowControl/>
              <w:jc w:val="center"/>
              <w:rPr>
                <w:color w:val="595959"/>
                <w:sz w:val="18"/>
                <w:szCs w:val="18"/>
              </w:rPr>
            </w:pPr>
            <w:r>
              <w:rPr>
                <w:rFonts w:hint="eastAsia"/>
                <w:color w:val="000000"/>
                <w:sz w:val="22"/>
                <w:szCs w:val="22"/>
              </w:rPr>
              <w:t>900</w:t>
            </w:r>
          </w:p>
        </w:tc>
        <w:tc>
          <w:tcPr>
            <w:tcW w:w="1418" w:type="dxa"/>
            <w:tcBorders>
              <w:bottom w:val="single" w:sz="4" w:space="0" w:color="auto"/>
            </w:tcBorders>
            <w:vAlign w:val="center"/>
          </w:tcPr>
          <w:p w14:paraId="573194F9" w14:textId="3E7070C3" w:rsidR="00FF0A4B" w:rsidRDefault="00FF0A4B" w:rsidP="00FF0A4B">
            <w:pPr>
              <w:widowControl/>
              <w:jc w:val="center"/>
              <w:rPr>
                <w:rFonts w:ascii="宋体" w:hAnsi="宋体" w:cs="宋体"/>
                <w:color w:val="000000"/>
                <w:kern w:val="0"/>
                <w:sz w:val="24"/>
              </w:rPr>
            </w:pPr>
            <w:r>
              <w:rPr>
                <w:rFonts w:hint="eastAsia"/>
                <w:color w:val="000000"/>
                <w:sz w:val="22"/>
                <w:szCs w:val="22"/>
              </w:rPr>
              <w:t>允许</w:t>
            </w:r>
          </w:p>
        </w:tc>
        <w:tc>
          <w:tcPr>
            <w:tcW w:w="1701" w:type="dxa"/>
            <w:tcBorders>
              <w:bottom w:val="single" w:sz="4" w:space="0" w:color="auto"/>
            </w:tcBorders>
            <w:vAlign w:val="center"/>
          </w:tcPr>
          <w:p w14:paraId="242CF38B" w14:textId="52834E54" w:rsidR="00FF0A4B" w:rsidRDefault="00FF0A4B" w:rsidP="00FF0A4B">
            <w:pPr>
              <w:widowControl/>
              <w:jc w:val="center"/>
              <w:rPr>
                <w:rFonts w:ascii="宋体" w:hAnsi="宋体" w:cs="宋体"/>
                <w:color w:val="000000"/>
                <w:kern w:val="0"/>
                <w:sz w:val="24"/>
              </w:rPr>
            </w:pPr>
            <w:r>
              <w:rPr>
                <w:rFonts w:hint="eastAsia"/>
                <w:color w:val="000000"/>
                <w:sz w:val="22"/>
                <w:szCs w:val="22"/>
              </w:rPr>
              <w:t>15%</w:t>
            </w:r>
          </w:p>
        </w:tc>
        <w:tc>
          <w:tcPr>
            <w:tcW w:w="1417" w:type="dxa"/>
            <w:tcBorders>
              <w:top w:val="single" w:sz="4" w:space="0" w:color="auto"/>
              <w:left w:val="single" w:sz="4" w:space="0" w:color="auto"/>
              <w:bottom w:val="single" w:sz="4" w:space="0" w:color="auto"/>
              <w:right w:val="single" w:sz="4" w:space="0" w:color="auto"/>
            </w:tcBorders>
            <w:vAlign w:val="center"/>
          </w:tcPr>
          <w:p w14:paraId="6B87E23A" w14:textId="77777777" w:rsidR="00FF0A4B" w:rsidRDefault="00FF0A4B" w:rsidP="00FF0A4B">
            <w:pPr>
              <w:widowControl/>
              <w:jc w:val="center"/>
              <w:rPr>
                <w:rFonts w:ascii="宋体" w:hAnsi="宋体" w:cs="宋体"/>
                <w:color w:val="000000"/>
                <w:kern w:val="0"/>
                <w:sz w:val="24"/>
              </w:rPr>
            </w:pPr>
          </w:p>
        </w:tc>
      </w:tr>
      <w:tr w:rsidR="00FF0A4B" w14:paraId="30FE7938" w14:textId="77777777" w:rsidTr="00607C40">
        <w:trPr>
          <w:trHeight w:val="285"/>
        </w:trPr>
        <w:tc>
          <w:tcPr>
            <w:tcW w:w="1276" w:type="dxa"/>
            <w:tcBorders>
              <w:bottom w:val="single" w:sz="4" w:space="0" w:color="auto"/>
            </w:tcBorders>
            <w:vAlign w:val="center"/>
          </w:tcPr>
          <w:p w14:paraId="04BB315B" w14:textId="270AD2B2" w:rsidR="00FF0A4B" w:rsidRPr="000B1B3C" w:rsidRDefault="00FF0A4B" w:rsidP="00FF0A4B">
            <w:pPr>
              <w:widowControl/>
              <w:jc w:val="center"/>
              <w:rPr>
                <w:color w:val="595959"/>
                <w:sz w:val="18"/>
                <w:szCs w:val="18"/>
              </w:rPr>
            </w:pPr>
            <w:r>
              <w:rPr>
                <w:rFonts w:hint="eastAsia"/>
                <w:color w:val="000000"/>
                <w:sz w:val="22"/>
                <w:szCs w:val="22"/>
              </w:rPr>
              <w:t>002714</w:t>
            </w:r>
          </w:p>
        </w:tc>
        <w:tc>
          <w:tcPr>
            <w:tcW w:w="1418" w:type="dxa"/>
            <w:tcBorders>
              <w:bottom w:val="single" w:sz="4" w:space="0" w:color="auto"/>
            </w:tcBorders>
            <w:vAlign w:val="center"/>
          </w:tcPr>
          <w:p w14:paraId="1C613273" w14:textId="27000C86" w:rsidR="00FF0A4B" w:rsidRPr="000B1B3C" w:rsidRDefault="00FF0A4B" w:rsidP="00FF0A4B">
            <w:pPr>
              <w:widowControl/>
              <w:jc w:val="center"/>
              <w:rPr>
                <w:color w:val="595959"/>
                <w:sz w:val="18"/>
                <w:szCs w:val="18"/>
              </w:rPr>
            </w:pPr>
            <w:proofErr w:type="gramStart"/>
            <w:r>
              <w:rPr>
                <w:rFonts w:hint="eastAsia"/>
                <w:color w:val="000000"/>
                <w:sz w:val="22"/>
                <w:szCs w:val="22"/>
              </w:rPr>
              <w:t>牧原股份</w:t>
            </w:r>
            <w:proofErr w:type="gramEnd"/>
          </w:p>
        </w:tc>
        <w:tc>
          <w:tcPr>
            <w:tcW w:w="1275" w:type="dxa"/>
            <w:tcBorders>
              <w:bottom w:val="single" w:sz="4" w:space="0" w:color="auto"/>
            </w:tcBorders>
            <w:vAlign w:val="center"/>
          </w:tcPr>
          <w:p w14:paraId="57D916B4" w14:textId="7100D3A6" w:rsidR="00FF0A4B" w:rsidRPr="000B1B3C" w:rsidRDefault="00FF0A4B" w:rsidP="00FF0A4B">
            <w:pPr>
              <w:widowControl/>
              <w:jc w:val="center"/>
              <w:rPr>
                <w:color w:val="595959"/>
                <w:sz w:val="18"/>
                <w:szCs w:val="18"/>
              </w:rPr>
            </w:pPr>
            <w:r>
              <w:rPr>
                <w:rFonts w:hint="eastAsia"/>
                <w:color w:val="000000"/>
                <w:sz w:val="22"/>
                <w:szCs w:val="22"/>
              </w:rPr>
              <w:t>200</w:t>
            </w:r>
          </w:p>
        </w:tc>
        <w:tc>
          <w:tcPr>
            <w:tcW w:w="1418" w:type="dxa"/>
            <w:tcBorders>
              <w:bottom w:val="single" w:sz="4" w:space="0" w:color="auto"/>
            </w:tcBorders>
            <w:vAlign w:val="center"/>
          </w:tcPr>
          <w:p w14:paraId="3E48E8AF" w14:textId="552E4A69" w:rsidR="00FF0A4B" w:rsidRDefault="00FF0A4B" w:rsidP="00FF0A4B">
            <w:pPr>
              <w:widowControl/>
              <w:jc w:val="center"/>
              <w:rPr>
                <w:rFonts w:ascii="宋体" w:hAnsi="宋体" w:cs="宋体"/>
                <w:color w:val="000000"/>
                <w:kern w:val="0"/>
                <w:sz w:val="24"/>
              </w:rPr>
            </w:pPr>
            <w:r>
              <w:rPr>
                <w:rFonts w:hint="eastAsia"/>
                <w:color w:val="000000"/>
                <w:sz w:val="22"/>
                <w:szCs w:val="22"/>
              </w:rPr>
              <w:t>允许</w:t>
            </w:r>
          </w:p>
        </w:tc>
        <w:tc>
          <w:tcPr>
            <w:tcW w:w="1701" w:type="dxa"/>
            <w:tcBorders>
              <w:bottom w:val="single" w:sz="4" w:space="0" w:color="auto"/>
            </w:tcBorders>
            <w:vAlign w:val="center"/>
          </w:tcPr>
          <w:p w14:paraId="0E134DA1" w14:textId="770BABF3" w:rsidR="00FF0A4B" w:rsidRDefault="00FF0A4B" w:rsidP="00FF0A4B">
            <w:pPr>
              <w:widowControl/>
              <w:jc w:val="center"/>
              <w:rPr>
                <w:rFonts w:ascii="宋体" w:hAnsi="宋体" w:cs="宋体"/>
                <w:color w:val="000000"/>
                <w:kern w:val="0"/>
                <w:sz w:val="24"/>
              </w:rPr>
            </w:pPr>
            <w:r>
              <w:rPr>
                <w:rFonts w:hint="eastAsia"/>
                <w:color w:val="000000"/>
                <w:sz w:val="22"/>
                <w:szCs w:val="22"/>
              </w:rPr>
              <w:t>15%</w:t>
            </w:r>
          </w:p>
        </w:tc>
        <w:tc>
          <w:tcPr>
            <w:tcW w:w="1417" w:type="dxa"/>
            <w:tcBorders>
              <w:top w:val="single" w:sz="4" w:space="0" w:color="auto"/>
              <w:left w:val="single" w:sz="4" w:space="0" w:color="auto"/>
              <w:bottom w:val="single" w:sz="4" w:space="0" w:color="auto"/>
              <w:right w:val="single" w:sz="4" w:space="0" w:color="auto"/>
            </w:tcBorders>
            <w:vAlign w:val="center"/>
          </w:tcPr>
          <w:p w14:paraId="1595DAFB" w14:textId="77777777" w:rsidR="00FF0A4B" w:rsidRDefault="00FF0A4B" w:rsidP="00FF0A4B">
            <w:pPr>
              <w:widowControl/>
              <w:jc w:val="center"/>
              <w:rPr>
                <w:rFonts w:ascii="宋体" w:hAnsi="宋体" w:cs="宋体"/>
                <w:color w:val="000000"/>
                <w:kern w:val="0"/>
                <w:sz w:val="24"/>
              </w:rPr>
            </w:pPr>
          </w:p>
        </w:tc>
      </w:tr>
      <w:tr w:rsidR="00FF0A4B" w14:paraId="5CEBEFF5" w14:textId="77777777" w:rsidTr="00607C40">
        <w:trPr>
          <w:trHeight w:val="285"/>
        </w:trPr>
        <w:tc>
          <w:tcPr>
            <w:tcW w:w="1276" w:type="dxa"/>
            <w:tcBorders>
              <w:bottom w:val="single" w:sz="4" w:space="0" w:color="auto"/>
            </w:tcBorders>
            <w:vAlign w:val="center"/>
          </w:tcPr>
          <w:p w14:paraId="2D7D2F5D" w14:textId="7906AA28" w:rsidR="00FF0A4B" w:rsidRPr="000B1B3C" w:rsidRDefault="00FF0A4B" w:rsidP="00FF0A4B">
            <w:pPr>
              <w:widowControl/>
              <w:jc w:val="center"/>
              <w:rPr>
                <w:color w:val="595959"/>
                <w:sz w:val="18"/>
                <w:szCs w:val="18"/>
              </w:rPr>
            </w:pPr>
            <w:r>
              <w:rPr>
                <w:rFonts w:hint="eastAsia"/>
                <w:color w:val="000000"/>
                <w:sz w:val="22"/>
                <w:szCs w:val="22"/>
              </w:rPr>
              <w:lastRenderedPageBreak/>
              <w:t>002736</w:t>
            </w:r>
          </w:p>
        </w:tc>
        <w:tc>
          <w:tcPr>
            <w:tcW w:w="1418" w:type="dxa"/>
            <w:tcBorders>
              <w:bottom w:val="single" w:sz="4" w:space="0" w:color="auto"/>
            </w:tcBorders>
            <w:vAlign w:val="center"/>
          </w:tcPr>
          <w:p w14:paraId="368ECA58" w14:textId="08A67376" w:rsidR="00FF0A4B" w:rsidRPr="000B1B3C" w:rsidRDefault="00FF0A4B" w:rsidP="00FF0A4B">
            <w:pPr>
              <w:widowControl/>
              <w:jc w:val="center"/>
              <w:rPr>
                <w:color w:val="595959"/>
                <w:sz w:val="18"/>
                <w:szCs w:val="18"/>
              </w:rPr>
            </w:pPr>
            <w:r>
              <w:rPr>
                <w:rFonts w:hint="eastAsia"/>
                <w:color w:val="000000"/>
                <w:sz w:val="22"/>
                <w:szCs w:val="22"/>
              </w:rPr>
              <w:t>国信证券</w:t>
            </w:r>
          </w:p>
        </w:tc>
        <w:tc>
          <w:tcPr>
            <w:tcW w:w="1275" w:type="dxa"/>
            <w:tcBorders>
              <w:bottom w:val="single" w:sz="4" w:space="0" w:color="auto"/>
            </w:tcBorders>
            <w:vAlign w:val="center"/>
          </w:tcPr>
          <w:p w14:paraId="1EF5575B" w14:textId="72B70198" w:rsidR="00FF0A4B" w:rsidRPr="000B1B3C" w:rsidRDefault="00FF0A4B" w:rsidP="00FF0A4B">
            <w:pPr>
              <w:widowControl/>
              <w:jc w:val="center"/>
              <w:rPr>
                <w:color w:val="595959"/>
                <w:sz w:val="18"/>
                <w:szCs w:val="18"/>
              </w:rPr>
            </w:pPr>
            <w:r>
              <w:rPr>
                <w:rFonts w:hint="eastAsia"/>
                <w:color w:val="000000"/>
                <w:sz w:val="22"/>
                <w:szCs w:val="22"/>
              </w:rPr>
              <w:t>1200</w:t>
            </w:r>
          </w:p>
        </w:tc>
        <w:tc>
          <w:tcPr>
            <w:tcW w:w="1418" w:type="dxa"/>
            <w:tcBorders>
              <w:bottom w:val="single" w:sz="4" w:space="0" w:color="auto"/>
            </w:tcBorders>
            <w:vAlign w:val="center"/>
          </w:tcPr>
          <w:p w14:paraId="4524F92D" w14:textId="31EDE22C" w:rsidR="00FF0A4B" w:rsidRDefault="00FF0A4B" w:rsidP="00FF0A4B">
            <w:pPr>
              <w:widowControl/>
              <w:jc w:val="center"/>
              <w:rPr>
                <w:rFonts w:ascii="宋体" w:hAnsi="宋体" w:cs="宋体"/>
                <w:color w:val="000000"/>
                <w:kern w:val="0"/>
                <w:sz w:val="24"/>
              </w:rPr>
            </w:pPr>
            <w:r>
              <w:rPr>
                <w:rFonts w:hint="eastAsia"/>
                <w:color w:val="000000"/>
                <w:sz w:val="22"/>
                <w:szCs w:val="22"/>
              </w:rPr>
              <w:t>允许</w:t>
            </w:r>
          </w:p>
        </w:tc>
        <w:tc>
          <w:tcPr>
            <w:tcW w:w="1701" w:type="dxa"/>
            <w:tcBorders>
              <w:bottom w:val="single" w:sz="4" w:space="0" w:color="auto"/>
            </w:tcBorders>
            <w:vAlign w:val="center"/>
          </w:tcPr>
          <w:p w14:paraId="36781940" w14:textId="4660A6CA" w:rsidR="00FF0A4B" w:rsidRDefault="00FF0A4B" w:rsidP="00FF0A4B">
            <w:pPr>
              <w:widowControl/>
              <w:jc w:val="center"/>
              <w:rPr>
                <w:rFonts w:ascii="宋体" w:hAnsi="宋体" w:cs="宋体"/>
                <w:color w:val="000000"/>
                <w:kern w:val="0"/>
                <w:sz w:val="24"/>
              </w:rPr>
            </w:pPr>
            <w:r>
              <w:rPr>
                <w:rFonts w:hint="eastAsia"/>
                <w:color w:val="000000"/>
                <w:sz w:val="22"/>
                <w:szCs w:val="22"/>
              </w:rPr>
              <w:t>15%</w:t>
            </w:r>
          </w:p>
        </w:tc>
        <w:tc>
          <w:tcPr>
            <w:tcW w:w="1417" w:type="dxa"/>
            <w:tcBorders>
              <w:top w:val="single" w:sz="4" w:space="0" w:color="auto"/>
              <w:left w:val="single" w:sz="4" w:space="0" w:color="auto"/>
              <w:bottom w:val="single" w:sz="4" w:space="0" w:color="auto"/>
              <w:right w:val="single" w:sz="4" w:space="0" w:color="auto"/>
            </w:tcBorders>
            <w:vAlign w:val="center"/>
          </w:tcPr>
          <w:p w14:paraId="386D874A" w14:textId="77777777" w:rsidR="00FF0A4B" w:rsidRDefault="00FF0A4B" w:rsidP="00FF0A4B">
            <w:pPr>
              <w:widowControl/>
              <w:jc w:val="center"/>
              <w:rPr>
                <w:rFonts w:ascii="宋体" w:hAnsi="宋体" w:cs="宋体"/>
                <w:color w:val="000000"/>
                <w:kern w:val="0"/>
                <w:sz w:val="24"/>
              </w:rPr>
            </w:pPr>
          </w:p>
        </w:tc>
      </w:tr>
      <w:tr w:rsidR="00FF0A4B" w14:paraId="40DCDDA8" w14:textId="77777777" w:rsidTr="00607C40">
        <w:trPr>
          <w:trHeight w:val="285"/>
        </w:trPr>
        <w:tc>
          <w:tcPr>
            <w:tcW w:w="1276" w:type="dxa"/>
            <w:tcBorders>
              <w:bottom w:val="single" w:sz="4" w:space="0" w:color="auto"/>
            </w:tcBorders>
            <w:vAlign w:val="center"/>
          </w:tcPr>
          <w:p w14:paraId="62616E2E" w14:textId="56347C1A" w:rsidR="00FF0A4B" w:rsidRPr="000B1B3C" w:rsidRDefault="00FF0A4B" w:rsidP="00FF0A4B">
            <w:pPr>
              <w:widowControl/>
              <w:jc w:val="center"/>
              <w:rPr>
                <w:color w:val="595959"/>
                <w:sz w:val="18"/>
                <w:szCs w:val="18"/>
              </w:rPr>
            </w:pPr>
            <w:r>
              <w:rPr>
                <w:rFonts w:hint="eastAsia"/>
                <w:color w:val="000000"/>
                <w:sz w:val="22"/>
                <w:szCs w:val="22"/>
              </w:rPr>
              <w:t>300146</w:t>
            </w:r>
          </w:p>
        </w:tc>
        <w:tc>
          <w:tcPr>
            <w:tcW w:w="1418" w:type="dxa"/>
            <w:tcBorders>
              <w:bottom w:val="single" w:sz="4" w:space="0" w:color="auto"/>
            </w:tcBorders>
            <w:vAlign w:val="center"/>
          </w:tcPr>
          <w:p w14:paraId="4ECCD54B" w14:textId="62959B2B" w:rsidR="00FF0A4B" w:rsidRPr="000B1B3C" w:rsidRDefault="00FF0A4B" w:rsidP="00FF0A4B">
            <w:pPr>
              <w:widowControl/>
              <w:jc w:val="center"/>
              <w:rPr>
                <w:color w:val="595959"/>
                <w:sz w:val="18"/>
                <w:szCs w:val="18"/>
              </w:rPr>
            </w:pPr>
            <w:r>
              <w:rPr>
                <w:rFonts w:hint="eastAsia"/>
                <w:color w:val="000000"/>
                <w:sz w:val="22"/>
                <w:szCs w:val="22"/>
              </w:rPr>
              <w:t>汤臣</w:t>
            </w:r>
            <w:proofErr w:type="gramStart"/>
            <w:r>
              <w:rPr>
                <w:rFonts w:hint="eastAsia"/>
                <w:color w:val="000000"/>
                <w:sz w:val="22"/>
                <w:szCs w:val="22"/>
              </w:rPr>
              <w:t>倍</w:t>
            </w:r>
            <w:proofErr w:type="gramEnd"/>
            <w:r>
              <w:rPr>
                <w:rFonts w:hint="eastAsia"/>
                <w:color w:val="000000"/>
                <w:sz w:val="22"/>
                <w:szCs w:val="22"/>
              </w:rPr>
              <w:t>健</w:t>
            </w:r>
          </w:p>
        </w:tc>
        <w:tc>
          <w:tcPr>
            <w:tcW w:w="1275" w:type="dxa"/>
            <w:tcBorders>
              <w:bottom w:val="single" w:sz="4" w:space="0" w:color="auto"/>
            </w:tcBorders>
            <w:vAlign w:val="center"/>
          </w:tcPr>
          <w:p w14:paraId="231F7E62" w14:textId="507E57A3" w:rsidR="00FF0A4B" w:rsidRPr="000B1B3C" w:rsidRDefault="00FF0A4B" w:rsidP="00FF0A4B">
            <w:pPr>
              <w:widowControl/>
              <w:jc w:val="center"/>
              <w:rPr>
                <w:color w:val="595959"/>
                <w:sz w:val="18"/>
                <w:szCs w:val="18"/>
              </w:rPr>
            </w:pPr>
            <w:r>
              <w:rPr>
                <w:rFonts w:hint="eastAsia"/>
                <w:color w:val="000000"/>
                <w:sz w:val="22"/>
                <w:szCs w:val="22"/>
              </w:rPr>
              <w:t>500</w:t>
            </w:r>
          </w:p>
        </w:tc>
        <w:tc>
          <w:tcPr>
            <w:tcW w:w="1418" w:type="dxa"/>
            <w:tcBorders>
              <w:bottom w:val="single" w:sz="4" w:space="0" w:color="auto"/>
            </w:tcBorders>
            <w:vAlign w:val="center"/>
          </w:tcPr>
          <w:p w14:paraId="0A402ACE" w14:textId="66459A14" w:rsidR="00FF0A4B" w:rsidRDefault="00FF0A4B" w:rsidP="00FF0A4B">
            <w:pPr>
              <w:widowControl/>
              <w:jc w:val="center"/>
              <w:rPr>
                <w:rFonts w:ascii="宋体" w:hAnsi="宋体" w:cs="宋体"/>
                <w:color w:val="000000"/>
                <w:kern w:val="0"/>
                <w:sz w:val="24"/>
              </w:rPr>
            </w:pPr>
            <w:r>
              <w:rPr>
                <w:rFonts w:hint="eastAsia"/>
                <w:color w:val="000000"/>
                <w:sz w:val="22"/>
                <w:szCs w:val="22"/>
              </w:rPr>
              <w:t>允许</w:t>
            </w:r>
          </w:p>
        </w:tc>
        <w:tc>
          <w:tcPr>
            <w:tcW w:w="1701" w:type="dxa"/>
            <w:tcBorders>
              <w:bottom w:val="single" w:sz="4" w:space="0" w:color="auto"/>
            </w:tcBorders>
            <w:vAlign w:val="center"/>
          </w:tcPr>
          <w:p w14:paraId="5AB6D2F6" w14:textId="6279F8C9" w:rsidR="00FF0A4B" w:rsidRDefault="00FF0A4B" w:rsidP="00FF0A4B">
            <w:pPr>
              <w:widowControl/>
              <w:jc w:val="center"/>
              <w:rPr>
                <w:rFonts w:ascii="宋体" w:hAnsi="宋体" w:cs="宋体"/>
                <w:color w:val="000000"/>
                <w:kern w:val="0"/>
                <w:sz w:val="24"/>
              </w:rPr>
            </w:pPr>
            <w:r>
              <w:rPr>
                <w:rFonts w:hint="eastAsia"/>
                <w:color w:val="000000"/>
                <w:sz w:val="22"/>
                <w:szCs w:val="22"/>
              </w:rPr>
              <w:t>15%</w:t>
            </w:r>
          </w:p>
        </w:tc>
        <w:tc>
          <w:tcPr>
            <w:tcW w:w="1417" w:type="dxa"/>
            <w:tcBorders>
              <w:top w:val="single" w:sz="4" w:space="0" w:color="auto"/>
              <w:left w:val="single" w:sz="4" w:space="0" w:color="auto"/>
              <w:bottom w:val="single" w:sz="4" w:space="0" w:color="auto"/>
              <w:right w:val="single" w:sz="4" w:space="0" w:color="auto"/>
            </w:tcBorders>
            <w:vAlign w:val="center"/>
          </w:tcPr>
          <w:p w14:paraId="32C81510" w14:textId="77777777" w:rsidR="00FF0A4B" w:rsidRDefault="00FF0A4B" w:rsidP="00FF0A4B">
            <w:pPr>
              <w:widowControl/>
              <w:jc w:val="center"/>
              <w:rPr>
                <w:rFonts w:ascii="宋体" w:hAnsi="宋体" w:cs="宋体"/>
                <w:color w:val="000000"/>
                <w:kern w:val="0"/>
                <w:sz w:val="24"/>
              </w:rPr>
            </w:pPr>
          </w:p>
        </w:tc>
      </w:tr>
      <w:tr w:rsidR="00FF0A4B" w14:paraId="375C46C1" w14:textId="77777777" w:rsidTr="00607C40">
        <w:trPr>
          <w:trHeight w:val="285"/>
        </w:trPr>
        <w:tc>
          <w:tcPr>
            <w:tcW w:w="1276" w:type="dxa"/>
            <w:tcBorders>
              <w:bottom w:val="single" w:sz="4" w:space="0" w:color="auto"/>
            </w:tcBorders>
            <w:vAlign w:val="center"/>
          </w:tcPr>
          <w:p w14:paraId="74303D83" w14:textId="4269C317" w:rsidR="00FF0A4B" w:rsidRPr="000B1B3C" w:rsidRDefault="00FF0A4B" w:rsidP="00FF0A4B">
            <w:pPr>
              <w:widowControl/>
              <w:jc w:val="center"/>
              <w:rPr>
                <w:color w:val="595959"/>
                <w:sz w:val="18"/>
                <w:szCs w:val="18"/>
              </w:rPr>
            </w:pPr>
            <w:r>
              <w:rPr>
                <w:rFonts w:hint="eastAsia"/>
                <w:color w:val="000000"/>
                <w:sz w:val="22"/>
                <w:szCs w:val="22"/>
              </w:rPr>
              <w:t>300498</w:t>
            </w:r>
          </w:p>
        </w:tc>
        <w:tc>
          <w:tcPr>
            <w:tcW w:w="1418" w:type="dxa"/>
            <w:tcBorders>
              <w:bottom w:val="single" w:sz="4" w:space="0" w:color="auto"/>
            </w:tcBorders>
            <w:vAlign w:val="center"/>
          </w:tcPr>
          <w:p w14:paraId="79B4AF5D" w14:textId="13FDF32E" w:rsidR="00FF0A4B" w:rsidRPr="000B1B3C" w:rsidRDefault="00FF0A4B" w:rsidP="00FF0A4B">
            <w:pPr>
              <w:widowControl/>
              <w:jc w:val="center"/>
              <w:rPr>
                <w:color w:val="595959"/>
                <w:sz w:val="18"/>
                <w:szCs w:val="18"/>
              </w:rPr>
            </w:pPr>
            <w:r>
              <w:rPr>
                <w:rFonts w:hint="eastAsia"/>
                <w:color w:val="000000"/>
                <w:sz w:val="22"/>
                <w:szCs w:val="22"/>
              </w:rPr>
              <w:t>温氏股份</w:t>
            </w:r>
          </w:p>
        </w:tc>
        <w:tc>
          <w:tcPr>
            <w:tcW w:w="1275" w:type="dxa"/>
            <w:tcBorders>
              <w:bottom w:val="single" w:sz="4" w:space="0" w:color="auto"/>
            </w:tcBorders>
            <w:vAlign w:val="center"/>
          </w:tcPr>
          <w:p w14:paraId="23B88ED4" w14:textId="595E5A23" w:rsidR="00FF0A4B" w:rsidRPr="000B1B3C" w:rsidRDefault="00FF0A4B" w:rsidP="00FF0A4B">
            <w:pPr>
              <w:widowControl/>
              <w:jc w:val="center"/>
              <w:rPr>
                <w:color w:val="595959"/>
                <w:sz w:val="18"/>
                <w:szCs w:val="18"/>
              </w:rPr>
            </w:pPr>
            <w:r>
              <w:rPr>
                <w:rFonts w:hint="eastAsia"/>
                <w:color w:val="000000"/>
                <w:sz w:val="22"/>
                <w:szCs w:val="22"/>
              </w:rPr>
              <w:t>2500</w:t>
            </w:r>
          </w:p>
        </w:tc>
        <w:tc>
          <w:tcPr>
            <w:tcW w:w="1418" w:type="dxa"/>
            <w:tcBorders>
              <w:bottom w:val="single" w:sz="4" w:space="0" w:color="auto"/>
            </w:tcBorders>
            <w:vAlign w:val="center"/>
          </w:tcPr>
          <w:p w14:paraId="7A4C2138" w14:textId="1C779C7B" w:rsidR="00FF0A4B" w:rsidRDefault="00FF0A4B" w:rsidP="00FF0A4B">
            <w:pPr>
              <w:widowControl/>
              <w:jc w:val="center"/>
              <w:rPr>
                <w:rFonts w:ascii="宋体" w:hAnsi="宋体" w:cs="宋体"/>
                <w:color w:val="000000"/>
                <w:kern w:val="0"/>
                <w:sz w:val="24"/>
              </w:rPr>
            </w:pPr>
            <w:r>
              <w:rPr>
                <w:rFonts w:hint="eastAsia"/>
                <w:color w:val="000000"/>
                <w:sz w:val="22"/>
                <w:szCs w:val="22"/>
              </w:rPr>
              <w:t>允许</w:t>
            </w:r>
          </w:p>
        </w:tc>
        <w:tc>
          <w:tcPr>
            <w:tcW w:w="1701" w:type="dxa"/>
            <w:tcBorders>
              <w:bottom w:val="single" w:sz="4" w:space="0" w:color="auto"/>
            </w:tcBorders>
            <w:vAlign w:val="center"/>
          </w:tcPr>
          <w:p w14:paraId="55A3691D" w14:textId="22F0B0A2" w:rsidR="00FF0A4B" w:rsidRDefault="00FF0A4B" w:rsidP="00FF0A4B">
            <w:pPr>
              <w:widowControl/>
              <w:jc w:val="center"/>
              <w:rPr>
                <w:rFonts w:ascii="宋体" w:hAnsi="宋体" w:cs="宋体"/>
                <w:color w:val="000000"/>
                <w:kern w:val="0"/>
                <w:sz w:val="24"/>
              </w:rPr>
            </w:pPr>
            <w:r>
              <w:rPr>
                <w:rFonts w:hint="eastAsia"/>
                <w:color w:val="000000"/>
                <w:sz w:val="22"/>
                <w:szCs w:val="22"/>
              </w:rPr>
              <w:t>15%</w:t>
            </w:r>
          </w:p>
        </w:tc>
        <w:tc>
          <w:tcPr>
            <w:tcW w:w="1417" w:type="dxa"/>
            <w:tcBorders>
              <w:top w:val="single" w:sz="4" w:space="0" w:color="auto"/>
              <w:left w:val="single" w:sz="4" w:space="0" w:color="auto"/>
              <w:bottom w:val="single" w:sz="4" w:space="0" w:color="auto"/>
              <w:right w:val="single" w:sz="4" w:space="0" w:color="auto"/>
            </w:tcBorders>
            <w:vAlign w:val="center"/>
          </w:tcPr>
          <w:p w14:paraId="79045C77" w14:textId="77777777" w:rsidR="00FF0A4B" w:rsidRDefault="00FF0A4B" w:rsidP="00FF0A4B">
            <w:pPr>
              <w:widowControl/>
              <w:jc w:val="center"/>
              <w:rPr>
                <w:rFonts w:ascii="宋体" w:hAnsi="宋体" w:cs="宋体"/>
                <w:color w:val="000000"/>
                <w:kern w:val="0"/>
                <w:sz w:val="24"/>
              </w:rPr>
            </w:pPr>
          </w:p>
        </w:tc>
      </w:tr>
    </w:tbl>
    <w:p w14:paraId="6A1327F6" w14:textId="77777777" w:rsidR="00CF57A4" w:rsidRDefault="00B13D46">
      <w:pPr>
        <w:widowControl/>
        <w:spacing w:beforeLines="50" w:before="156" w:line="360" w:lineRule="auto"/>
        <w:ind w:firstLineChars="200" w:firstLine="482"/>
        <w:outlineLvl w:val="1"/>
        <w:rPr>
          <w:rFonts w:ascii="宋体" w:hAnsi="宋体" w:cs="宋体"/>
          <w:b/>
          <w:color w:val="000000"/>
          <w:kern w:val="0"/>
          <w:sz w:val="24"/>
        </w:rPr>
      </w:pPr>
      <w:bookmarkStart w:id="99" w:name="_Toc79392615"/>
      <w:r>
        <w:rPr>
          <w:rFonts w:ascii="宋体" w:hAnsi="宋体" w:cs="宋体" w:hint="eastAsia"/>
          <w:b/>
          <w:color w:val="000000"/>
          <w:kern w:val="0"/>
          <w:sz w:val="24"/>
        </w:rPr>
        <w:t>（八）拒绝或暂停申购的情形及处理方式</w:t>
      </w:r>
      <w:bookmarkEnd w:id="99"/>
    </w:p>
    <w:p w14:paraId="7BF0FE00" w14:textId="77777777" w:rsidR="00CF57A4" w:rsidRDefault="00B13D46">
      <w:pPr>
        <w:widowControl/>
        <w:spacing w:line="360" w:lineRule="auto"/>
        <w:ind w:firstLineChars="200" w:firstLine="480"/>
        <w:outlineLvl w:val="1"/>
        <w:rPr>
          <w:rFonts w:ascii="宋体" w:hAnsi="宋体"/>
          <w:color w:val="000000"/>
          <w:sz w:val="24"/>
        </w:rPr>
      </w:pPr>
      <w:r>
        <w:rPr>
          <w:rFonts w:ascii="宋体" w:hAnsi="宋体" w:hint="eastAsia"/>
          <w:color w:val="000000"/>
          <w:sz w:val="24"/>
        </w:rPr>
        <w:t>发生下列情况时，基金管理人可拒绝或暂停接受投资者的申购申请：</w:t>
      </w:r>
    </w:p>
    <w:p w14:paraId="674D4CF2" w14:textId="77777777" w:rsidR="00CF57A4" w:rsidRDefault="00B13D46">
      <w:pPr>
        <w:widowControl/>
        <w:spacing w:line="360" w:lineRule="auto"/>
        <w:ind w:firstLineChars="200" w:firstLine="480"/>
        <w:outlineLvl w:val="1"/>
        <w:rPr>
          <w:rFonts w:ascii="宋体" w:hAnsi="宋体"/>
          <w:color w:val="000000"/>
          <w:sz w:val="24"/>
        </w:rPr>
      </w:pPr>
      <w:r>
        <w:rPr>
          <w:rFonts w:ascii="宋体" w:hAnsi="宋体" w:hint="eastAsia"/>
          <w:color w:val="000000"/>
          <w:sz w:val="24"/>
        </w:rPr>
        <w:t>1、因不可抗力导致基金无法正常运作或无法接受申购；</w:t>
      </w:r>
    </w:p>
    <w:p w14:paraId="1B8DBF00" w14:textId="77777777" w:rsidR="00CF57A4" w:rsidRDefault="00B13D46">
      <w:pPr>
        <w:widowControl/>
        <w:spacing w:line="360" w:lineRule="auto"/>
        <w:ind w:firstLineChars="200" w:firstLine="480"/>
        <w:outlineLvl w:val="1"/>
        <w:rPr>
          <w:rFonts w:ascii="宋体" w:hAnsi="宋体"/>
          <w:color w:val="000000"/>
          <w:sz w:val="24"/>
        </w:rPr>
      </w:pPr>
      <w:r>
        <w:rPr>
          <w:rFonts w:ascii="宋体" w:hAnsi="宋体" w:hint="eastAsia"/>
          <w:color w:val="000000"/>
          <w:sz w:val="24"/>
        </w:rPr>
        <w:t>2、因特殊原因（如深圳证券交易所决定临时停市），导致基金管理人无法计算当日基金资产净值；</w:t>
      </w:r>
    </w:p>
    <w:p w14:paraId="27E529BC" w14:textId="77777777" w:rsidR="00CF57A4" w:rsidRDefault="00B13D46">
      <w:pPr>
        <w:widowControl/>
        <w:spacing w:line="360" w:lineRule="auto"/>
        <w:ind w:firstLineChars="200" w:firstLine="480"/>
        <w:outlineLvl w:val="1"/>
        <w:rPr>
          <w:rFonts w:ascii="宋体" w:hAnsi="宋体"/>
          <w:color w:val="000000"/>
          <w:sz w:val="24"/>
        </w:rPr>
      </w:pPr>
      <w:r>
        <w:rPr>
          <w:rFonts w:ascii="宋体" w:hAnsi="宋体" w:hint="eastAsia"/>
          <w:color w:val="000000"/>
          <w:sz w:val="24"/>
        </w:rPr>
        <w:t>3、申购赎回代理券商、深圳证券交易所、注册登记机构等因异常情况无法办理申购、赎回，或者指数编制单位、深圳证券交易所等因异常情况使申购赎回清单无法编制或编制不当（上述异常情况指基金管理人无法预见并不可控制的情形，包括但不限于系统故障、网络故障、通讯故障、电力故障、数据错误等）；</w:t>
      </w:r>
    </w:p>
    <w:p w14:paraId="27C83DF3" w14:textId="14DD557A" w:rsidR="00631996" w:rsidRDefault="00631996">
      <w:pPr>
        <w:widowControl/>
        <w:spacing w:line="360" w:lineRule="auto"/>
        <w:ind w:firstLineChars="200" w:firstLine="480"/>
        <w:outlineLvl w:val="1"/>
        <w:rPr>
          <w:rFonts w:ascii="宋体" w:hAnsi="宋体"/>
          <w:color w:val="000000"/>
          <w:sz w:val="24"/>
        </w:rPr>
      </w:pPr>
      <w:r>
        <w:rPr>
          <w:rFonts w:ascii="宋体" w:hAnsi="宋体" w:hint="eastAsia"/>
          <w:color w:val="000000"/>
          <w:sz w:val="24"/>
        </w:rPr>
        <w:t>4、</w:t>
      </w:r>
      <w:r w:rsidR="00207F03" w:rsidRPr="00207F03">
        <w:rPr>
          <w:rFonts w:ascii="宋体" w:hAnsi="宋体" w:hint="eastAsia"/>
          <w:color w:val="000000"/>
          <w:sz w:val="24"/>
        </w:rPr>
        <w:t>当前一估值日基金资产净值50%以上的资产出现无可参考的活跃市场价格且采用估值技术</w:t>
      </w:r>
      <w:proofErr w:type="gramStart"/>
      <w:r w:rsidR="00207F03" w:rsidRPr="00207F03">
        <w:rPr>
          <w:rFonts w:ascii="宋体" w:hAnsi="宋体" w:hint="eastAsia"/>
          <w:color w:val="000000"/>
          <w:sz w:val="24"/>
        </w:rPr>
        <w:t>仍导致</w:t>
      </w:r>
      <w:proofErr w:type="gramEnd"/>
      <w:r w:rsidR="00207F03" w:rsidRPr="00207F03">
        <w:rPr>
          <w:rFonts w:ascii="宋体" w:hAnsi="宋体" w:hint="eastAsia"/>
          <w:color w:val="000000"/>
          <w:sz w:val="24"/>
        </w:rPr>
        <w:t>公允价值存在重大不确定性时，经与基金托管人协商确认后，基金管理人应当暂停接受基金申购申请；</w:t>
      </w:r>
    </w:p>
    <w:p w14:paraId="1D7ED6C2" w14:textId="69319F80" w:rsidR="00CF57A4" w:rsidRDefault="00631996">
      <w:pPr>
        <w:widowControl/>
        <w:spacing w:line="360" w:lineRule="auto"/>
        <w:ind w:firstLineChars="200" w:firstLine="480"/>
        <w:outlineLvl w:val="1"/>
        <w:rPr>
          <w:rFonts w:ascii="宋体" w:hAnsi="宋体"/>
          <w:color w:val="000000"/>
          <w:sz w:val="24"/>
        </w:rPr>
      </w:pPr>
      <w:r>
        <w:rPr>
          <w:rFonts w:ascii="宋体" w:hAnsi="宋体"/>
          <w:color w:val="000000"/>
          <w:sz w:val="24"/>
        </w:rPr>
        <w:t>5</w:t>
      </w:r>
      <w:r w:rsidR="00B13D46">
        <w:rPr>
          <w:rFonts w:ascii="宋体" w:hAnsi="宋体" w:hint="eastAsia"/>
          <w:color w:val="000000"/>
          <w:sz w:val="24"/>
        </w:rPr>
        <w:t>、发生本基金合同规定的暂停基金资产估值的情形；</w:t>
      </w:r>
    </w:p>
    <w:p w14:paraId="26019291" w14:textId="2FC0D96D" w:rsidR="00CF57A4" w:rsidRDefault="00631996">
      <w:pPr>
        <w:widowControl/>
        <w:spacing w:line="360" w:lineRule="auto"/>
        <w:ind w:firstLineChars="200" w:firstLine="480"/>
        <w:outlineLvl w:val="1"/>
        <w:rPr>
          <w:rFonts w:ascii="宋体" w:hAnsi="宋体"/>
          <w:color w:val="000000"/>
          <w:sz w:val="24"/>
        </w:rPr>
      </w:pPr>
      <w:r>
        <w:rPr>
          <w:rFonts w:ascii="宋体" w:hAnsi="宋体"/>
          <w:color w:val="000000"/>
          <w:sz w:val="24"/>
        </w:rPr>
        <w:t>6</w:t>
      </w:r>
      <w:r w:rsidR="00B13D46">
        <w:rPr>
          <w:rFonts w:ascii="宋体" w:hAnsi="宋体" w:hint="eastAsia"/>
          <w:color w:val="000000"/>
          <w:sz w:val="24"/>
        </w:rPr>
        <w:t>、接受某笔或某些申购申请可能会影响或损害现有基金份额持有人利益时；</w:t>
      </w:r>
    </w:p>
    <w:p w14:paraId="25608019" w14:textId="146201F8" w:rsidR="00CF57A4" w:rsidRDefault="00631996">
      <w:pPr>
        <w:widowControl/>
        <w:spacing w:line="360" w:lineRule="auto"/>
        <w:ind w:firstLineChars="200" w:firstLine="480"/>
        <w:outlineLvl w:val="1"/>
        <w:rPr>
          <w:rFonts w:ascii="宋体" w:hAnsi="宋体"/>
          <w:color w:val="000000"/>
          <w:sz w:val="24"/>
        </w:rPr>
      </w:pPr>
      <w:r>
        <w:rPr>
          <w:rFonts w:ascii="宋体" w:hAnsi="宋体"/>
          <w:color w:val="000000"/>
          <w:sz w:val="24"/>
        </w:rPr>
        <w:t>7</w:t>
      </w:r>
      <w:r w:rsidR="00B13D46">
        <w:rPr>
          <w:rFonts w:ascii="宋体" w:hAnsi="宋体" w:hint="eastAsia"/>
          <w:color w:val="000000"/>
          <w:sz w:val="24"/>
        </w:rPr>
        <w:t>、法律法规、深圳证券交易所规定或中国证监会认定的其他情形。</w:t>
      </w:r>
    </w:p>
    <w:p w14:paraId="021EF423"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发生上述情形之一时，基金管理人应在当日报中国证监会备案，并按照有关规定在指定媒体上及时公告。在暂停申购的情况消除时，基金管理人应及时恢复申购业务的办理，并按照有关规定在指定媒体上予以公告。</w:t>
      </w:r>
    </w:p>
    <w:p w14:paraId="788886E7" w14:textId="77777777" w:rsidR="00CF57A4" w:rsidRDefault="00B13D46">
      <w:pPr>
        <w:widowControl/>
        <w:spacing w:line="360" w:lineRule="auto"/>
        <w:ind w:firstLineChars="200" w:firstLine="482"/>
        <w:outlineLvl w:val="1"/>
        <w:rPr>
          <w:rFonts w:ascii="宋体" w:hAnsi="宋体" w:cs="宋体"/>
          <w:b/>
          <w:color w:val="000000"/>
          <w:kern w:val="0"/>
          <w:sz w:val="24"/>
        </w:rPr>
      </w:pPr>
      <w:r>
        <w:rPr>
          <w:rFonts w:ascii="宋体" w:hAnsi="宋体" w:cs="宋体" w:hint="eastAsia"/>
          <w:b/>
          <w:color w:val="000000"/>
          <w:kern w:val="0"/>
          <w:sz w:val="24"/>
        </w:rPr>
        <w:t>（九）暂停赎回的情形及处理方式</w:t>
      </w:r>
    </w:p>
    <w:p w14:paraId="28AC41DC" w14:textId="77777777" w:rsidR="00CF57A4" w:rsidRDefault="00B13D46">
      <w:pPr>
        <w:spacing w:line="360" w:lineRule="auto"/>
        <w:rPr>
          <w:rFonts w:ascii="宋体" w:hAnsi="宋体"/>
          <w:color w:val="000000"/>
          <w:sz w:val="24"/>
        </w:rPr>
      </w:pPr>
      <w:r>
        <w:rPr>
          <w:rFonts w:ascii="宋体" w:hAnsi="宋体" w:hint="eastAsia"/>
          <w:color w:val="000000"/>
          <w:sz w:val="24"/>
        </w:rPr>
        <w:t xml:space="preserve">    发生下列情况时，基金管理人可暂停接受投资者的赎回申请：</w:t>
      </w:r>
    </w:p>
    <w:p w14:paraId="73675BBA" w14:textId="77777777" w:rsidR="00CF57A4" w:rsidRDefault="00B13D46">
      <w:pPr>
        <w:spacing w:line="360" w:lineRule="auto"/>
        <w:rPr>
          <w:rFonts w:ascii="宋体" w:hAnsi="宋体"/>
          <w:color w:val="000000"/>
          <w:sz w:val="24"/>
        </w:rPr>
      </w:pPr>
      <w:r>
        <w:rPr>
          <w:rFonts w:ascii="宋体" w:hAnsi="宋体" w:hint="eastAsia"/>
          <w:color w:val="000000"/>
          <w:sz w:val="24"/>
        </w:rPr>
        <w:t xml:space="preserve">    1、因不可抗力导致基金无法正常运作或无法接受赎回；</w:t>
      </w:r>
    </w:p>
    <w:p w14:paraId="5F36E15C"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2、因特殊原因（如深圳证券交易所决定临时停市），导致基金管理人无法计算当日基金资产净值；</w:t>
      </w:r>
    </w:p>
    <w:p w14:paraId="57706AC0"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3、申购赎回代理券商、深圳证券交易所、注册登记机构等因异常情况无法办理申购、赎回，或者指数编制单位、深圳证券交易所等因异常情况使申购赎回清单无法编制或编制不当（上述异常情况指基金管理人无法预见并不可控制的情形，包括但不限于系统故障、网络故障、通讯故障、电力故障、数据错误等）；</w:t>
      </w:r>
    </w:p>
    <w:p w14:paraId="46635F26" w14:textId="438A8F0D" w:rsidR="00631996" w:rsidRDefault="00631996">
      <w:pPr>
        <w:spacing w:line="360" w:lineRule="auto"/>
        <w:ind w:firstLineChars="200" w:firstLine="480"/>
        <w:rPr>
          <w:rFonts w:ascii="宋体" w:hAnsi="宋体"/>
          <w:color w:val="000000"/>
          <w:sz w:val="24"/>
        </w:rPr>
      </w:pPr>
      <w:r>
        <w:rPr>
          <w:rFonts w:ascii="宋体" w:hAnsi="宋体" w:hint="eastAsia"/>
          <w:color w:val="000000"/>
          <w:sz w:val="24"/>
        </w:rPr>
        <w:lastRenderedPageBreak/>
        <w:t>4</w:t>
      </w:r>
      <w:r>
        <w:rPr>
          <w:rFonts w:ascii="宋体" w:hAnsi="宋体"/>
          <w:color w:val="000000"/>
          <w:sz w:val="24"/>
        </w:rPr>
        <w:t>、</w:t>
      </w:r>
      <w:r w:rsidRPr="00631996">
        <w:rPr>
          <w:rFonts w:ascii="宋体" w:hAnsi="宋体" w:hint="eastAsia"/>
          <w:color w:val="000000"/>
          <w:sz w:val="24"/>
        </w:rPr>
        <w:t>当前一估值日基金资产净值50%以上的资产出现无可参考的活跃市场价格且采用估值技术仍导致公允价值存在重大不确定性时，经与基金托管人协商确认后，基金管理人应当暂停接受基金赎回申请或延缓支付赎回款项；</w:t>
      </w:r>
    </w:p>
    <w:p w14:paraId="0EBC29E9" w14:textId="0EF232A1" w:rsidR="00CF57A4" w:rsidRDefault="00631996">
      <w:pPr>
        <w:spacing w:line="360" w:lineRule="auto"/>
        <w:ind w:firstLineChars="200" w:firstLine="480"/>
        <w:rPr>
          <w:rFonts w:ascii="宋体" w:hAnsi="宋体"/>
          <w:color w:val="000000"/>
          <w:sz w:val="24"/>
        </w:rPr>
      </w:pPr>
      <w:r>
        <w:rPr>
          <w:rFonts w:ascii="宋体" w:hAnsi="宋体"/>
          <w:color w:val="000000"/>
          <w:sz w:val="24"/>
        </w:rPr>
        <w:t>5</w:t>
      </w:r>
      <w:r w:rsidR="00B13D46">
        <w:rPr>
          <w:rFonts w:ascii="宋体" w:hAnsi="宋体" w:hint="eastAsia"/>
          <w:color w:val="000000"/>
          <w:sz w:val="24"/>
        </w:rPr>
        <w:t>、发生本基金合同规定的暂停基金资产估值的情形；</w:t>
      </w:r>
    </w:p>
    <w:p w14:paraId="63A0812C" w14:textId="7C8D126B" w:rsidR="00CF57A4" w:rsidRDefault="00631996">
      <w:pPr>
        <w:spacing w:line="360" w:lineRule="auto"/>
        <w:ind w:firstLineChars="200" w:firstLine="480"/>
        <w:rPr>
          <w:rFonts w:ascii="宋体" w:hAnsi="宋体"/>
          <w:color w:val="000000"/>
          <w:sz w:val="24"/>
        </w:rPr>
      </w:pPr>
      <w:r>
        <w:rPr>
          <w:rFonts w:ascii="宋体" w:hAnsi="宋体"/>
          <w:color w:val="000000"/>
          <w:sz w:val="24"/>
        </w:rPr>
        <w:t>6</w:t>
      </w:r>
      <w:r w:rsidR="00B13D46">
        <w:rPr>
          <w:rFonts w:ascii="宋体" w:hAnsi="宋体" w:hint="eastAsia"/>
          <w:color w:val="000000"/>
          <w:sz w:val="24"/>
        </w:rPr>
        <w:t>、法律法规、深圳证券交易所规定或中国证监会认定的其他情形。</w:t>
      </w:r>
    </w:p>
    <w:p w14:paraId="1F88514C"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发生上述情形之一时，基金管理人应在当日报中国证监会备案，并按照有关规定在指定媒体上及时公告。在暂停赎回的情况消除时，基金管理人应及时恢复赎回业务的办理，并按照有关规定在指定媒体上予以公告。</w:t>
      </w:r>
    </w:p>
    <w:p w14:paraId="4BA3A20E" w14:textId="77777777" w:rsidR="00CF57A4" w:rsidRDefault="00B13D46">
      <w:pPr>
        <w:widowControl/>
        <w:spacing w:line="360" w:lineRule="auto"/>
        <w:ind w:firstLineChars="200" w:firstLine="482"/>
        <w:outlineLvl w:val="1"/>
        <w:rPr>
          <w:rFonts w:ascii="宋体" w:hAnsi="宋体" w:cs="宋体"/>
          <w:b/>
          <w:color w:val="000000"/>
          <w:kern w:val="0"/>
          <w:sz w:val="24"/>
        </w:rPr>
      </w:pPr>
      <w:r>
        <w:rPr>
          <w:rFonts w:ascii="宋体" w:hAnsi="宋体" w:cs="宋体" w:hint="eastAsia"/>
          <w:b/>
          <w:color w:val="000000"/>
          <w:kern w:val="0"/>
          <w:sz w:val="24"/>
        </w:rPr>
        <w:t>（十）基金的非交易过户等其他业务</w:t>
      </w:r>
    </w:p>
    <w:p w14:paraId="5F8CDDEF" w14:textId="77777777" w:rsidR="00CF57A4" w:rsidRDefault="00B13D46">
      <w:pPr>
        <w:spacing w:line="360" w:lineRule="auto"/>
        <w:ind w:firstLineChars="200" w:firstLine="480"/>
        <w:rPr>
          <w:rFonts w:ascii="宋体" w:hAnsi="宋体"/>
          <w:color w:val="000000"/>
          <w:sz w:val="24"/>
          <w:szCs w:val="21"/>
        </w:rPr>
      </w:pPr>
      <w:r>
        <w:rPr>
          <w:rFonts w:ascii="宋体" w:hAnsi="宋体" w:hint="eastAsia"/>
          <w:color w:val="000000"/>
          <w:sz w:val="24"/>
        </w:rPr>
        <w:t>注册登记机构可依据其业务规则，受理基金份额的非交易过户、冻结与解冻等业务，并收取一定的手续费用。</w:t>
      </w:r>
    </w:p>
    <w:p w14:paraId="3A2AF46A" w14:textId="77777777" w:rsidR="00CF57A4" w:rsidRDefault="00B13D46">
      <w:pPr>
        <w:spacing w:line="360" w:lineRule="auto"/>
        <w:ind w:firstLineChars="200" w:firstLine="482"/>
        <w:rPr>
          <w:rFonts w:ascii="宋体" w:hAnsi="宋体" w:cs="宋体"/>
          <w:b/>
          <w:color w:val="000000"/>
          <w:kern w:val="0"/>
          <w:sz w:val="24"/>
        </w:rPr>
      </w:pPr>
      <w:r>
        <w:rPr>
          <w:rFonts w:ascii="宋体" w:hAnsi="宋体" w:cs="宋体" w:hint="eastAsia"/>
          <w:b/>
          <w:color w:val="000000"/>
          <w:kern w:val="0"/>
          <w:sz w:val="24"/>
        </w:rPr>
        <w:t>（十一）集合申购与其他服务</w:t>
      </w:r>
    </w:p>
    <w:p w14:paraId="1CEF5124" w14:textId="77777777" w:rsidR="00CF57A4" w:rsidRDefault="00B13D46">
      <w:pPr>
        <w:spacing w:line="360" w:lineRule="auto"/>
        <w:ind w:firstLineChars="200" w:firstLine="480"/>
        <w:rPr>
          <w:rFonts w:ascii="宋体" w:hAnsi="宋体"/>
          <w:color w:val="000000"/>
          <w:sz w:val="24"/>
        </w:rPr>
      </w:pPr>
      <w:r>
        <w:rPr>
          <w:rFonts w:ascii="宋体" w:hAnsi="宋体" w:cs="宋体" w:hint="eastAsia"/>
          <w:color w:val="000000"/>
          <w:sz w:val="24"/>
        </w:rPr>
        <w:t>在条件允许时，基金管理人可开放集合申购，即允许多个</w:t>
      </w:r>
      <w:r>
        <w:rPr>
          <w:rFonts w:ascii="宋体" w:hAnsi="宋体" w:hint="eastAsia"/>
          <w:color w:val="000000"/>
          <w:sz w:val="24"/>
        </w:rPr>
        <w:t>投资者集合其持有的组合证券，共同构成最小申购赎回单位或其整数倍，进行申购。在不损害基金份额持有人利益的前提下，基金管理人有权制定集合申购业务的相关规则。</w:t>
      </w:r>
    </w:p>
    <w:p w14:paraId="24088242" w14:textId="77777777" w:rsidR="00CF57A4" w:rsidRDefault="00B13D46">
      <w:pPr>
        <w:spacing w:line="360" w:lineRule="auto"/>
        <w:ind w:firstLineChars="200" w:firstLine="480"/>
        <w:rPr>
          <w:rFonts w:ascii="宋体" w:hAnsi="宋体"/>
          <w:color w:val="000000"/>
          <w:sz w:val="24"/>
        </w:rPr>
      </w:pPr>
      <w:r>
        <w:rPr>
          <w:rFonts w:ascii="宋体" w:hAnsi="宋体" w:cs="宋体" w:hint="eastAsia"/>
          <w:color w:val="000000"/>
          <w:sz w:val="24"/>
        </w:rPr>
        <w:t>在条件允许时，基金管理人也可采取其他合理的申购、赎回方式，并于新的申购、赎回方式开始执行前的至少</w:t>
      </w:r>
      <w:r>
        <w:rPr>
          <w:rFonts w:ascii="宋体" w:hAnsi="宋体" w:hint="eastAsia"/>
          <w:color w:val="000000"/>
          <w:sz w:val="24"/>
        </w:rPr>
        <w:t>3</w:t>
      </w:r>
      <w:r>
        <w:rPr>
          <w:rFonts w:ascii="宋体" w:hAnsi="宋体" w:cs="宋体" w:hint="eastAsia"/>
          <w:color w:val="000000"/>
          <w:sz w:val="24"/>
        </w:rPr>
        <w:t>个工作日予以公告。</w:t>
      </w:r>
    </w:p>
    <w:p w14:paraId="7579EFF2" w14:textId="77777777" w:rsidR="00CF57A4" w:rsidRDefault="00B13D46">
      <w:pPr>
        <w:spacing w:line="360" w:lineRule="auto"/>
        <w:ind w:firstLineChars="200" w:firstLine="480"/>
        <w:rPr>
          <w:rFonts w:ascii="宋体" w:hAnsi="宋体"/>
          <w:color w:val="000000"/>
          <w:sz w:val="24"/>
        </w:rPr>
      </w:pPr>
      <w:r>
        <w:rPr>
          <w:rFonts w:ascii="宋体" w:hAnsi="宋体" w:cs="宋体" w:hint="eastAsia"/>
          <w:color w:val="000000"/>
          <w:sz w:val="24"/>
        </w:rPr>
        <w:t>基金管理人指定的代理机构可依据本基金合同开展其他服务，双方需签订书面委托代理协议，并报中国证监会备案。</w:t>
      </w:r>
    </w:p>
    <w:p w14:paraId="61F70C2D" w14:textId="77777777" w:rsidR="00CF57A4" w:rsidRDefault="00B13D46">
      <w:pPr>
        <w:spacing w:line="360" w:lineRule="auto"/>
        <w:ind w:firstLineChars="200" w:firstLine="482"/>
        <w:rPr>
          <w:rFonts w:ascii="宋体" w:hAnsi="宋体"/>
          <w:b/>
          <w:color w:val="000000"/>
          <w:sz w:val="24"/>
        </w:rPr>
      </w:pPr>
      <w:r>
        <w:rPr>
          <w:rFonts w:ascii="宋体" w:hAnsi="宋体" w:hint="eastAsia"/>
          <w:b/>
          <w:color w:val="000000"/>
          <w:sz w:val="24"/>
        </w:rPr>
        <w:t>（十二）基金的份额折算</w:t>
      </w:r>
    </w:p>
    <w:p w14:paraId="5D9AFE86"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基金合同生效后，为提高交易便利，本基金可以进行份额折算。</w:t>
      </w:r>
    </w:p>
    <w:p w14:paraId="1E235544"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1、基金份额折算的时间</w:t>
      </w:r>
    </w:p>
    <w:p w14:paraId="4C8ACB79"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基金管理人应事先确定基金份额折算日，并依照《信息披露办法》的有关规定提前公告。</w:t>
      </w:r>
    </w:p>
    <w:p w14:paraId="03ACBC86"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2、基金份额折算的原则</w:t>
      </w:r>
    </w:p>
    <w:p w14:paraId="14C912CF"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 xml:space="preserve">基金份额折算由基金管理人向注册登记机构申请办理，并由注册登记机构进行基金份额的变更登记。 </w:t>
      </w:r>
    </w:p>
    <w:p w14:paraId="00E35689"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基金份额折算后，本基金的基金份额总额与基金份额持有人持有的基金份额数额将发生调整，但调整后的基金份额持有人持有的基金份额占基金份额总额的</w:t>
      </w:r>
      <w:r>
        <w:rPr>
          <w:rFonts w:ascii="宋体" w:hAnsi="宋体" w:hint="eastAsia"/>
          <w:color w:val="000000"/>
          <w:sz w:val="24"/>
        </w:rPr>
        <w:lastRenderedPageBreak/>
        <w:t xml:space="preserve">比例不发生变化。基金份额折算对基金份额持有人的权益无实质性影响。基金份额折算后，基金份额持有人将按照折算后的基金份额享有权利并承担义务。 </w:t>
      </w:r>
    </w:p>
    <w:p w14:paraId="2C7B7640"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如果基金份额折算过程中发生不可抗力，基金管理人可延迟办理基金份额折算。</w:t>
      </w:r>
    </w:p>
    <w:p w14:paraId="17743CBC"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3、基金份额折算的方法</w:t>
      </w:r>
    </w:p>
    <w:p w14:paraId="614AC236"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基金份额折算的具体方法在基金份额折算公告中列示。</w:t>
      </w:r>
      <w:bookmarkStart w:id="100" w:name="_Toc79392620"/>
    </w:p>
    <w:bookmarkEnd w:id="83"/>
    <w:bookmarkEnd w:id="100"/>
    <w:p w14:paraId="0C0985DF" w14:textId="77777777" w:rsidR="00CF57A4" w:rsidRDefault="00B13D46">
      <w:pPr>
        <w:pStyle w:val="af1"/>
        <w:rPr>
          <w:rFonts w:eastAsia="黑体"/>
          <w:color w:val="000000"/>
          <w:kern w:val="0"/>
          <w:sz w:val="30"/>
        </w:rPr>
      </w:pPr>
      <w:r>
        <w:rPr>
          <w:rFonts w:eastAsia="黑体"/>
          <w:color w:val="000000"/>
          <w:kern w:val="0"/>
          <w:sz w:val="30"/>
        </w:rPr>
        <w:br w:type="page"/>
      </w:r>
      <w:bookmarkStart w:id="101" w:name="_Toc320703950"/>
      <w:bookmarkStart w:id="102" w:name="_Toc320704002"/>
      <w:bookmarkStart w:id="103" w:name="_Toc320704075"/>
      <w:bookmarkStart w:id="104" w:name="_Toc320704362"/>
      <w:bookmarkStart w:id="105" w:name="_Toc322002726"/>
      <w:bookmarkStart w:id="106" w:name="_Toc322519877"/>
      <w:r>
        <w:rPr>
          <w:rFonts w:eastAsia="黑体" w:hint="eastAsia"/>
          <w:color w:val="000000"/>
          <w:kern w:val="0"/>
          <w:sz w:val="30"/>
        </w:rPr>
        <w:lastRenderedPageBreak/>
        <w:t>十、基金的投资</w:t>
      </w:r>
      <w:bookmarkEnd w:id="101"/>
      <w:bookmarkEnd w:id="102"/>
      <w:bookmarkEnd w:id="103"/>
      <w:bookmarkEnd w:id="104"/>
      <w:bookmarkEnd w:id="105"/>
      <w:bookmarkEnd w:id="106"/>
    </w:p>
    <w:p w14:paraId="64617B8D" w14:textId="77777777" w:rsidR="00CF57A4" w:rsidRDefault="00B13D46">
      <w:pPr>
        <w:spacing w:line="360" w:lineRule="auto"/>
        <w:ind w:firstLineChars="200" w:firstLine="482"/>
        <w:rPr>
          <w:rFonts w:ascii="宋体" w:hAnsi="宋体"/>
          <w:b/>
          <w:color w:val="000000"/>
          <w:sz w:val="24"/>
        </w:rPr>
      </w:pPr>
      <w:bookmarkStart w:id="107" w:name="_Toc66719557"/>
      <w:bookmarkStart w:id="108" w:name="_Toc66720082"/>
      <w:bookmarkStart w:id="109" w:name="_Toc109059024"/>
      <w:r>
        <w:rPr>
          <w:rFonts w:ascii="宋体" w:hAnsi="宋体"/>
          <w:b/>
          <w:color w:val="000000"/>
          <w:sz w:val="24"/>
        </w:rPr>
        <w:t>(</w:t>
      </w:r>
      <w:r>
        <w:rPr>
          <w:rFonts w:ascii="宋体" w:hAnsi="宋体" w:hint="eastAsia"/>
          <w:b/>
          <w:color w:val="000000"/>
          <w:sz w:val="24"/>
        </w:rPr>
        <w:t>一</w:t>
      </w:r>
      <w:r>
        <w:rPr>
          <w:rFonts w:ascii="宋体" w:hAnsi="宋体"/>
          <w:b/>
          <w:color w:val="000000"/>
          <w:sz w:val="24"/>
        </w:rPr>
        <w:t>)</w:t>
      </w:r>
      <w:r>
        <w:rPr>
          <w:rFonts w:ascii="宋体" w:hAnsi="宋体" w:hint="eastAsia"/>
          <w:b/>
          <w:color w:val="000000"/>
          <w:sz w:val="24"/>
        </w:rPr>
        <w:t>投资目标</w:t>
      </w:r>
    </w:p>
    <w:p w14:paraId="0ACDAB44"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紧密跟踪标的指数，追求跟踪偏离度和跟踪误差最小化。</w:t>
      </w:r>
    </w:p>
    <w:p w14:paraId="0F2FF76B" w14:textId="77777777" w:rsidR="00CF57A4" w:rsidRDefault="00B13D46">
      <w:pPr>
        <w:spacing w:line="360" w:lineRule="auto"/>
        <w:ind w:firstLineChars="200" w:firstLine="482"/>
        <w:rPr>
          <w:rFonts w:ascii="宋体" w:hAnsi="宋体"/>
          <w:b/>
          <w:color w:val="000000"/>
          <w:sz w:val="24"/>
        </w:rPr>
      </w:pPr>
      <w:r>
        <w:rPr>
          <w:rFonts w:ascii="宋体" w:hAnsi="宋体"/>
          <w:b/>
          <w:color w:val="000000"/>
          <w:sz w:val="24"/>
        </w:rPr>
        <w:t>(</w:t>
      </w:r>
      <w:r>
        <w:rPr>
          <w:rFonts w:ascii="宋体" w:hAnsi="宋体" w:hint="eastAsia"/>
          <w:b/>
          <w:color w:val="000000"/>
          <w:sz w:val="24"/>
        </w:rPr>
        <w:t>二</w:t>
      </w:r>
      <w:r>
        <w:rPr>
          <w:rFonts w:ascii="宋体" w:hAnsi="宋体"/>
          <w:b/>
          <w:color w:val="000000"/>
          <w:sz w:val="24"/>
        </w:rPr>
        <w:t>)</w:t>
      </w:r>
      <w:r>
        <w:rPr>
          <w:rFonts w:ascii="宋体" w:hAnsi="宋体" w:hint="eastAsia"/>
          <w:b/>
          <w:color w:val="000000"/>
          <w:sz w:val="24"/>
        </w:rPr>
        <w:t>投资理念</w:t>
      </w:r>
    </w:p>
    <w:p w14:paraId="3E3381B0"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本基金遵循指数化投资理念，以反映深圳证券市场中规模较大、流动性好、具有明显价值特征的股票整体收益状况的深证300价值价格指数作为标的指数，采用被动式指数化投资实现跟踪偏离度与跟踪误差的最小化，力求帮助投资人以较低的成本获取与标的指数相似的收益。</w:t>
      </w:r>
    </w:p>
    <w:p w14:paraId="59031128" w14:textId="77777777" w:rsidR="00CF57A4" w:rsidRDefault="00B13D46">
      <w:pPr>
        <w:spacing w:line="360" w:lineRule="auto"/>
        <w:ind w:firstLineChars="200" w:firstLine="482"/>
        <w:rPr>
          <w:rFonts w:ascii="宋体" w:hAnsi="宋体"/>
          <w:b/>
          <w:color w:val="000000"/>
          <w:sz w:val="24"/>
        </w:rPr>
      </w:pPr>
      <w:r>
        <w:rPr>
          <w:rFonts w:ascii="宋体" w:hAnsi="宋体"/>
          <w:b/>
          <w:color w:val="000000"/>
          <w:sz w:val="24"/>
        </w:rPr>
        <w:t>(</w:t>
      </w:r>
      <w:r>
        <w:rPr>
          <w:rFonts w:ascii="宋体" w:hAnsi="宋体" w:hint="eastAsia"/>
          <w:b/>
          <w:color w:val="000000"/>
          <w:sz w:val="24"/>
        </w:rPr>
        <w:t>三</w:t>
      </w:r>
      <w:r>
        <w:rPr>
          <w:rFonts w:ascii="宋体" w:hAnsi="宋体"/>
          <w:b/>
          <w:color w:val="000000"/>
          <w:sz w:val="24"/>
        </w:rPr>
        <w:t>)</w:t>
      </w:r>
      <w:r>
        <w:rPr>
          <w:rFonts w:ascii="宋体" w:hAnsi="宋体" w:hint="eastAsia"/>
          <w:b/>
          <w:color w:val="000000"/>
          <w:sz w:val="24"/>
        </w:rPr>
        <w:t>投资范围</w:t>
      </w:r>
    </w:p>
    <w:p w14:paraId="65B60BAA"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本基金以标的指数成份股、备选成份股为主要投资对象（含中小板股票和创业板股票及其他经中国证监会核准的上市股票），把全部或接近全部的基金资产用于跟踪标的指数的表现，正常情况下指数化投资比例，即投资于标的指数成份股和备选成份股的资产比例不低于基金资产净值的95%。此外，为更好地实现投资目标，本基金也可少量投资于新股、债券、回购、权证及中国证监会允许基金投资的其它金融工具（但须符合中国证监会的相关规定）。</w:t>
      </w:r>
    </w:p>
    <w:p w14:paraId="13EA5453"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如因标的指数成份股调整、基金份额申购赎回清单内现金替代、现金差额等因素导致基金投资比例不符合上述标准的，基金管理人将在10个交易日内进行调整。法律法规或监管机构日后允许本基金投资其他品种，基金管理人在履行适当程序后，可以将其纳入投资范围。</w:t>
      </w:r>
    </w:p>
    <w:p w14:paraId="1FB1A648" w14:textId="77777777" w:rsidR="00CF57A4" w:rsidRDefault="00B13D46">
      <w:pPr>
        <w:spacing w:line="360" w:lineRule="auto"/>
        <w:ind w:firstLineChars="200" w:firstLine="480"/>
        <w:rPr>
          <w:rFonts w:ascii="宋体" w:hAnsi="宋体"/>
          <w:b/>
          <w:color w:val="000000"/>
          <w:sz w:val="24"/>
        </w:rPr>
      </w:pPr>
      <w:r>
        <w:rPr>
          <w:rFonts w:ascii="宋体" w:hAnsi="宋体" w:hint="eastAsia"/>
          <w:color w:val="000000"/>
          <w:sz w:val="24"/>
        </w:rPr>
        <w:t xml:space="preserve"> </w:t>
      </w:r>
      <w:r>
        <w:rPr>
          <w:rFonts w:ascii="宋体" w:hAnsi="宋体"/>
          <w:b/>
          <w:color w:val="000000"/>
          <w:sz w:val="24"/>
        </w:rPr>
        <w:t>(</w:t>
      </w:r>
      <w:r>
        <w:rPr>
          <w:rFonts w:ascii="宋体" w:hAnsi="宋体" w:hint="eastAsia"/>
          <w:b/>
          <w:color w:val="000000"/>
          <w:sz w:val="24"/>
        </w:rPr>
        <w:t>四</w:t>
      </w:r>
      <w:r>
        <w:rPr>
          <w:rFonts w:ascii="宋体" w:hAnsi="宋体"/>
          <w:b/>
          <w:color w:val="000000"/>
          <w:sz w:val="24"/>
        </w:rPr>
        <w:t>)</w:t>
      </w:r>
      <w:r>
        <w:rPr>
          <w:rFonts w:ascii="宋体" w:hAnsi="宋体" w:hint="eastAsia"/>
          <w:b/>
          <w:color w:val="000000"/>
          <w:sz w:val="24"/>
        </w:rPr>
        <w:t>投资策略</w:t>
      </w:r>
    </w:p>
    <w:p w14:paraId="7D44DF7C"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本基金绝大部分资产采用完全复制法，跟踪深证300价值价格指数，以完全按照标的指数成份股组成及其权重构建基金股票投资组合为原则，进行被动式指数化投资。</w:t>
      </w:r>
    </w:p>
    <w:p w14:paraId="563E9540" w14:textId="77777777" w:rsidR="00CF57A4" w:rsidRDefault="00B13D46">
      <w:pPr>
        <w:snapToGrid w:val="0"/>
        <w:spacing w:line="360" w:lineRule="auto"/>
        <w:ind w:firstLineChars="200" w:firstLine="480"/>
        <w:rPr>
          <w:rFonts w:ascii="宋体" w:hAnsi="宋体"/>
          <w:color w:val="000000"/>
          <w:sz w:val="24"/>
        </w:rPr>
      </w:pPr>
      <w:r>
        <w:rPr>
          <w:rFonts w:ascii="宋体" w:hAnsi="宋体" w:hint="eastAsia"/>
          <w:color w:val="000000"/>
          <w:sz w:val="24"/>
        </w:rPr>
        <w:t>股票在投资组合中的权重原则上根据标的指数成份股及其权重的变动而进行相应调整。当预期成份股发生调整和成份股发生配股、增发、分红等行为时，或因基金的申购和赎回等对本基金跟踪标的指数的效果可能带来影响时，或因某些特殊情况导致流动性不足时，或其他原因导致无法有效复制和跟踪标的指数时，基金管理人可以对投资组合管理进行适当变通和调整，从而使得投资组合紧密地跟踪标的指数。</w:t>
      </w:r>
    </w:p>
    <w:p w14:paraId="39F0A62C" w14:textId="77777777" w:rsidR="00CF57A4" w:rsidRDefault="00B13D46">
      <w:pPr>
        <w:spacing w:line="360" w:lineRule="auto"/>
        <w:ind w:firstLineChars="200" w:firstLine="482"/>
        <w:rPr>
          <w:rFonts w:ascii="宋体" w:hAnsi="宋体"/>
          <w:b/>
          <w:color w:val="000000"/>
          <w:sz w:val="24"/>
        </w:rPr>
      </w:pPr>
      <w:r>
        <w:rPr>
          <w:rFonts w:ascii="宋体" w:hAnsi="宋体"/>
          <w:b/>
          <w:color w:val="000000"/>
          <w:sz w:val="24"/>
        </w:rPr>
        <w:lastRenderedPageBreak/>
        <w:t>(</w:t>
      </w:r>
      <w:r>
        <w:rPr>
          <w:rFonts w:ascii="宋体" w:hAnsi="宋体" w:hint="eastAsia"/>
          <w:b/>
          <w:color w:val="000000"/>
          <w:sz w:val="24"/>
        </w:rPr>
        <w:t>五</w:t>
      </w:r>
      <w:r>
        <w:rPr>
          <w:rFonts w:ascii="宋体" w:hAnsi="宋体"/>
          <w:b/>
          <w:color w:val="000000"/>
          <w:sz w:val="24"/>
        </w:rPr>
        <w:t xml:space="preserve">) </w:t>
      </w:r>
      <w:r>
        <w:rPr>
          <w:rFonts w:ascii="宋体" w:hAnsi="宋体" w:hint="eastAsia"/>
          <w:b/>
          <w:color w:val="000000"/>
          <w:sz w:val="24"/>
        </w:rPr>
        <w:t>业绩比较基准</w:t>
      </w:r>
    </w:p>
    <w:p w14:paraId="6023AB5E"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本基金的业绩比较基准为标的指数。</w:t>
      </w:r>
    </w:p>
    <w:p w14:paraId="537216A1"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本基金的标的指数为深证300价值价格指数。深证300价值价格指数是由深圳证券信息公司编制，并以深证300指数为基础开发的风格指数，它以深证300指数的成份股为样本空间，选取采用价值因子评分最高的100只股票为指数的成份股，并于每年1月和7月对指数成份股进行调整。该指数的基期为2004年12月31日，基点为1000点。</w:t>
      </w:r>
    </w:p>
    <w:p w14:paraId="5ADB0464" w14:textId="77777777" w:rsidR="00CF57A4" w:rsidRDefault="00B13D46">
      <w:pPr>
        <w:spacing w:line="360" w:lineRule="auto"/>
        <w:ind w:firstLineChars="200" w:firstLine="480"/>
        <w:rPr>
          <w:rFonts w:ascii="宋体" w:hAnsi="宋体"/>
          <w:color w:val="000000"/>
          <w:sz w:val="24"/>
          <w:szCs w:val="18"/>
        </w:rPr>
      </w:pPr>
      <w:r>
        <w:rPr>
          <w:rFonts w:ascii="宋体" w:hAnsi="宋体" w:hint="eastAsia"/>
          <w:color w:val="000000"/>
          <w:sz w:val="24"/>
          <w:szCs w:val="18"/>
        </w:rPr>
        <w:t>如果指数编制单位变更或停止深证300价值价格指数的编制及发布，或深证300价值价格指数由其他指数替代，或由于指数编制方法等重大变更导致深证300价值价格指数不宜继续作为标的指数，或证券市场有其他代表性更强、更适合投资的指数推出时，本基金管理人可以依据维护基金份额持有人合法权益的原则，在履行适当的程序后，变更本基金的标的指数。</w:t>
      </w:r>
    </w:p>
    <w:p w14:paraId="1F444B5E"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标的指数更换后，业绩比较基准随之变更，基金管理人可根据需要替换或删除基金名称中与原标的指数相关的商号或字样。</w:t>
      </w:r>
    </w:p>
    <w:p w14:paraId="1A0C233A" w14:textId="77777777" w:rsidR="00CF57A4" w:rsidRDefault="00B13D46">
      <w:pPr>
        <w:spacing w:line="360" w:lineRule="auto"/>
        <w:ind w:firstLineChars="200" w:firstLine="482"/>
        <w:rPr>
          <w:rFonts w:ascii="宋体" w:hAnsi="宋体"/>
          <w:b/>
          <w:color w:val="000000"/>
          <w:sz w:val="24"/>
        </w:rPr>
      </w:pPr>
      <w:r>
        <w:rPr>
          <w:rFonts w:ascii="宋体" w:hAnsi="宋体"/>
          <w:b/>
          <w:color w:val="000000"/>
          <w:sz w:val="24"/>
        </w:rPr>
        <w:t>(</w:t>
      </w:r>
      <w:r>
        <w:rPr>
          <w:rFonts w:ascii="宋体" w:hAnsi="宋体" w:hint="eastAsia"/>
          <w:b/>
          <w:color w:val="000000"/>
          <w:sz w:val="24"/>
        </w:rPr>
        <w:t>六</w:t>
      </w:r>
      <w:r>
        <w:rPr>
          <w:rFonts w:ascii="宋体" w:hAnsi="宋体"/>
          <w:b/>
          <w:color w:val="000000"/>
          <w:sz w:val="24"/>
        </w:rPr>
        <w:t xml:space="preserve">) </w:t>
      </w:r>
      <w:r>
        <w:rPr>
          <w:rFonts w:ascii="宋体" w:hAnsi="宋体" w:hint="eastAsia"/>
          <w:b/>
          <w:color w:val="000000"/>
          <w:sz w:val="24"/>
        </w:rPr>
        <w:t>风险收益特征</w:t>
      </w:r>
    </w:p>
    <w:p w14:paraId="5EB025E2"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本基金属于股票基金，风险与预期收益高于混合基金、债券基金与货币市场基金。同时本基金为指数型基金，具有与标的指数、以及标的指数所代表的股票市场相似的风险收益特征。</w:t>
      </w:r>
    </w:p>
    <w:p w14:paraId="26AA49B0" w14:textId="77777777" w:rsidR="00CF57A4" w:rsidRDefault="00B13D46">
      <w:pPr>
        <w:spacing w:line="360" w:lineRule="auto"/>
        <w:ind w:firstLineChars="200" w:firstLine="482"/>
        <w:rPr>
          <w:rFonts w:ascii="宋体" w:hAnsi="宋体"/>
          <w:b/>
          <w:color w:val="000000"/>
          <w:sz w:val="24"/>
        </w:rPr>
      </w:pPr>
      <w:r>
        <w:rPr>
          <w:rFonts w:ascii="宋体" w:hAnsi="宋体"/>
          <w:b/>
          <w:color w:val="000000"/>
          <w:sz w:val="24"/>
        </w:rPr>
        <w:t>(</w:t>
      </w:r>
      <w:r>
        <w:rPr>
          <w:rFonts w:ascii="宋体" w:hAnsi="宋体" w:hint="eastAsia"/>
          <w:b/>
          <w:color w:val="000000"/>
          <w:sz w:val="24"/>
        </w:rPr>
        <w:t>七</w:t>
      </w:r>
      <w:r>
        <w:rPr>
          <w:rFonts w:ascii="宋体" w:hAnsi="宋体"/>
          <w:b/>
          <w:color w:val="000000"/>
          <w:sz w:val="24"/>
        </w:rPr>
        <w:t xml:space="preserve">) </w:t>
      </w:r>
      <w:r>
        <w:rPr>
          <w:rFonts w:ascii="宋体" w:hAnsi="宋体" w:hint="eastAsia"/>
          <w:b/>
          <w:color w:val="000000"/>
          <w:sz w:val="24"/>
        </w:rPr>
        <w:t>投资决策依据与流程</w:t>
      </w:r>
    </w:p>
    <w:p w14:paraId="6DD99EB4"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1、决策依据</w:t>
      </w:r>
    </w:p>
    <w:p w14:paraId="50AA6151"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有关法律法规、基金合同和标的指数的相关规定是基金管理人运用基金财产的决策依据。</w:t>
      </w:r>
    </w:p>
    <w:p w14:paraId="33643911"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2、决策和交易机制</w:t>
      </w:r>
    </w:p>
    <w:p w14:paraId="26EE1672"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本基金实行投资决策委员会领导下的基金经理负责制。</w:t>
      </w:r>
    </w:p>
    <w:p w14:paraId="16DFE204"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投资决策委员会的主要职责是决定有关指数重大调整的应对决策、其他重大组合调整决策以及重大的单项投资决策。</w:t>
      </w:r>
    </w:p>
    <w:p w14:paraId="25EE7BB0"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基金经理的主要职责是决定日常指数跟踪维护过程中的组合构建、调整决策以及每日申购赎回清单的编制决策。</w:t>
      </w:r>
    </w:p>
    <w:p w14:paraId="490BC64F"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中央交易室负责交易执行和一线监控。通过严格的交易制度和实时的一线监</w:t>
      </w:r>
      <w:r>
        <w:rPr>
          <w:rFonts w:ascii="宋体" w:hAnsi="宋体" w:hint="eastAsia"/>
          <w:color w:val="000000"/>
          <w:sz w:val="24"/>
        </w:rPr>
        <w:lastRenderedPageBreak/>
        <w:t>控功能，保证基金经理的投资指令在合法、合规的前提下得到高效的执行。</w:t>
      </w:r>
    </w:p>
    <w:p w14:paraId="63C3A774"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3、投资流程</w:t>
      </w:r>
    </w:p>
    <w:p w14:paraId="63FBF66A"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研究、决策、组合构建、交易、评估及组合维护的有机配合共同构成了本基金的投资管理程序。严格的投资管理程序可以保证投资理念的正确执行，避免重大风险的发生。</w:t>
      </w:r>
    </w:p>
    <w:p w14:paraId="54292237"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(1)研究支持：量化投资部依托公司整体研究平台，整合外部信息以及券商等外部研究力量的研究成果开展指数跟踪、成份股公司行为等相关信息的搜集与分析、流动性分析、误差及其归因分析等工作，以作为基金投资决策的重要依据。</w:t>
      </w:r>
    </w:p>
    <w:p w14:paraId="49126C6D"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(2)投资决策：投资决策委员会定期召开或遇重大事项时召开投资决策会议，决策相关事项。基金经理根据投资决策委员会的决议，每日进行基金投资管理的日常决策。</w:t>
      </w:r>
    </w:p>
    <w:p w14:paraId="62D66045"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(3)组合构建：根据标的指数情况，结合研究支持，基金经理以完全复制指数成份股权重的方法构建组合。在追求跟踪误差和偏离度最小化的前提下，基金经理将采取适当的方法，以降低买入成本、控制投资风险。</w:t>
      </w:r>
    </w:p>
    <w:p w14:paraId="55382CA1"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(4)交易执行：中央交易室负责具体的交易执行，同时履行一线监控的职责。</w:t>
      </w:r>
    </w:p>
    <w:p w14:paraId="6714F61A"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(5)绩效评估：量化投资部定期和不定期对基金进行投资绩效评估，并提供相关报告。绩效评估能够确认组合是否实现了投资预期、组合误差的来源及投资策略成功与否，基金经理可以据此检讨投资策略，进而调整投资组合。</w:t>
      </w:r>
    </w:p>
    <w:p w14:paraId="2A322694"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(6)组合监控与调整：基金经理将跟踪标的指数变动，结合成份股基本面情况、成份股公司行为、流动性状况、基金申购和赎回的现金、现券流量情况以及组合投资绩效评估的结果等，采取适当的跟踪技术对投资组合进行监控和调整，密切跟踪标的指数。</w:t>
      </w:r>
    </w:p>
    <w:p w14:paraId="60FEBB27"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基金管理人在确保基金份额持有人利益的前提下有权根据环境变化和实际需要对上述投资管理程序做出调整，并在基金招募说明书更新中公告。</w:t>
      </w:r>
    </w:p>
    <w:p w14:paraId="275EBAA2" w14:textId="77777777" w:rsidR="00CF57A4" w:rsidRDefault="00B13D46">
      <w:pPr>
        <w:spacing w:line="360" w:lineRule="auto"/>
        <w:ind w:firstLineChars="200" w:firstLine="482"/>
        <w:rPr>
          <w:rFonts w:ascii="宋体" w:hAnsi="宋体"/>
          <w:b/>
          <w:color w:val="000000"/>
          <w:sz w:val="24"/>
        </w:rPr>
      </w:pPr>
      <w:r>
        <w:rPr>
          <w:rFonts w:ascii="宋体" w:hAnsi="宋体" w:hint="eastAsia"/>
          <w:b/>
          <w:color w:val="000000"/>
          <w:sz w:val="24"/>
        </w:rPr>
        <w:t>(八)投资组合管理</w:t>
      </w:r>
    </w:p>
    <w:p w14:paraId="782AAF2A"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1、投资组合的建立</w:t>
      </w:r>
    </w:p>
    <w:p w14:paraId="188EE80E"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基金管理人构建投资组合的过程主要分为三步：确定目标组合、确定建仓策略和逐步调整。</w:t>
      </w:r>
    </w:p>
    <w:p w14:paraId="3D691610"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 xml:space="preserve">(1)确定目标组合：基金管理人根据完全复制成份股权重的方法确定目标组合。 </w:t>
      </w:r>
    </w:p>
    <w:p w14:paraId="03802767"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lastRenderedPageBreak/>
        <w:t>(2)确定建仓策略：基金经理根据对成份股流动性、公司行为、基本面等因素的分析，确定合理的建仓策略。</w:t>
      </w:r>
    </w:p>
    <w:p w14:paraId="667447BF"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(3)逐步调整：通过完全复制法最终确定目标组合之后，基金经理在规定时间内采用适当的手段构建和调整实际组合直至达到跟踪指数要求。</w:t>
      </w:r>
    </w:p>
    <w:p w14:paraId="15F16679"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2、日常投资组合管理</w:t>
      </w:r>
    </w:p>
    <w:p w14:paraId="68F4DBA3"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(1)成份股公司行为信息的跟踪与分析：跟踪标的指数成份股公司行为（如：股本变化、分红、停牌、复牌等）信息，以及成份股公司其它重大信息，分析这些信息对指数的影响，进而进行组合调整分析，为投资决策提供依据。</w:t>
      </w:r>
    </w:p>
    <w:p w14:paraId="149AF873"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(2)标的指数的跟踪与分析：由于各种原因，跟踪标的指数的编制方法可能会发生调整，分析这种调整对跟踪标的指数的影响，并制定相应的应对方案。</w:t>
      </w:r>
    </w:p>
    <w:p w14:paraId="183A0D66"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(3)每日申购赎回情况的跟踪与分析：跟踪本基金申购和赎回信息，分析其对组合的影响。</w:t>
      </w:r>
    </w:p>
    <w:p w14:paraId="0620CFAF"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(4)组合持有证券、现金头寸及流动性分析：基金经理分析实际组合与目标组合的差异及其原因，并进行成份股调整的流动性分析。</w:t>
      </w:r>
    </w:p>
    <w:p w14:paraId="33CC26F2"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(5)组合调整：</w:t>
      </w:r>
    </w:p>
    <w:p w14:paraId="39FED87F"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1）利用数量化分析方法，找出将实际组合调整到目标组合的最优方案，确定组合调整及交易策略。</w:t>
      </w:r>
    </w:p>
    <w:p w14:paraId="00C45E07"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2）如发生成份股变动、成份股公司合并及其它重大事项，可提请投资决策委员会召开会议，决定基金的操作策略。</w:t>
      </w:r>
    </w:p>
    <w:p w14:paraId="0857D683"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3）调整组合，达到目标组合的持仓结构。</w:t>
      </w:r>
    </w:p>
    <w:p w14:paraId="2CCD1A43"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(6)复制标的指数并核对，同时根据最新的公司行为信息预测下一交易日指数结构。</w:t>
      </w:r>
    </w:p>
    <w:p w14:paraId="537543EF"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(7)对比指数与组合的每日及累计的绩效数据，检测跟踪误差及其趋势。分析由于组合每只股票构成与指数构成的差异导致的跟踪误差的程度与趋势以找出跟踪误差的来源，进而决定需要对组合调整的部分及调整方法。</w:t>
      </w:r>
    </w:p>
    <w:p w14:paraId="54BC03DF"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(8)根据指数跟踪研究结果及当日最新组合情况进行指数分析及组合分析并进行组合调整计算，进而制定下一个交易日的交易内容与策略。</w:t>
      </w:r>
    </w:p>
    <w:p w14:paraId="4BED74A7"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(9)以T-1日指数成份股构成及其权重为基础，考虑T日将会发生的上市公司变动等情况，设计T日申购赎回清单并公告。</w:t>
      </w:r>
    </w:p>
    <w:p w14:paraId="6FA1010F"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lastRenderedPageBreak/>
        <w:t>3、定期投资组合管理</w:t>
      </w:r>
    </w:p>
    <w:p w14:paraId="0EB286DA"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(1)每月</w:t>
      </w:r>
    </w:p>
    <w:p w14:paraId="71EC09F9"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每月末，根据基金合同中基金管理费、基金托管费等的支付要求，及时检查组合中现金的比例，进行支付现金的准备。</w:t>
      </w:r>
    </w:p>
    <w:p w14:paraId="074778D1"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每月末，在基金经理会议上对投资操作、组合、跟踪误差等进行分析。分析最近基金组合与标的指数间的跟踪偏离度情况，找出未能有效控制较大偏离的原因。</w:t>
      </w:r>
    </w:p>
    <w:p w14:paraId="5BF29801"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每月，投资决策委员会可对基金的操作进行指导与决策。基金经理根据公司投资决策委员会的决策开展下一阶段的工作。</w:t>
      </w:r>
    </w:p>
    <w:p w14:paraId="04BE5368"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(2)标的指数调整</w:t>
      </w:r>
    </w:p>
    <w:p w14:paraId="1492659F"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根据标的指数的编制规则及调整公告，基金经理依据投资决策委员会的决策，在指数成份股调整生效前，分析并确定组合调整策略，尽量减少变更成份股带来的跟踪偏离度和跟踪误差。</w:t>
      </w:r>
    </w:p>
    <w:p w14:paraId="4F513803"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4、投资绩效评估</w:t>
      </w:r>
    </w:p>
    <w:p w14:paraId="79DEAE37"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(1)定期对基金的绩效评估进行，主要是对跟踪偏离度进行评估；</w:t>
      </w:r>
    </w:p>
    <w:p w14:paraId="6ECE8018"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(2)量化投资部对本基金的运行情况进行量化评估；</w:t>
      </w:r>
    </w:p>
    <w:p w14:paraId="03150C56"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(3)基金经理根据量化评估报告，重点分析本基金的偏离度和跟踪误差产生原因、现金的控制情况、标的指数调整成份股前后的操作、未来成份股的变化等。</w:t>
      </w:r>
    </w:p>
    <w:p w14:paraId="5986FD35"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在正常市场情况下，力争控制本基金日均跟踪偏离度的绝对值不超过0.1%，年跟踪误差不超过2%。如因指数编制规则调整或其他因素导致跟踪偏离度和跟踪误差超过上述范围，基金管理人应采取合理措施避免跟踪偏离度、跟踪误差进一步扩大。</w:t>
      </w:r>
    </w:p>
    <w:p w14:paraId="2AACBC6A" w14:textId="77777777" w:rsidR="00CF57A4" w:rsidRDefault="00B13D46">
      <w:pPr>
        <w:spacing w:line="360" w:lineRule="auto"/>
        <w:ind w:firstLineChars="200" w:firstLine="482"/>
        <w:rPr>
          <w:rFonts w:ascii="宋体" w:hAnsi="宋体"/>
          <w:b/>
          <w:color w:val="000000"/>
          <w:sz w:val="24"/>
        </w:rPr>
      </w:pPr>
      <w:r>
        <w:rPr>
          <w:rFonts w:ascii="宋体" w:hAnsi="宋体"/>
          <w:b/>
          <w:color w:val="000000"/>
          <w:sz w:val="24"/>
        </w:rPr>
        <w:t>(</w:t>
      </w:r>
      <w:r>
        <w:rPr>
          <w:rFonts w:ascii="宋体" w:hAnsi="宋体" w:hint="eastAsia"/>
          <w:b/>
          <w:color w:val="000000"/>
          <w:sz w:val="24"/>
        </w:rPr>
        <w:t>九</w:t>
      </w:r>
      <w:r>
        <w:rPr>
          <w:rFonts w:ascii="宋体" w:hAnsi="宋体"/>
          <w:b/>
          <w:color w:val="000000"/>
          <w:sz w:val="24"/>
        </w:rPr>
        <w:t xml:space="preserve">) </w:t>
      </w:r>
      <w:r>
        <w:rPr>
          <w:rFonts w:ascii="宋体" w:hAnsi="宋体" w:hint="eastAsia"/>
          <w:b/>
          <w:color w:val="000000"/>
          <w:sz w:val="24"/>
        </w:rPr>
        <w:t>投资限制</w:t>
      </w:r>
    </w:p>
    <w:p w14:paraId="3FC4F70A"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本基金的投资组合将遵循以下限制：</w:t>
      </w:r>
    </w:p>
    <w:p w14:paraId="02460DE2" w14:textId="77777777" w:rsidR="00CF57A4" w:rsidRDefault="00B13D46">
      <w:pPr>
        <w:autoSpaceDE w:val="0"/>
        <w:autoSpaceDN w:val="0"/>
        <w:adjustRightInd w:val="0"/>
        <w:spacing w:line="360" w:lineRule="auto"/>
        <w:ind w:firstLineChars="200" w:firstLine="480"/>
        <w:jc w:val="left"/>
        <w:rPr>
          <w:rFonts w:ascii="宋体" w:hAnsi="宋体"/>
          <w:color w:val="000000"/>
          <w:sz w:val="24"/>
        </w:rPr>
      </w:pPr>
      <w:r>
        <w:rPr>
          <w:rFonts w:ascii="宋体" w:hAnsi="宋体" w:hint="eastAsia"/>
          <w:color w:val="000000"/>
          <w:sz w:val="24"/>
        </w:rPr>
        <w:t>1、</w:t>
      </w:r>
      <w:r>
        <w:rPr>
          <w:rFonts w:ascii="宋体" w:cs="宋体" w:hint="eastAsia"/>
          <w:color w:val="000000"/>
          <w:kern w:val="0"/>
          <w:sz w:val="24"/>
        </w:rPr>
        <w:t>进入全国银行间同业市场的债券回购融入的资金余额不得超过基金资产净值的</w:t>
      </w:r>
      <w:r>
        <w:rPr>
          <w:rFonts w:ascii="宋体" w:cs="宋体"/>
          <w:color w:val="000000"/>
          <w:kern w:val="0"/>
          <w:sz w:val="24"/>
        </w:rPr>
        <w:t>40%</w:t>
      </w:r>
      <w:r>
        <w:rPr>
          <w:rFonts w:ascii="宋体" w:cs="宋体" w:hint="eastAsia"/>
          <w:color w:val="000000"/>
          <w:kern w:val="0"/>
          <w:sz w:val="24"/>
        </w:rPr>
        <w:t>。债券回购最长期限为1年，债券回购到期后不得展期；</w:t>
      </w:r>
    </w:p>
    <w:p w14:paraId="548F4302" w14:textId="77777777" w:rsidR="00CF57A4" w:rsidRDefault="00B13D46">
      <w:pPr>
        <w:autoSpaceDE w:val="0"/>
        <w:autoSpaceDN w:val="0"/>
        <w:adjustRightInd w:val="0"/>
        <w:spacing w:line="360" w:lineRule="auto"/>
        <w:ind w:firstLineChars="200" w:firstLine="480"/>
        <w:jc w:val="left"/>
        <w:rPr>
          <w:rFonts w:ascii="宋体" w:hAnsi="宋体" w:cs="宋体"/>
          <w:color w:val="000000"/>
          <w:kern w:val="0"/>
          <w:sz w:val="24"/>
        </w:rPr>
      </w:pPr>
      <w:r>
        <w:rPr>
          <w:rFonts w:ascii="宋体" w:hAnsi="宋体" w:hint="eastAsia"/>
          <w:color w:val="000000"/>
          <w:sz w:val="24"/>
        </w:rPr>
        <w:t>2、</w:t>
      </w:r>
      <w:r>
        <w:rPr>
          <w:rFonts w:ascii="宋体" w:hAnsi="宋体" w:cs="宋体" w:hint="eastAsia"/>
          <w:color w:val="000000"/>
          <w:kern w:val="0"/>
          <w:sz w:val="24"/>
        </w:rPr>
        <w:t>本基金参与股票发行申购，本基金所申报的金额不超过本基金的总资产，本基金所申报的股票数量不超过拟发行股票公司本次发行股票的总量；</w:t>
      </w:r>
    </w:p>
    <w:p w14:paraId="170A8E81" w14:textId="6BCA1BF9" w:rsidR="00CF57A4" w:rsidRDefault="00B13D46">
      <w:pPr>
        <w:autoSpaceDE w:val="0"/>
        <w:autoSpaceDN w:val="0"/>
        <w:adjustRightInd w:val="0"/>
        <w:snapToGrid w:val="0"/>
        <w:spacing w:line="360" w:lineRule="auto"/>
        <w:ind w:firstLineChars="200" w:firstLine="480"/>
        <w:jc w:val="left"/>
        <w:rPr>
          <w:rFonts w:ascii="宋体" w:hAnsi="宋体" w:cs="宋体"/>
          <w:color w:val="000000"/>
          <w:kern w:val="0"/>
          <w:sz w:val="24"/>
        </w:rPr>
      </w:pPr>
      <w:r>
        <w:rPr>
          <w:rFonts w:ascii="宋体" w:hAnsi="宋体" w:cs="宋体" w:hint="eastAsia"/>
          <w:color w:val="000000"/>
          <w:kern w:val="0"/>
          <w:sz w:val="24"/>
        </w:rPr>
        <w:t>3、本基金投资权证，在任何交易日买入的总金额，不超过上一交易日基金资产净值的</w:t>
      </w:r>
      <w:r>
        <w:rPr>
          <w:rFonts w:ascii="宋体" w:hAnsi="宋体" w:cs="宋体"/>
          <w:color w:val="000000"/>
          <w:kern w:val="0"/>
          <w:sz w:val="24"/>
        </w:rPr>
        <w:t>0.5%，基金持有的全部权证的市值不超过基金资产净值的 3%，本基</w:t>
      </w:r>
      <w:r>
        <w:rPr>
          <w:rFonts w:ascii="宋体" w:hAnsi="宋体" w:cs="宋体"/>
          <w:color w:val="000000"/>
          <w:kern w:val="0"/>
          <w:sz w:val="24"/>
        </w:rPr>
        <w:lastRenderedPageBreak/>
        <w:t>金管理人管理的全部基金持有同一权证的比例不超过该权证的10%。法律法规或监管部门另有规定的，遵从其规定</w:t>
      </w:r>
      <w:r w:rsidR="00631996">
        <w:rPr>
          <w:rFonts w:ascii="宋体" w:hAnsi="宋体" w:cs="宋体" w:hint="eastAsia"/>
          <w:color w:val="000000"/>
          <w:kern w:val="0"/>
          <w:sz w:val="24"/>
        </w:rPr>
        <w:t>；</w:t>
      </w:r>
    </w:p>
    <w:p w14:paraId="46291BE1" w14:textId="77777777" w:rsidR="00631996" w:rsidRPr="00631996" w:rsidRDefault="00631996" w:rsidP="00631996">
      <w:pPr>
        <w:autoSpaceDE w:val="0"/>
        <w:autoSpaceDN w:val="0"/>
        <w:adjustRightInd w:val="0"/>
        <w:snapToGrid w:val="0"/>
        <w:spacing w:line="360" w:lineRule="auto"/>
        <w:ind w:firstLineChars="200" w:firstLine="480"/>
        <w:jc w:val="left"/>
        <w:rPr>
          <w:rFonts w:ascii="宋体" w:hAnsi="宋体" w:cs="宋体"/>
          <w:color w:val="000000"/>
          <w:kern w:val="0"/>
          <w:sz w:val="24"/>
        </w:rPr>
      </w:pPr>
      <w:r w:rsidRPr="00631996">
        <w:rPr>
          <w:rFonts w:ascii="宋体" w:hAnsi="宋体" w:cs="宋体" w:hint="eastAsia"/>
          <w:color w:val="000000"/>
          <w:kern w:val="0"/>
          <w:sz w:val="24"/>
        </w:rPr>
        <w:t>4、本基金主动投资于流动性受限资产的市值合计不得超过基金资产净值的15%；因证券市场波动、上市公司股票停牌、基金规模变动等基金管理人之外的因素致使基金不符合该比例限制的，基金管理人不得主动新增流动性受限资产的投资；</w:t>
      </w:r>
    </w:p>
    <w:p w14:paraId="7F236D66" w14:textId="321F6F6A" w:rsidR="00631996" w:rsidRDefault="00631996" w:rsidP="00631996">
      <w:pPr>
        <w:autoSpaceDE w:val="0"/>
        <w:autoSpaceDN w:val="0"/>
        <w:adjustRightInd w:val="0"/>
        <w:snapToGrid w:val="0"/>
        <w:spacing w:line="360" w:lineRule="auto"/>
        <w:ind w:firstLineChars="200" w:firstLine="480"/>
        <w:jc w:val="left"/>
        <w:rPr>
          <w:rFonts w:ascii="宋体" w:hAnsi="宋体" w:cs="宋体"/>
          <w:color w:val="000000"/>
          <w:kern w:val="0"/>
          <w:sz w:val="24"/>
        </w:rPr>
      </w:pPr>
      <w:r w:rsidRPr="00631996">
        <w:rPr>
          <w:rFonts w:ascii="宋体" w:hAnsi="宋体" w:cs="宋体" w:hint="eastAsia"/>
          <w:color w:val="000000"/>
          <w:kern w:val="0"/>
          <w:sz w:val="24"/>
        </w:rPr>
        <w:t>5、本基金与私募类证券资管产品及中国证监会认定的其他主体为交易对手开展逆回购交易的，可接受质押品的资质要求应当与本基金合同约定的投资范围保持一致；</w:t>
      </w:r>
    </w:p>
    <w:p w14:paraId="0B09AF20" w14:textId="43A02055" w:rsidR="00CF57A4" w:rsidRDefault="00631996">
      <w:pPr>
        <w:autoSpaceDE w:val="0"/>
        <w:autoSpaceDN w:val="0"/>
        <w:adjustRightInd w:val="0"/>
        <w:snapToGrid w:val="0"/>
        <w:spacing w:line="360" w:lineRule="auto"/>
        <w:ind w:firstLineChars="200" w:firstLine="480"/>
        <w:jc w:val="left"/>
        <w:rPr>
          <w:rFonts w:ascii="宋体" w:hAnsi="宋体" w:cs="宋体"/>
          <w:color w:val="000000"/>
          <w:kern w:val="0"/>
          <w:sz w:val="24"/>
        </w:rPr>
      </w:pPr>
      <w:r>
        <w:rPr>
          <w:rFonts w:ascii="宋体" w:hAnsi="宋体" w:cs="宋体"/>
          <w:color w:val="000000"/>
          <w:kern w:val="0"/>
          <w:sz w:val="24"/>
        </w:rPr>
        <w:t>6</w:t>
      </w:r>
      <w:r w:rsidR="00B13D46">
        <w:rPr>
          <w:rFonts w:ascii="宋体" w:hAnsi="宋体" w:cs="宋体"/>
          <w:color w:val="000000"/>
          <w:kern w:val="0"/>
          <w:sz w:val="24"/>
        </w:rPr>
        <w:t>、本基金不得违反基金合同中有关投资范围、投资策略、投资比例的规定；</w:t>
      </w:r>
    </w:p>
    <w:p w14:paraId="0D902450" w14:textId="710546E6" w:rsidR="00CF57A4" w:rsidRDefault="00631996">
      <w:pPr>
        <w:autoSpaceDE w:val="0"/>
        <w:autoSpaceDN w:val="0"/>
        <w:adjustRightInd w:val="0"/>
        <w:snapToGrid w:val="0"/>
        <w:spacing w:line="360" w:lineRule="auto"/>
        <w:ind w:firstLineChars="200" w:firstLine="480"/>
        <w:jc w:val="left"/>
        <w:rPr>
          <w:rFonts w:ascii="宋体" w:hAnsi="宋体" w:cs="宋体"/>
          <w:color w:val="000000"/>
          <w:kern w:val="0"/>
          <w:sz w:val="24"/>
        </w:rPr>
      </w:pPr>
      <w:r>
        <w:rPr>
          <w:rFonts w:ascii="宋体" w:hAnsi="宋体" w:cs="宋体"/>
          <w:color w:val="000000"/>
          <w:kern w:val="0"/>
          <w:sz w:val="24"/>
        </w:rPr>
        <w:t>7</w:t>
      </w:r>
      <w:r w:rsidR="00B13D46">
        <w:rPr>
          <w:rFonts w:ascii="宋体" w:hAnsi="宋体" w:cs="宋体" w:hint="eastAsia"/>
          <w:color w:val="000000"/>
          <w:kern w:val="0"/>
          <w:sz w:val="24"/>
        </w:rPr>
        <w:t>、法律法规或监管部门对上述比例限制另有规定的，从其规定。</w:t>
      </w:r>
    </w:p>
    <w:p w14:paraId="6DCDC1B0" w14:textId="3F86E1F4" w:rsidR="00CF57A4" w:rsidRDefault="00B13D46">
      <w:pPr>
        <w:autoSpaceDE w:val="0"/>
        <w:autoSpaceDN w:val="0"/>
        <w:adjustRightInd w:val="0"/>
        <w:snapToGrid w:val="0"/>
        <w:spacing w:line="360" w:lineRule="auto"/>
        <w:ind w:firstLineChars="200" w:firstLine="480"/>
        <w:jc w:val="left"/>
        <w:rPr>
          <w:rFonts w:ascii="宋体" w:hAnsi="宋体" w:cs="宋体"/>
          <w:color w:val="000000"/>
          <w:kern w:val="0"/>
          <w:sz w:val="24"/>
        </w:rPr>
      </w:pPr>
      <w:r>
        <w:rPr>
          <w:rFonts w:ascii="宋体" w:hAnsi="宋体" w:cs="宋体" w:hint="eastAsia"/>
          <w:color w:val="000000"/>
          <w:kern w:val="0"/>
          <w:sz w:val="24"/>
        </w:rPr>
        <w:t>基金管理人应当自基金合同生效之日起三个月内使基金的投资组合比例符合基金合同的约定。在符合相关法律法规规定的前提下，</w:t>
      </w:r>
      <w:r w:rsidR="00631996" w:rsidRPr="00631996">
        <w:rPr>
          <w:rFonts w:ascii="宋体" w:hAnsi="宋体" w:cs="宋体" w:hint="eastAsia"/>
          <w:color w:val="000000"/>
          <w:kern w:val="0"/>
          <w:sz w:val="24"/>
        </w:rPr>
        <w:t>除上述第4、5项以外,</w:t>
      </w:r>
      <w:r>
        <w:rPr>
          <w:rFonts w:ascii="宋体" w:hAnsi="宋体" w:cs="宋体" w:hint="eastAsia"/>
          <w:color w:val="000000"/>
          <w:kern w:val="0"/>
          <w:sz w:val="24"/>
        </w:rPr>
        <w:t>因证券市场波动、上市公司合并、基金规模变动、</w:t>
      </w:r>
      <w:r>
        <w:rPr>
          <w:rFonts w:ascii="宋体" w:hAnsi="宋体" w:hint="eastAsia"/>
          <w:color w:val="000000"/>
          <w:sz w:val="24"/>
        </w:rPr>
        <w:t>标的指数成分股调整、基金申购或赎回带来现金</w:t>
      </w:r>
      <w:r>
        <w:rPr>
          <w:rFonts w:ascii="宋体" w:hAnsi="宋体" w:cs="宋体" w:hint="eastAsia"/>
          <w:color w:val="000000"/>
          <w:kern w:val="0"/>
          <w:sz w:val="24"/>
        </w:rPr>
        <w:t>等非本基金管理人的因素致使基金的投资组合不符合上述规定的投资比例的，基金管理人应当在10个交易日内进行调整。法律法规或监管部门另有规定的，从其规定。</w:t>
      </w:r>
    </w:p>
    <w:p w14:paraId="098C78B9" w14:textId="77777777" w:rsidR="00CF57A4" w:rsidRDefault="00B13D46">
      <w:pPr>
        <w:autoSpaceDE w:val="0"/>
        <w:autoSpaceDN w:val="0"/>
        <w:adjustRightInd w:val="0"/>
        <w:snapToGrid w:val="0"/>
        <w:spacing w:line="360" w:lineRule="auto"/>
        <w:ind w:firstLineChars="200" w:firstLine="480"/>
        <w:jc w:val="left"/>
        <w:rPr>
          <w:rFonts w:ascii="宋体" w:hAnsi="宋体"/>
          <w:color w:val="000000"/>
          <w:sz w:val="24"/>
        </w:rPr>
      </w:pPr>
      <w:r>
        <w:rPr>
          <w:rFonts w:ascii="宋体" w:hAnsi="宋体" w:cs="宋体" w:hint="eastAsia"/>
          <w:color w:val="000000"/>
          <w:kern w:val="0"/>
          <w:sz w:val="24"/>
        </w:rPr>
        <w:t>若法律法规或监管部门对上述约定的投资组合比例限制规定进行变更的，以变更后的规定为准；</w:t>
      </w:r>
      <w:r>
        <w:rPr>
          <w:rFonts w:ascii="宋体" w:hAnsi="宋体" w:hint="eastAsia"/>
          <w:color w:val="000000"/>
          <w:sz w:val="24"/>
        </w:rPr>
        <w:t>若法律法规或监管部门取消上述限制，在履行适当程序后，本基金投资可不受上述规定限制。</w:t>
      </w:r>
    </w:p>
    <w:p w14:paraId="6D000761" w14:textId="77777777" w:rsidR="00CF57A4" w:rsidRDefault="00B13D46">
      <w:pPr>
        <w:spacing w:line="360" w:lineRule="auto"/>
        <w:ind w:firstLineChars="200" w:firstLine="482"/>
        <w:rPr>
          <w:rFonts w:ascii="宋体" w:hAnsi="宋体"/>
          <w:b/>
          <w:color w:val="000000"/>
          <w:sz w:val="24"/>
        </w:rPr>
      </w:pPr>
      <w:r>
        <w:rPr>
          <w:rFonts w:ascii="宋体" w:hAnsi="宋体"/>
          <w:b/>
          <w:color w:val="000000"/>
          <w:sz w:val="24"/>
        </w:rPr>
        <w:t>(</w:t>
      </w:r>
      <w:r>
        <w:rPr>
          <w:rFonts w:ascii="宋体" w:hAnsi="宋体" w:hint="eastAsia"/>
          <w:b/>
          <w:color w:val="000000"/>
          <w:sz w:val="24"/>
        </w:rPr>
        <w:t>十</w:t>
      </w:r>
      <w:r>
        <w:rPr>
          <w:rFonts w:ascii="宋体" w:hAnsi="宋体"/>
          <w:b/>
          <w:color w:val="000000"/>
          <w:sz w:val="24"/>
        </w:rPr>
        <w:t xml:space="preserve">) </w:t>
      </w:r>
      <w:r>
        <w:rPr>
          <w:rFonts w:ascii="宋体" w:hAnsi="宋体" w:hint="eastAsia"/>
          <w:b/>
          <w:color w:val="000000"/>
          <w:sz w:val="24"/>
        </w:rPr>
        <w:t>禁止行为</w:t>
      </w:r>
    </w:p>
    <w:p w14:paraId="3527FA97" w14:textId="77777777" w:rsidR="00CF57A4" w:rsidRDefault="00B13D46">
      <w:pPr>
        <w:spacing w:before="50" w:line="360" w:lineRule="auto"/>
        <w:ind w:firstLineChars="200" w:firstLine="480"/>
        <w:rPr>
          <w:rFonts w:ascii="宋体" w:hAnsi="宋体"/>
          <w:color w:val="000000"/>
          <w:sz w:val="24"/>
        </w:rPr>
      </w:pPr>
      <w:r>
        <w:rPr>
          <w:rFonts w:ascii="宋体" w:hAnsi="宋体" w:hint="eastAsia"/>
          <w:color w:val="000000"/>
          <w:sz w:val="24"/>
        </w:rPr>
        <w:t>为维护基金份额持有人的合法权益，本基金禁止从事下列行为：</w:t>
      </w:r>
    </w:p>
    <w:p w14:paraId="59C5517D" w14:textId="77777777" w:rsidR="00CF57A4" w:rsidRDefault="00B13D46">
      <w:pPr>
        <w:spacing w:before="50" w:line="360" w:lineRule="auto"/>
        <w:ind w:firstLineChars="200" w:firstLine="480"/>
        <w:rPr>
          <w:rFonts w:ascii="宋体" w:hAnsi="宋体"/>
          <w:color w:val="000000"/>
          <w:sz w:val="24"/>
        </w:rPr>
      </w:pPr>
      <w:r>
        <w:rPr>
          <w:rFonts w:ascii="宋体" w:hAnsi="宋体" w:hint="eastAsia"/>
          <w:color w:val="000000"/>
          <w:sz w:val="24"/>
        </w:rPr>
        <w:t>1、承销证券；</w:t>
      </w:r>
    </w:p>
    <w:p w14:paraId="01D41210" w14:textId="77777777" w:rsidR="00CF57A4" w:rsidRDefault="00B13D46">
      <w:pPr>
        <w:spacing w:before="50" w:line="360" w:lineRule="auto"/>
        <w:ind w:firstLineChars="200" w:firstLine="480"/>
        <w:rPr>
          <w:rFonts w:ascii="宋体" w:hAnsi="宋体"/>
          <w:color w:val="000000"/>
          <w:sz w:val="24"/>
        </w:rPr>
      </w:pPr>
      <w:r>
        <w:rPr>
          <w:rFonts w:ascii="宋体" w:hAnsi="宋体" w:hint="eastAsia"/>
          <w:color w:val="000000"/>
          <w:sz w:val="24"/>
        </w:rPr>
        <w:t>2、向他人贷款或者提供担保；</w:t>
      </w:r>
    </w:p>
    <w:p w14:paraId="3FC5A7A2" w14:textId="77777777" w:rsidR="00CF57A4" w:rsidRDefault="00B13D46">
      <w:pPr>
        <w:spacing w:before="50" w:line="360" w:lineRule="auto"/>
        <w:ind w:firstLineChars="200" w:firstLine="480"/>
        <w:rPr>
          <w:rFonts w:ascii="宋体" w:hAnsi="宋体"/>
          <w:color w:val="000000"/>
          <w:sz w:val="24"/>
        </w:rPr>
      </w:pPr>
      <w:r>
        <w:rPr>
          <w:rFonts w:ascii="宋体" w:hAnsi="宋体" w:hint="eastAsia"/>
          <w:color w:val="000000"/>
          <w:sz w:val="24"/>
        </w:rPr>
        <w:t>3、从事承担无限责任的投资；</w:t>
      </w:r>
    </w:p>
    <w:p w14:paraId="1CBCD80F" w14:textId="77777777" w:rsidR="00CF57A4" w:rsidRDefault="00B13D46">
      <w:pPr>
        <w:spacing w:before="50" w:line="360" w:lineRule="auto"/>
        <w:ind w:firstLineChars="200" w:firstLine="480"/>
        <w:rPr>
          <w:rFonts w:ascii="宋体" w:hAnsi="宋体"/>
          <w:color w:val="000000"/>
          <w:sz w:val="24"/>
        </w:rPr>
      </w:pPr>
      <w:r>
        <w:rPr>
          <w:rFonts w:ascii="宋体" w:hAnsi="宋体" w:hint="eastAsia"/>
          <w:color w:val="000000"/>
          <w:sz w:val="24"/>
        </w:rPr>
        <w:t>4、买卖其他基金份额，但是法律法规或国务院另有规定的除外；</w:t>
      </w:r>
    </w:p>
    <w:p w14:paraId="13B978A4" w14:textId="77777777" w:rsidR="00CF57A4" w:rsidRDefault="00B13D46">
      <w:pPr>
        <w:spacing w:before="50" w:line="360" w:lineRule="auto"/>
        <w:ind w:firstLineChars="200" w:firstLine="480"/>
        <w:rPr>
          <w:rFonts w:ascii="宋体" w:hAnsi="宋体"/>
          <w:color w:val="000000"/>
          <w:sz w:val="24"/>
        </w:rPr>
      </w:pPr>
      <w:r>
        <w:rPr>
          <w:rFonts w:ascii="宋体" w:hAnsi="宋体" w:hint="eastAsia"/>
          <w:color w:val="000000"/>
          <w:sz w:val="24"/>
        </w:rPr>
        <w:t>5、向基金管理人、基金托管人出资或者买卖基金管理人、基金托管人发行的</w:t>
      </w:r>
      <w:r>
        <w:rPr>
          <w:rFonts w:ascii="宋体" w:hAnsi="宋体" w:hint="eastAsia"/>
          <w:color w:val="000000"/>
          <w:sz w:val="24"/>
        </w:rPr>
        <w:lastRenderedPageBreak/>
        <w:t>股票或者债券；</w:t>
      </w:r>
    </w:p>
    <w:p w14:paraId="4D55E01A" w14:textId="77777777" w:rsidR="00CF57A4" w:rsidRDefault="00B13D46">
      <w:pPr>
        <w:spacing w:before="50" w:line="360" w:lineRule="auto"/>
        <w:ind w:firstLineChars="200" w:firstLine="480"/>
        <w:rPr>
          <w:rFonts w:ascii="宋体" w:hAnsi="宋体"/>
          <w:color w:val="000000"/>
          <w:sz w:val="24"/>
        </w:rPr>
      </w:pPr>
      <w:r>
        <w:rPr>
          <w:rFonts w:ascii="宋体" w:hAnsi="宋体" w:hint="eastAsia"/>
          <w:color w:val="000000"/>
          <w:sz w:val="24"/>
        </w:rPr>
        <w:t>6、买卖与基金管理人、基金托管人有控股关系的股东或者与基金管理人、基金托管人有其他重大利害关系的公司发行的证券或者承销期内承销的证券；</w:t>
      </w:r>
    </w:p>
    <w:p w14:paraId="72832BF2" w14:textId="77777777" w:rsidR="00CF57A4" w:rsidRDefault="00B13D46">
      <w:pPr>
        <w:spacing w:before="50" w:line="360" w:lineRule="auto"/>
        <w:ind w:firstLineChars="200" w:firstLine="480"/>
        <w:rPr>
          <w:rFonts w:ascii="宋体" w:hAnsi="宋体"/>
          <w:color w:val="000000"/>
          <w:sz w:val="24"/>
        </w:rPr>
      </w:pPr>
      <w:r>
        <w:rPr>
          <w:rFonts w:ascii="宋体" w:hAnsi="宋体" w:hint="eastAsia"/>
          <w:color w:val="000000"/>
          <w:sz w:val="24"/>
        </w:rPr>
        <w:t>7、从事内幕交易、操纵证券交易价格及其他不正当的证券交易活动；</w:t>
      </w:r>
    </w:p>
    <w:p w14:paraId="2D39CF56" w14:textId="77777777" w:rsidR="00CF57A4" w:rsidRDefault="00B13D46">
      <w:pPr>
        <w:spacing w:before="50" w:line="360" w:lineRule="auto"/>
        <w:ind w:firstLineChars="200" w:firstLine="480"/>
        <w:rPr>
          <w:rFonts w:ascii="宋体" w:hAnsi="宋体"/>
          <w:color w:val="000000"/>
          <w:sz w:val="24"/>
        </w:rPr>
      </w:pPr>
      <w:r>
        <w:rPr>
          <w:rFonts w:ascii="宋体" w:hAnsi="宋体" w:hint="eastAsia"/>
          <w:color w:val="000000"/>
          <w:sz w:val="24"/>
        </w:rPr>
        <w:t>8、依照法律法规有关规定，由中国证监会规定禁止的其他活动。</w:t>
      </w:r>
    </w:p>
    <w:p w14:paraId="1DD3E9CA" w14:textId="77777777" w:rsidR="00CF57A4" w:rsidRDefault="00B13D46">
      <w:pPr>
        <w:spacing w:before="50" w:line="360" w:lineRule="auto"/>
        <w:ind w:firstLineChars="200" w:firstLine="480"/>
        <w:rPr>
          <w:rFonts w:ascii="宋体" w:hAnsi="宋体"/>
          <w:color w:val="000000"/>
          <w:sz w:val="24"/>
        </w:rPr>
      </w:pPr>
      <w:r>
        <w:rPr>
          <w:rFonts w:ascii="宋体" w:hAnsi="宋体" w:hint="eastAsia"/>
          <w:color w:val="000000"/>
          <w:sz w:val="24"/>
        </w:rPr>
        <w:t>对于因上述</w:t>
      </w:r>
      <w:r>
        <w:rPr>
          <w:rFonts w:ascii="宋体" w:hAnsi="宋体"/>
          <w:color w:val="000000"/>
          <w:sz w:val="24"/>
        </w:rPr>
        <w:t>5</w:t>
      </w:r>
      <w:r>
        <w:rPr>
          <w:rFonts w:ascii="宋体" w:hAnsi="宋体" w:hint="eastAsia"/>
          <w:color w:val="000000"/>
          <w:sz w:val="24"/>
        </w:rPr>
        <w:t>、</w:t>
      </w:r>
      <w:r>
        <w:rPr>
          <w:rFonts w:ascii="宋体" w:hAnsi="宋体"/>
          <w:color w:val="000000"/>
          <w:sz w:val="24"/>
        </w:rPr>
        <w:t xml:space="preserve">6 </w:t>
      </w:r>
      <w:r>
        <w:rPr>
          <w:rFonts w:ascii="宋体" w:hAnsi="宋体" w:hint="eastAsia"/>
          <w:color w:val="000000"/>
          <w:sz w:val="24"/>
        </w:rPr>
        <w:t>项情形导致无法投资的标的指数成份股或备选成份股，基金管理人将在严格控制跟踪误差的前提下，结合使用其他合理方法进行适当替代。</w:t>
      </w:r>
    </w:p>
    <w:p w14:paraId="65BCB22A" w14:textId="77777777" w:rsidR="00CF57A4" w:rsidRDefault="00B13D46">
      <w:pPr>
        <w:spacing w:before="50" w:line="360" w:lineRule="auto"/>
        <w:ind w:firstLineChars="200" w:firstLine="480"/>
        <w:rPr>
          <w:rFonts w:ascii="宋体" w:hAnsi="宋体"/>
          <w:color w:val="000000"/>
          <w:sz w:val="24"/>
        </w:rPr>
      </w:pPr>
      <w:r>
        <w:rPr>
          <w:rFonts w:ascii="宋体" w:hAnsi="宋体" w:hint="eastAsia"/>
          <w:color w:val="000000"/>
          <w:sz w:val="24"/>
        </w:rPr>
        <w:t>若法律法规或监管部门取消上述禁止性规定，履行适当程序后，本基金投资可不受上述规定限制。</w:t>
      </w:r>
    </w:p>
    <w:p w14:paraId="130BCF8D" w14:textId="77777777" w:rsidR="00CF57A4" w:rsidRDefault="00B13D46">
      <w:pPr>
        <w:spacing w:line="360" w:lineRule="auto"/>
        <w:ind w:firstLineChars="200" w:firstLine="482"/>
        <w:rPr>
          <w:rFonts w:ascii="宋体" w:hAnsi="宋体"/>
          <w:b/>
          <w:color w:val="000000"/>
          <w:sz w:val="24"/>
        </w:rPr>
      </w:pPr>
      <w:r>
        <w:rPr>
          <w:rFonts w:ascii="宋体" w:hAnsi="宋体"/>
          <w:b/>
          <w:color w:val="000000"/>
          <w:sz w:val="24"/>
        </w:rPr>
        <w:t>(</w:t>
      </w:r>
      <w:r>
        <w:rPr>
          <w:rFonts w:ascii="宋体" w:hAnsi="宋体" w:hint="eastAsia"/>
          <w:b/>
          <w:color w:val="000000"/>
          <w:sz w:val="24"/>
        </w:rPr>
        <w:t>十一</w:t>
      </w:r>
      <w:r>
        <w:rPr>
          <w:rFonts w:ascii="宋体" w:hAnsi="宋体"/>
          <w:b/>
          <w:color w:val="000000"/>
          <w:sz w:val="24"/>
        </w:rPr>
        <w:t xml:space="preserve">) </w:t>
      </w:r>
      <w:r>
        <w:rPr>
          <w:rFonts w:ascii="宋体" w:hAnsi="宋体" w:hint="eastAsia"/>
          <w:b/>
          <w:color w:val="000000"/>
          <w:sz w:val="24"/>
        </w:rPr>
        <w:t>基金管理人代表基金行使股东权利的处理原则及方法</w:t>
      </w:r>
    </w:p>
    <w:p w14:paraId="472602FA"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1、基金管理人按照国家有关规定代表基金独立行使股东权利，保护基金份额持有人的利益；</w:t>
      </w:r>
    </w:p>
    <w:p w14:paraId="184D17D9" w14:textId="77777777" w:rsidR="00CF57A4" w:rsidRDefault="00B13D46">
      <w:pPr>
        <w:spacing w:before="50" w:line="360" w:lineRule="auto"/>
        <w:ind w:firstLineChars="200" w:firstLine="480"/>
        <w:rPr>
          <w:rFonts w:ascii="宋体" w:hAnsi="宋体"/>
          <w:color w:val="000000"/>
          <w:sz w:val="24"/>
        </w:rPr>
      </w:pPr>
      <w:r>
        <w:rPr>
          <w:rFonts w:ascii="宋体" w:hAnsi="宋体" w:hint="eastAsia"/>
          <w:color w:val="000000"/>
          <w:sz w:val="24"/>
        </w:rPr>
        <w:t>2、不谋求对上市公司的控股，不参与所投资上市公司的经营管理；</w:t>
      </w:r>
    </w:p>
    <w:p w14:paraId="6098B04E" w14:textId="77777777" w:rsidR="00CF57A4" w:rsidRDefault="00B13D46">
      <w:pPr>
        <w:spacing w:before="50" w:line="360" w:lineRule="auto"/>
        <w:ind w:firstLineChars="200" w:firstLine="480"/>
        <w:rPr>
          <w:rFonts w:ascii="宋体" w:hAnsi="宋体"/>
          <w:color w:val="000000"/>
          <w:sz w:val="24"/>
        </w:rPr>
      </w:pPr>
      <w:r>
        <w:rPr>
          <w:rFonts w:ascii="宋体" w:hAnsi="宋体" w:hint="eastAsia"/>
          <w:color w:val="000000"/>
          <w:sz w:val="24"/>
        </w:rPr>
        <w:t>3、有利于基金财产的安全与增值；</w:t>
      </w:r>
    </w:p>
    <w:p w14:paraId="5CB07D52" w14:textId="77777777" w:rsidR="00CF57A4" w:rsidRDefault="00B13D46">
      <w:pPr>
        <w:spacing w:before="50" w:line="360" w:lineRule="auto"/>
        <w:ind w:firstLineChars="200" w:firstLine="480"/>
        <w:rPr>
          <w:rFonts w:ascii="宋体" w:hAnsi="宋体"/>
          <w:color w:val="000000"/>
          <w:sz w:val="24"/>
        </w:rPr>
      </w:pPr>
      <w:r>
        <w:rPr>
          <w:rFonts w:ascii="宋体" w:hAnsi="宋体" w:hint="eastAsia"/>
          <w:color w:val="000000"/>
          <w:sz w:val="24"/>
        </w:rPr>
        <w:t>4、不通过关联交易为自身、雇员、授权代理人或任何存在利害关系的第三人牟取任何不当利益。</w:t>
      </w:r>
    </w:p>
    <w:p w14:paraId="79C49C96" w14:textId="77777777" w:rsidR="00CF57A4" w:rsidRDefault="00B13D46">
      <w:pPr>
        <w:spacing w:line="360" w:lineRule="auto"/>
        <w:ind w:firstLineChars="200" w:firstLine="482"/>
        <w:rPr>
          <w:rFonts w:ascii="宋体" w:hAnsi="宋体"/>
          <w:b/>
          <w:color w:val="000000"/>
          <w:sz w:val="24"/>
        </w:rPr>
      </w:pPr>
      <w:r>
        <w:rPr>
          <w:rFonts w:ascii="宋体" w:hAnsi="宋体"/>
          <w:b/>
          <w:color w:val="000000"/>
          <w:sz w:val="24"/>
        </w:rPr>
        <w:t>(</w:t>
      </w:r>
      <w:r>
        <w:rPr>
          <w:rFonts w:ascii="宋体" w:hAnsi="宋体" w:hint="eastAsia"/>
          <w:b/>
          <w:color w:val="000000"/>
          <w:sz w:val="24"/>
        </w:rPr>
        <w:t>十二</w:t>
      </w:r>
      <w:r>
        <w:rPr>
          <w:rFonts w:ascii="宋体" w:hAnsi="宋体"/>
          <w:b/>
          <w:color w:val="000000"/>
          <w:sz w:val="24"/>
        </w:rPr>
        <w:t xml:space="preserve">) </w:t>
      </w:r>
      <w:r>
        <w:rPr>
          <w:rFonts w:ascii="宋体" w:hAnsi="宋体" w:hint="eastAsia"/>
          <w:b/>
          <w:color w:val="000000"/>
          <w:sz w:val="24"/>
        </w:rPr>
        <w:t>基金的融资、融券</w:t>
      </w:r>
    </w:p>
    <w:p w14:paraId="06B8129E" w14:textId="77777777" w:rsidR="00CF57A4" w:rsidRDefault="00B13D46">
      <w:pPr>
        <w:spacing w:before="50" w:line="360" w:lineRule="auto"/>
        <w:ind w:firstLineChars="200" w:firstLine="480"/>
        <w:rPr>
          <w:rFonts w:ascii="宋体" w:hAnsi="宋体"/>
          <w:color w:val="000000"/>
          <w:sz w:val="24"/>
        </w:rPr>
      </w:pPr>
      <w:r>
        <w:rPr>
          <w:rFonts w:ascii="宋体" w:hAnsi="宋体" w:hint="eastAsia"/>
          <w:color w:val="000000"/>
          <w:sz w:val="24"/>
        </w:rPr>
        <w:t>本基金可以根据有关法律法规和政策的规定进行融资、融券。</w:t>
      </w:r>
    </w:p>
    <w:p w14:paraId="5EAEEF12" w14:textId="77777777" w:rsidR="00CF57A4" w:rsidRDefault="00B13D46">
      <w:pPr>
        <w:spacing w:line="360" w:lineRule="auto"/>
        <w:ind w:firstLineChars="200" w:firstLine="482"/>
        <w:rPr>
          <w:rFonts w:ascii="宋体" w:hAnsi="宋体"/>
          <w:b/>
          <w:color w:val="000000"/>
          <w:sz w:val="24"/>
        </w:rPr>
      </w:pPr>
      <w:r>
        <w:rPr>
          <w:rFonts w:ascii="宋体" w:hAnsi="宋体"/>
          <w:b/>
          <w:color w:val="000000"/>
          <w:sz w:val="24"/>
        </w:rPr>
        <w:t>(</w:t>
      </w:r>
      <w:r>
        <w:rPr>
          <w:rFonts w:ascii="宋体" w:hAnsi="宋体" w:hint="eastAsia"/>
          <w:b/>
          <w:color w:val="000000"/>
          <w:sz w:val="24"/>
        </w:rPr>
        <w:t>十三</w:t>
      </w:r>
      <w:r>
        <w:rPr>
          <w:rFonts w:ascii="宋体" w:hAnsi="宋体"/>
          <w:b/>
          <w:color w:val="000000"/>
          <w:sz w:val="24"/>
        </w:rPr>
        <w:t xml:space="preserve">) </w:t>
      </w:r>
      <w:r>
        <w:rPr>
          <w:rFonts w:ascii="宋体" w:hAnsi="宋体" w:hint="eastAsia"/>
          <w:b/>
          <w:color w:val="000000"/>
          <w:sz w:val="24"/>
        </w:rPr>
        <w:t>基金投资组合报告</w:t>
      </w:r>
    </w:p>
    <w:p w14:paraId="78165DCD" w14:textId="77777777" w:rsidR="00CF57A4" w:rsidRDefault="00B13D46">
      <w:pPr>
        <w:spacing w:before="50" w:line="360" w:lineRule="auto"/>
        <w:ind w:firstLineChars="200" w:firstLine="480"/>
        <w:rPr>
          <w:rFonts w:ascii="宋体" w:hAnsi="宋体"/>
          <w:color w:val="000000"/>
          <w:sz w:val="24"/>
        </w:rPr>
      </w:pPr>
      <w:r>
        <w:rPr>
          <w:rFonts w:ascii="宋体" w:hAnsi="宋体" w:hint="eastAsia"/>
          <w:color w:val="000000"/>
          <w:sz w:val="24"/>
        </w:rPr>
        <w:t>本基金管理人的董事会及董事保证本报告所载资料不存在虚假记载、误导性陈述或重大遗漏，并对其内容的真实性、准确性和完整性承担个别及连带责任。</w:t>
      </w:r>
    </w:p>
    <w:p w14:paraId="0D1980A1" w14:textId="201878CF" w:rsidR="00CF57A4" w:rsidRDefault="00B13D46">
      <w:pPr>
        <w:spacing w:before="50" w:line="360" w:lineRule="auto"/>
        <w:ind w:firstLineChars="200" w:firstLine="480"/>
        <w:rPr>
          <w:rFonts w:ascii="宋体" w:hAnsi="宋体"/>
          <w:color w:val="000000"/>
          <w:sz w:val="24"/>
        </w:rPr>
      </w:pPr>
      <w:r>
        <w:rPr>
          <w:rFonts w:ascii="宋体" w:hAnsi="宋体" w:hint="eastAsia"/>
          <w:color w:val="000000"/>
          <w:sz w:val="24"/>
        </w:rPr>
        <w:t>本基金托管人中国农业银行根据本基金合同规定，于</w:t>
      </w:r>
      <w:r w:rsidR="002C2A73">
        <w:rPr>
          <w:rFonts w:ascii="宋体" w:hAnsi="宋体" w:hint="eastAsia"/>
          <w:color w:val="000000"/>
          <w:sz w:val="24"/>
        </w:rPr>
        <w:t>201</w:t>
      </w:r>
      <w:r w:rsidR="002C2A73">
        <w:rPr>
          <w:rFonts w:ascii="宋体" w:hAnsi="宋体"/>
          <w:color w:val="000000"/>
          <w:sz w:val="24"/>
        </w:rPr>
        <w:t>8</w:t>
      </w:r>
      <w:r w:rsidR="00F032FB">
        <w:rPr>
          <w:rFonts w:ascii="宋体" w:hAnsi="宋体" w:hint="eastAsia"/>
          <w:color w:val="000000"/>
          <w:sz w:val="24"/>
        </w:rPr>
        <w:t>年</w:t>
      </w:r>
      <w:r w:rsidR="002C2A73">
        <w:rPr>
          <w:color w:val="000000"/>
          <w:sz w:val="24"/>
        </w:rPr>
        <w:t>1</w:t>
      </w:r>
      <w:r w:rsidR="00D75113">
        <w:rPr>
          <w:color w:val="000000"/>
          <w:sz w:val="24"/>
        </w:rPr>
        <w:t>月</w:t>
      </w:r>
      <w:r w:rsidR="00D75113">
        <w:rPr>
          <w:color w:val="000000"/>
          <w:sz w:val="24"/>
        </w:rPr>
        <w:t>1</w:t>
      </w:r>
      <w:r w:rsidR="00C15839">
        <w:rPr>
          <w:color w:val="000000"/>
          <w:sz w:val="24"/>
        </w:rPr>
        <w:t>9</w:t>
      </w:r>
      <w:r w:rsidR="00D75113">
        <w:rPr>
          <w:color w:val="000000"/>
          <w:sz w:val="24"/>
        </w:rPr>
        <w:t>日</w:t>
      </w:r>
      <w:r>
        <w:rPr>
          <w:rFonts w:ascii="宋体" w:hAnsi="宋体" w:hint="eastAsia"/>
          <w:color w:val="000000"/>
          <w:sz w:val="24"/>
        </w:rPr>
        <w:t>复核了本报告中的财务指标、净值表现和投资组合报告等内容，保证复核内容不存在虚假记载、误导性陈述或者重大遗漏。</w:t>
      </w:r>
    </w:p>
    <w:p w14:paraId="26685D68" w14:textId="24B7ED5C" w:rsidR="00CF57A4" w:rsidRDefault="00B13D46">
      <w:pPr>
        <w:spacing w:before="50" w:line="360" w:lineRule="auto"/>
        <w:ind w:firstLineChars="200" w:firstLine="480"/>
        <w:rPr>
          <w:rFonts w:ascii="宋体" w:hAnsi="宋体"/>
          <w:color w:val="000000"/>
          <w:sz w:val="24"/>
        </w:rPr>
      </w:pPr>
      <w:r>
        <w:rPr>
          <w:rFonts w:ascii="宋体" w:hAnsi="宋体" w:hint="eastAsia"/>
          <w:color w:val="000000"/>
          <w:sz w:val="24"/>
        </w:rPr>
        <w:t>本投资组合报告期为</w:t>
      </w:r>
      <w:r w:rsidR="002C2A73">
        <w:rPr>
          <w:rFonts w:ascii="宋体" w:hAnsi="宋体" w:hint="eastAsia"/>
          <w:color w:val="000000"/>
          <w:sz w:val="24"/>
        </w:rPr>
        <w:t>201</w:t>
      </w:r>
      <w:r w:rsidR="002C2A73">
        <w:rPr>
          <w:rFonts w:ascii="宋体" w:hAnsi="宋体"/>
          <w:color w:val="000000"/>
          <w:sz w:val="24"/>
        </w:rPr>
        <w:t>7</w:t>
      </w:r>
      <w:r w:rsidR="002C2A73">
        <w:rPr>
          <w:rFonts w:ascii="宋体" w:hAnsi="宋体" w:hint="eastAsia"/>
          <w:color w:val="000000"/>
          <w:sz w:val="24"/>
        </w:rPr>
        <w:t>年</w:t>
      </w:r>
      <w:r w:rsidR="002C2A73">
        <w:rPr>
          <w:rFonts w:ascii="宋体" w:hAnsi="宋体"/>
          <w:color w:val="000000"/>
          <w:sz w:val="24"/>
        </w:rPr>
        <w:t>10</w:t>
      </w:r>
      <w:r>
        <w:rPr>
          <w:rFonts w:ascii="宋体" w:hAnsi="宋体" w:hint="eastAsia"/>
          <w:color w:val="000000"/>
          <w:sz w:val="24"/>
        </w:rPr>
        <w:t>月1日起至</w:t>
      </w:r>
      <w:r w:rsidR="002C2A73">
        <w:rPr>
          <w:rFonts w:ascii="宋体" w:hAnsi="宋体"/>
          <w:color w:val="000000"/>
          <w:sz w:val="24"/>
        </w:rPr>
        <w:t>12</w:t>
      </w:r>
      <w:r>
        <w:rPr>
          <w:rFonts w:ascii="宋体" w:hAnsi="宋体" w:hint="eastAsia"/>
          <w:color w:val="000000"/>
          <w:sz w:val="24"/>
        </w:rPr>
        <w:t>月</w:t>
      </w:r>
      <w:r w:rsidR="00E06C0A">
        <w:rPr>
          <w:rFonts w:ascii="宋体" w:hAnsi="宋体"/>
          <w:color w:val="000000"/>
          <w:sz w:val="24"/>
        </w:rPr>
        <w:t>3</w:t>
      </w:r>
      <w:r w:rsidR="002C2A73">
        <w:rPr>
          <w:rFonts w:ascii="宋体" w:hAnsi="宋体"/>
          <w:color w:val="000000"/>
          <w:sz w:val="24"/>
        </w:rPr>
        <w:t>1</w:t>
      </w:r>
      <w:r>
        <w:rPr>
          <w:rFonts w:ascii="宋体" w:hAnsi="宋体" w:hint="eastAsia"/>
          <w:color w:val="000000"/>
          <w:sz w:val="24"/>
        </w:rPr>
        <w:t>日，所载财务数据未经审计师审计。</w:t>
      </w:r>
    </w:p>
    <w:p w14:paraId="0CD42C1C" w14:textId="77777777" w:rsidR="00F032FB" w:rsidRDefault="00B13D46">
      <w:pPr>
        <w:numPr>
          <w:ilvl w:val="0"/>
          <w:numId w:val="7"/>
        </w:numPr>
        <w:spacing w:before="50" w:line="360" w:lineRule="auto"/>
        <w:rPr>
          <w:rFonts w:ascii="宋体" w:hAnsi="宋体"/>
          <w:color w:val="000000"/>
          <w:sz w:val="24"/>
        </w:rPr>
      </w:pPr>
      <w:r>
        <w:rPr>
          <w:rFonts w:ascii="宋体" w:hAnsi="宋体" w:hint="eastAsia"/>
          <w:color w:val="000000"/>
          <w:sz w:val="24"/>
        </w:rPr>
        <w:t>报告期末基金资产组合情况</w:t>
      </w:r>
    </w:p>
    <w:tbl>
      <w:tblPr>
        <w:tblStyle w:val="af6"/>
        <w:tblW w:w="8868" w:type="dxa"/>
        <w:tblLayout w:type="fixed"/>
        <w:tblLook w:val="04A0" w:firstRow="1" w:lastRow="0" w:firstColumn="1" w:lastColumn="0" w:noHBand="0" w:noVBand="1"/>
      </w:tblPr>
      <w:tblGrid>
        <w:gridCol w:w="749"/>
        <w:gridCol w:w="3491"/>
        <w:gridCol w:w="2948"/>
        <w:gridCol w:w="1680"/>
      </w:tblGrid>
      <w:tr w:rsidR="00F032FB" w:rsidRPr="0036023B" w14:paraId="37C85EB3" w14:textId="77777777" w:rsidTr="00F032FB">
        <w:tc>
          <w:tcPr>
            <w:tcW w:w="749" w:type="dxa"/>
          </w:tcPr>
          <w:p w14:paraId="42ACF308" w14:textId="77777777" w:rsidR="00F032FB" w:rsidRPr="0036023B" w:rsidRDefault="00F032FB" w:rsidP="00433554">
            <w:pPr>
              <w:spacing w:before="29" w:line="288" w:lineRule="auto"/>
              <w:ind w:left="17"/>
              <w:jc w:val="center"/>
              <w:rPr>
                <w:color w:val="000000"/>
                <w:sz w:val="24"/>
              </w:rPr>
            </w:pPr>
            <w:r w:rsidRPr="0036023B">
              <w:rPr>
                <w:color w:val="000000"/>
                <w:sz w:val="24"/>
              </w:rPr>
              <w:lastRenderedPageBreak/>
              <w:t>序号</w:t>
            </w:r>
          </w:p>
        </w:tc>
        <w:tc>
          <w:tcPr>
            <w:tcW w:w="3491" w:type="dxa"/>
          </w:tcPr>
          <w:p w14:paraId="7FF450F8" w14:textId="77777777" w:rsidR="00F032FB" w:rsidRPr="0036023B" w:rsidRDefault="00F032FB" w:rsidP="00433554">
            <w:pPr>
              <w:spacing w:before="29" w:line="288" w:lineRule="auto"/>
              <w:ind w:left="17"/>
              <w:jc w:val="center"/>
              <w:rPr>
                <w:color w:val="000000"/>
                <w:sz w:val="24"/>
              </w:rPr>
            </w:pPr>
            <w:r w:rsidRPr="0036023B">
              <w:rPr>
                <w:color w:val="000000"/>
                <w:sz w:val="24"/>
              </w:rPr>
              <w:t>项目</w:t>
            </w:r>
          </w:p>
        </w:tc>
        <w:tc>
          <w:tcPr>
            <w:tcW w:w="2948" w:type="dxa"/>
          </w:tcPr>
          <w:p w14:paraId="5AD33CD8" w14:textId="77777777" w:rsidR="00F032FB" w:rsidRPr="0036023B" w:rsidRDefault="00F032FB" w:rsidP="00433554">
            <w:pPr>
              <w:spacing w:before="29" w:line="288" w:lineRule="auto"/>
              <w:ind w:left="17"/>
              <w:jc w:val="center"/>
              <w:rPr>
                <w:color w:val="000000"/>
                <w:sz w:val="24"/>
              </w:rPr>
            </w:pPr>
            <w:r w:rsidRPr="0036023B">
              <w:rPr>
                <w:color w:val="000000"/>
                <w:sz w:val="24"/>
              </w:rPr>
              <w:t>金额</w:t>
            </w:r>
            <w:r w:rsidRPr="0036023B">
              <w:rPr>
                <w:color w:val="000000"/>
                <w:kern w:val="0"/>
                <w:sz w:val="24"/>
              </w:rPr>
              <w:t>（元）</w:t>
            </w:r>
          </w:p>
        </w:tc>
        <w:tc>
          <w:tcPr>
            <w:tcW w:w="1680" w:type="dxa"/>
          </w:tcPr>
          <w:p w14:paraId="74D202F5" w14:textId="77777777" w:rsidR="00F032FB" w:rsidRPr="0036023B" w:rsidRDefault="00F032FB" w:rsidP="00433554">
            <w:pPr>
              <w:spacing w:before="29" w:line="288" w:lineRule="auto"/>
              <w:ind w:left="17"/>
              <w:jc w:val="center"/>
              <w:rPr>
                <w:color w:val="000000"/>
                <w:sz w:val="24"/>
              </w:rPr>
            </w:pPr>
            <w:r w:rsidRPr="0036023B">
              <w:rPr>
                <w:color w:val="000000"/>
                <w:sz w:val="24"/>
              </w:rPr>
              <w:t>占基金总资产的比例</w:t>
            </w:r>
            <w:r w:rsidRPr="0036023B">
              <w:rPr>
                <w:color w:val="000000"/>
                <w:kern w:val="0"/>
                <w:sz w:val="24"/>
              </w:rPr>
              <w:t>（％）</w:t>
            </w:r>
          </w:p>
        </w:tc>
      </w:tr>
      <w:tr w:rsidR="002C2A73" w:rsidRPr="0036023B" w14:paraId="416B212E" w14:textId="77777777" w:rsidTr="00B43DFF">
        <w:tc>
          <w:tcPr>
            <w:tcW w:w="749" w:type="dxa"/>
            <w:vAlign w:val="center"/>
          </w:tcPr>
          <w:p w14:paraId="1CE5CFDF" w14:textId="77777777" w:rsidR="002C2A73" w:rsidRPr="0036023B" w:rsidRDefault="002C2A73" w:rsidP="002C2A73">
            <w:pPr>
              <w:spacing w:before="29" w:line="288" w:lineRule="auto"/>
              <w:ind w:left="17"/>
              <w:jc w:val="center"/>
              <w:rPr>
                <w:color w:val="000000"/>
                <w:sz w:val="24"/>
              </w:rPr>
            </w:pPr>
            <w:r w:rsidRPr="0036023B">
              <w:rPr>
                <w:color w:val="000000"/>
                <w:sz w:val="24"/>
              </w:rPr>
              <w:t>1</w:t>
            </w:r>
          </w:p>
        </w:tc>
        <w:tc>
          <w:tcPr>
            <w:tcW w:w="3491" w:type="dxa"/>
            <w:vAlign w:val="center"/>
          </w:tcPr>
          <w:p w14:paraId="3764657F" w14:textId="77777777" w:rsidR="002C2A73" w:rsidRPr="0036023B" w:rsidRDefault="002C2A73" w:rsidP="002C2A73">
            <w:pPr>
              <w:spacing w:before="29" w:line="288" w:lineRule="auto"/>
              <w:ind w:left="17"/>
              <w:jc w:val="left"/>
              <w:rPr>
                <w:sz w:val="24"/>
              </w:rPr>
            </w:pPr>
            <w:r w:rsidRPr="0036023B">
              <w:rPr>
                <w:color w:val="000000"/>
                <w:sz w:val="24"/>
              </w:rPr>
              <w:t>权益投资</w:t>
            </w:r>
          </w:p>
        </w:tc>
        <w:tc>
          <w:tcPr>
            <w:tcW w:w="2948" w:type="dxa"/>
            <w:vAlign w:val="center"/>
          </w:tcPr>
          <w:p w14:paraId="2196778E" w14:textId="3F19B5E4" w:rsidR="002C2A73" w:rsidRPr="0036023B" w:rsidRDefault="002C2A73" w:rsidP="002C2A73">
            <w:pPr>
              <w:spacing w:before="29" w:line="288" w:lineRule="auto"/>
              <w:ind w:left="17"/>
              <w:jc w:val="right"/>
              <w:rPr>
                <w:color w:val="000000"/>
                <w:sz w:val="24"/>
              </w:rPr>
            </w:pPr>
            <w:r w:rsidRPr="0036023B">
              <w:rPr>
                <w:color w:val="000000"/>
                <w:sz w:val="24"/>
              </w:rPr>
              <w:t>64,540,870.67</w:t>
            </w:r>
          </w:p>
        </w:tc>
        <w:tc>
          <w:tcPr>
            <w:tcW w:w="1680" w:type="dxa"/>
            <w:vAlign w:val="center"/>
          </w:tcPr>
          <w:p w14:paraId="247541D4" w14:textId="5863D301" w:rsidR="002C2A73" w:rsidRPr="0036023B" w:rsidRDefault="002C2A73" w:rsidP="002C2A73">
            <w:pPr>
              <w:spacing w:before="29" w:line="288" w:lineRule="auto"/>
              <w:ind w:left="17"/>
              <w:jc w:val="right"/>
              <w:rPr>
                <w:color w:val="000000"/>
                <w:sz w:val="24"/>
              </w:rPr>
            </w:pPr>
            <w:r w:rsidRPr="0036023B">
              <w:rPr>
                <w:color w:val="000000"/>
                <w:sz w:val="24"/>
              </w:rPr>
              <w:t>98.48</w:t>
            </w:r>
          </w:p>
        </w:tc>
      </w:tr>
      <w:tr w:rsidR="002C2A73" w:rsidRPr="0036023B" w14:paraId="493C280F" w14:textId="77777777" w:rsidTr="00B43DFF">
        <w:tc>
          <w:tcPr>
            <w:tcW w:w="749" w:type="dxa"/>
            <w:vAlign w:val="center"/>
          </w:tcPr>
          <w:p w14:paraId="45E4C045" w14:textId="77777777" w:rsidR="002C2A73" w:rsidRPr="0036023B" w:rsidRDefault="002C2A73" w:rsidP="002C2A73">
            <w:pPr>
              <w:spacing w:before="29" w:line="288" w:lineRule="auto"/>
              <w:ind w:left="17"/>
              <w:jc w:val="center"/>
              <w:rPr>
                <w:color w:val="000000"/>
                <w:sz w:val="24"/>
              </w:rPr>
            </w:pPr>
          </w:p>
        </w:tc>
        <w:tc>
          <w:tcPr>
            <w:tcW w:w="3491" w:type="dxa"/>
            <w:vAlign w:val="center"/>
          </w:tcPr>
          <w:p w14:paraId="73B0F9BE" w14:textId="77777777" w:rsidR="002C2A73" w:rsidRPr="0036023B" w:rsidRDefault="002C2A73" w:rsidP="002C2A73">
            <w:pPr>
              <w:spacing w:before="29" w:line="288" w:lineRule="auto"/>
              <w:ind w:left="17"/>
              <w:jc w:val="left"/>
              <w:rPr>
                <w:sz w:val="24"/>
              </w:rPr>
            </w:pPr>
            <w:r w:rsidRPr="0036023B">
              <w:rPr>
                <w:color w:val="000000"/>
                <w:sz w:val="24"/>
              </w:rPr>
              <w:t>其中：股票</w:t>
            </w:r>
          </w:p>
        </w:tc>
        <w:tc>
          <w:tcPr>
            <w:tcW w:w="2948" w:type="dxa"/>
            <w:vAlign w:val="center"/>
          </w:tcPr>
          <w:p w14:paraId="6769F6B1" w14:textId="08A2ABC7" w:rsidR="002C2A73" w:rsidRPr="0036023B" w:rsidRDefault="002C2A73" w:rsidP="002C2A73">
            <w:pPr>
              <w:spacing w:before="29" w:line="288" w:lineRule="auto"/>
              <w:ind w:left="17"/>
              <w:jc w:val="right"/>
              <w:rPr>
                <w:color w:val="000000"/>
                <w:sz w:val="24"/>
              </w:rPr>
            </w:pPr>
            <w:r w:rsidRPr="0036023B">
              <w:rPr>
                <w:color w:val="000000"/>
                <w:sz w:val="24"/>
              </w:rPr>
              <w:t>64,540,870.67</w:t>
            </w:r>
          </w:p>
        </w:tc>
        <w:tc>
          <w:tcPr>
            <w:tcW w:w="1680" w:type="dxa"/>
            <w:vAlign w:val="center"/>
          </w:tcPr>
          <w:p w14:paraId="6729CA20" w14:textId="63A49FAC" w:rsidR="002C2A73" w:rsidRPr="0036023B" w:rsidRDefault="002C2A73" w:rsidP="002C2A73">
            <w:pPr>
              <w:spacing w:before="29" w:line="288" w:lineRule="auto"/>
              <w:ind w:left="17"/>
              <w:jc w:val="right"/>
              <w:rPr>
                <w:color w:val="000000"/>
                <w:sz w:val="24"/>
              </w:rPr>
            </w:pPr>
            <w:r w:rsidRPr="0036023B">
              <w:rPr>
                <w:color w:val="000000"/>
                <w:sz w:val="24"/>
              </w:rPr>
              <w:t>98.48</w:t>
            </w:r>
          </w:p>
        </w:tc>
      </w:tr>
      <w:tr w:rsidR="002C2A73" w:rsidRPr="0036023B" w14:paraId="0F12D26C" w14:textId="77777777" w:rsidTr="00B43DFF">
        <w:tc>
          <w:tcPr>
            <w:tcW w:w="749" w:type="dxa"/>
            <w:vAlign w:val="center"/>
          </w:tcPr>
          <w:p w14:paraId="23D999A6" w14:textId="77777777" w:rsidR="002C2A73" w:rsidRPr="0036023B" w:rsidRDefault="002C2A73" w:rsidP="002C2A73">
            <w:pPr>
              <w:spacing w:before="29" w:line="288" w:lineRule="auto"/>
              <w:ind w:left="17"/>
              <w:jc w:val="center"/>
              <w:rPr>
                <w:color w:val="000000"/>
                <w:sz w:val="24"/>
              </w:rPr>
            </w:pPr>
            <w:r w:rsidRPr="0036023B">
              <w:rPr>
                <w:color w:val="000000"/>
                <w:sz w:val="24"/>
              </w:rPr>
              <w:t>2</w:t>
            </w:r>
          </w:p>
        </w:tc>
        <w:tc>
          <w:tcPr>
            <w:tcW w:w="3491" w:type="dxa"/>
            <w:vAlign w:val="center"/>
          </w:tcPr>
          <w:p w14:paraId="6DE832BE" w14:textId="77777777" w:rsidR="002C2A73" w:rsidRPr="0036023B" w:rsidRDefault="002C2A73" w:rsidP="002C2A73">
            <w:pPr>
              <w:spacing w:before="29" w:line="288" w:lineRule="auto"/>
              <w:ind w:left="17"/>
              <w:jc w:val="left"/>
              <w:rPr>
                <w:sz w:val="24"/>
              </w:rPr>
            </w:pPr>
            <w:r w:rsidRPr="0036023B">
              <w:rPr>
                <w:color w:val="000000"/>
                <w:sz w:val="24"/>
              </w:rPr>
              <w:t>固定收益投资</w:t>
            </w:r>
          </w:p>
        </w:tc>
        <w:tc>
          <w:tcPr>
            <w:tcW w:w="2948" w:type="dxa"/>
            <w:vAlign w:val="center"/>
          </w:tcPr>
          <w:p w14:paraId="7FEFA120" w14:textId="3D8E7408" w:rsidR="002C2A73" w:rsidRPr="0036023B" w:rsidRDefault="002C2A73" w:rsidP="002C2A73">
            <w:pPr>
              <w:spacing w:before="29" w:line="288" w:lineRule="auto"/>
              <w:ind w:left="17"/>
              <w:jc w:val="right"/>
              <w:rPr>
                <w:color w:val="000000"/>
                <w:sz w:val="24"/>
              </w:rPr>
            </w:pPr>
            <w:r w:rsidRPr="0036023B">
              <w:rPr>
                <w:color w:val="000000"/>
                <w:sz w:val="24"/>
              </w:rPr>
              <w:t>106,600.00</w:t>
            </w:r>
          </w:p>
        </w:tc>
        <w:tc>
          <w:tcPr>
            <w:tcW w:w="1680" w:type="dxa"/>
            <w:vAlign w:val="center"/>
          </w:tcPr>
          <w:p w14:paraId="27053D71" w14:textId="1D063BFD" w:rsidR="002C2A73" w:rsidRPr="0036023B" w:rsidRDefault="002C2A73" w:rsidP="002C2A73">
            <w:pPr>
              <w:spacing w:before="29" w:line="288" w:lineRule="auto"/>
              <w:ind w:left="17"/>
              <w:jc w:val="right"/>
              <w:rPr>
                <w:color w:val="000000"/>
                <w:sz w:val="24"/>
              </w:rPr>
            </w:pPr>
            <w:r w:rsidRPr="0036023B">
              <w:rPr>
                <w:color w:val="000000"/>
                <w:sz w:val="24"/>
              </w:rPr>
              <w:t>0.16</w:t>
            </w:r>
          </w:p>
        </w:tc>
      </w:tr>
      <w:tr w:rsidR="002C2A73" w:rsidRPr="0036023B" w14:paraId="40BB9061" w14:textId="77777777" w:rsidTr="00B43DFF">
        <w:tc>
          <w:tcPr>
            <w:tcW w:w="749" w:type="dxa"/>
            <w:vAlign w:val="center"/>
          </w:tcPr>
          <w:p w14:paraId="601F3FD1" w14:textId="77777777" w:rsidR="002C2A73" w:rsidRPr="0036023B" w:rsidRDefault="002C2A73" w:rsidP="002C2A73">
            <w:pPr>
              <w:spacing w:before="29" w:line="288" w:lineRule="auto"/>
              <w:ind w:left="17"/>
              <w:jc w:val="center"/>
              <w:rPr>
                <w:color w:val="000000"/>
                <w:sz w:val="24"/>
              </w:rPr>
            </w:pPr>
          </w:p>
        </w:tc>
        <w:tc>
          <w:tcPr>
            <w:tcW w:w="3491" w:type="dxa"/>
            <w:vAlign w:val="center"/>
          </w:tcPr>
          <w:p w14:paraId="29E012D0" w14:textId="77777777" w:rsidR="002C2A73" w:rsidRPr="0036023B" w:rsidRDefault="002C2A73" w:rsidP="002C2A73">
            <w:pPr>
              <w:spacing w:before="29" w:line="288" w:lineRule="auto"/>
              <w:ind w:left="17"/>
              <w:jc w:val="left"/>
              <w:rPr>
                <w:sz w:val="24"/>
              </w:rPr>
            </w:pPr>
            <w:r w:rsidRPr="0036023B">
              <w:rPr>
                <w:color w:val="000000"/>
                <w:sz w:val="24"/>
              </w:rPr>
              <w:t>其中：债券</w:t>
            </w:r>
          </w:p>
        </w:tc>
        <w:tc>
          <w:tcPr>
            <w:tcW w:w="2948" w:type="dxa"/>
            <w:vAlign w:val="center"/>
          </w:tcPr>
          <w:p w14:paraId="143E7FE5" w14:textId="13380DAA" w:rsidR="002C2A73" w:rsidRPr="0036023B" w:rsidRDefault="002C2A73" w:rsidP="002C2A73">
            <w:pPr>
              <w:spacing w:before="29" w:line="288" w:lineRule="auto"/>
              <w:ind w:left="17"/>
              <w:jc w:val="right"/>
              <w:rPr>
                <w:color w:val="000000"/>
                <w:sz w:val="24"/>
              </w:rPr>
            </w:pPr>
            <w:r w:rsidRPr="0036023B">
              <w:rPr>
                <w:color w:val="000000"/>
                <w:sz w:val="24"/>
              </w:rPr>
              <w:t>106,600.00</w:t>
            </w:r>
          </w:p>
        </w:tc>
        <w:tc>
          <w:tcPr>
            <w:tcW w:w="1680" w:type="dxa"/>
            <w:vAlign w:val="center"/>
          </w:tcPr>
          <w:p w14:paraId="3CBD2EDC" w14:textId="6870E170" w:rsidR="002C2A73" w:rsidRPr="0036023B" w:rsidRDefault="002C2A73" w:rsidP="002C2A73">
            <w:pPr>
              <w:spacing w:before="29" w:line="288" w:lineRule="auto"/>
              <w:ind w:left="17"/>
              <w:jc w:val="right"/>
              <w:rPr>
                <w:color w:val="000000"/>
                <w:sz w:val="24"/>
              </w:rPr>
            </w:pPr>
            <w:r w:rsidRPr="0036023B">
              <w:rPr>
                <w:color w:val="000000"/>
                <w:sz w:val="24"/>
              </w:rPr>
              <w:t>0.16</w:t>
            </w:r>
          </w:p>
        </w:tc>
      </w:tr>
      <w:tr w:rsidR="002C2A73" w:rsidRPr="0036023B" w14:paraId="5225E6C6" w14:textId="77777777" w:rsidTr="00B43DFF">
        <w:tc>
          <w:tcPr>
            <w:tcW w:w="749" w:type="dxa"/>
            <w:vAlign w:val="center"/>
          </w:tcPr>
          <w:p w14:paraId="769EA6A3" w14:textId="77777777" w:rsidR="002C2A73" w:rsidRPr="0036023B" w:rsidRDefault="002C2A73" w:rsidP="002C2A73">
            <w:pPr>
              <w:spacing w:before="29" w:line="288" w:lineRule="auto"/>
              <w:ind w:left="17"/>
              <w:jc w:val="center"/>
              <w:rPr>
                <w:color w:val="000000"/>
                <w:sz w:val="24"/>
              </w:rPr>
            </w:pPr>
          </w:p>
        </w:tc>
        <w:tc>
          <w:tcPr>
            <w:tcW w:w="3491" w:type="dxa"/>
            <w:vAlign w:val="center"/>
          </w:tcPr>
          <w:p w14:paraId="3F6BAD68" w14:textId="77777777" w:rsidR="002C2A73" w:rsidRPr="0036023B" w:rsidRDefault="002C2A73" w:rsidP="002C2A73">
            <w:pPr>
              <w:autoSpaceDE w:val="0"/>
              <w:autoSpaceDN w:val="0"/>
              <w:adjustRightInd w:val="0"/>
              <w:spacing w:before="29" w:line="288" w:lineRule="auto"/>
              <w:ind w:firstLineChars="300" w:firstLine="720"/>
              <w:jc w:val="left"/>
              <w:rPr>
                <w:color w:val="000000"/>
                <w:sz w:val="24"/>
              </w:rPr>
            </w:pPr>
            <w:r w:rsidRPr="0036023B">
              <w:rPr>
                <w:color w:val="000000"/>
                <w:sz w:val="24"/>
              </w:rPr>
              <w:t>资产支持证券</w:t>
            </w:r>
          </w:p>
        </w:tc>
        <w:tc>
          <w:tcPr>
            <w:tcW w:w="2948" w:type="dxa"/>
            <w:vAlign w:val="center"/>
          </w:tcPr>
          <w:p w14:paraId="20E841BB" w14:textId="4D8565BF" w:rsidR="002C2A73" w:rsidRPr="0036023B" w:rsidRDefault="002C2A73" w:rsidP="002C2A73">
            <w:pPr>
              <w:spacing w:before="29" w:line="288" w:lineRule="auto"/>
              <w:ind w:left="17"/>
              <w:jc w:val="right"/>
              <w:rPr>
                <w:color w:val="000000"/>
                <w:sz w:val="24"/>
              </w:rPr>
            </w:pPr>
            <w:r w:rsidRPr="0036023B">
              <w:rPr>
                <w:color w:val="000000"/>
                <w:sz w:val="24"/>
              </w:rPr>
              <w:t>-</w:t>
            </w:r>
          </w:p>
        </w:tc>
        <w:tc>
          <w:tcPr>
            <w:tcW w:w="1680" w:type="dxa"/>
            <w:vAlign w:val="center"/>
          </w:tcPr>
          <w:p w14:paraId="092E5956" w14:textId="119D24FC" w:rsidR="002C2A73" w:rsidRPr="0036023B" w:rsidRDefault="002C2A73" w:rsidP="002C2A73">
            <w:pPr>
              <w:spacing w:before="29" w:line="288" w:lineRule="auto"/>
              <w:ind w:left="17"/>
              <w:jc w:val="right"/>
              <w:rPr>
                <w:color w:val="000000"/>
                <w:sz w:val="24"/>
              </w:rPr>
            </w:pPr>
            <w:r w:rsidRPr="0036023B">
              <w:rPr>
                <w:color w:val="000000"/>
                <w:sz w:val="24"/>
              </w:rPr>
              <w:t>-</w:t>
            </w:r>
          </w:p>
        </w:tc>
      </w:tr>
      <w:tr w:rsidR="002C2A73" w:rsidRPr="0036023B" w14:paraId="08450E87" w14:textId="77777777" w:rsidTr="00B43DFF">
        <w:tc>
          <w:tcPr>
            <w:tcW w:w="749" w:type="dxa"/>
            <w:vAlign w:val="center"/>
          </w:tcPr>
          <w:p w14:paraId="13130C0E" w14:textId="77777777" w:rsidR="002C2A73" w:rsidRPr="0036023B" w:rsidRDefault="002C2A73" w:rsidP="002C2A73">
            <w:pPr>
              <w:spacing w:before="29" w:line="288" w:lineRule="auto"/>
              <w:ind w:left="17"/>
              <w:jc w:val="center"/>
              <w:rPr>
                <w:color w:val="000000"/>
                <w:sz w:val="24"/>
              </w:rPr>
            </w:pPr>
            <w:r w:rsidRPr="0036023B">
              <w:rPr>
                <w:color w:val="000000"/>
                <w:sz w:val="24"/>
              </w:rPr>
              <w:t>3</w:t>
            </w:r>
          </w:p>
        </w:tc>
        <w:tc>
          <w:tcPr>
            <w:tcW w:w="3491" w:type="dxa"/>
            <w:vAlign w:val="center"/>
          </w:tcPr>
          <w:p w14:paraId="5CC22B8F" w14:textId="77777777" w:rsidR="002C2A73" w:rsidRPr="0036023B" w:rsidRDefault="002C2A73" w:rsidP="002C2A73">
            <w:pPr>
              <w:spacing w:before="29" w:line="288" w:lineRule="auto"/>
              <w:ind w:left="17"/>
              <w:jc w:val="left"/>
              <w:rPr>
                <w:color w:val="000000"/>
                <w:sz w:val="24"/>
              </w:rPr>
            </w:pPr>
            <w:r w:rsidRPr="0036023B">
              <w:rPr>
                <w:rFonts w:hAnsi="宋体"/>
                <w:color w:val="000000"/>
                <w:sz w:val="24"/>
              </w:rPr>
              <w:t>贵金属投资</w:t>
            </w:r>
          </w:p>
        </w:tc>
        <w:tc>
          <w:tcPr>
            <w:tcW w:w="2948" w:type="dxa"/>
            <w:vAlign w:val="center"/>
          </w:tcPr>
          <w:p w14:paraId="200DE8D0" w14:textId="54A08DCB" w:rsidR="002C2A73" w:rsidRPr="0036023B" w:rsidRDefault="002C2A73" w:rsidP="002C2A73">
            <w:pPr>
              <w:spacing w:before="29" w:line="288" w:lineRule="auto"/>
              <w:ind w:left="17"/>
              <w:jc w:val="right"/>
              <w:rPr>
                <w:color w:val="000000"/>
                <w:sz w:val="24"/>
              </w:rPr>
            </w:pPr>
            <w:r w:rsidRPr="0036023B">
              <w:rPr>
                <w:rFonts w:eastAsiaTheme="minorEastAsia"/>
                <w:color w:val="000000"/>
                <w:sz w:val="24"/>
              </w:rPr>
              <w:t>-</w:t>
            </w:r>
          </w:p>
        </w:tc>
        <w:tc>
          <w:tcPr>
            <w:tcW w:w="1680" w:type="dxa"/>
            <w:vAlign w:val="center"/>
          </w:tcPr>
          <w:p w14:paraId="50A94190" w14:textId="2E6C9211" w:rsidR="002C2A73" w:rsidRPr="0036023B" w:rsidRDefault="002C2A73" w:rsidP="002C2A73">
            <w:pPr>
              <w:spacing w:before="29" w:line="288" w:lineRule="auto"/>
              <w:ind w:left="17"/>
              <w:jc w:val="right"/>
              <w:rPr>
                <w:color w:val="000000"/>
                <w:sz w:val="24"/>
              </w:rPr>
            </w:pPr>
            <w:r w:rsidRPr="0036023B">
              <w:rPr>
                <w:rFonts w:eastAsiaTheme="minorEastAsia"/>
                <w:color w:val="000000"/>
                <w:sz w:val="24"/>
              </w:rPr>
              <w:t>-</w:t>
            </w:r>
          </w:p>
        </w:tc>
      </w:tr>
      <w:tr w:rsidR="002C2A73" w:rsidRPr="0036023B" w14:paraId="6EF3AEE6" w14:textId="77777777" w:rsidTr="00B43DFF">
        <w:tc>
          <w:tcPr>
            <w:tcW w:w="749" w:type="dxa"/>
            <w:vAlign w:val="center"/>
          </w:tcPr>
          <w:p w14:paraId="5C4B0305" w14:textId="77777777" w:rsidR="002C2A73" w:rsidRPr="0036023B" w:rsidRDefault="002C2A73" w:rsidP="002C2A73">
            <w:pPr>
              <w:spacing w:before="29" w:line="288" w:lineRule="auto"/>
              <w:ind w:left="17"/>
              <w:jc w:val="center"/>
              <w:rPr>
                <w:color w:val="000000"/>
                <w:sz w:val="24"/>
              </w:rPr>
            </w:pPr>
            <w:r w:rsidRPr="0036023B">
              <w:rPr>
                <w:color w:val="000000"/>
                <w:sz w:val="24"/>
              </w:rPr>
              <w:t>4</w:t>
            </w:r>
          </w:p>
        </w:tc>
        <w:tc>
          <w:tcPr>
            <w:tcW w:w="3491" w:type="dxa"/>
            <w:vAlign w:val="center"/>
          </w:tcPr>
          <w:p w14:paraId="44BFB693" w14:textId="77777777" w:rsidR="002C2A73" w:rsidRPr="0036023B" w:rsidRDefault="002C2A73" w:rsidP="002C2A73">
            <w:pPr>
              <w:spacing w:before="29" w:line="288" w:lineRule="auto"/>
              <w:ind w:left="17"/>
              <w:jc w:val="left"/>
              <w:rPr>
                <w:sz w:val="24"/>
              </w:rPr>
            </w:pPr>
            <w:r w:rsidRPr="0036023B">
              <w:rPr>
                <w:color w:val="000000"/>
                <w:sz w:val="24"/>
              </w:rPr>
              <w:t>金融衍生品投资</w:t>
            </w:r>
          </w:p>
        </w:tc>
        <w:tc>
          <w:tcPr>
            <w:tcW w:w="2948" w:type="dxa"/>
            <w:vAlign w:val="center"/>
          </w:tcPr>
          <w:p w14:paraId="09CC047D" w14:textId="162C708B" w:rsidR="002C2A73" w:rsidRPr="0036023B" w:rsidRDefault="002C2A73" w:rsidP="002C2A73">
            <w:pPr>
              <w:spacing w:before="29" w:line="288" w:lineRule="auto"/>
              <w:ind w:left="17"/>
              <w:jc w:val="right"/>
              <w:rPr>
                <w:color w:val="000000"/>
                <w:sz w:val="24"/>
              </w:rPr>
            </w:pPr>
            <w:r w:rsidRPr="0036023B">
              <w:rPr>
                <w:color w:val="000000"/>
                <w:sz w:val="24"/>
              </w:rPr>
              <w:t>-</w:t>
            </w:r>
          </w:p>
        </w:tc>
        <w:tc>
          <w:tcPr>
            <w:tcW w:w="1680" w:type="dxa"/>
            <w:vAlign w:val="center"/>
          </w:tcPr>
          <w:p w14:paraId="72D4F624" w14:textId="41E63A38" w:rsidR="002C2A73" w:rsidRPr="0036023B" w:rsidRDefault="002C2A73" w:rsidP="002C2A73">
            <w:pPr>
              <w:spacing w:before="29" w:line="288" w:lineRule="auto"/>
              <w:ind w:left="17"/>
              <w:jc w:val="right"/>
              <w:rPr>
                <w:color w:val="000000"/>
                <w:sz w:val="24"/>
              </w:rPr>
            </w:pPr>
            <w:r w:rsidRPr="0036023B">
              <w:rPr>
                <w:color w:val="000000"/>
                <w:sz w:val="24"/>
              </w:rPr>
              <w:t>-</w:t>
            </w:r>
          </w:p>
        </w:tc>
      </w:tr>
      <w:tr w:rsidR="002C2A73" w:rsidRPr="0036023B" w14:paraId="38A6AFAE" w14:textId="77777777" w:rsidTr="00B43DFF">
        <w:tc>
          <w:tcPr>
            <w:tcW w:w="749" w:type="dxa"/>
            <w:vAlign w:val="center"/>
          </w:tcPr>
          <w:p w14:paraId="15899615" w14:textId="77777777" w:rsidR="002C2A73" w:rsidRPr="0036023B" w:rsidRDefault="002C2A73" w:rsidP="002C2A73">
            <w:pPr>
              <w:spacing w:before="29" w:line="288" w:lineRule="auto"/>
              <w:ind w:left="17"/>
              <w:jc w:val="center"/>
              <w:rPr>
                <w:color w:val="000000"/>
                <w:sz w:val="24"/>
              </w:rPr>
            </w:pPr>
            <w:r w:rsidRPr="0036023B">
              <w:rPr>
                <w:color w:val="000000"/>
                <w:sz w:val="24"/>
              </w:rPr>
              <w:t>5</w:t>
            </w:r>
          </w:p>
        </w:tc>
        <w:tc>
          <w:tcPr>
            <w:tcW w:w="3491" w:type="dxa"/>
            <w:vAlign w:val="center"/>
          </w:tcPr>
          <w:p w14:paraId="5A4F6617" w14:textId="77777777" w:rsidR="002C2A73" w:rsidRPr="0036023B" w:rsidRDefault="002C2A73" w:rsidP="002C2A73">
            <w:pPr>
              <w:spacing w:before="29" w:line="288" w:lineRule="auto"/>
              <w:ind w:left="17"/>
              <w:jc w:val="left"/>
              <w:rPr>
                <w:sz w:val="24"/>
              </w:rPr>
            </w:pPr>
            <w:r w:rsidRPr="0036023B">
              <w:rPr>
                <w:color w:val="000000"/>
                <w:sz w:val="24"/>
              </w:rPr>
              <w:t>买入返售金融资产</w:t>
            </w:r>
          </w:p>
        </w:tc>
        <w:tc>
          <w:tcPr>
            <w:tcW w:w="2948" w:type="dxa"/>
            <w:vAlign w:val="center"/>
          </w:tcPr>
          <w:p w14:paraId="330C5E9E" w14:textId="38545940" w:rsidR="002C2A73" w:rsidRPr="0036023B" w:rsidRDefault="002C2A73" w:rsidP="002C2A73">
            <w:pPr>
              <w:spacing w:before="29" w:line="288" w:lineRule="auto"/>
              <w:ind w:left="17"/>
              <w:jc w:val="right"/>
              <w:rPr>
                <w:color w:val="000000"/>
                <w:sz w:val="24"/>
              </w:rPr>
            </w:pPr>
            <w:r w:rsidRPr="0036023B">
              <w:rPr>
                <w:color w:val="000000"/>
                <w:sz w:val="24"/>
              </w:rPr>
              <w:t>-</w:t>
            </w:r>
          </w:p>
        </w:tc>
        <w:tc>
          <w:tcPr>
            <w:tcW w:w="1680" w:type="dxa"/>
            <w:vAlign w:val="center"/>
          </w:tcPr>
          <w:p w14:paraId="7C969A34" w14:textId="16F0BD1A" w:rsidR="002C2A73" w:rsidRPr="0036023B" w:rsidRDefault="002C2A73" w:rsidP="002C2A73">
            <w:pPr>
              <w:spacing w:before="29" w:line="288" w:lineRule="auto"/>
              <w:ind w:left="17"/>
              <w:jc w:val="right"/>
              <w:rPr>
                <w:color w:val="000000"/>
                <w:sz w:val="24"/>
              </w:rPr>
            </w:pPr>
            <w:r w:rsidRPr="0036023B">
              <w:rPr>
                <w:color w:val="000000"/>
                <w:sz w:val="24"/>
              </w:rPr>
              <w:t>-</w:t>
            </w:r>
          </w:p>
        </w:tc>
      </w:tr>
      <w:tr w:rsidR="002C2A73" w:rsidRPr="0036023B" w14:paraId="1DF2AFC1" w14:textId="77777777" w:rsidTr="00B43DFF">
        <w:tc>
          <w:tcPr>
            <w:tcW w:w="749" w:type="dxa"/>
            <w:vAlign w:val="center"/>
          </w:tcPr>
          <w:p w14:paraId="6DAE8A8A" w14:textId="77777777" w:rsidR="002C2A73" w:rsidRPr="0036023B" w:rsidRDefault="002C2A73" w:rsidP="002C2A73">
            <w:pPr>
              <w:spacing w:before="29" w:line="288" w:lineRule="auto"/>
              <w:ind w:left="17"/>
              <w:jc w:val="center"/>
              <w:rPr>
                <w:color w:val="000000"/>
                <w:sz w:val="24"/>
              </w:rPr>
            </w:pPr>
          </w:p>
        </w:tc>
        <w:tc>
          <w:tcPr>
            <w:tcW w:w="3491" w:type="dxa"/>
            <w:vAlign w:val="center"/>
          </w:tcPr>
          <w:p w14:paraId="5C05B24A" w14:textId="77777777" w:rsidR="002C2A73" w:rsidRPr="0036023B" w:rsidRDefault="002C2A73" w:rsidP="002C2A73">
            <w:pPr>
              <w:spacing w:before="29" w:line="288" w:lineRule="auto"/>
              <w:ind w:left="17"/>
              <w:jc w:val="left"/>
              <w:rPr>
                <w:sz w:val="24"/>
              </w:rPr>
            </w:pPr>
            <w:r w:rsidRPr="0036023B">
              <w:rPr>
                <w:color w:val="000000"/>
                <w:sz w:val="24"/>
              </w:rPr>
              <w:t>其中：买断式回购的买入返售金融资产</w:t>
            </w:r>
          </w:p>
        </w:tc>
        <w:tc>
          <w:tcPr>
            <w:tcW w:w="2948" w:type="dxa"/>
            <w:vAlign w:val="center"/>
          </w:tcPr>
          <w:p w14:paraId="619598EC" w14:textId="2C93418C" w:rsidR="002C2A73" w:rsidRPr="0036023B" w:rsidRDefault="002C2A73" w:rsidP="002C2A73">
            <w:pPr>
              <w:spacing w:before="29" w:line="288" w:lineRule="auto"/>
              <w:ind w:left="17"/>
              <w:jc w:val="right"/>
              <w:rPr>
                <w:color w:val="000000"/>
                <w:sz w:val="24"/>
              </w:rPr>
            </w:pPr>
            <w:r w:rsidRPr="0036023B">
              <w:rPr>
                <w:color w:val="000000"/>
                <w:sz w:val="24"/>
              </w:rPr>
              <w:t>-</w:t>
            </w:r>
          </w:p>
        </w:tc>
        <w:tc>
          <w:tcPr>
            <w:tcW w:w="1680" w:type="dxa"/>
            <w:vAlign w:val="center"/>
          </w:tcPr>
          <w:p w14:paraId="43187FFC" w14:textId="28466D0E" w:rsidR="002C2A73" w:rsidRPr="0036023B" w:rsidRDefault="002C2A73" w:rsidP="002C2A73">
            <w:pPr>
              <w:spacing w:before="29" w:line="288" w:lineRule="auto"/>
              <w:ind w:left="17"/>
              <w:jc w:val="right"/>
              <w:rPr>
                <w:color w:val="000000"/>
                <w:sz w:val="24"/>
              </w:rPr>
            </w:pPr>
            <w:r w:rsidRPr="0036023B">
              <w:rPr>
                <w:color w:val="000000"/>
                <w:sz w:val="24"/>
              </w:rPr>
              <w:t>-</w:t>
            </w:r>
          </w:p>
        </w:tc>
      </w:tr>
      <w:tr w:rsidR="002C2A73" w:rsidRPr="0036023B" w14:paraId="7D6F37B8" w14:textId="77777777" w:rsidTr="00B43DFF">
        <w:tc>
          <w:tcPr>
            <w:tcW w:w="749" w:type="dxa"/>
            <w:vAlign w:val="center"/>
          </w:tcPr>
          <w:p w14:paraId="024D445A" w14:textId="77777777" w:rsidR="002C2A73" w:rsidRPr="0036023B" w:rsidRDefault="002C2A73" w:rsidP="002C2A73">
            <w:pPr>
              <w:spacing w:before="29" w:line="288" w:lineRule="auto"/>
              <w:ind w:left="17"/>
              <w:jc w:val="center"/>
              <w:rPr>
                <w:color w:val="000000"/>
                <w:sz w:val="24"/>
              </w:rPr>
            </w:pPr>
            <w:r w:rsidRPr="0036023B">
              <w:rPr>
                <w:color w:val="000000"/>
                <w:sz w:val="24"/>
              </w:rPr>
              <w:t>6</w:t>
            </w:r>
          </w:p>
        </w:tc>
        <w:tc>
          <w:tcPr>
            <w:tcW w:w="3491" w:type="dxa"/>
            <w:vAlign w:val="center"/>
          </w:tcPr>
          <w:p w14:paraId="6943DDE0" w14:textId="77777777" w:rsidR="002C2A73" w:rsidRPr="0036023B" w:rsidRDefault="002C2A73" w:rsidP="002C2A73">
            <w:pPr>
              <w:spacing w:before="29" w:line="288" w:lineRule="auto"/>
              <w:ind w:left="17"/>
              <w:jc w:val="left"/>
              <w:rPr>
                <w:sz w:val="24"/>
              </w:rPr>
            </w:pPr>
            <w:r w:rsidRPr="0036023B">
              <w:rPr>
                <w:color w:val="000000"/>
                <w:sz w:val="24"/>
              </w:rPr>
              <w:t>银行存款和结算备付金合计</w:t>
            </w:r>
          </w:p>
        </w:tc>
        <w:tc>
          <w:tcPr>
            <w:tcW w:w="2948" w:type="dxa"/>
            <w:vAlign w:val="center"/>
          </w:tcPr>
          <w:p w14:paraId="6BA3C885" w14:textId="30D279B8" w:rsidR="002C2A73" w:rsidRPr="0036023B" w:rsidRDefault="002C2A73" w:rsidP="002C2A73">
            <w:pPr>
              <w:spacing w:before="29" w:line="288" w:lineRule="auto"/>
              <w:ind w:left="17"/>
              <w:jc w:val="right"/>
              <w:rPr>
                <w:color w:val="000000"/>
                <w:sz w:val="24"/>
              </w:rPr>
            </w:pPr>
            <w:r w:rsidRPr="0036023B">
              <w:rPr>
                <w:color w:val="000000"/>
                <w:sz w:val="24"/>
              </w:rPr>
              <w:t>890,116.36</w:t>
            </w:r>
          </w:p>
        </w:tc>
        <w:tc>
          <w:tcPr>
            <w:tcW w:w="1680" w:type="dxa"/>
            <w:vAlign w:val="center"/>
          </w:tcPr>
          <w:p w14:paraId="0550879D" w14:textId="15945433" w:rsidR="002C2A73" w:rsidRPr="0036023B" w:rsidRDefault="002C2A73" w:rsidP="002C2A73">
            <w:pPr>
              <w:spacing w:before="29" w:line="288" w:lineRule="auto"/>
              <w:ind w:left="17"/>
              <w:jc w:val="right"/>
              <w:rPr>
                <w:color w:val="000000"/>
                <w:sz w:val="24"/>
              </w:rPr>
            </w:pPr>
            <w:r w:rsidRPr="0036023B">
              <w:rPr>
                <w:color w:val="000000"/>
                <w:sz w:val="24"/>
              </w:rPr>
              <w:t>1.36</w:t>
            </w:r>
          </w:p>
        </w:tc>
      </w:tr>
      <w:tr w:rsidR="002C2A73" w:rsidRPr="0036023B" w14:paraId="338E0CE7" w14:textId="77777777" w:rsidTr="00B43DFF">
        <w:tc>
          <w:tcPr>
            <w:tcW w:w="749" w:type="dxa"/>
            <w:vAlign w:val="center"/>
          </w:tcPr>
          <w:p w14:paraId="2EB99C0F" w14:textId="77777777" w:rsidR="002C2A73" w:rsidRPr="0036023B" w:rsidRDefault="002C2A73" w:rsidP="002C2A73">
            <w:pPr>
              <w:spacing w:before="29" w:line="288" w:lineRule="auto"/>
              <w:ind w:left="17"/>
              <w:jc w:val="center"/>
              <w:rPr>
                <w:color w:val="000000"/>
                <w:sz w:val="24"/>
              </w:rPr>
            </w:pPr>
            <w:r w:rsidRPr="0036023B">
              <w:rPr>
                <w:rFonts w:eastAsiaTheme="minorEastAsia"/>
                <w:color w:val="000000"/>
                <w:sz w:val="24"/>
              </w:rPr>
              <w:t>7</w:t>
            </w:r>
          </w:p>
        </w:tc>
        <w:tc>
          <w:tcPr>
            <w:tcW w:w="3491" w:type="dxa"/>
            <w:vAlign w:val="center"/>
          </w:tcPr>
          <w:p w14:paraId="21A4BC00" w14:textId="77777777" w:rsidR="002C2A73" w:rsidRPr="0036023B" w:rsidRDefault="002C2A73" w:rsidP="002C2A73">
            <w:pPr>
              <w:spacing w:before="29" w:line="288" w:lineRule="auto"/>
              <w:jc w:val="left"/>
              <w:rPr>
                <w:sz w:val="24"/>
              </w:rPr>
            </w:pPr>
            <w:r w:rsidRPr="0036023B">
              <w:rPr>
                <w:color w:val="000000"/>
                <w:sz w:val="24"/>
              </w:rPr>
              <w:t>其他资产</w:t>
            </w:r>
          </w:p>
        </w:tc>
        <w:tc>
          <w:tcPr>
            <w:tcW w:w="2948" w:type="dxa"/>
            <w:vAlign w:val="center"/>
          </w:tcPr>
          <w:p w14:paraId="47CD0997" w14:textId="766EDF86" w:rsidR="002C2A73" w:rsidRPr="0036023B" w:rsidRDefault="002C2A73" w:rsidP="002C2A73">
            <w:pPr>
              <w:spacing w:before="29" w:line="288" w:lineRule="auto"/>
              <w:jc w:val="right"/>
              <w:rPr>
                <w:color w:val="000000"/>
                <w:sz w:val="24"/>
              </w:rPr>
            </w:pPr>
            <w:r w:rsidRPr="0036023B">
              <w:rPr>
                <w:color w:val="000000"/>
                <w:sz w:val="24"/>
              </w:rPr>
              <w:t>305.71</w:t>
            </w:r>
          </w:p>
        </w:tc>
        <w:tc>
          <w:tcPr>
            <w:tcW w:w="1680" w:type="dxa"/>
            <w:vAlign w:val="center"/>
          </w:tcPr>
          <w:p w14:paraId="1FF5CB89" w14:textId="1681FDF6" w:rsidR="002C2A73" w:rsidRPr="0036023B" w:rsidRDefault="002C2A73" w:rsidP="002C2A73">
            <w:pPr>
              <w:spacing w:before="29" w:line="288" w:lineRule="auto"/>
              <w:jc w:val="right"/>
              <w:rPr>
                <w:color w:val="000000"/>
                <w:sz w:val="24"/>
              </w:rPr>
            </w:pPr>
            <w:r w:rsidRPr="0036023B">
              <w:rPr>
                <w:color w:val="000000"/>
                <w:sz w:val="24"/>
              </w:rPr>
              <w:t>0.00</w:t>
            </w:r>
          </w:p>
        </w:tc>
      </w:tr>
      <w:tr w:rsidR="002C2A73" w:rsidRPr="0036023B" w14:paraId="3968CCD1" w14:textId="77777777" w:rsidTr="00B43DFF">
        <w:tc>
          <w:tcPr>
            <w:tcW w:w="749" w:type="dxa"/>
            <w:vAlign w:val="center"/>
          </w:tcPr>
          <w:p w14:paraId="6B91D45B" w14:textId="77777777" w:rsidR="002C2A73" w:rsidRPr="0036023B" w:rsidRDefault="002C2A73" w:rsidP="002C2A73">
            <w:pPr>
              <w:spacing w:before="29" w:line="288" w:lineRule="auto"/>
              <w:ind w:left="17"/>
              <w:jc w:val="center"/>
              <w:rPr>
                <w:color w:val="000000"/>
                <w:sz w:val="24"/>
              </w:rPr>
            </w:pPr>
            <w:r w:rsidRPr="0036023B">
              <w:rPr>
                <w:color w:val="000000"/>
                <w:sz w:val="24"/>
              </w:rPr>
              <w:t>8</w:t>
            </w:r>
          </w:p>
        </w:tc>
        <w:tc>
          <w:tcPr>
            <w:tcW w:w="3491" w:type="dxa"/>
            <w:vAlign w:val="center"/>
          </w:tcPr>
          <w:p w14:paraId="548C8A1D" w14:textId="77777777" w:rsidR="002C2A73" w:rsidRPr="0036023B" w:rsidRDefault="002C2A73" w:rsidP="002C2A73">
            <w:pPr>
              <w:spacing w:before="29" w:line="288" w:lineRule="auto"/>
              <w:jc w:val="left"/>
              <w:rPr>
                <w:sz w:val="24"/>
              </w:rPr>
            </w:pPr>
            <w:r w:rsidRPr="0036023B">
              <w:rPr>
                <w:color w:val="000000"/>
                <w:sz w:val="24"/>
              </w:rPr>
              <w:t>合计</w:t>
            </w:r>
          </w:p>
        </w:tc>
        <w:tc>
          <w:tcPr>
            <w:tcW w:w="2948" w:type="dxa"/>
            <w:vAlign w:val="center"/>
          </w:tcPr>
          <w:p w14:paraId="2E9B5978" w14:textId="13F87799" w:rsidR="002C2A73" w:rsidRPr="0036023B" w:rsidRDefault="002C2A73" w:rsidP="002C2A73">
            <w:pPr>
              <w:spacing w:before="29" w:line="288" w:lineRule="auto"/>
              <w:jc w:val="right"/>
              <w:rPr>
                <w:color w:val="000000"/>
                <w:sz w:val="24"/>
              </w:rPr>
            </w:pPr>
            <w:r w:rsidRPr="0036023B">
              <w:rPr>
                <w:color w:val="000000"/>
                <w:sz w:val="24"/>
              </w:rPr>
              <w:t>65,537,892.74</w:t>
            </w:r>
          </w:p>
        </w:tc>
        <w:tc>
          <w:tcPr>
            <w:tcW w:w="1680" w:type="dxa"/>
            <w:vAlign w:val="center"/>
          </w:tcPr>
          <w:p w14:paraId="18C42FC1" w14:textId="3E10E905" w:rsidR="002C2A73" w:rsidRPr="0036023B" w:rsidRDefault="002C2A73" w:rsidP="002C2A73">
            <w:pPr>
              <w:spacing w:before="29" w:line="288" w:lineRule="auto"/>
              <w:jc w:val="right"/>
              <w:rPr>
                <w:color w:val="000000"/>
                <w:sz w:val="24"/>
              </w:rPr>
            </w:pPr>
            <w:r w:rsidRPr="0036023B">
              <w:rPr>
                <w:color w:val="000000"/>
                <w:sz w:val="24"/>
              </w:rPr>
              <w:t>100.00</w:t>
            </w:r>
          </w:p>
        </w:tc>
      </w:tr>
    </w:tbl>
    <w:p w14:paraId="04862F44" w14:textId="77777777" w:rsidR="00CF57A4" w:rsidRDefault="00B13D46" w:rsidP="000B1B3C">
      <w:pPr>
        <w:pStyle w:val="af9"/>
        <w:numPr>
          <w:ilvl w:val="0"/>
          <w:numId w:val="7"/>
        </w:numPr>
        <w:spacing w:before="50" w:line="360" w:lineRule="auto"/>
        <w:ind w:firstLineChars="0"/>
        <w:rPr>
          <w:rFonts w:ascii="宋体" w:hAnsi="宋体"/>
          <w:color w:val="000000"/>
          <w:sz w:val="24"/>
        </w:rPr>
      </w:pPr>
      <w:r w:rsidRPr="000B1B3C">
        <w:rPr>
          <w:rFonts w:ascii="宋体" w:hAnsi="宋体" w:hint="eastAsia"/>
          <w:color w:val="000000"/>
          <w:sz w:val="24"/>
        </w:rPr>
        <w:t>报告期末按行业分类的股票投资组合</w:t>
      </w:r>
    </w:p>
    <w:p w14:paraId="2AD0062B" w14:textId="77777777" w:rsidR="00CF57A4" w:rsidRDefault="00433554" w:rsidP="00174552">
      <w:pPr>
        <w:spacing w:before="50" w:line="360" w:lineRule="auto"/>
        <w:ind w:left="480"/>
        <w:rPr>
          <w:rFonts w:ascii="宋体" w:hAnsi="宋体"/>
          <w:color w:val="000000"/>
          <w:sz w:val="24"/>
        </w:rPr>
      </w:pPr>
      <w:r w:rsidRPr="000B1B3C">
        <w:rPr>
          <w:rFonts w:ascii="宋体" w:hAnsi="宋体"/>
          <w:color w:val="000000"/>
          <w:sz w:val="24"/>
        </w:rPr>
        <w:t>2.1</w:t>
      </w:r>
      <w:r w:rsidR="00E231B5" w:rsidRPr="000B1B3C" w:rsidDel="00E231B5">
        <w:rPr>
          <w:rFonts w:ascii="宋体" w:hAnsi="宋体" w:hint="eastAsia"/>
          <w:color w:val="000000"/>
          <w:sz w:val="24"/>
        </w:rPr>
        <w:t xml:space="preserve"> </w:t>
      </w:r>
      <w:r w:rsidR="00B13D46">
        <w:rPr>
          <w:rFonts w:ascii="宋体" w:hAnsi="宋体" w:hint="eastAsia"/>
          <w:color w:val="000000"/>
          <w:sz w:val="24"/>
        </w:rPr>
        <w:t>积极投资按行业分类的股票投资组合</w:t>
      </w:r>
    </w:p>
    <w:p w14:paraId="09895785" w14:textId="77777777" w:rsidR="00CF57A4" w:rsidRDefault="00B13D46">
      <w:pPr>
        <w:spacing w:before="50" w:line="360" w:lineRule="auto"/>
        <w:ind w:firstLineChars="200" w:firstLine="480"/>
        <w:rPr>
          <w:rFonts w:ascii="宋体" w:hAnsi="宋体"/>
          <w:color w:val="000000"/>
          <w:sz w:val="24"/>
        </w:rPr>
      </w:pPr>
      <w:r>
        <w:rPr>
          <w:rFonts w:ascii="宋体" w:hAnsi="宋体" w:hint="eastAsia"/>
          <w:color w:val="000000"/>
          <w:sz w:val="24"/>
        </w:rPr>
        <w:t>本基金本报告期末未持有积极投资的股票。</w:t>
      </w:r>
    </w:p>
    <w:p w14:paraId="74EF501F" w14:textId="77777777" w:rsidR="00433554" w:rsidRDefault="00E231B5">
      <w:pPr>
        <w:spacing w:before="50" w:line="360" w:lineRule="auto"/>
        <w:ind w:firstLineChars="200" w:firstLine="480"/>
        <w:rPr>
          <w:rFonts w:ascii="宋体" w:hAnsi="宋体"/>
          <w:color w:val="000000"/>
          <w:sz w:val="24"/>
        </w:rPr>
      </w:pPr>
      <w:r>
        <w:rPr>
          <w:rFonts w:ascii="宋体" w:hAnsi="宋体" w:hint="eastAsia"/>
          <w:color w:val="000000"/>
          <w:sz w:val="24"/>
        </w:rPr>
        <w:t>2</w:t>
      </w:r>
      <w:r>
        <w:rPr>
          <w:rFonts w:ascii="宋体" w:hAnsi="宋体"/>
          <w:color w:val="000000"/>
          <w:sz w:val="24"/>
        </w:rPr>
        <w:t xml:space="preserve">.2 </w:t>
      </w:r>
      <w:r w:rsidR="00B13D46">
        <w:rPr>
          <w:rFonts w:ascii="宋体" w:hAnsi="宋体" w:hint="eastAsia"/>
          <w:color w:val="000000"/>
          <w:sz w:val="24"/>
        </w:rPr>
        <w:t>指数投资按行业分类的股票投资组合</w:t>
      </w:r>
    </w:p>
    <w:tbl>
      <w:tblPr>
        <w:tblW w:w="88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5"/>
        <w:gridCol w:w="3452"/>
        <w:gridCol w:w="2897"/>
        <w:gridCol w:w="1674"/>
      </w:tblGrid>
      <w:tr w:rsidR="00433554" w:rsidRPr="00433554" w14:paraId="2385BEE0" w14:textId="77777777" w:rsidTr="00433554">
        <w:trPr>
          <w:trHeight w:val="390"/>
          <w:jc w:val="center"/>
        </w:trPr>
        <w:tc>
          <w:tcPr>
            <w:tcW w:w="845" w:type="dxa"/>
            <w:tcBorders>
              <w:top w:val="single" w:sz="4" w:space="0" w:color="000000"/>
              <w:left w:val="single" w:sz="4" w:space="0" w:color="000000"/>
              <w:bottom w:val="single" w:sz="4" w:space="0" w:color="000000"/>
              <w:right w:val="single" w:sz="4" w:space="0" w:color="000000"/>
            </w:tcBorders>
            <w:vAlign w:val="center"/>
          </w:tcPr>
          <w:p w14:paraId="1BE1A80E" w14:textId="77777777" w:rsidR="00433554" w:rsidRPr="0036023B" w:rsidRDefault="00433554" w:rsidP="000B1B3C">
            <w:pPr>
              <w:adjustRightInd w:val="0"/>
              <w:snapToGrid w:val="0"/>
              <w:spacing w:before="29" w:line="288" w:lineRule="auto"/>
              <w:jc w:val="center"/>
              <w:rPr>
                <w:sz w:val="24"/>
              </w:rPr>
            </w:pPr>
            <w:r w:rsidRPr="0036023B">
              <w:rPr>
                <w:sz w:val="24"/>
              </w:rPr>
              <w:t>代码</w:t>
            </w:r>
          </w:p>
        </w:tc>
        <w:tc>
          <w:tcPr>
            <w:tcW w:w="3452"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14:paraId="3AF8DF0D" w14:textId="77777777" w:rsidR="00433554" w:rsidRPr="0036023B" w:rsidRDefault="00433554" w:rsidP="000B1B3C">
            <w:pPr>
              <w:adjustRightInd w:val="0"/>
              <w:snapToGrid w:val="0"/>
              <w:spacing w:before="29" w:line="288" w:lineRule="auto"/>
              <w:jc w:val="center"/>
              <w:rPr>
                <w:sz w:val="24"/>
              </w:rPr>
            </w:pPr>
            <w:r w:rsidRPr="0036023B">
              <w:rPr>
                <w:sz w:val="24"/>
              </w:rPr>
              <w:t>行业类别</w:t>
            </w:r>
          </w:p>
        </w:tc>
        <w:tc>
          <w:tcPr>
            <w:tcW w:w="2897" w:type="dxa"/>
            <w:tcBorders>
              <w:top w:val="single" w:sz="4" w:space="0" w:color="000000"/>
              <w:left w:val="single" w:sz="4" w:space="0" w:color="auto"/>
              <w:bottom w:val="single" w:sz="4" w:space="0" w:color="000000"/>
              <w:right w:val="single" w:sz="4" w:space="0" w:color="000000"/>
            </w:tcBorders>
            <w:vAlign w:val="center"/>
          </w:tcPr>
          <w:p w14:paraId="7891D7E0" w14:textId="77777777" w:rsidR="00433554" w:rsidRPr="0036023B" w:rsidRDefault="00433554" w:rsidP="000B1B3C">
            <w:pPr>
              <w:adjustRightInd w:val="0"/>
              <w:snapToGrid w:val="0"/>
              <w:spacing w:before="29" w:line="288" w:lineRule="auto"/>
              <w:jc w:val="center"/>
              <w:rPr>
                <w:sz w:val="24"/>
              </w:rPr>
            </w:pPr>
            <w:r w:rsidRPr="0036023B">
              <w:rPr>
                <w:sz w:val="24"/>
              </w:rPr>
              <w:t>公允价值（元）</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14:paraId="0E13AAA2" w14:textId="77777777" w:rsidR="00433554" w:rsidRPr="0036023B" w:rsidRDefault="00433554" w:rsidP="000B1B3C">
            <w:pPr>
              <w:adjustRightInd w:val="0"/>
              <w:snapToGrid w:val="0"/>
              <w:spacing w:before="29" w:line="288" w:lineRule="auto"/>
              <w:jc w:val="center"/>
              <w:rPr>
                <w:sz w:val="24"/>
              </w:rPr>
            </w:pPr>
            <w:r w:rsidRPr="0036023B">
              <w:rPr>
                <w:sz w:val="24"/>
              </w:rPr>
              <w:t>占基金资产净值比例（％）</w:t>
            </w:r>
          </w:p>
        </w:tc>
      </w:tr>
      <w:tr w:rsidR="002C2A73" w:rsidRPr="00433554" w14:paraId="6925E196" w14:textId="77777777" w:rsidTr="00433554">
        <w:trPr>
          <w:trHeight w:val="390"/>
          <w:jc w:val="center"/>
        </w:trPr>
        <w:tc>
          <w:tcPr>
            <w:tcW w:w="845" w:type="dxa"/>
            <w:tcBorders>
              <w:top w:val="single" w:sz="4" w:space="0" w:color="000000"/>
              <w:left w:val="single" w:sz="4" w:space="0" w:color="000000"/>
              <w:bottom w:val="single" w:sz="4" w:space="0" w:color="000000"/>
              <w:right w:val="single" w:sz="4" w:space="0" w:color="000000"/>
            </w:tcBorders>
            <w:vAlign w:val="center"/>
          </w:tcPr>
          <w:p w14:paraId="5CF86FCA" w14:textId="77777777" w:rsidR="002C2A73" w:rsidRPr="0036023B" w:rsidRDefault="002C2A73" w:rsidP="002C2A73">
            <w:pPr>
              <w:adjustRightInd w:val="0"/>
              <w:snapToGrid w:val="0"/>
              <w:spacing w:before="29" w:line="288" w:lineRule="auto"/>
              <w:jc w:val="center"/>
              <w:rPr>
                <w:sz w:val="24"/>
              </w:rPr>
            </w:pPr>
            <w:r w:rsidRPr="0036023B">
              <w:rPr>
                <w:sz w:val="24"/>
              </w:rPr>
              <w:t>A</w:t>
            </w:r>
          </w:p>
        </w:tc>
        <w:tc>
          <w:tcPr>
            <w:tcW w:w="3452"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14:paraId="41E57F1C" w14:textId="77777777" w:rsidR="002C2A73" w:rsidRPr="0036023B" w:rsidRDefault="002C2A73" w:rsidP="002C2A73">
            <w:pPr>
              <w:adjustRightInd w:val="0"/>
              <w:snapToGrid w:val="0"/>
              <w:spacing w:before="29" w:line="288" w:lineRule="auto"/>
              <w:jc w:val="center"/>
              <w:rPr>
                <w:sz w:val="24"/>
              </w:rPr>
            </w:pPr>
            <w:r w:rsidRPr="0036023B">
              <w:rPr>
                <w:sz w:val="24"/>
              </w:rPr>
              <w:t>农、林、牧、渔业</w:t>
            </w:r>
          </w:p>
        </w:tc>
        <w:tc>
          <w:tcPr>
            <w:tcW w:w="2897" w:type="dxa"/>
            <w:tcBorders>
              <w:top w:val="single" w:sz="4" w:space="0" w:color="000000"/>
              <w:left w:val="single" w:sz="4" w:space="0" w:color="auto"/>
              <w:bottom w:val="single" w:sz="4" w:space="0" w:color="000000"/>
              <w:right w:val="single" w:sz="4" w:space="0" w:color="000000"/>
            </w:tcBorders>
            <w:vAlign w:val="center"/>
          </w:tcPr>
          <w:p w14:paraId="1C4A3023" w14:textId="29C846C0" w:rsidR="002C2A73" w:rsidRPr="0036023B" w:rsidRDefault="002C2A73" w:rsidP="002C2A73">
            <w:pPr>
              <w:adjustRightInd w:val="0"/>
              <w:snapToGrid w:val="0"/>
              <w:spacing w:before="29" w:line="288" w:lineRule="auto"/>
              <w:jc w:val="center"/>
              <w:rPr>
                <w:sz w:val="24"/>
              </w:rPr>
            </w:pPr>
            <w:r w:rsidRPr="0036023B">
              <w:rPr>
                <w:sz w:val="24"/>
              </w:rPr>
              <w:t>2,800,054.00</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14:paraId="652575D2" w14:textId="034EF6BD" w:rsidR="002C2A73" w:rsidRPr="0036023B" w:rsidRDefault="002C2A73" w:rsidP="002C2A73">
            <w:pPr>
              <w:adjustRightInd w:val="0"/>
              <w:snapToGrid w:val="0"/>
              <w:spacing w:before="29" w:line="288" w:lineRule="auto"/>
              <w:jc w:val="center"/>
              <w:rPr>
                <w:sz w:val="24"/>
              </w:rPr>
            </w:pPr>
            <w:r w:rsidRPr="0036023B">
              <w:rPr>
                <w:sz w:val="24"/>
              </w:rPr>
              <w:t>4.31</w:t>
            </w:r>
          </w:p>
        </w:tc>
      </w:tr>
      <w:tr w:rsidR="002C2A73" w:rsidRPr="00433554" w14:paraId="4F7FEB6E" w14:textId="77777777" w:rsidTr="00433554">
        <w:trPr>
          <w:trHeight w:val="390"/>
          <w:jc w:val="center"/>
        </w:trPr>
        <w:tc>
          <w:tcPr>
            <w:tcW w:w="845" w:type="dxa"/>
            <w:tcBorders>
              <w:top w:val="single" w:sz="4" w:space="0" w:color="000000"/>
              <w:left w:val="single" w:sz="4" w:space="0" w:color="000000"/>
              <w:bottom w:val="single" w:sz="4" w:space="0" w:color="000000"/>
              <w:right w:val="single" w:sz="4" w:space="0" w:color="000000"/>
            </w:tcBorders>
            <w:vAlign w:val="center"/>
          </w:tcPr>
          <w:p w14:paraId="6D4C31B3" w14:textId="77777777" w:rsidR="002C2A73" w:rsidRPr="0036023B" w:rsidRDefault="002C2A73" w:rsidP="002C2A73">
            <w:pPr>
              <w:adjustRightInd w:val="0"/>
              <w:snapToGrid w:val="0"/>
              <w:spacing w:before="29" w:line="288" w:lineRule="auto"/>
              <w:jc w:val="center"/>
              <w:rPr>
                <w:sz w:val="24"/>
              </w:rPr>
            </w:pPr>
            <w:r w:rsidRPr="0036023B">
              <w:rPr>
                <w:sz w:val="24"/>
              </w:rPr>
              <w:t>B</w:t>
            </w:r>
          </w:p>
        </w:tc>
        <w:tc>
          <w:tcPr>
            <w:tcW w:w="3452"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14:paraId="1F1B83AF" w14:textId="77777777" w:rsidR="002C2A73" w:rsidRPr="0036023B" w:rsidRDefault="002C2A73" w:rsidP="002C2A73">
            <w:pPr>
              <w:adjustRightInd w:val="0"/>
              <w:snapToGrid w:val="0"/>
              <w:spacing w:before="29" w:line="288" w:lineRule="auto"/>
              <w:jc w:val="center"/>
              <w:rPr>
                <w:sz w:val="24"/>
              </w:rPr>
            </w:pPr>
            <w:r w:rsidRPr="0036023B">
              <w:rPr>
                <w:sz w:val="24"/>
              </w:rPr>
              <w:t>采矿业</w:t>
            </w:r>
          </w:p>
        </w:tc>
        <w:tc>
          <w:tcPr>
            <w:tcW w:w="2897" w:type="dxa"/>
            <w:tcBorders>
              <w:top w:val="single" w:sz="4" w:space="0" w:color="000000"/>
              <w:left w:val="single" w:sz="4" w:space="0" w:color="auto"/>
              <w:bottom w:val="single" w:sz="4" w:space="0" w:color="000000"/>
              <w:right w:val="single" w:sz="4" w:space="0" w:color="000000"/>
            </w:tcBorders>
            <w:vAlign w:val="center"/>
          </w:tcPr>
          <w:p w14:paraId="7D979A86" w14:textId="075C72FA" w:rsidR="002C2A73" w:rsidRPr="0036023B" w:rsidRDefault="002C2A73" w:rsidP="002C2A73">
            <w:pPr>
              <w:adjustRightInd w:val="0"/>
              <w:snapToGrid w:val="0"/>
              <w:spacing w:before="29" w:line="288" w:lineRule="auto"/>
              <w:jc w:val="center"/>
              <w:rPr>
                <w:sz w:val="24"/>
              </w:rPr>
            </w:pPr>
            <w:r w:rsidRPr="0036023B">
              <w:rPr>
                <w:sz w:val="24"/>
              </w:rPr>
              <w:t>525,933.60</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14:paraId="3C101199" w14:textId="00B38AC9" w:rsidR="002C2A73" w:rsidRPr="0036023B" w:rsidRDefault="002C2A73" w:rsidP="002C2A73">
            <w:pPr>
              <w:adjustRightInd w:val="0"/>
              <w:snapToGrid w:val="0"/>
              <w:spacing w:before="29" w:line="288" w:lineRule="auto"/>
              <w:jc w:val="center"/>
              <w:rPr>
                <w:sz w:val="24"/>
              </w:rPr>
            </w:pPr>
            <w:r w:rsidRPr="0036023B">
              <w:rPr>
                <w:sz w:val="24"/>
              </w:rPr>
              <w:t>0.81</w:t>
            </w:r>
          </w:p>
        </w:tc>
      </w:tr>
      <w:tr w:rsidR="002C2A73" w:rsidRPr="00433554" w14:paraId="7A0FA87D" w14:textId="77777777" w:rsidTr="00433554">
        <w:trPr>
          <w:trHeight w:val="390"/>
          <w:jc w:val="center"/>
        </w:trPr>
        <w:tc>
          <w:tcPr>
            <w:tcW w:w="845" w:type="dxa"/>
            <w:tcBorders>
              <w:top w:val="single" w:sz="4" w:space="0" w:color="000000"/>
              <w:left w:val="single" w:sz="4" w:space="0" w:color="000000"/>
              <w:bottom w:val="single" w:sz="4" w:space="0" w:color="000000"/>
              <w:right w:val="single" w:sz="4" w:space="0" w:color="000000"/>
            </w:tcBorders>
            <w:vAlign w:val="center"/>
          </w:tcPr>
          <w:p w14:paraId="7977B46C" w14:textId="77777777" w:rsidR="002C2A73" w:rsidRPr="0036023B" w:rsidRDefault="002C2A73" w:rsidP="002C2A73">
            <w:pPr>
              <w:adjustRightInd w:val="0"/>
              <w:snapToGrid w:val="0"/>
              <w:spacing w:before="29" w:line="288" w:lineRule="auto"/>
              <w:jc w:val="center"/>
              <w:rPr>
                <w:sz w:val="24"/>
              </w:rPr>
            </w:pPr>
            <w:r w:rsidRPr="0036023B">
              <w:rPr>
                <w:sz w:val="24"/>
              </w:rPr>
              <w:t>C</w:t>
            </w:r>
          </w:p>
        </w:tc>
        <w:tc>
          <w:tcPr>
            <w:tcW w:w="3452"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14:paraId="00518ECC" w14:textId="77777777" w:rsidR="002C2A73" w:rsidRPr="0036023B" w:rsidRDefault="002C2A73" w:rsidP="002C2A73">
            <w:pPr>
              <w:adjustRightInd w:val="0"/>
              <w:snapToGrid w:val="0"/>
              <w:spacing w:before="29" w:line="288" w:lineRule="auto"/>
              <w:jc w:val="center"/>
              <w:rPr>
                <w:sz w:val="24"/>
              </w:rPr>
            </w:pPr>
            <w:r w:rsidRPr="0036023B">
              <w:rPr>
                <w:sz w:val="24"/>
              </w:rPr>
              <w:t>制造业</w:t>
            </w:r>
          </w:p>
        </w:tc>
        <w:tc>
          <w:tcPr>
            <w:tcW w:w="2897" w:type="dxa"/>
            <w:tcBorders>
              <w:top w:val="single" w:sz="4" w:space="0" w:color="000000"/>
              <w:left w:val="single" w:sz="4" w:space="0" w:color="auto"/>
              <w:bottom w:val="single" w:sz="4" w:space="0" w:color="000000"/>
              <w:right w:val="single" w:sz="4" w:space="0" w:color="000000"/>
            </w:tcBorders>
            <w:vAlign w:val="center"/>
          </w:tcPr>
          <w:p w14:paraId="53DFC974" w14:textId="02E000B4" w:rsidR="002C2A73" w:rsidRPr="0036023B" w:rsidRDefault="002C2A73" w:rsidP="002C2A73">
            <w:pPr>
              <w:adjustRightInd w:val="0"/>
              <w:snapToGrid w:val="0"/>
              <w:spacing w:before="29" w:line="288" w:lineRule="auto"/>
              <w:jc w:val="center"/>
              <w:rPr>
                <w:sz w:val="24"/>
              </w:rPr>
            </w:pPr>
            <w:r w:rsidRPr="0036023B">
              <w:rPr>
                <w:sz w:val="24"/>
              </w:rPr>
              <w:t>42,101,223.98</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14:paraId="4B403A76" w14:textId="6687ACBE" w:rsidR="002C2A73" w:rsidRPr="0036023B" w:rsidRDefault="002C2A73" w:rsidP="002C2A73">
            <w:pPr>
              <w:adjustRightInd w:val="0"/>
              <w:snapToGrid w:val="0"/>
              <w:spacing w:before="29" w:line="288" w:lineRule="auto"/>
              <w:jc w:val="center"/>
              <w:rPr>
                <w:sz w:val="24"/>
              </w:rPr>
            </w:pPr>
            <w:r w:rsidRPr="0036023B">
              <w:rPr>
                <w:sz w:val="24"/>
              </w:rPr>
              <w:t>64.77</w:t>
            </w:r>
          </w:p>
        </w:tc>
      </w:tr>
      <w:tr w:rsidR="002C2A73" w:rsidRPr="00433554" w14:paraId="7F89D1C2" w14:textId="77777777" w:rsidTr="00433554">
        <w:trPr>
          <w:trHeight w:val="390"/>
          <w:jc w:val="center"/>
        </w:trPr>
        <w:tc>
          <w:tcPr>
            <w:tcW w:w="845" w:type="dxa"/>
            <w:tcBorders>
              <w:top w:val="single" w:sz="4" w:space="0" w:color="000000"/>
              <w:left w:val="single" w:sz="4" w:space="0" w:color="000000"/>
              <w:bottom w:val="single" w:sz="4" w:space="0" w:color="000000"/>
              <w:right w:val="single" w:sz="4" w:space="0" w:color="000000"/>
            </w:tcBorders>
            <w:vAlign w:val="center"/>
          </w:tcPr>
          <w:p w14:paraId="45BFCBA1" w14:textId="77777777" w:rsidR="002C2A73" w:rsidRPr="0036023B" w:rsidRDefault="002C2A73" w:rsidP="002C2A73">
            <w:pPr>
              <w:adjustRightInd w:val="0"/>
              <w:snapToGrid w:val="0"/>
              <w:spacing w:before="29" w:line="288" w:lineRule="auto"/>
              <w:jc w:val="center"/>
              <w:rPr>
                <w:sz w:val="24"/>
              </w:rPr>
            </w:pPr>
            <w:r w:rsidRPr="0036023B">
              <w:rPr>
                <w:sz w:val="24"/>
              </w:rPr>
              <w:t>D</w:t>
            </w:r>
          </w:p>
        </w:tc>
        <w:tc>
          <w:tcPr>
            <w:tcW w:w="3452"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14:paraId="69F3C204" w14:textId="77777777" w:rsidR="002C2A73" w:rsidRPr="0036023B" w:rsidRDefault="002C2A73" w:rsidP="002C2A73">
            <w:pPr>
              <w:adjustRightInd w:val="0"/>
              <w:snapToGrid w:val="0"/>
              <w:spacing w:before="29" w:line="288" w:lineRule="auto"/>
              <w:jc w:val="center"/>
              <w:rPr>
                <w:sz w:val="24"/>
              </w:rPr>
            </w:pPr>
            <w:r w:rsidRPr="0036023B">
              <w:rPr>
                <w:sz w:val="24"/>
              </w:rPr>
              <w:t>电力、热力、燃气及水生产和供应业</w:t>
            </w:r>
          </w:p>
        </w:tc>
        <w:tc>
          <w:tcPr>
            <w:tcW w:w="2897" w:type="dxa"/>
            <w:tcBorders>
              <w:top w:val="single" w:sz="4" w:space="0" w:color="000000"/>
              <w:left w:val="single" w:sz="4" w:space="0" w:color="auto"/>
              <w:bottom w:val="single" w:sz="4" w:space="0" w:color="000000"/>
              <w:right w:val="single" w:sz="4" w:space="0" w:color="000000"/>
            </w:tcBorders>
            <w:vAlign w:val="center"/>
          </w:tcPr>
          <w:p w14:paraId="47670E2F" w14:textId="7DFAF207" w:rsidR="002C2A73" w:rsidRPr="0036023B" w:rsidRDefault="002C2A73" w:rsidP="002C2A73">
            <w:pPr>
              <w:adjustRightInd w:val="0"/>
              <w:snapToGrid w:val="0"/>
              <w:spacing w:before="29" w:line="288" w:lineRule="auto"/>
              <w:jc w:val="center"/>
              <w:rPr>
                <w:sz w:val="24"/>
              </w:rPr>
            </w:pPr>
            <w:r w:rsidRPr="0036023B">
              <w:rPr>
                <w:sz w:val="24"/>
              </w:rPr>
              <w:t>1,058,842.45</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14:paraId="57980F25" w14:textId="1F23E643" w:rsidR="002C2A73" w:rsidRPr="0036023B" w:rsidRDefault="002C2A73" w:rsidP="002C2A73">
            <w:pPr>
              <w:adjustRightInd w:val="0"/>
              <w:snapToGrid w:val="0"/>
              <w:spacing w:before="29" w:line="288" w:lineRule="auto"/>
              <w:jc w:val="center"/>
              <w:rPr>
                <w:sz w:val="24"/>
              </w:rPr>
            </w:pPr>
            <w:r w:rsidRPr="0036023B">
              <w:rPr>
                <w:sz w:val="24"/>
              </w:rPr>
              <w:t>1.63</w:t>
            </w:r>
          </w:p>
        </w:tc>
      </w:tr>
      <w:tr w:rsidR="002C2A73" w:rsidRPr="00433554" w14:paraId="5C49A300" w14:textId="77777777" w:rsidTr="00433554">
        <w:trPr>
          <w:trHeight w:val="390"/>
          <w:jc w:val="center"/>
        </w:trPr>
        <w:tc>
          <w:tcPr>
            <w:tcW w:w="845" w:type="dxa"/>
            <w:tcBorders>
              <w:top w:val="single" w:sz="4" w:space="0" w:color="000000"/>
              <w:left w:val="single" w:sz="4" w:space="0" w:color="000000"/>
              <w:bottom w:val="single" w:sz="4" w:space="0" w:color="000000"/>
              <w:right w:val="single" w:sz="4" w:space="0" w:color="000000"/>
            </w:tcBorders>
            <w:vAlign w:val="center"/>
          </w:tcPr>
          <w:p w14:paraId="6540FF14" w14:textId="77777777" w:rsidR="002C2A73" w:rsidRPr="0036023B" w:rsidRDefault="002C2A73" w:rsidP="002C2A73">
            <w:pPr>
              <w:adjustRightInd w:val="0"/>
              <w:snapToGrid w:val="0"/>
              <w:spacing w:before="29" w:line="288" w:lineRule="auto"/>
              <w:jc w:val="center"/>
              <w:rPr>
                <w:sz w:val="24"/>
              </w:rPr>
            </w:pPr>
            <w:r w:rsidRPr="0036023B">
              <w:rPr>
                <w:sz w:val="24"/>
              </w:rPr>
              <w:t>E</w:t>
            </w:r>
          </w:p>
        </w:tc>
        <w:tc>
          <w:tcPr>
            <w:tcW w:w="3452"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14:paraId="098688FF" w14:textId="77777777" w:rsidR="002C2A73" w:rsidRPr="0036023B" w:rsidRDefault="002C2A73" w:rsidP="002C2A73">
            <w:pPr>
              <w:adjustRightInd w:val="0"/>
              <w:snapToGrid w:val="0"/>
              <w:spacing w:before="29" w:line="288" w:lineRule="auto"/>
              <w:jc w:val="center"/>
              <w:rPr>
                <w:sz w:val="24"/>
              </w:rPr>
            </w:pPr>
            <w:r w:rsidRPr="0036023B">
              <w:rPr>
                <w:sz w:val="24"/>
              </w:rPr>
              <w:t>建筑业</w:t>
            </w:r>
          </w:p>
        </w:tc>
        <w:tc>
          <w:tcPr>
            <w:tcW w:w="2897" w:type="dxa"/>
            <w:tcBorders>
              <w:top w:val="single" w:sz="4" w:space="0" w:color="000000"/>
              <w:left w:val="single" w:sz="4" w:space="0" w:color="auto"/>
              <w:bottom w:val="single" w:sz="4" w:space="0" w:color="000000"/>
              <w:right w:val="single" w:sz="4" w:space="0" w:color="000000"/>
            </w:tcBorders>
            <w:vAlign w:val="center"/>
          </w:tcPr>
          <w:p w14:paraId="0942533D" w14:textId="3F456B96" w:rsidR="002C2A73" w:rsidRPr="0036023B" w:rsidRDefault="002C2A73" w:rsidP="002C2A73">
            <w:pPr>
              <w:adjustRightInd w:val="0"/>
              <w:snapToGrid w:val="0"/>
              <w:spacing w:before="29" w:line="288" w:lineRule="auto"/>
              <w:jc w:val="center"/>
              <w:rPr>
                <w:sz w:val="24"/>
              </w:rPr>
            </w:pPr>
            <w:r w:rsidRPr="0036023B">
              <w:rPr>
                <w:sz w:val="24"/>
              </w:rPr>
              <w:t>704,290.64</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14:paraId="50801244" w14:textId="653D2BC3" w:rsidR="002C2A73" w:rsidRPr="0036023B" w:rsidRDefault="002C2A73" w:rsidP="002C2A73">
            <w:pPr>
              <w:adjustRightInd w:val="0"/>
              <w:snapToGrid w:val="0"/>
              <w:spacing w:before="29" w:line="288" w:lineRule="auto"/>
              <w:jc w:val="center"/>
              <w:rPr>
                <w:sz w:val="24"/>
              </w:rPr>
            </w:pPr>
            <w:r w:rsidRPr="0036023B">
              <w:rPr>
                <w:sz w:val="24"/>
              </w:rPr>
              <w:t>1.08</w:t>
            </w:r>
          </w:p>
        </w:tc>
      </w:tr>
      <w:tr w:rsidR="002C2A73" w:rsidRPr="00433554" w14:paraId="2D22FEA2" w14:textId="77777777" w:rsidTr="00433554">
        <w:trPr>
          <w:trHeight w:val="390"/>
          <w:jc w:val="center"/>
        </w:trPr>
        <w:tc>
          <w:tcPr>
            <w:tcW w:w="845" w:type="dxa"/>
            <w:tcBorders>
              <w:top w:val="single" w:sz="4" w:space="0" w:color="000000"/>
              <w:left w:val="single" w:sz="4" w:space="0" w:color="000000"/>
              <w:bottom w:val="single" w:sz="4" w:space="0" w:color="000000"/>
              <w:right w:val="single" w:sz="4" w:space="0" w:color="000000"/>
            </w:tcBorders>
            <w:vAlign w:val="center"/>
          </w:tcPr>
          <w:p w14:paraId="0FFF3136" w14:textId="77777777" w:rsidR="002C2A73" w:rsidRPr="0036023B" w:rsidRDefault="002C2A73" w:rsidP="002C2A73">
            <w:pPr>
              <w:adjustRightInd w:val="0"/>
              <w:snapToGrid w:val="0"/>
              <w:spacing w:before="29" w:line="288" w:lineRule="auto"/>
              <w:jc w:val="center"/>
              <w:rPr>
                <w:sz w:val="24"/>
              </w:rPr>
            </w:pPr>
            <w:r w:rsidRPr="0036023B">
              <w:rPr>
                <w:sz w:val="24"/>
              </w:rPr>
              <w:t>F</w:t>
            </w:r>
          </w:p>
        </w:tc>
        <w:tc>
          <w:tcPr>
            <w:tcW w:w="3452"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14:paraId="4C0FA1E8" w14:textId="77777777" w:rsidR="002C2A73" w:rsidRPr="0036023B" w:rsidRDefault="002C2A73" w:rsidP="002C2A73">
            <w:pPr>
              <w:adjustRightInd w:val="0"/>
              <w:snapToGrid w:val="0"/>
              <w:spacing w:before="29" w:line="288" w:lineRule="auto"/>
              <w:jc w:val="center"/>
              <w:rPr>
                <w:sz w:val="24"/>
              </w:rPr>
            </w:pPr>
            <w:r w:rsidRPr="0036023B">
              <w:rPr>
                <w:sz w:val="24"/>
              </w:rPr>
              <w:t>批发和零售业</w:t>
            </w:r>
          </w:p>
        </w:tc>
        <w:tc>
          <w:tcPr>
            <w:tcW w:w="2897" w:type="dxa"/>
            <w:tcBorders>
              <w:top w:val="single" w:sz="4" w:space="0" w:color="000000"/>
              <w:left w:val="single" w:sz="4" w:space="0" w:color="auto"/>
              <w:bottom w:val="single" w:sz="4" w:space="0" w:color="000000"/>
              <w:right w:val="single" w:sz="4" w:space="0" w:color="000000"/>
            </w:tcBorders>
            <w:vAlign w:val="center"/>
          </w:tcPr>
          <w:p w14:paraId="0EC33174" w14:textId="76C4C29C" w:rsidR="002C2A73" w:rsidRPr="0036023B" w:rsidRDefault="002C2A73" w:rsidP="002C2A73">
            <w:pPr>
              <w:adjustRightInd w:val="0"/>
              <w:snapToGrid w:val="0"/>
              <w:spacing w:before="29" w:line="288" w:lineRule="auto"/>
              <w:jc w:val="center"/>
              <w:rPr>
                <w:sz w:val="24"/>
              </w:rPr>
            </w:pPr>
            <w:r w:rsidRPr="0036023B">
              <w:rPr>
                <w:sz w:val="24"/>
              </w:rPr>
              <w:t>621,188.00</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14:paraId="714CDF64" w14:textId="756AD4A7" w:rsidR="002C2A73" w:rsidRPr="0036023B" w:rsidRDefault="002C2A73" w:rsidP="002C2A73">
            <w:pPr>
              <w:adjustRightInd w:val="0"/>
              <w:snapToGrid w:val="0"/>
              <w:spacing w:before="29" w:line="288" w:lineRule="auto"/>
              <w:jc w:val="center"/>
              <w:rPr>
                <w:sz w:val="24"/>
              </w:rPr>
            </w:pPr>
            <w:r w:rsidRPr="0036023B">
              <w:rPr>
                <w:sz w:val="24"/>
              </w:rPr>
              <w:t>0.96</w:t>
            </w:r>
          </w:p>
        </w:tc>
      </w:tr>
      <w:tr w:rsidR="002C2A73" w:rsidRPr="00433554" w14:paraId="32B01A67" w14:textId="77777777" w:rsidTr="00433554">
        <w:trPr>
          <w:trHeight w:val="390"/>
          <w:jc w:val="center"/>
        </w:trPr>
        <w:tc>
          <w:tcPr>
            <w:tcW w:w="845" w:type="dxa"/>
            <w:tcBorders>
              <w:top w:val="single" w:sz="4" w:space="0" w:color="000000"/>
              <w:left w:val="single" w:sz="4" w:space="0" w:color="000000"/>
              <w:bottom w:val="single" w:sz="4" w:space="0" w:color="000000"/>
              <w:right w:val="single" w:sz="4" w:space="0" w:color="000000"/>
            </w:tcBorders>
            <w:vAlign w:val="center"/>
          </w:tcPr>
          <w:p w14:paraId="328F57B5" w14:textId="77777777" w:rsidR="002C2A73" w:rsidRPr="0036023B" w:rsidRDefault="002C2A73" w:rsidP="002C2A73">
            <w:pPr>
              <w:adjustRightInd w:val="0"/>
              <w:snapToGrid w:val="0"/>
              <w:spacing w:before="29" w:line="288" w:lineRule="auto"/>
              <w:jc w:val="center"/>
              <w:rPr>
                <w:sz w:val="24"/>
              </w:rPr>
            </w:pPr>
            <w:r w:rsidRPr="0036023B">
              <w:rPr>
                <w:sz w:val="24"/>
              </w:rPr>
              <w:t>G</w:t>
            </w:r>
          </w:p>
        </w:tc>
        <w:tc>
          <w:tcPr>
            <w:tcW w:w="3452"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14:paraId="40247FD7" w14:textId="77777777" w:rsidR="002C2A73" w:rsidRPr="0036023B" w:rsidRDefault="002C2A73" w:rsidP="002C2A73">
            <w:pPr>
              <w:adjustRightInd w:val="0"/>
              <w:snapToGrid w:val="0"/>
              <w:spacing w:before="29" w:line="288" w:lineRule="auto"/>
              <w:jc w:val="center"/>
              <w:rPr>
                <w:sz w:val="24"/>
              </w:rPr>
            </w:pPr>
            <w:r w:rsidRPr="0036023B">
              <w:rPr>
                <w:sz w:val="24"/>
              </w:rPr>
              <w:t>交通运输、仓储和邮政业</w:t>
            </w:r>
          </w:p>
        </w:tc>
        <w:tc>
          <w:tcPr>
            <w:tcW w:w="2897" w:type="dxa"/>
            <w:tcBorders>
              <w:top w:val="single" w:sz="4" w:space="0" w:color="000000"/>
              <w:left w:val="single" w:sz="4" w:space="0" w:color="auto"/>
              <w:bottom w:val="single" w:sz="4" w:space="0" w:color="000000"/>
              <w:right w:val="single" w:sz="4" w:space="0" w:color="000000"/>
            </w:tcBorders>
            <w:vAlign w:val="center"/>
          </w:tcPr>
          <w:p w14:paraId="534920B7" w14:textId="1E6CFFC9" w:rsidR="002C2A73" w:rsidRPr="0036023B" w:rsidRDefault="002C2A73" w:rsidP="002C2A73">
            <w:pPr>
              <w:adjustRightInd w:val="0"/>
              <w:snapToGrid w:val="0"/>
              <w:spacing w:before="29" w:line="288" w:lineRule="auto"/>
              <w:jc w:val="center"/>
              <w:rPr>
                <w:sz w:val="24"/>
              </w:rPr>
            </w:pPr>
            <w:r w:rsidRPr="0036023B">
              <w:rPr>
                <w:sz w:val="24"/>
              </w:rPr>
              <w:t>206,476.00</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14:paraId="3778DC81" w14:textId="569D71E6" w:rsidR="002C2A73" w:rsidRPr="0036023B" w:rsidRDefault="002C2A73" w:rsidP="002C2A73">
            <w:pPr>
              <w:adjustRightInd w:val="0"/>
              <w:snapToGrid w:val="0"/>
              <w:spacing w:before="29" w:line="288" w:lineRule="auto"/>
              <w:jc w:val="center"/>
              <w:rPr>
                <w:sz w:val="24"/>
              </w:rPr>
            </w:pPr>
            <w:r w:rsidRPr="0036023B">
              <w:rPr>
                <w:sz w:val="24"/>
              </w:rPr>
              <w:t>0.32</w:t>
            </w:r>
          </w:p>
        </w:tc>
      </w:tr>
      <w:tr w:rsidR="002C2A73" w:rsidRPr="00433554" w14:paraId="56BFD205" w14:textId="77777777" w:rsidTr="00433554">
        <w:trPr>
          <w:trHeight w:val="390"/>
          <w:jc w:val="center"/>
        </w:trPr>
        <w:tc>
          <w:tcPr>
            <w:tcW w:w="845" w:type="dxa"/>
            <w:tcBorders>
              <w:top w:val="single" w:sz="4" w:space="0" w:color="000000"/>
              <w:left w:val="single" w:sz="4" w:space="0" w:color="000000"/>
              <w:bottom w:val="single" w:sz="4" w:space="0" w:color="000000"/>
              <w:right w:val="single" w:sz="4" w:space="0" w:color="000000"/>
            </w:tcBorders>
            <w:vAlign w:val="center"/>
          </w:tcPr>
          <w:p w14:paraId="28F1BD95" w14:textId="77777777" w:rsidR="002C2A73" w:rsidRPr="0036023B" w:rsidRDefault="002C2A73" w:rsidP="002C2A73">
            <w:pPr>
              <w:adjustRightInd w:val="0"/>
              <w:snapToGrid w:val="0"/>
              <w:spacing w:before="29" w:line="288" w:lineRule="auto"/>
              <w:jc w:val="center"/>
              <w:rPr>
                <w:sz w:val="24"/>
              </w:rPr>
            </w:pPr>
            <w:r w:rsidRPr="0036023B">
              <w:rPr>
                <w:sz w:val="24"/>
              </w:rPr>
              <w:t>H</w:t>
            </w:r>
          </w:p>
        </w:tc>
        <w:tc>
          <w:tcPr>
            <w:tcW w:w="3452"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14:paraId="5D02C0A3" w14:textId="77777777" w:rsidR="002C2A73" w:rsidRPr="0036023B" w:rsidRDefault="002C2A73" w:rsidP="002C2A73">
            <w:pPr>
              <w:adjustRightInd w:val="0"/>
              <w:snapToGrid w:val="0"/>
              <w:spacing w:before="29" w:line="288" w:lineRule="auto"/>
              <w:jc w:val="center"/>
              <w:rPr>
                <w:sz w:val="24"/>
              </w:rPr>
            </w:pPr>
            <w:r w:rsidRPr="0036023B">
              <w:rPr>
                <w:sz w:val="24"/>
              </w:rPr>
              <w:t>住宿和餐饮业</w:t>
            </w:r>
          </w:p>
        </w:tc>
        <w:tc>
          <w:tcPr>
            <w:tcW w:w="2897" w:type="dxa"/>
            <w:tcBorders>
              <w:top w:val="single" w:sz="4" w:space="0" w:color="000000"/>
              <w:left w:val="single" w:sz="4" w:space="0" w:color="auto"/>
              <w:bottom w:val="single" w:sz="4" w:space="0" w:color="000000"/>
              <w:right w:val="single" w:sz="4" w:space="0" w:color="000000"/>
            </w:tcBorders>
            <w:vAlign w:val="center"/>
          </w:tcPr>
          <w:p w14:paraId="4DA5204E" w14:textId="71276103" w:rsidR="002C2A73" w:rsidRPr="0036023B" w:rsidRDefault="002C2A73" w:rsidP="002C2A73">
            <w:pPr>
              <w:adjustRightInd w:val="0"/>
              <w:snapToGrid w:val="0"/>
              <w:spacing w:before="29" w:line="288" w:lineRule="auto"/>
              <w:jc w:val="center"/>
              <w:rPr>
                <w:sz w:val="24"/>
              </w:rPr>
            </w:pPr>
            <w:r w:rsidRPr="0036023B">
              <w:rPr>
                <w:sz w:val="24"/>
              </w:rPr>
              <w:t>-</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14:paraId="52D52A2D" w14:textId="0EC1B5D7" w:rsidR="002C2A73" w:rsidRPr="0036023B" w:rsidRDefault="002C2A73" w:rsidP="002C2A73">
            <w:pPr>
              <w:adjustRightInd w:val="0"/>
              <w:snapToGrid w:val="0"/>
              <w:spacing w:before="29" w:line="288" w:lineRule="auto"/>
              <w:jc w:val="center"/>
              <w:rPr>
                <w:sz w:val="24"/>
              </w:rPr>
            </w:pPr>
            <w:r w:rsidRPr="0036023B">
              <w:rPr>
                <w:sz w:val="24"/>
              </w:rPr>
              <w:t>-</w:t>
            </w:r>
          </w:p>
        </w:tc>
      </w:tr>
      <w:tr w:rsidR="002C2A73" w:rsidRPr="00433554" w14:paraId="3A49B6A4" w14:textId="77777777" w:rsidTr="00433554">
        <w:trPr>
          <w:trHeight w:val="390"/>
          <w:jc w:val="center"/>
        </w:trPr>
        <w:tc>
          <w:tcPr>
            <w:tcW w:w="845" w:type="dxa"/>
            <w:tcBorders>
              <w:top w:val="single" w:sz="4" w:space="0" w:color="000000"/>
              <w:left w:val="single" w:sz="4" w:space="0" w:color="000000"/>
              <w:bottom w:val="single" w:sz="4" w:space="0" w:color="000000"/>
              <w:right w:val="single" w:sz="4" w:space="0" w:color="000000"/>
            </w:tcBorders>
            <w:vAlign w:val="center"/>
          </w:tcPr>
          <w:p w14:paraId="17E8E335" w14:textId="77777777" w:rsidR="002C2A73" w:rsidRPr="0036023B" w:rsidRDefault="002C2A73" w:rsidP="002C2A73">
            <w:pPr>
              <w:adjustRightInd w:val="0"/>
              <w:snapToGrid w:val="0"/>
              <w:spacing w:before="29" w:line="288" w:lineRule="auto"/>
              <w:jc w:val="center"/>
              <w:rPr>
                <w:sz w:val="24"/>
              </w:rPr>
            </w:pPr>
            <w:r w:rsidRPr="0036023B">
              <w:rPr>
                <w:sz w:val="24"/>
              </w:rPr>
              <w:t>I</w:t>
            </w:r>
          </w:p>
        </w:tc>
        <w:tc>
          <w:tcPr>
            <w:tcW w:w="3452"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14:paraId="5C61367A" w14:textId="77777777" w:rsidR="002C2A73" w:rsidRPr="0036023B" w:rsidRDefault="002C2A73" w:rsidP="002C2A73">
            <w:pPr>
              <w:adjustRightInd w:val="0"/>
              <w:snapToGrid w:val="0"/>
              <w:spacing w:before="29" w:line="288" w:lineRule="auto"/>
              <w:jc w:val="center"/>
              <w:rPr>
                <w:sz w:val="24"/>
              </w:rPr>
            </w:pPr>
            <w:r w:rsidRPr="0036023B">
              <w:rPr>
                <w:sz w:val="24"/>
              </w:rPr>
              <w:t>信息传输、软件和信息技术服务业</w:t>
            </w:r>
          </w:p>
        </w:tc>
        <w:tc>
          <w:tcPr>
            <w:tcW w:w="2897" w:type="dxa"/>
            <w:tcBorders>
              <w:top w:val="single" w:sz="4" w:space="0" w:color="000000"/>
              <w:left w:val="single" w:sz="4" w:space="0" w:color="auto"/>
              <w:bottom w:val="single" w:sz="4" w:space="0" w:color="000000"/>
              <w:right w:val="single" w:sz="4" w:space="0" w:color="000000"/>
            </w:tcBorders>
            <w:vAlign w:val="center"/>
          </w:tcPr>
          <w:p w14:paraId="1873D870" w14:textId="3869B56C" w:rsidR="002C2A73" w:rsidRPr="0036023B" w:rsidRDefault="002C2A73" w:rsidP="002C2A73">
            <w:pPr>
              <w:adjustRightInd w:val="0"/>
              <w:snapToGrid w:val="0"/>
              <w:spacing w:before="29" w:line="288" w:lineRule="auto"/>
              <w:jc w:val="center"/>
              <w:rPr>
                <w:sz w:val="24"/>
              </w:rPr>
            </w:pPr>
            <w:r w:rsidRPr="0036023B">
              <w:rPr>
                <w:sz w:val="24"/>
              </w:rPr>
              <w:t>294,000.00</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14:paraId="2F430CAB" w14:textId="4A61D28A" w:rsidR="002C2A73" w:rsidRPr="0036023B" w:rsidRDefault="002C2A73" w:rsidP="002C2A73">
            <w:pPr>
              <w:adjustRightInd w:val="0"/>
              <w:snapToGrid w:val="0"/>
              <w:spacing w:before="29" w:line="288" w:lineRule="auto"/>
              <w:jc w:val="center"/>
              <w:rPr>
                <w:sz w:val="24"/>
              </w:rPr>
            </w:pPr>
            <w:r w:rsidRPr="0036023B">
              <w:rPr>
                <w:sz w:val="24"/>
              </w:rPr>
              <w:t>0.45</w:t>
            </w:r>
          </w:p>
        </w:tc>
      </w:tr>
      <w:tr w:rsidR="002C2A73" w:rsidRPr="00433554" w14:paraId="39183299" w14:textId="77777777" w:rsidTr="00433554">
        <w:trPr>
          <w:trHeight w:val="390"/>
          <w:jc w:val="center"/>
        </w:trPr>
        <w:tc>
          <w:tcPr>
            <w:tcW w:w="845" w:type="dxa"/>
            <w:tcBorders>
              <w:top w:val="single" w:sz="4" w:space="0" w:color="000000"/>
              <w:left w:val="single" w:sz="4" w:space="0" w:color="000000"/>
              <w:bottom w:val="single" w:sz="4" w:space="0" w:color="000000"/>
              <w:right w:val="single" w:sz="4" w:space="0" w:color="000000"/>
            </w:tcBorders>
            <w:vAlign w:val="center"/>
          </w:tcPr>
          <w:p w14:paraId="38F08619" w14:textId="77777777" w:rsidR="002C2A73" w:rsidRPr="00433554" w:rsidRDefault="002C2A73" w:rsidP="002C2A73">
            <w:pPr>
              <w:adjustRightInd w:val="0"/>
              <w:snapToGrid w:val="0"/>
              <w:spacing w:before="29" w:line="288" w:lineRule="auto"/>
              <w:jc w:val="center"/>
              <w:rPr>
                <w:sz w:val="24"/>
              </w:rPr>
            </w:pPr>
            <w:r w:rsidRPr="0036023B">
              <w:rPr>
                <w:color w:val="000000"/>
                <w:sz w:val="24"/>
              </w:rPr>
              <w:lastRenderedPageBreak/>
              <w:t>J</w:t>
            </w:r>
          </w:p>
        </w:tc>
        <w:tc>
          <w:tcPr>
            <w:tcW w:w="3452"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14:paraId="7E5542B9" w14:textId="77777777" w:rsidR="002C2A73" w:rsidRPr="00433554" w:rsidRDefault="002C2A73" w:rsidP="002C2A73">
            <w:pPr>
              <w:adjustRightInd w:val="0"/>
              <w:snapToGrid w:val="0"/>
              <w:spacing w:before="29" w:line="288" w:lineRule="auto"/>
              <w:jc w:val="center"/>
              <w:rPr>
                <w:sz w:val="24"/>
              </w:rPr>
            </w:pPr>
            <w:r w:rsidRPr="0036023B">
              <w:rPr>
                <w:color w:val="000000"/>
                <w:sz w:val="24"/>
              </w:rPr>
              <w:t>金融业</w:t>
            </w:r>
          </w:p>
        </w:tc>
        <w:tc>
          <w:tcPr>
            <w:tcW w:w="2897" w:type="dxa"/>
            <w:tcBorders>
              <w:top w:val="single" w:sz="4" w:space="0" w:color="000000"/>
              <w:left w:val="single" w:sz="4" w:space="0" w:color="auto"/>
              <w:bottom w:val="single" w:sz="4" w:space="0" w:color="000000"/>
              <w:right w:val="single" w:sz="4" w:space="0" w:color="000000"/>
            </w:tcBorders>
            <w:vAlign w:val="center"/>
          </w:tcPr>
          <w:p w14:paraId="27EDA4A6" w14:textId="25D6DDF6" w:rsidR="002C2A73" w:rsidRPr="0036023B" w:rsidRDefault="002C2A73" w:rsidP="002C2A73">
            <w:pPr>
              <w:adjustRightInd w:val="0"/>
              <w:snapToGrid w:val="0"/>
              <w:spacing w:before="29" w:line="288" w:lineRule="auto"/>
              <w:jc w:val="center"/>
              <w:rPr>
                <w:sz w:val="24"/>
              </w:rPr>
            </w:pPr>
            <w:r w:rsidRPr="0036023B">
              <w:rPr>
                <w:sz w:val="24"/>
              </w:rPr>
              <w:t>6,449,864.47</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14:paraId="62D24E71" w14:textId="3F0DFA70" w:rsidR="002C2A73" w:rsidRPr="0036023B" w:rsidRDefault="002C2A73" w:rsidP="002C2A73">
            <w:pPr>
              <w:adjustRightInd w:val="0"/>
              <w:snapToGrid w:val="0"/>
              <w:spacing w:before="29" w:line="288" w:lineRule="auto"/>
              <w:jc w:val="center"/>
              <w:rPr>
                <w:sz w:val="24"/>
              </w:rPr>
            </w:pPr>
            <w:r w:rsidRPr="0036023B">
              <w:rPr>
                <w:sz w:val="24"/>
              </w:rPr>
              <w:t>9.92</w:t>
            </w:r>
          </w:p>
        </w:tc>
      </w:tr>
      <w:tr w:rsidR="002C2A73" w:rsidRPr="00433554" w14:paraId="3366BA7A" w14:textId="77777777" w:rsidTr="00433554">
        <w:trPr>
          <w:trHeight w:val="390"/>
          <w:jc w:val="center"/>
        </w:trPr>
        <w:tc>
          <w:tcPr>
            <w:tcW w:w="845" w:type="dxa"/>
            <w:tcBorders>
              <w:top w:val="single" w:sz="4" w:space="0" w:color="000000"/>
              <w:left w:val="single" w:sz="4" w:space="0" w:color="000000"/>
              <w:bottom w:val="single" w:sz="4" w:space="0" w:color="000000"/>
              <w:right w:val="single" w:sz="4" w:space="0" w:color="000000"/>
            </w:tcBorders>
            <w:vAlign w:val="center"/>
          </w:tcPr>
          <w:p w14:paraId="7059E07C" w14:textId="77777777" w:rsidR="002C2A73" w:rsidRPr="00433554" w:rsidRDefault="002C2A73" w:rsidP="002C2A73">
            <w:pPr>
              <w:adjustRightInd w:val="0"/>
              <w:snapToGrid w:val="0"/>
              <w:spacing w:before="29" w:line="288" w:lineRule="auto"/>
              <w:jc w:val="center"/>
              <w:rPr>
                <w:sz w:val="24"/>
              </w:rPr>
            </w:pPr>
            <w:r w:rsidRPr="0036023B">
              <w:rPr>
                <w:color w:val="000000"/>
                <w:sz w:val="24"/>
              </w:rPr>
              <w:t>K</w:t>
            </w:r>
          </w:p>
        </w:tc>
        <w:tc>
          <w:tcPr>
            <w:tcW w:w="3452"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14:paraId="4305EB22" w14:textId="77777777" w:rsidR="002C2A73" w:rsidRPr="00433554" w:rsidRDefault="002C2A73" w:rsidP="002C2A73">
            <w:pPr>
              <w:adjustRightInd w:val="0"/>
              <w:snapToGrid w:val="0"/>
              <w:spacing w:before="29" w:line="288" w:lineRule="auto"/>
              <w:jc w:val="center"/>
              <w:rPr>
                <w:sz w:val="24"/>
              </w:rPr>
            </w:pPr>
            <w:r w:rsidRPr="0036023B">
              <w:rPr>
                <w:color w:val="000000"/>
                <w:sz w:val="24"/>
              </w:rPr>
              <w:t>房地产业</w:t>
            </w:r>
          </w:p>
        </w:tc>
        <w:tc>
          <w:tcPr>
            <w:tcW w:w="2897" w:type="dxa"/>
            <w:tcBorders>
              <w:top w:val="single" w:sz="4" w:space="0" w:color="000000"/>
              <w:left w:val="single" w:sz="4" w:space="0" w:color="auto"/>
              <w:bottom w:val="single" w:sz="4" w:space="0" w:color="000000"/>
              <w:right w:val="single" w:sz="4" w:space="0" w:color="000000"/>
            </w:tcBorders>
            <w:vAlign w:val="center"/>
          </w:tcPr>
          <w:p w14:paraId="551A5B61" w14:textId="164D6CE3" w:rsidR="002C2A73" w:rsidRPr="0036023B" w:rsidRDefault="002C2A73" w:rsidP="002C2A73">
            <w:pPr>
              <w:adjustRightInd w:val="0"/>
              <w:snapToGrid w:val="0"/>
              <w:spacing w:before="29" w:line="288" w:lineRule="auto"/>
              <w:jc w:val="center"/>
              <w:rPr>
                <w:sz w:val="24"/>
              </w:rPr>
            </w:pPr>
            <w:r w:rsidRPr="0036023B">
              <w:rPr>
                <w:sz w:val="24"/>
              </w:rPr>
              <w:t>7,130,806.38</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14:paraId="6F3084E2" w14:textId="3356FDE8" w:rsidR="002C2A73" w:rsidRPr="0036023B" w:rsidRDefault="002C2A73" w:rsidP="002C2A73">
            <w:pPr>
              <w:adjustRightInd w:val="0"/>
              <w:snapToGrid w:val="0"/>
              <w:spacing w:before="29" w:line="288" w:lineRule="auto"/>
              <w:jc w:val="center"/>
              <w:rPr>
                <w:sz w:val="24"/>
              </w:rPr>
            </w:pPr>
            <w:r w:rsidRPr="0036023B">
              <w:rPr>
                <w:sz w:val="24"/>
              </w:rPr>
              <w:t>10.97</w:t>
            </w:r>
          </w:p>
        </w:tc>
      </w:tr>
      <w:tr w:rsidR="002C2A73" w:rsidRPr="00433554" w14:paraId="4C9BAA7C" w14:textId="77777777" w:rsidTr="00433554">
        <w:trPr>
          <w:trHeight w:val="390"/>
          <w:jc w:val="center"/>
        </w:trPr>
        <w:tc>
          <w:tcPr>
            <w:tcW w:w="845" w:type="dxa"/>
            <w:tcBorders>
              <w:top w:val="single" w:sz="4" w:space="0" w:color="000000"/>
              <w:left w:val="single" w:sz="4" w:space="0" w:color="000000"/>
              <w:bottom w:val="single" w:sz="4" w:space="0" w:color="000000"/>
              <w:right w:val="single" w:sz="4" w:space="0" w:color="000000"/>
            </w:tcBorders>
            <w:vAlign w:val="center"/>
          </w:tcPr>
          <w:p w14:paraId="070CB536" w14:textId="77777777" w:rsidR="002C2A73" w:rsidRPr="00433554" w:rsidRDefault="002C2A73" w:rsidP="002C2A73">
            <w:pPr>
              <w:adjustRightInd w:val="0"/>
              <w:snapToGrid w:val="0"/>
              <w:spacing w:before="29" w:line="288" w:lineRule="auto"/>
              <w:jc w:val="center"/>
              <w:rPr>
                <w:sz w:val="24"/>
              </w:rPr>
            </w:pPr>
            <w:r w:rsidRPr="0036023B">
              <w:rPr>
                <w:color w:val="000000"/>
                <w:sz w:val="24"/>
              </w:rPr>
              <w:t>L</w:t>
            </w:r>
          </w:p>
        </w:tc>
        <w:tc>
          <w:tcPr>
            <w:tcW w:w="3452"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14:paraId="0D9098C2" w14:textId="77777777" w:rsidR="002C2A73" w:rsidRPr="00433554" w:rsidRDefault="002C2A73" w:rsidP="002C2A73">
            <w:pPr>
              <w:adjustRightInd w:val="0"/>
              <w:snapToGrid w:val="0"/>
              <w:spacing w:before="29" w:line="288" w:lineRule="auto"/>
              <w:jc w:val="center"/>
              <w:rPr>
                <w:sz w:val="24"/>
              </w:rPr>
            </w:pPr>
            <w:r w:rsidRPr="0036023B">
              <w:rPr>
                <w:color w:val="000000"/>
                <w:sz w:val="24"/>
              </w:rPr>
              <w:t>租赁和商务服务业</w:t>
            </w:r>
          </w:p>
        </w:tc>
        <w:tc>
          <w:tcPr>
            <w:tcW w:w="2897" w:type="dxa"/>
            <w:tcBorders>
              <w:top w:val="single" w:sz="4" w:space="0" w:color="000000"/>
              <w:left w:val="single" w:sz="4" w:space="0" w:color="auto"/>
              <w:bottom w:val="single" w:sz="4" w:space="0" w:color="000000"/>
              <w:right w:val="single" w:sz="4" w:space="0" w:color="000000"/>
            </w:tcBorders>
            <w:vAlign w:val="center"/>
          </w:tcPr>
          <w:p w14:paraId="7F411088" w14:textId="2B578506" w:rsidR="002C2A73" w:rsidRPr="0036023B" w:rsidRDefault="002C2A73" w:rsidP="002C2A73">
            <w:pPr>
              <w:adjustRightInd w:val="0"/>
              <w:snapToGrid w:val="0"/>
              <w:spacing w:before="29" w:line="288" w:lineRule="auto"/>
              <w:jc w:val="center"/>
              <w:rPr>
                <w:sz w:val="24"/>
              </w:rPr>
            </w:pPr>
            <w:r w:rsidRPr="0036023B">
              <w:rPr>
                <w:sz w:val="24"/>
              </w:rPr>
              <w:t>1,601,520.64</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14:paraId="7E242B3C" w14:textId="5797058E" w:rsidR="002C2A73" w:rsidRPr="0036023B" w:rsidRDefault="002C2A73" w:rsidP="002C2A73">
            <w:pPr>
              <w:adjustRightInd w:val="0"/>
              <w:snapToGrid w:val="0"/>
              <w:spacing w:before="29" w:line="288" w:lineRule="auto"/>
              <w:jc w:val="center"/>
              <w:rPr>
                <w:sz w:val="24"/>
              </w:rPr>
            </w:pPr>
            <w:r w:rsidRPr="0036023B">
              <w:rPr>
                <w:sz w:val="24"/>
              </w:rPr>
              <w:t>2.46</w:t>
            </w:r>
          </w:p>
        </w:tc>
      </w:tr>
      <w:tr w:rsidR="002C2A73" w:rsidRPr="00433554" w14:paraId="35403089" w14:textId="77777777" w:rsidTr="00433554">
        <w:trPr>
          <w:trHeight w:val="390"/>
          <w:jc w:val="center"/>
        </w:trPr>
        <w:tc>
          <w:tcPr>
            <w:tcW w:w="845" w:type="dxa"/>
            <w:tcBorders>
              <w:top w:val="single" w:sz="4" w:space="0" w:color="000000"/>
              <w:left w:val="single" w:sz="4" w:space="0" w:color="000000"/>
              <w:bottom w:val="single" w:sz="4" w:space="0" w:color="000000"/>
              <w:right w:val="single" w:sz="4" w:space="0" w:color="000000"/>
            </w:tcBorders>
            <w:vAlign w:val="center"/>
          </w:tcPr>
          <w:p w14:paraId="0AE84379" w14:textId="77777777" w:rsidR="002C2A73" w:rsidRPr="00433554" w:rsidRDefault="002C2A73" w:rsidP="002C2A73">
            <w:pPr>
              <w:adjustRightInd w:val="0"/>
              <w:snapToGrid w:val="0"/>
              <w:spacing w:before="29" w:line="288" w:lineRule="auto"/>
              <w:jc w:val="center"/>
              <w:rPr>
                <w:sz w:val="24"/>
              </w:rPr>
            </w:pPr>
            <w:r w:rsidRPr="0036023B">
              <w:rPr>
                <w:color w:val="000000"/>
                <w:sz w:val="24"/>
              </w:rPr>
              <w:t>M</w:t>
            </w:r>
          </w:p>
        </w:tc>
        <w:tc>
          <w:tcPr>
            <w:tcW w:w="3452"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14:paraId="0B712611" w14:textId="77777777" w:rsidR="002C2A73" w:rsidRPr="00433554" w:rsidRDefault="002C2A73" w:rsidP="002C2A73">
            <w:pPr>
              <w:adjustRightInd w:val="0"/>
              <w:snapToGrid w:val="0"/>
              <w:spacing w:before="29" w:line="288" w:lineRule="auto"/>
              <w:jc w:val="center"/>
              <w:rPr>
                <w:sz w:val="24"/>
              </w:rPr>
            </w:pPr>
            <w:r w:rsidRPr="0036023B">
              <w:rPr>
                <w:color w:val="000000"/>
                <w:sz w:val="24"/>
              </w:rPr>
              <w:t>科学研究和技术服务业</w:t>
            </w:r>
          </w:p>
        </w:tc>
        <w:tc>
          <w:tcPr>
            <w:tcW w:w="2897" w:type="dxa"/>
            <w:tcBorders>
              <w:top w:val="single" w:sz="4" w:space="0" w:color="000000"/>
              <w:left w:val="single" w:sz="4" w:space="0" w:color="auto"/>
              <w:bottom w:val="single" w:sz="4" w:space="0" w:color="000000"/>
              <w:right w:val="single" w:sz="4" w:space="0" w:color="000000"/>
            </w:tcBorders>
            <w:vAlign w:val="center"/>
          </w:tcPr>
          <w:p w14:paraId="0ECE1AFE" w14:textId="57BCF246" w:rsidR="002C2A73" w:rsidRPr="0036023B" w:rsidRDefault="002C2A73" w:rsidP="002C2A73">
            <w:pPr>
              <w:adjustRightInd w:val="0"/>
              <w:snapToGrid w:val="0"/>
              <w:spacing w:before="29" w:line="288" w:lineRule="auto"/>
              <w:jc w:val="center"/>
              <w:rPr>
                <w:sz w:val="24"/>
              </w:rPr>
            </w:pPr>
            <w:r w:rsidRPr="0036023B">
              <w:rPr>
                <w:sz w:val="24"/>
              </w:rPr>
              <w:t>-</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14:paraId="13EE3A53" w14:textId="06A75188" w:rsidR="002C2A73" w:rsidRPr="0036023B" w:rsidRDefault="002C2A73" w:rsidP="002C2A73">
            <w:pPr>
              <w:adjustRightInd w:val="0"/>
              <w:snapToGrid w:val="0"/>
              <w:spacing w:before="29" w:line="288" w:lineRule="auto"/>
              <w:jc w:val="center"/>
              <w:rPr>
                <w:sz w:val="24"/>
              </w:rPr>
            </w:pPr>
            <w:r w:rsidRPr="0036023B">
              <w:rPr>
                <w:sz w:val="24"/>
              </w:rPr>
              <w:t>-</w:t>
            </w:r>
          </w:p>
        </w:tc>
      </w:tr>
      <w:tr w:rsidR="002C2A73" w:rsidRPr="00433554" w14:paraId="58BA7B4F" w14:textId="77777777" w:rsidTr="00433554">
        <w:trPr>
          <w:trHeight w:val="390"/>
          <w:jc w:val="center"/>
        </w:trPr>
        <w:tc>
          <w:tcPr>
            <w:tcW w:w="845" w:type="dxa"/>
            <w:tcBorders>
              <w:top w:val="single" w:sz="4" w:space="0" w:color="000000"/>
              <w:left w:val="single" w:sz="4" w:space="0" w:color="000000"/>
              <w:bottom w:val="single" w:sz="4" w:space="0" w:color="000000"/>
              <w:right w:val="single" w:sz="4" w:space="0" w:color="000000"/>
            </w:tcBorders>
            <w:vAlign w:val="center"/>
          </w:tcPr>
          <w:p w14:paraId="7A92BBF3" w14:textId="77777777" w:rsidR="002C2A73" w:rsidRPr="00433554" w:rsidRDefault="002C2A73" w:rsidP="002C2A73">
            <w:pPr>
              <w:adjustRightInd w:val="0"/>
              <w:snapToGrid w:val="0"/>
              <w:spacing w:before="29" w:line="288" w:lineRule="auto"/>
              <w:jc w:val="center"/>
              <w:rPr>
                <w:sz w:val="24"/>
              </w:rPr>
            </w:pPr>
            <w:r w:rsidRPr="0036023B">
              <w:rPr>
                <w:color w:val="000000"/>
                <w:sz w:val="24"/>
              </w:rPr>
              <w:t>N</w:t>
            </w:r>
          </w:p>
        </w:tc>
        <w:tc>
          <w:tcPr>
            <w:tcW w:w="3452"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14:paraId="6A4164B7" w14:textId="77777777" w:rsidR="002C2A73" w:rsidRPr="00433554" w:rsidRDefault="002C2A73" w:rsidP="002C2A73">
            <w:pPr>
              <w:adjustRightInd w:val="0"/>
              <w:snapToGrid w:val="0"/>
              <w:spacing w:before="29" w:line="288" w:lineRule="auto"/>
              <w:jc w:val="center"/>
              <w:rPr>
                <w:sz w:val="24"/>
              </w:rPr>
            </w:pPr>
            <w:r w:rsidRPr="0036023B">
              <w:rPr>
                <w:color w:val="000000"/>
                <w:sz w:val="24"/>
              </w:rPr>
              <w:t>水利、环境和公共设施管理业</w:t>
            </w:r>
          </w:p>
        </w:tc>
        <w:tc>
          <w:tcPr>
            <w:tcW w:w="2897" w:type="dxa"/>
            <w:tcBorders>
              <w:top w:val="single" w:sz="4" w:space="0" w:color="000000"/>
              <w:left w:val="single" w:sz="4" w:space="0" w:color="auto"/>
              <w:bottom w:val="single" w:sz="4" w:space="0" w:color="000000"/>
              <w:right w:val="single" w:sz="4" w:space="0" w:color="000000"/>
            </w:tcBorders>
            <w:vAlign w:val="center"/>
          </w:tcPr>
          <w:p w14:paraId="69C1C207" w14:textId="5BEF89AC" w:rsidR="002C2A73" w:rsidRPr="0036023B" w:rsidRDefault="002C2A73" w:rsidP="002C2A73">
            <w:pPr>
              <w:adjustRightInd w:val="0"/>
              <w:snapToGrid w:val="0"/>
              <w:spacing w:before="29" w:line="288" w:lineRule="auto"/>
              <w:jc w:val="center"/>
              <w:rPr>
                <w:sz w:val="24"/>
              </w:rPr>
            </w:pPr>
            <w:r w:rsidRPr="0036023B">
              <w:rPr>
                <w:sz w:val="24"/>
              </w:rPr>
              <w:t>645,019.26</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14:paraId="493D88EB" w14:textId="0F817F54" w:rsidR="002C2A73" w:rsidRPr="0036023B" w:rsidRDefault="002C2A73" w:rsidP="002C2A73">
            <w:pPr>
              <w:adjustRightInd w:val="0"/>
              <w:snapToGrid w:val="0"/>
              <w:spacing w:before="29" w:line="288" w:lineRule="auto"/>
              <w:jc w:val="center"/>
              <w:rPr>
                <w:sz w:val="24"/>
              </w:rPr>
            </w:pPr>
            <w:r w:rsidRPr="0036023B">
              <w:rPr>
                <w:sz w:val="24"/>
              </w:rPr>
              <w:t>0.99</w:t>
            </w:r>
          </w:p>
        </w:tc>
      </w:tr>
      <w:tr w:rsidR="002C2A73" w:rsidRPr="00433554" w14:paraId="76E52560" w14:textId="77777777" w:rsidTr="00433554">
        <w:trPr>
          <w:trHeight w:val="390"/>
          <w:jc w:val="center"/>
        </w:trPr>
        <w:tc>
          <w:tcPr>
            <w:tcW w:w="845" w:type="dxa"/>
            <w:tcBorders>
              <w:top w:val="single" w:sz="4" w:space="0" w:color="000000"/>
              <w:left w:val="single" w:sz="4" w:space="0" w:color="000000"/>
              <w:bottom w:val="single" w:sz="4" w:space="0" w:color="000000"/>
              <w:right w:val="single" w:sz="4" w:space="0" w:color="000000"/>
            </w:tcBorders>
            <w:vAlign w:val="center"/>
          </w:tcPr>
          <w:p w14:paraId="05195AAC" w14:textId="77777777" w:rsidR="002C2A73" w:rsidRPr="00433554" w:rsidRDefault="002C2A73" w:rsidP="002C2A73">
            <w:pPr>
              <w:adjustRightInd w:val="0"/>
              <w:snapToGrid w:val="0"/>
              <w:spacing w:before="29" w:line="288" w:lineRule="auto"/>
              <w:jc w:val="center"/>
              <w:rPr>
                <w:sz w:val="24"/>
              </w:rPr>
            </w:pPr>
            <w:r w:rsidRPr="0036023B">
              <w:rPr>
                <w:color w:val="000000"/>
                <w:sz w:val="24"/>
              </w:rPr>
              <w:t>O</w:t>
            </w:r>
          </w:p>
        </w:tc>
        <w:tc>
          <w:tcPr>
            <w:tcW w:w="3452"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14:paraId="38B82B36" w14:textId="77777777" w:rsidR="002C2A73" w:rsidRPr="00433554" w:rsidRDefault="002C2A73" w:rsidP="002C2A73">
            <w:pPr>
              <w:adjustRightInd w:val="0"/>
              <w:snapToGrid w:val="0"/>
              <w:spacing w:before="29" w:line="288" w:lineRule="auto"/>
              <w:jc w:val="center"/>
              <w:rPr>
                <w:sz w:val="24"/>
              </w:rPr>
            </w:pPr>
            <w:r w:rsidRPr="0036023B">
              <w:rPr>
                <w:color w:val="000000"/>
                <w:sz w:val="24"/>
              </w:rPr>
              <w:t>居民服务、修理和其他服务业</w:t>
            </w:r>
          </w:p>
        </w:tc>
        <w:tc>
          <w:tcPr>
            <w:tcW w:w="2897" w:type="dxa"/>
            <w:tcBorders>
              <w:top w:val="single" w:sz="4" w:space="0" w:color="000000"/>
              <w:left w:val="single" w:sz="4" w:space="0" w:color="auto"/>
              <w:bottom w:val="single" w:sz="4" w:space="0" w:color="000000"/>
              <w:right w:val="single" w:sz="4" w:space="0" w:color="000000"/>
            </w:tcBorders>
            <w:vAlign w:val="center"/>
          </w:tcPr>
          <w:p w14:paraId="0C5E8F56" w14:textId="75FE65F2" w:rsidR="002C2A73" w:rsidRPr="0036023B" w:rsidRDefault="002C2A73" w:rsidP="002C2A73">
            <w:pPr>
              <w:adjustRightInd w:val="0"/>
              <w:snapToGrid w:val="0"/>
              <w:spacing w:before="29" w:line="288" w:lineRule="auto"/>
              <w:jc w:val="center"/>
              <w:rPr>
                <w:sz w:val="24"/>
              </w:rPr>
            </w:pPr>
            <w:r w:rsidRPr="0036023B">
              <w:rPr>
                <w:sz w:val="24"/>
              </w:rPr>
              <w:t>-</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14:paraId="22AD8C1E" w14:textId="3B99EA1A" w:rsidR="002C2A73" w:rsidRPr="0036023B" w:rsidRDefault="002C2A73" w:rsidP="002C2A73">
            <w:pPr>
              <w:adjustRightInd w:val="0"/>
              <w:snapToGrid w:val="0"/>
              <w:spacing w:before="29" w:line="288" w:lineRule="auto"/>
              <w:jc w:val="center"/>
              <w:rPr>
                <w:sz w:val="24"/>
              </w:rPr>
            </w:pPr>
            <w:r w:rsidRPr="0036023B">
              <w:rPr>
                <w:sz w:val="24"/>
              </w:rPr>
              <w:t>-</w:t>
            </w:r>
          </w:p>
        </w:tc>
      </w:tr>
      <w:tr w:rsidR="002C2A73" w:rsidRPr="00433554" w14:paraId="2127505D" w14:textId="77777777" w:rsidTr="00433554">
        <w:trPr>
          <w:trHeight w:val="390"/>
          <w:jc w:val="center"/>
        </w:trPr>
        <w:tc>
          <w:tcPr>
            <w:tcW w:w="845" w:type="dxa"/>
            <w:tcBorders>
              <w:top w:val="single" w:sz="4" w:space="0" w:color="000000"/>
              <w:left w:val="single" w:sz="4" w:space="0" w:color="000000"/>
              <w:bottom w:val="single" w:sz="4" w:space="0" w:color="000000"/>
              <w:right w:val="single" w:sz="4" w:space="0" w:color="000000"/>
            </w:tcBorders>
            <w:vAlign w:val="center"/>
          </w:tcPr>
          <w:p w14:paraId="4FD7C2D8" w14:textId="77777777" w:rsidR="002C2A73" w:rsidRPr="00433554" w:rsidRDefault="002C2A73" w:rsidP="002C2A73">
            <w:pPr>
              <w:adjustRightInd w:val="0"/>
              <w:snapToGrid w:val="0"/>
              <w:spacing w:before="29" w:line="288" w:lineRule="auto"/>
              <w:jc w:val="center"/>
              <w:rPr>
                <w:sz w:val="24"/>
              </w:rPr>
            </w:pPr>
            <w:r w:rsidRPr="0036023B">
              <w:rPr>
                <w:color w:val="000000"/>
                <w:sz w:val="24"/>
              </w:rPr>
              <w:t>P</w:t>
            </w:r>
          </w:p>
        </w:tc>
        <w:tc>
          <w:tcPr>
            <w:tcW w:w="3452"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14:paraId="235AB2C2" w14:textId="77777777" w:rsidR="002C2A73" w:rsidRPr="00433554" w:rsidRDefault="002C2A73" w:rsidP="002C2A73">
            <w:pPr>
              <w:adjustRightInd w:val="0"/>
              <w:snapToGrid w:val="0"/>
              <w:spacing w:before="29" w:line="288" w:lineRule="auto"/>
              <w:jc w:val="center"/>
              <w:rPr>
                <w:sz w:val="24"/>
              </w:rPr>
            </w:pPr>
            <w:r w:rsidRPr="0036023B">
              <w:rPr>
                <w:color w:val="000000"/>
                <w:sz w:val="24"/>
              </w:rPr>
              <w:t>教育</w:t>
            </w:r>
          </w:p>
        </w:tc>
        <w:tc>
          <w:tcPr>
            <w:tcW w:w="2897" w:type="dxa"/>
            <w:tcBorders>
              <w:top w:val="single" w:sz="4" w:space="0" w:color="000000"/>
              <w:left w:val="single" w:sz="4" w:space="0" w:color="auto"/>
              <w:bottom w:val="single" w:sz="4" w:space="0" w:color="000000"/>
              <w:right w:val="single" w:sz="4" w:space="0" w:color="000000"/>
            </w:tcBorders>
            <w:vAlign w:val="center"/>
          </w:tcPr>
          <w:p w14:paraId="69889198" w14:textId="1AB6C495" w:rsidR="002C2A73" w:rsidRPr="0036023B" w:rsidRDefault="002C2A73" w:rsidP="002C2A73">
            <w:pPr>
              <w:adjustRightInd w:val="0"/>
              <w:snapToGrid w:val="0"/>
              <w:spacing w:before="29" w:line="288" w:lineRule="auto"/>
              <w:jc w:val="center"/>
              <w:rPr>
                <w:sz w:val="24"/>
              </w:rPr>
            </w:pPr>
            <w:r w:rsidRPr="0036023B">
              <w:rPr>
                <w:sz w:val="24"/>
              </w:rPr>
              <w:t>-</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14:paraId="37465B3F" w14:textId="70A05980" w:rsidR="002C2A73" w:rsidRPr="0036023B" w:rsidRDefault="002C2A73" w:rsidP="002C2A73">
            <w:pPr>
              <w:adjustRightInd w:val="0"/>
              <w:snapToGrid w:val="0"/>
              <w:spacing w:before="29" w:line="288" w:lineRule="auto"/>
              <w:jc w:val="center"/>
              <w:rPr>
                <w:sz w:val="24"/>
              </w:rPr>
            </w:pPr>
            <w:r w:rsidRPr="0036023B">
              <w:rPr>
                <w:sz w:val="24"/>
              </w:rPr>
              <w:t>-</w:t>
            </w:r>
          </w:p>
        </w:tc>
      </w:tr>
      <w:tr w:rsidR="002C2A73" w:rsidRPr="00433554" w14:paraId="512BF2E5" w14:textId="77777777" w:rsidTr="00433554">
        <w:trPr>
          <w:trHeight w:val="390"/>
          <w:jc w:val="center"/>
        </w:trPr>
        <w:tc>
          <w:tcPr>
            <w:tcW w:w="845" w:type="dxa"/>
            <w:tcBorders>
              <w:top w:val="single" w:sz="4" w:space="0" w:color="000000"/>
              <w:left w:val="single" w:sz="4" w:space="0" w:color="000000"/>
              <w:bottom w:val="single" w:sz="4" w:space="0" w:color="000000"/>
              <w:right w:val="single" w:sz="4" w:space="0" w:color="000000"/>
            </w:tcBorders>
            <w:vAlign w:val="center"/>
          </w:tcPr>
          <w:p w14:paraId="7C42B668" w14:textId="77777777" w:rsidR="002C2A73" w:rsidRPr="00433554" w:rsidRDefault="002C2A73" w:rsidP="002C2A73">
            <w:pPr>
              <w:adjustRightInd w:val="0"/>
              <w:snapToGrid w:val="0"/>
              <w:spacing w:before="29" w:line="288" w:lineRule="auto"/>
              <w:jc w:val="center"/>
              <w:rPr>
                <w:sz w:val="24"/>
              </w:rPr>
            </w:pPr>
            <w:r w:rsidRPr="0036023B">
              <w:rPr>
                <w:color w:val="000000"/>
                <w:sz w:val="24"/>
              </w:rPr>
              <w:t>Q</w:t>
            </w:r>
          </w:p>
        </w:tc>
        <w:tc>
          <w:tcPr>
            <w:tcW w:w="3452"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14:paraId="265C9D95" w14:textId="77777777" w:rsidR="002C2A73" w:rsidRPr="00433554" w:rsidRDefault="002C2A73" w:rsidP="002C2A73">
            <w:pPr>
              <w:adjustRightInd w:val="0"/>
              <w:snapToGrid w:val="0"/>
              <w:spacing w:before="29" w:line="288" w:lineRule="auto"/>
              <w:jc w:val="center"/>
              <w:rPr>
                <w:sz w:val="24"/>
              </w:rPr>
            </w:pPr>
            <w:r w:rsidRPr="0036023B">
              <w:rPr>
                <w:color w:val="000000"/>
                <w:sz w:val="24"/>
              </w:rPr>
              <w:t>卫生和社会工作</w:t>
            </w:r>
          </w:p>
        </w:tc>
        <w:tc>
          <w:tcPr>
            <w:tcW w:w="2897" w:type="dxa"/>
            <w:tcBorders>
              <w:top w:val="single" w:sz="4" w:space="0" w:color="000000"/>
              <w:left w:val="single" w:sz="4" w:space="0" w:color="auto"/>
              <w:bottom w:val="single" w:sz="4" w:space="0" w:color="000000"/>
              <w:right w:val="single" w:sz="4" w:space="0" w:color="000000"/>
            </w:tcBorders>
            <w:vAlign w:val="center"/>
          </w:tcPr>
          <w:p w14:paraId="4A1622E3" w14:textId="52966761" w:rsidR="002C2A73" w:rsidRPr="0036023B" w:rsidRDefault="002C2A73" w:rsidP="002C2A73">
            <w:pPr>
              <w:adjustRightInd w:val="0"/>
              <w:snapToGrid w:val="0"/>
              <w:spacing w:before="29" w:line="288" w:lineRule="auto"/>
              <w:jc w:val="center"/>
              <w:rPr>
                <w:sz w:val="24"/>
              </w:rPr>
            </w:pPr>
            <w:r w:rsidRPr="0036023B">
              <w:rPr>
                <w:sz w:val="24"/>
              </w:rPr>
              <w:t>-</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14:paraId="4E453C6D" w14:textId="6F08D305" w:rsidR="002C2A73" w:rsidRPr="0036023B" w:rsidRDefault="002C2A73" w:rsidP="002C2A73">
            <w:pPr>
              <w:adjustRightInd w:val="0"/>
              <w:snapToGrid w:val="0"/>
              <w:spacing w:before="29" w:line="288" w:lineRule="auto"/>
              <w:jc w:val="center"/>
              <w:rPr>
                <w:sz w:val="24"/>
              </w:rPr>
            </w:pPr>
            <w:r w:rsidRPr="0036023B">
              <w:rPr>
                <w:sz w:val="24"/>
              </w:rPr>
              <w:t>-</w:t>
            </w:r>
          </w:p>
        </w:tc>
      </w:tr>
      <w:tr w:rsidR="002C2A73" w:rsidRPr="00433554" w14:paraId="6850305B" w14:textId="77777777" w:rsidTr="00433554">
        <w:trPr>
          <w:trHeight w:val="390"/>
          <w:jc w:val="center"/>
        </w:trPr>
        <w:tc>
          <w:tcPr>
            <w:tcW w:w="845" w:type="dxa"/>
            <w:tcBorders>
              <w:top w:val="single" w:sz="4" w:space="0" w:color="000000"/>
              <w:left w:val="single" w:sz="4" w:space="0" w:color="000000"/>
              <w:bottom w:val="single" w:sz="4" w:space="0" w:color="000000"/>
              <w:right w:val="single" w:sz="4" w:space="0" w:color="000000"/>
            </w:tcBorders>
            <w:vAlign w:val="center"/>
          </w:tcPr>
          <w:p w14:paraId="1E12181B" w14:textId="77777777" w:rsidR="002C2A73" w:rsidRPr="00433554" w:rsidRDefault="002C2A73" w:rsidP="002C2A73">
            <w:pPr>
              <w:adjustRightInd w:val="0"/>
              <w:snapToGrid w:val="0"/>
              <w:spacing w:before="29" w:line="288" w:lineRule="auto"/>
              <w:jc w:val="center"/>
              <w:rPr>
                <w:sz w:val="24"/>
              </w:rPr>
            </w:pPr>
            <w:r w:rsidRPr="0036023B">
              <w:rPr>
                <w:color w:val="000000"/>
                <w:sz w:val="24"/>
              </w:rPr>
              <w:t>R</w:t>
            </w:r>
          </w:p>
        </w:tc>
        <w:tc>
          <w:tcPr>
            <w:tcW w:w="3452"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14:paraId="37338047" w14:textId="77777777" w:rsidR="002C2A73" w:rsidRPr="00433554" w:rsidRDefault="002C2A73" w:rsidP="002C2A73">
            <w:pPr>
              <w:adjustRightInd w:val="0"/>
              <w:snapToGrid w:val="0"/>
              <w:spacing w:before="29" w:line="288" w:lineRule="auto"/>
              <w:jc w:val="center"/>
              <w:rPr>
                <w:sz w:val="24"/>
              </w:rPr>
            </w:pPr>
            <w:r w:rsidRPr="0036023B">
              <w:rPr>
                <w:color w:val="000000"/>
                <w:sz w:val="24"/>
              </w:rPr>
              <w:t>文化、体育和娱乐业</w:t>
            </w:r>
          </w:p>
        </w:tc>
        <w:tc>
          <w:tcPr>
            <w:tcW w:w="2897" w:type="dxa"/>
            <w:tcBorders>
              <w:top w:val="single" w:sz="4" w:space="0" w:color="000000"/>
              <w:left w:val="single" w:sz="4" w:space="0" w:color="auto"/>
              <w:bottom w:val="single" w:sz="4" w:space="0" w:color="000000"/>
              <w:right w:val="single" w:sz="4" w:space="0" w:color="000000"/>
            </w:tcBorders>
            <w:vAlign w:val="center"/>
          </w:tcPr>
          <w:p w14:paraId="4DCCEDAC" w14:textId="40945E67" w:rsidR="002C2A73" w:rsidRPr="0036023B" w:rsidRDefault="002C2A73" w:rsidP="002C2A73">
            <w:pPr>
              <w:adjustRightInd w:val="0"/>
              <w:snapToGrid w:val="0"/>
              <w:spacing w:before="29" w:line="288" w:lineRule="auto"/>
              <w:jc w:val="center"/>
              <w:rPr>
                <w:sz w:val="24"/>
              </w:rPr>
            </w:pPr>
            <w:r w:rsidRPr="0036023B">
              <w:rPr>
                <w:sz w:val="24"/>
              </w:rPr>
              <w:t>401,651.25</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14:paraId="49C6BD12" w14:textId="16F66B5D" w:rsidR="002C2A73" w:rsidRPr="0036023B" w:rsidRDefault="002C2A73" w:rsidP="002C2A73">
            <w:pPr>
              <w:adjustRightInd w:val="0"/>
              <w:snapToGrid w:val="0"/>
              <w:spacing w:before="29" w:line="288" w:lineRule="auto"/>
              <w:jc w:val="center"/>
              <w:rPr>
                <w:sz w:val="24"/>
              </w:rPr>
            </w:pPr>
            <w:r w:rsidRPr="0036023B">
              <w:rPr>
                <w:sz w:val="24"/>
              </w:rPr>
              <w:t>0.62</w:t>
            </w:r>
          </w:p>
        </w:tc>
      </w:tr>
      <w:tr w:rsidR="002C2A73" w:rsidRPr="00433554" w14:paraId="4CFB1913" w14:textId="77777777" w:rsidTr="00433554">
        <w:trPr>
          <w:trHeight w:val="390"/>
          <w:jc w:val="center"/>
        </w:trPr>
        <w:tc>
          <w:tcPr>
            <w:tcW w:w="845" w:type="dxa"/>
            <w:tcBorders>
              <w:top w:val="single" w:sz="4" w:space="0" w:color="000000"/>
              <w:left w:val="single" w:sz="4" w:space="0" w:color="000000"/>
              <w:bottom w:val="single" w:sz="4" w:space="0" w:color="000000"/>
              <w:right w:val="single" w:sz="4" w:space="0" w:color="000000"/>
            </w:tcBorders>
            <w:vAlign w:val="center"/>
          </w:tcPr>
          <w:p w14:paraId="675C0493" w14:textId="77777777" w:rsidR="002C2A73" w:rsidRPr="00433554" w:rsidRDefault="002C2A73" w:rsidP="002C2A73">
            <w:pPr>
              <w:adjustRightInd w:val="0"/>
              <w:snapToGrid w:val="0"/>
              <w:spacing w:before="29" w:line="288" w:lineRule="auto"/>
              <w:jc w:val="center"/>
              <w:rPr>
                <w:sz w:val="24"/>
              </w:rPr>
            </w:pPr>
            <w:r w:rsidRPr="0036023B">
              <w:rPr>
                <w:color w:val="000000"/>
                <w:sz w:val="24"/>
              </w:rPr>
              <w:t>S</w:t>
            </w:r>
          </w:p>
        </w:tc>
        <w:tc>
          <w:tcPr>
            <w:tcW w:w="3452"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14:paraId="50285C5C" w14:textId="77777777" w:rsidR="002C2A73" w:rsidRPr="00433554" w:rsidRDefault="002C2A73" w:rsidP="002C2A73">
            <w:pPr>
              <w:adjustRightInd w:val="0"/>
              <w:snapToGrid w:val="0"/>
              <w:spacing w:before="29" w:line="288" w:lineRule="auto"/>
              <w:jc w:val="center"/>
              <w:rPr>
                <w:sz w:val="24"/>
              </w:rPr>
            </w:pPr>
            <w:r w:rsidRPr="0036023B">
              <w:rPr>
                <w:color w:val="000000"/>
                <w:sz w:val="24"/>
              </w:rPr>
              <w:t>综合</w:t>
            </w:r>
          </w:p>
        </w:tc>
        <w:tc>
          <w:tcPr>
            <w:tcW w:w="2897" w:type="dxa"/>
            <w:tcBorders>
              <w:top w:val="single" w:sz="4" w:space="0" w:color="000000"/>
              <w:left w:val="single" w:sz="4" w:space="0" w:color="auto"/>
              <w:bottom w:val="single" w:sz="4" w:space="0" w:color="000000"/>
              <w:right w:val="single" w:sz="4" w:space="0" w:color="000000"/>
            </w:tcBorders>
            <w:vAlign w:val="center"/>
          </w:tcPr>
          <w:p w14:paraId="376C10E9" w14:textId="06818F61" w:rsidR="002C2A73" w:rsidRPr="0036023B" w:rsidRDefault="002C2A73" w:rsidP="002C2A73">
            <w:pPr>
              <w:adjustRightInd w:val="0"/>
              <w:snapToGrid w:val="0"/>
              <w:spacing w:before="29" w:line="288" w:lineRule="auto"/>
              <w:jc w:val="center"/>
              <w:rPr>
                <w:sz w:val="24"/>
              </w:rPr>
            </w:pPr>
            <w:r w:rsidRPr="0036023B">
              <w:rPr>
                <w:sz w:val="24"/>
              </w:rPr>
              <w:t>-</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14:paraId="47D18C2B" w14:textId="33661F61" w:rsidR="002C2A73" w:rsidRPr="0036023B" w:rsidRDefault="002C2A73" w:rsidP="002C2A73">
            <w:pPr>
              <w:adjustRightInd w:val="0"/>
              <w:snapToGrid w:val="0"/>
              <w:spacing w:before="29" w:line="288" w:lineRule="auto"/>
              <w:jc w:val="center"/>
              <w:rPr>
                <w:sz w:val="24"/>
              </w:rPr>
            </w:pPr>
            <w:r w:rsidRPr="0036023B">
              <w:rPr>
                <w:sz w:val="24"/>
              </w:rPr>
              <w:t>-</w:t>
            </w:r>
          </w:p>
        </w:tc>
      </w:tr>
      <w:tr w:rsidR="002C2A73" w:rsidRPr="00433554" w14:paraId="0E5BF737" w14:textId="77777777" w:rsidTr="00433554">
        <w:trPr>
          <w:trHeight w:val="390"/>
          <w:jc w:val="center"/>
        </w:trPr>
        <w:tc>
          <w:tcPr>
            <w:tcW w:w="845" w:type="dxa"/>
            <w:tcBorders>
              <w:top w:val="single" w:sz="4" w:space="0" w:color="000000"/>
              <w:left w:val="single" w:sz="4" w:space="0" w:color="000000"/>
              <w:bottom w:val="single" w:sz="4" w:space="0" w:color="000000"/>
              <w:right w:val="single" w:sz="4" w:space="0" w:color="000000"/>
            </w:tcBorders>
            <w:vAlign w:val="center"/>
          </w:tcPr>
          <w:p w14:paraId="57FDC45E" w14:textId="77777777" w:rsidR="002C2A73" w:rsidRPr="00433554" w:rsidRDefault="002C2A73" w:rsidP="002C2A73">
            <w:pPr>
              <w:adjustRightInd w:val="0"/>
              <w:snapToGrid w:val="0"/>
              <w:spacing w:before="29" w:line="288" w:lineRule="auto"/>
              <w:jc w:val="center"/>
              <w:rPr>
                <w:sz w:val="24"/>
              </w:rPr>
            </w:pPr>
          </w:p>
        </w:tc>
        <w:tc>
          <w:tcPr>
            <w:tcW w:w="3452"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14:paraId="3D633B84" w14:textId="77777777" w:rsidR="002C2A73" w:rsidRPr="00433554" w:rsidRDefault="002C2A73" w:rsidP="002C2A73">
            <w:pPr>
              <w:adjustRightInd w:val="0"/>
              <w:snapToGrid w:val="0"/>
              <w:spacing w:before="29" w:line="288" w:lineRule="auto"/>
              <w:jc w:val="center"/>
              <w:rPr>
                <w:sz w:val="24"/>
              </w:rPr>
            </w:pPr>
            <w:r w:rsidRPr="0036023B">
              <w:rPr>
                <w:color w:val="000000"/>
                <w:sz w:val="24"/>
              </w:rPr>
              <w:t>合计</w:t>
            </w:r>
          </w:p>
        </w:tc>
        <w:tc>
          <w:tcPr>
            <w:tcW w:w="2897" w:type="dxa"/>
            <w:tcBorders>
              <w:top w:val="single" w:sz="4" w:space="0" w:color="000000"/>
              <w:left w:val="single" w:sz="4" w:space="0" w:color="auto"/>
              <w:bottom w:val="single" w:sz="4" w:space="0" w:color="000000"/>
              <w:right w:val="single" w:sz="4" w:space="0" w:color="000000"/>
            </w:tcBorders>
            <w:vAlign w:val="center"/>
          </w:tcPr>
          <w:p w14:paraId="22EF09FA" w14:textId="6FCEAD58" w:rsidR="002C2A73" w:rsidRPr="0036023B" w:rsidRDefault="002C2A73" w:rsidP="002C2A73">
            <w:pPr>
              <w:adjustRightInd w:val="0"/>
              <w:snapToGrid w:val="0"/>
              <w:spacing w:before="29" w:line="288" w:lineRule="auto"/>
              <w:jc w:val="center"/>
              <w:rPr>
                <w:sz w:val="24"/>
              </w:rPr>
            </w:pPr>
            <w:r w:rsidRPr="0036023B">
              <w:rPr>
                <w:sz w:val="24"/>
              </w:rPr>
              <w:t>64,540,870.67</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14:paraId="475E7930" w14:textId="66DCF264" w:rsidR="002C2A73" w:rsidRPr="0036023B" w:rsidRDefault="002C2A73" w:rsidP="002C2A73">
            <w:pPr>
              <w:adjustRightInd w:val="0"/>
              <w:snapToGrid w:val="0"/>
              <w:spacing w:before="29" w:line="288" w:lineRule="auto"/>
              <w:jc w:val="center"/>
              <w:rPr>
                <w:sz w:val="24"/>
              </w:rPr>
            </w:pPr>
            <w:r w:rsidRPr="0036023B">
              <w:rPr>
                <w:sz w:val="24"/>
              </w:rPr>
              <w:t>99.30</w:t>
            </w:r>
          </w:p>
        </w:tc>
      </w:tr>
    </w:tbl>
    <w:p w14:paraId="7927A51C" w14:textId="77777777" w:rsidR="00433554" w:rsidRDefault="00433554" w:rsidP="00433554">
      <w:pPr>
        <w:ind w:firstLineChars="176" w:firstLine="422"/>
        <w:jc w:val="left"/>
        <w:rPr>
          <w:rFonts w:eastAsiaTheme="minorEastAsia"/>
          <w:bCs/>
          <w:color w:val="000000" w:themeColor="text1"/>
          <w:kern w:val="0"/>
          <w:sz w:val="24"/>
        </w:rPr>
      </w:pPr>
    </w:p>
    <w:p w14:paraId="00F622DB" w14:textId="7F435315" w:rsidR="00433554" w:rsidRPr="00BA18F0" w:rsidRDefault="00433554" w:rsidP="00433554">
      <w:pPr>
        <w:ind w:firstLineChars="176" w:firstLine="422"/>
        <w:jc w:val="left"/>
        <w:rPr>
          <w:rFonts w:asciiTheme="minorEastAsia" w:eastAsiaTheme="minorEastAsia" w:hAnsiTheme="minorEastAsia"/>
          <w:bCs/>
          <w:color w:val="000000" w:themeColor="text1"/>
          <w:kern w:val="0"/>
          <w:sz w:val="24"/>
        </w:rPr>
      </w:pPr>
      <w:r w:rsidRPr="00BA18F0">
        <w:rPr>
          <w:rFonts w:eastAsiaTheme="minorEastAsia"/>
          <w:bCs/>
          <w:color w:val="000000" w:themeColor="text1"/>
          <w:kern w:val="0"/>
          <w:sz w:val="24"/>
        </w:rPr>
        <w:t>2.</w:t>
      </w:r>
      <w:r w:rsidR="00E231B5">
        <w:rPr>
          <w:rFonts w:eastAsiaTheme="minorEastAsia"/>
          <w:bCs/>
          <w:color w:val="000000" w:themeColor="text1"/>
          <w:kern w:val="0"/>
          <w:sz w:val="24"/>
        </w:rPr>
        <w:t>3</w:t>
      </w:r>
      <w:r w:rsidRPr="00BA18F0">
        <w:rPr>
          <w:rFonts w:asciiTheme="minorEastAsia" w:eastAsiaTheme="minorEastAsia" w:hAnsiTheme="minorEastAsia" w:hint="eastAsia"/>
          <w:bCs/>
          <w:color w:val="000000" w:themeColor="text1"/>
          <w:kern w:val="0"/>
          <w:sz w:val="24"/>
        </w:rPr>
        <w:t>报告期末按行业分类的</w:t>
      </w:r>
      <w:r w:rsidR="00DA745A">
        <w:rPr>
          <w:rFonts w:asciiTheme="minorEastAsia" w:eastAsiaTheme="minorEastAsia" w:hAnsiTheme="minorEastAsia" w:hint="eastAsia"/>
          <w:bCs/>
          <w:color w:val="000000" w:themeColor="text1"/>
          <w:kern w:val="0"/>
          <w:sz w:val="24"/>
        </w:rPr>
        <w:t>港股</w:t>
      </w:r>
      <w:r w:rsidRPr="00BA18F0">
        <w:rPr>
          <w:rFonts w:asciiTheme="minorEastAsia" w:eastAsiaTheme="minorEastAsia" w:hAnsiTheme="minorEastAsia" w:hint="eastAsia"/>
          <w:bCs/>
          <w:color w:val="000000" w:themeColor="text1"/>
          <w:kern w:val="0"/>
          <w:sz w:val="24"/>
        </w:rPr>
        <w:t>通投资股票投资组合</w:t>
      </w:r>
    </w:p>
    <w:p w14:paraId="7DA3CC73" w14:textId="54D757E2" w:rsidR="00433554" w:rsidRPr="00433554" w:rsidRDefault="00433554" w:rsidP="00174552">
      <w:pPr>
        <w:spacing w:before="29" w:line="360" w:lineRule="auto"/>
        <w:ind w:left="17" w:firstLineChars="170" w:firstLine="408"/>
        <w:rPr>
          <w:rFonts w:ascii="宋体" w:hAnsi="宋体"/>
          <w:color w:val="000000"/>
          <w:sz w:val="24"/>
        </w:rPr>
      </w:pPr>
      <w:r w:rsidRPr="00FF0BBF">
        <w:rPr>
          <w:color w:val="000000"/>
          <w:sz w:val="24"/>
        </w:rPr>
        <w:t>本基金本报告期末未持有通过</w:t>
      </w:r>
      <w:r w:rsidR="00DA745A">
        <w:rPr>
          <w:rFonts w:hint="eastAsia"/>
          <w:color w:val="000000"/>
          <w:sz w:val="24"/>
        </w:rPr>
        <w:t>港股</w:t>
      </w:r>
      <w:r w:rsidRPr="00FF0BBF">
        <w:rPr>
          <w:color w:val="000000"/>
          <w:sz w:val="24"/>
        </w:rPr>
        <w:t>通投资的股票。</w:t>
      </w:r>
    </w:p>
    <w:p w14:paraId="0FE74E05" w14:textId="77777777" w:rsidR="00CF57A4" w:rsidRDefault="00B13D46">
      <w:pPr>
        <w:spacing w:before="50" w:line="360" w:lineRule="auto"/>
        <w:ind w:firstLineChars="200" w:firstLine="480"/>
        <w:rPr>
          <w:rFonts w:ascii="宋体" w:hAnsi="宋体"/>
          <w:color w:val="000000"/>
          <w:sz w:val="24"/>
        </w:rPr>
      </w:pPr>
      <w:r>
        <w:rPr>
          <w:rFonts w:ascii="宋体" w:hAnsi="宋体" w:hint="eastAsia"/>
          <w:color w:val="000000"/>
          <w:sz w:val="24"/>
        </w:rPr>
        <w:t>3、报告期末按公允价值占基金资产净值比例大小的股票投资明细</w:t>
      </w:r>
    </w:p>
    <w:p w14:paraId="37A8C698" w14:textId="460808DD" w:rsidR="00CF57A4" w:rsidRDefault="00B13D46">
      <w:pPr>
        <w:spacing w:before="50" w:line="360" w:lineRule="auto"/>
        <w:ind w:firstLineChars="200" w:firstLine="480"/>
        <w:rPr>
          <w:rFonts w:ascii="宋体" w:hAnsi="宋体"/>
          <w:color w:val="000000"/>
          <w:sz w:val="24"/>
        </w:rPr>
      </w:pPr>
      <w:r>
        <w:rPr>
          <w:rFonts w:ascii="宋体" w:hAnsi="宋体" w:hint="eastAsia"/>
          <w:color w:val="000000"/>
          <w:sz w:val="24"/>
        </w:rPr>
        <w:t>（1）报告期末指数投资按公允价值占基金资产净值比例大小排序的前十名股票投资明细</w:t>
      </w:r>
    </w:p>
    <w:tbl>
      <w:tblPr>
        <w:tblStyle w:val="af6"/>
        <w:tblW w:w="8868" w:type="dxa"/>
        <w:tblLayout w:type="fixed"/>
        <w:tblLook w:val="04A0" w:firstRow="1" w:lastRow="0" w:firstColumn="1" w:lastColumn="0" w:noHBand="0" w:noVBand="1"/>
      </w:tblPr>
      <w:tblGrid>
        <w:gridCol w:w="850"/>
        <w:gridCol w:w="1327"/>
        <w:gridCol w:w="1769"/>
        <w:gridCol w:w="1327"/>
        <w:gridCol w:w="1915"/>
        <w:gridCol w:w="1680"/>
      </w:tblGrid>
      <w:tr w:rsidR="00433554" w:rsidRPr="00433554" w14:paraId="1B328454" w14:textId="77777777" w:rsidTr="00433554">
        <w:tc>
          <w:tcPr>
            <w:tcW w:w="850" w:type="dxa"/>
          </w:tcPr>
          <w:p w14:paraId="60D79892" w14:textId="77777777" w:rsidR="00433554" w:rsidRPr="00433554" w:rsidRDefault="00433554" w:rsidP="00433554">
            <w:pPr>
              <w:spacing w:before="29" w:line="288" w:lineRule="auto"/>
              <w:ind w:left="17"/>
              <w:jc w:val="center"/>
              <w:rPr>
                <w:color w:val="000000"/>
                <w:sz w:val="24"/>
              </w:rPr>
            </w:pPr>
            <w:r w:rsidRPr="00433554">
              <w:rPr>
                <w:rFonts w:hint="eastAsia"/>
                <w:color w:val="000000"/>
                <w:sz w:val="24"/>
              </w:rPr>
              <w:t>序号</w:t>
            </w:r>
          </w:p>
        </w:tc>
        <w:tc>
          <w:tcPr>
            <w:tcW w:w="1327" w:type="dxa"/>
          </w:tcPr>
          <w:p w14:paraId="4A0513B2" w14:textId="77777777" w:rsidR="00433554" w:rsidRPr="00433554" w:rsidRDefault="00433554" w:rsidP="00433554">
            <w:pPr>
              <w:spacing w:before="29" w:line="288" w:lineRule="auto"/>
              <w:ind w:left="17"/>
              <w:jc w:val="center"/>
              <w:rPr>
                <w:color w:val="000000"/>
                <w:sz w:val="24"/>
              </w:rPr>
            </w:pPr>
            <w:r w:rsidRPr="00433554">
              <w:rPr>
                <w:rFonts w:hint="eastAsia"/>
                <w:color w:val="000000"/>
                <w:sz w:val="24"/>
              </w:rPr>
              <w:t>股票代码</w:t>
            </w:r>
          </w:p>
        </w:tc>
        <w:tc>
          <w:tcPr>
            <w:tcW w:w="1769" w:type="dxa"/>
          </w:tcPr>
          <w:p w14:paraId="3FD17AC4" w14:textId="77777777" w:rsidR="00433554" w:rsidRPr="00433554" w:rsidRDefault="00433554" w:rsidP="00433554">
            <w:pPr>
              <w:spacing w:before="29" w:line="288" w:lineRule="auto"/>
              <w:ind w:left="17"/>
              <w:jc w:val="center"/>
              <w:rPr>
                <w:color w:val="000000"/>
                <w:sz w:val="24"/>
              </w:rPr>
            </w:pPr>
            <w:r w:rsidRPr="00433554">
              <w:rPr>
                <w:rFonts w:hint="eastAsia"/>
                <w:color w:val="000000"/>
                <w:sz w:val="24"/>
              </w:rPr>
              <w:t>股票名称</w:t>
            </w:r>
          </w:p>
        </w:tc>
        <w:tc>
          <w:tcPr>
            <w:tcW w:w="1327" w:type="dxa"/>
          </w:tcPr>
          <w:p w14:paraId="625F88A5" w14:textId="77777777" w:rsidR="00433554" w:rsidRPr="00433554" w:rsidRDefault="00433554" w:rsidP="00433554">
            <w:pPr>
              <w:spacing w:before="29" w:line="288" w:lineRule="auto"/>
              <w:ind w:left="17"/>
              <w:jc w:val="center"/>
              <w:rPr>
                <w:color w:val="000000"/>
                <w:sz w:val="24"/>
              </w:rPr>
            </w:pPr>
            <w:r w:rsidRPr="00433554">
              <w:rPr>
                <w:rFonts w:hint="eastAsia"/>
                <w:color w:val="000000"/>
                <w:sz w:val="24"/>
              </w:rPr>
              <w:t>数量（股）</w:t>
            </w:r>
          </w:p>
        </w:tc>
        <w:tc>
          <w:tcPr>
            <w:tcW w:w="1915" w:type="dxa"/>
          </w:tcPr>
          <w:p w14:paraId="0609FACF" w14:textId="77777777" w:rsidR="00433554" w:rsidRPr="00433554" w:rsidRDefault="00433554" w:rsidP="000B1B3C">
            <w:pPr>
              <w:spacing w:before="29" w:line="288" w:lineRule="auto"/>
              <w:ind w:left="17"/>
              <w:jc w:val="center"/>
              <w:rPr>
                <w:color w:val="000000"/>
                <w:sz w:val="24"/>
              </w:rPr>
            </w:pPr>
            <w:r w:rsidRPr="00433554">
              <w:rPr>
                <w:rFonts w:hint="eastAsia"/>
                <w:color w:val="000000"/>
                <w:sz w:val="24"/>
              </w:rPr>
              <w:t>公允价值</w:t>
            </w:r>
            <w:r w:rsidRPr="00433554">
              <w:rPr>
                <w:color w:val="000000"/>
                <w:sz w:val="24"/>
              </w:rPr>
              <w:t>(</w:t>
            </w:r>
            <w:r w:rsidRPr="00433554">
              <w:rPr>
                <w:rFonts w:hint="eastAsia"/>
                <w:color w:val="000000"/>
                <w:sz w:val="24"/>
              </w:rPr>
              <w:t>元</w:t>
            </w:r>
            <w:r w:rsidRPr="00433554">
              <w:rPr>
                <w:color w:val="000000"/>
                <w:sz w:val="24"/>
              </w:rPr>
              <w:t>)</w:t>
            </w:r>
          </w:p>
        </w:tc>
        <w:tc>
          <w:tcPr>
            <w:tcW w:w="1680" w:type="dxa"/>
          </w:tcPr>
          <w:p w14:paraId="47E79B02" w14:textId="77777777" w:rsidR="00433554" w:rsidRPr="00433554" w:rsidRDefault="00433554" w:rsidP="00433554">
            <w:pPr>
              <w:spacing w:before="29" w:line="288" w:lineRule="auto"/>
              <w:ind w:left="17"/>
              <w:jc w:val="center"/>
              <w:rPr>
                <w:color w:val="000000"/>
                <w:sz w:val="24"/>
              </w:rPr>
            </w:pPr>
            <w:r w:rsidRPr="00433554">
              <w:rPr>
                <w:rFonts w:hint="eastAsia"/>
                <w:color w:val="000000"/>
                <w:sz w:val="24"/>
              </w:rPr>
              <w:t>占基金资产净值比例（％）</w:t>
            </w:r>
          </w:p>
        </w:tc>
      </w:tr>
      <w:tr w:rsidR="002C2A73" w:rsidRPr="00433554" w14:paraId="792D51E3" w14:textId="77777777" w:rsidTr="00B43DFF">
        <w:tc>
          <w:tcPr>
            <w:tcW w:w="850" w:type="dxa"/>
            <w:vAlign w:val="center"/>
          </w:tcPr>
          <w:p w14:paraId="7C0B53DE" w14:textId="77777777" w:rsidR="002C2A73" w:rsidRPr="000B1B3C" w:rsidRDefault="002C2A73" w:rsidP="002C2A73">
            <w:pPr>
              <w:spacing w:before="29" w:line="288" w:lineRule="auto"/>
              <w:ind w:left="17"/>
              <w:jc w:val="center"/>
              <w:rPr>
                <w:color w:val="000000"/>
                <w:sz w:val="24"/>
              </w:rPr>
            </w:pPr>
            <w:r>
              <w:rPr>
                <w:color w:val="000000"/>
                <w:sz w:val="24"/>
              </w:rPr>
              <w:t>1</w:t>
            </w:r>
          </w:p>
        </w:tc>
        <w:tc>
          <w:tcPr>
            <w:tcW w:w="1327" w:type="dxa"/>
            <w:vAlign w:val="center"/>
          </w:tcPr>
          <w:p w14:paraId="599D652E" w14:textId="454BD60C" w:rsidR="002C2A73" w:rsidRPr="000B1B3C" w:rsidRDefault="002C2A73" w:rsidP="002C2A73">
            <w:pPr>
              <w:spacing w:before="29" w:line="288" w:lineRule="auto"/>
              <w:ind w:left="17"/>
              <w:jc w:val="center"/>
              <w:rPr>
                <w:color w:val="000000"/>
                <w:sz w:val="24"/>
              </w:rPr>
            </w:pPr>
            <w:r>
              <w:rPr>
                <w:color w:val="000000"/>
                <w:sz w:val="24"/>
              </w:rPr>
              <w:t>000333</w:t>
            </w:r>
          </w:p>
        </w:tc>
        <w:tc>
          <w:tcPr>
            <w:tcW w:w="1769" w:type="dxa"/>
            <w:vAlign w:val="center"/>
          </w:tcPr>
          <w:p w14:paraId="063F8788" w14:textId="095F5D89" w:rsidR="002C2A73" w:rsidRPr="000B1B3C" w:rsidRDefault="002C2A73" w:rsidP="002C2A73">
            <w:pPr>
              <w:spacing w:before="29" w:line="288" w:lineRule="auto"/>
              <w:ind w:left="17"/>
              <w:jc w:val="center"/>
              <w:rPr>
                <w:color w:val="000000"/>
                <w:sz w:val="24"/>
              </w:rPr>
            </w:pPr>
            <w:r>
              <w:rPr>
                <w:color w:val="000000"/>
                <w:sz w:val="24"/>
              </w:rPr>
              <w:t>美的集团</w:t>
            </w:r>
          </w:p>
        </w:tc>
        <w:tc>
          <w:tcPr>
            <w:tcW w:w="1327" w:type="dxa"/>
            <w:vAlign w:val="center"/>
          </w:tcPr>
          <w:p w14:paraId="4E3F1C82" w14:textId="2A93F5B6" w:rsidR="002C2A73" w:rsidRPr="000B1B3C" w:rsidRDefault="002C2A73" w:rsidP="002C2A73">
            <w:pPr>
              <w:spacing w:before="29" w:line="288" w:lineRule="auto"/>
              <w:ind w:left="17"/>
              <w:jc w:val="center"/>
              <w:rPr>
                <w:color w:val="000000"/>
                <w:sz w:val="24"/>
              </w:rPr>
            </w:pPr>
            <w:r>
              <w:rPr>
                <w:color w:val="000000"/>
                <w:sz w:val="24"/>
              </w:rPr>
              <w:t>103,087</w:t>
            </w:r>
          </w:p>
        </w:tc>
        <w:tc>
          <w:tcPr>
            <w:tcW w:w="1915" w:type="dxa"/>
            <w:vAlign w:val="center"/>
          </w:tcPr>
          <w:p w14:paraId="66359897" w14:textId="09460FA7" w:rsidR="002C2A73" w:rsidRPr="000B1B3C" w:rsidRDefault="002C2A73" w:rsidP="002C2A73">
            <w:pPr>
              <w:spacing w:before="29" w:line="288" w:lineRule="auto"/>
              <w:ind w:left="17"/>
              <w:jc w:val="center"/>
              <w:rPr>
                <w:color w:val="000000"/>
                <w:sz w:val="24"/>
              </w:rPr>
            </w:pPr>
            <w:r>
              <w:rPr>
                <w:color w:val="000000"/>
                <w:sz w:val="24"/>
              </w:rPr>
              <w:t>5,714,112.41</w:t>
            </w:r>
          </w:p>
        </w:tc>
        <w:tc>
          <w:tcPr>
            <w:tcW w:w="1680" w:type="dxa"/>
            <w:vAlign w:val="center"/>
          </w:tcPr>
          <w:p w14:paraId="312BD23E" w14:textId="5FD3268C" w:rsidR="002C2A73" w:rsidRPr="000B1B3C" w:rsidRDefault="002C2A73" w:rsidP="002C2A73">
            <w:pPr>
              <w:spacing w:before="29" w:line="288" w:lineRule="auto"/>
              <w:ind w:left="17"/>
              <w:jc w:val="center"/>
              <w:rPr>
                <w:color w:val="000000"/>
                <w:sz w:val="24"/>
              </w:rPr>
            </w:pPr>
            <w:r>
              <w:rPr>
                <w:color w:val="000000"/>
                <w:sz w:val="24"/>
              </w:rPr>
              <w:t>8.79</w:t>
            </w:r>
          </w:p>
        </w:tc>
      </w:tr>
      <w:tr w:rsidR="002C2A73" w:rsidRPr="00433554" w14:paraId="0F59657A" w14:textId="77777777" w:rsidTr="00B43DFF">
        <w:tc>
          <w:tcPr>
            <w:tcW w:w="850" w:type="dxa"/>
            <w:vAlign w:val="center"/>
          </w:tcPr>
          <w:p w14:paraId="5AAB6899" w14:textId="77777777" w:rsidR="002C2A73" w:rsidRPr="000B1B3C" w:rsidRDefault="002C2A73" w:rsidP="002C2A73">
            <w:pPr>
              <w:spacing w:before="29" w:line="288" w:lineRule="auto"/>
              <w:ind w:left="17"/>
              <w:jc w:val="center"/>
              <w:rPr>
                <w:color w:val="000000"/>
                <w:sz w:val="24"/>
              </w:rPr>
            </w:pPr>
            <w:r>
              <w:rPr>
                <w:color w:val="000000"/>
                <w:sz w:val="24"/>
              </w:rPr>
              <w:t>2</w:t>
            </w:r>
          </w:p>
        </w:tc>
        <w:tc>
          <w:tcPr>
            <w:tcW w:w="1327" w:type="dxa"/>
            <w:vAlign w:val="center"/>
          </w:tcPr>
          <w:p w14:paraId="7CD8AE96" w14:textId="427AC17E" w:rsidR="002C2A73" w:rsidRPr="000B1B3C" w:rsidRDefault="002C2A73" w:rsidP="002C2A73">
            <w:pPr>
              <w:spacing w:before="29" w:line="288" w:lineRule="auto"/>
              <w:ind w:left="17"/>
              <w:jc w:val="center"/>
              <w:rPr>
                <w:color w:val="000000"/>
                <w:sz w:val="24"/>
              </w:rPr>
            </w:pPr>
            <w:r>
              <w:rPr>
                <w:color w:val="000000"/>
                <w:sz w:val="24"/>
              </w:rPr>
              <w:t>000651</w:t>
            </w:r>
          </w:p>
        </w:tc>
        <w:tc>
          <w:tcPr>
            <w:tcW w:w="1769" w:type="dxa"/>
            <w:vAlign w:val="center"/>
          </w:tcPr>
          <w:p w14:paraId="1FAEBE1C" w14:textId="7A5DE98B" w:rsidR="002C2A73" w:rsidRPr="000B1B3C" w:rsidRDefault="002C2A73" w:rsidP="002C2A73">
            <w:pPr>
              <w:spacing w:before="29" w:line="288" w:lineRule="auto"/>
              <w:ind w:left="17"/>
              <w:jc w:val="center"/>
              <w:rPr>
                <w:color w:val="000000"/>
                <w:sz w:val="24"/>
              </w:rPr>
            </w:pPr>
            <w:r>
              <w:rPr>
                <w:color w:val="000000"/>
                <w:sz w:val="24"/>
              </w:rPr>
              <w:t>格力电器</w:t>
            </w:r>
          </w:p>
        </w:tc>
        <w:tc>
          <w:tcPr>
            <w:tcW w:w="1327" w:type="dxa"/>
            <w:vAlign w:val="center"/>
          </w:tcPr>
          <w:p w14:paraId="0DBFF757" w14:textId="7FD5737A" w:rsidR="002C2A73" w:rsidRPr="000B1B3C" w:rsidRDefault="002C2A73" w:rsidP="002C2A73">
            <w:pPr>
              <w:spacing w:before="29" w:line="288" w:lineRule="auto"/>
              <w:ind w:left="17"/>
              <w:jc w:val="center"/>
              <w:rPr>
                <w:color w:val="000000"/>
                <w:sz w:val="24"/>
              </w:rPr>
            </w:pPr>
            <w:r>
              <w:rPr>
                <w:color w:val="000000"/>
                <w:sz w:val="24"/>
              </w:rPr>
              <w:t>110,974</w:t>
            </w:r>
          </w:p>
        </w:tc>
        <w:tc>
          <w:tcPr>
            <w:tcW w:w="1915" w:type="dxa"/>
            <w:vAlign w:val="center"/>
          </w:tcPr>
          <w:p w14:paraId="18807CCE" w14:textId="3ABC046F" w:rsidR="002C2A73" w:rsidRPr="000B1B3C" w:rsidRDefault="002C2A73" w:rsidP="002C2A73">
            <w:pPr>
              <w:spacing w:before="29" w:line="288" w:lineRule="auto"/>
              <w:ind w:left="17"/>
              <w:jc w:val="center"/>
              <w:rPr>
                <w:color w:val="000000"/>
                <w:sz w:val="24"/>
              </w:rPr>
            </w:pPr>
            <w:r>
              <w:rPr>
                <w:color w:val="000000"/>
                <w:sz w:val="24"/>
              </w:rPr>
              <w:t>4,849,563.80</w:t>
            </w:r>
          </w:p>
        </w:tc>
        <w:tc>
          <w:tcPr>
            <w:tcW w:w="1680" w:type="dxa"/>
            <w:vAlign w:val="center"/>
          </w:tcPr>
          <w:p w14:paraId="1440A728" w14:textId="5A02EC91" w:rsidR="002C2A73" w:rsidRPr="000B1B3C" w:rsidRDefault="002C2A73" w:rsidP="002C2A73">
            <w:pPr>
              <w:spacing w:before="29" w:line="288" w:lineRule="auto"/>
              <w:ind w:left="17"/>
              <w:jc w:val="center"/>
              <w:rPr>
                <w:color w:val="000000"/>
                <w:sz w:val="24"/>
              </w:rPr>
            </w:pPr>
            <w:r>
              <w:rPr>
                <w:color w:val="000000"/>
                <w:sz w:val="24"/>
              </w:rPr>
              <w:t>7.46</w:t>
            </w:r>
          </w:p>
        </w:tc>
      </w:tr>
      <w:tr w:rsidR="002C2A73" w:rsidRPr="00433554" w14:paraId="3571BFD3" w14:textId="77777777" w:rsidTr="00B43DFF">
        <w:tc>
          <w:tcPr>
            <w:tcW w:w="850" w:type="dxa"/>
            <w:vAlign w:val="center"/>
          </w:tcPr>
          <w:p w14:paraId="7396B8C8" w14:textId="77777777" w:rsidR="002C2A73" w:rsidRPr="000B1B3C" w:rsidRDefault="002C2A73" w:rsidP="002C2A73">
            <w:pPr>
              <w:spacing w:before="29" w:line="288" w:lineRule="auto"/>
              <w:ind w:left="17"/>
              <w:jc w:val="center"/>
              <w:rPr>
                <w:color w:val="000000"/>
                <w:sz w:val="24"/>
              </w:rPr>
            </w:pPr>
            <w:r>
              <w:rPr>
                <w:color w:val="000000"/>
                <w:sz w:val="24"/>
              </w:rPr>
              <w:t>3</w:t>
            </w:r>
          </w:p>
        </w:tc>
        <w:tc>
          <w:tcPr>
            <w:tcW w:w="1327" w:type="dxa"/>
            <w:vAlign w:val="center"/>
          </w:tcPr>
          <w:p w14:paraId="783BCB16" w14:textId="3D3A5323" w:rsidR="002C2A73" w:rsidRPr="000B1B3C" w:rsidRDefault="002C2A73" w:rsidP="002C2A73">
            <w:pPr>
              <w:spacing w:before="29" w:line="288" w:lineRule="auto"/>
              <w:ind w:left="17"/>
              <w:jc w:val="center"/>
              <w:rPr>
                <w:color w:val="000000"/>
                <w:sz w:val="24"/>
              </w:rPr>
            </w:pPr>
            <w:r>
              <w:rPr>
                <w:color w:val="000000"/>
                <w:sz w:val="24"/>
              </w:rPr>
              <w:t>000858</w:t>
            </w:r>
          </w:p>
        </w:tc>
        <w:tc>
          <w:tcPr>
            <w:tcW w:w="1769" w:type="dxa"/>
            <w:vAlign w:val="center"/>
          </w:tcPr>
          <w:p w14:paraId="28EB03B4" w14:textId="0194451A" w:rsidR="002C2A73" w:rsidRPr="000B1B3C" w:rsidRDefault="002C2A73" w:rsidP="002C2A73">
            <w:pPr>
              <w:spacing w:before="29" w:line="288" w:lineRule="auto"/>
              <w:ind w:left="17"/>
              <w:jc w:val="center"/>
              <w:rPr>
                <w:color w:val="000000"/>
                <w:sz w:val="24"/>
              </w:rPr>
            </w:pPr>
            <w:r>
              <w:rPr>
                <w:color w:val="000000"/>
                <w:sz w:val="24"/>
              </w:rPr>
              <w:t>五</w:t>
            </w:r>
            <w:r>
              <w:rPr>
                <w:color w:val="000000"/>
                <w:sz w:val="24"/>
              </w:rPr>
              <w:t xml:space="preserve"> </w:t>
            </w:r>
            <w:r>
              <w:rPr>
                <w:color w:val="000000"/>
                <w:sz w:val="24"/>
              </w:rPr>
              <w:t>粮</w:t>
            </w:r>
            <w:r>
              <w:rPr>
                <w:color w:val="000000"/>
                <w:sz w:val="24"/>
              </w:rPr>
              <w:t xml:space="preserve"> </w:t>
            </w:r>
            <w:r>
              <w:rPr>
                <w:color w:val="000000"/>
                <w:sz w:val="24"/>
              </w:rPr>
              <w:t>液</w:t>
            </w:r>
          </w:p>
        </w:tc>
        <w:tc>
          <w:tcPr>
            <w:tcW w:w="1327" w:type="dxa"/>
            <w:vAlign w:val="center"/>
          </w:tcPr>
          <w:p w14:paraId="5AF9DBD8" w14:textId="302BB2B0" w:rsidR="002C2A73" w:rsidRPr="000B1B3C" w:rsidRDefault="002C2A73" w:rsidP="002C2A73">
            <w:pPr>
              <w:spacing w:before="29" w:line="288" w:lineRule="auto"/>
              <w:ind w:left="17"/>
              <w:jc w:val="center"/>
              <w:rPr>
                <w:color w:val="000000"/>
                <w:sz w:val="24"/>
              </w:rPr>
            </w:pPr>
            <w:r>
              <w:rPr>
                <w:color w:val="000000"/>
                <w:sz w:val="24"/>
              </w:rPr>
              <w:t>42,726</w:t>
            </w:r>
          </w:p>
        </w:tc>
        <w:tc>
          <w:tcPr>
            <w:tcW w:w="1915" w:type="dxa"/>
            <w:vAlign w:val="center"/>
          </w:tcPr>
          <w:p w14:paraId="3E73C3F0" w14:textId="1772E547" w:rsidR="002C2A73" w:rsidRPr="000B1B3C" w:rsidRDefault="002C2A73" w:rsidP="002C2A73">
            <w:pPr>
              <w:spacing w:before="29" w:line="288" w:lineRule="auto"/>
              <w:ind w:left="17"/>
              <w:jc w:val="center"/>
              <w:rPr>
                <w:color w:val="000000"/>
                <w:sz w:val="24"/>
              </w:rPr>
            </w:pPr>
            <w:r>
              <w:rPr>
                <w:color w:val="000000"/>
                <w:sz w:val="24"/>
              </w:rPr>
              <w:t>3,412,952.88</w:t>
            </w:r>
          </w:p>
        </w:tc>
        <w:tc>
          <w:tcPr>
            <w:tcW w:w="1680" w:type="dxa"/>
            <w:vAlign w:val="center"/>
          </w:tcPr>
          <w:p w14:paraId="7A309930" w14:textId="2DD2A3E2" w:rsidR="002C2A73" w:rsidRPr="000B1B3C" w:rsidRDefault="002C2A73" w:rsidP="002C2A73">
            <w:pPr>
              <w:spacing w:before="29" w:line="288" w:lineRule="auto"/>
              <w:ind w:left="17"/>
              <w:jc w:val="center"/>
              <w:rPr>
                <w:color w:val="000000"/>
                <w:sz w:val="24"/>
              </w:rPr>
            </w:pPr>
            <w:r>
              <w:rPr>
                <w:color w:val="000000"/>
                <w:sz w:val="24"/>
              </w:rPr>
              <w:t>5.25</w:t>
            </w:r>
          </w:p>
        </w:tc>
      </w:tr>
      <w:tr w:rsidR="002C2A73" w:rsidRPr="00433554" w14:paraId="5BC5A2D0" w14:textId="77777777" w:rsidTr="00B43DFF">
        <w:tc>
          <w:tcPr>
            <w:tcW w:w="850" w:type="dxa"/>
            <w:vAlign w:val="center"/>
          </w:tcPr>
          <w:p w14:paraId="67D8BF04" w14:textId="77777777" w:rsidR="002C2A73" w:rsidRPr="000B1B3C" w:rsidRDefault="002C2A73" w:rsidP="002C2A73">
            <w:pPr>
              <w:spacing w:before="29" w:line="288" w:lineRule="auto"/>
              <w:ind w:left="17"/>
              <w:jc w:val="center"/>
              <w:rPr>
                <w:color w:val="000000"/>
                <w:sz w:val="24"/>
              </w:rPr>
            </w:pPr>
            <w:r>
              <w:rPr>
                <w:color w:val="000000"/>
                <w:sz w:val="24"/>
              </w:rPr>
              <w:t>4</w:t>
            </w:r>
          </w:p>
        </w:tc>
        <w:tc>
          <w:tcPr>
            <w:tcW w:w="1327" w:type="dxa"/>
            <w:vAlign w:val="center"/>
          </w:tcPr>
          <w:p w14:paraId="0124F398" w14:textId="04E5D116" w:rsidR="002C2A73" w:rsidRPr="000B1B3C" w:rsidRDefault="002C2A73" w:rsidP="002C2A73">
            <w:pPr>
              <w:spacing w:before="29" w:line="288" w:lineRule="auto"/>
              <w:ind w:left="17"/>
              <w:jc w:val="center"/>
              <w:rPr>
                <w:color w:val="000000"/>
                <w:sz w:val="24"/>
              </w:rPr>
            </w:pPr>
            <w:r>
              <w:rPr>
                <w:color w:val="000000"/>
                <w:sz w:val="24"/>
              </w:rPr>
              <w:t>000725</w:t>
            </w:r>
          </w:p>
        </w:tc>
        <w:tc>
          <w:tcPr>
            <w:tcW w:w="1769" w:type="dxa"/>
            <w:vAlign w:val="center"/>
          </w:tcPr>
          <w:p w14:paraId="01A1BA5B" w14:textId="7F92E8C1" w:rsidR="002C2A73" w:rsidRPr="000B1B3C" w:rsidRDefault="002C2A73" w:rsidP="002C2A73">
            <w:pPr>
              <w:spacing w:before="29" w:line="288" w:lineRule="auto"/>
              <w:ind w:left="17"/>
              <w:jc w:val="center"/>
              <w:rPr>
                <w:color w:val="000000"/>
                <w:sz w:val="24"/>
              </w:rPr>
            </w:pPr>
            <w:r>
              <w:rPr>
                <w:color w:val="000000"/>
                <w:sz w:val="24"/>
              </w:rPr>
              <w:t>京东方Ａ</w:t>
            </w:r>
          </w:p>
        </w:tc>
        <w:tc>
          <w:tcPr>
            <w:tcW w:w="1327" w:type="dxa"/>
            <w:vAlign w:val="center"/>
          </w:tcPr>
          <w:p w14:paraId="3476E803" w14:textId="41F83FAB" w:rsidR="002C2A73" w:rsidRPr="000B1B3C" w:rsidRDefault="002C2A73" w:rsidP="002C2A73">
            <w:pPr>
              <w:spacing w:before="29" w:line="288" w:lineRule="auto"/>
              <w:ind w:left="17"/>
              <w:jc w:val="center"/>
              <w:rPr>
                <w:color w:val="000000"/>
                <w:sz w:val="24"/>
              </w:rPr>
            </w:pPr>
            <w:r>
              <w:rPr>
                <w:color w:val="000000"/>
                <w:sz w:val="24"/>
              </w:rPr>
              <w:t>585,385</w:t>
            </w:r>
          </w:p>
        </w:tc>
        <w:tc>
          <w:tcPr>
            <w:tcW w:w="1915" w:type="dxa"/>
            <w:vAlign w:val="center"/>
          </w:tcPr>
          <w:p w14:paraId="50AF8DD8" w14:textId="6BAF559D" w:rsidR="002C2A73" w:rsidRPr="000B1B3C" w:rsidRDefault="002C2A73" w:rsidP="002C2A73">
            <w:pPr>
              <w:spacing w:before="29" w:line="288" w:lineRule="auto"/>
              <w:ind w:left="17"/>
              <w:jc w:val="center"/>
              <w:rPr>
                <w:color w:val="000000"/>
                <w:sz w:val="24"/>
              </w:rPr>
            </w:pPr>
            <w:r>
              <w:rPr>
                <w:color w:val="000000"/>
                <w:sz w:val="24"/>
              </w:rPr>
              <w:t>3,389,379.15</w:t>
            </w:r>
          </w:p>
        </w:tc>
        <w:tc>
          <w:tcPr>
            <w:tcW w:w="1680" w:type="dxa"/>
            <w:vAlign w:val="center"/>
          </w:tcPr>
          <w:p w14:paraId="79E18559" w14:textId="407467B7" w:rsidR="002C2A73" w:rsidRPr="000B1B3C" w:rsidRDefault="002C2A73" w:rsidP="002C2A73">
            <w:pPr>
              <w:spacing w:before="29" w:line="288" w:lineRule="auto"/>
              <w:ind w:left="17"/>
              <w:jc w:val="center"/>
              <w:rPr>
                <w:color w:val="000000"/>
                <w:sz w:val="24"/>
              </w:rPr>
            </w:pPr>
            <w:r>
              <w:rPr>
                <w:color w:val="000000"/>
                <w:sz w:val="24"/>
              </w:rPr>
              <w:t>5.21</w:t>
            </w:r>
          </w:p>
        </w:tc>
      </w:tr>
      <w:tr w:rsidR="002C2A73" w:rsidRPr="00433554" w14:paraId="1C81845D" w14:textId="77777777" w:rsidTr="00B43DFF">
        <w:tc>
          <w:tcPr>
            <w:tcW w:w="850" w:type="dxa"/>
            <w:vAlign w:val="center"/>
          </w:tcPr>
          <w:p w14:paraId="4803EC97" w14:textId="77777777" w:rsidR="002C2A73" w:rsidRPr="000B1B3C" w:rsidRDefault="002C2A73" w:rsidP="002C2A73">
            <w:pPr>
              <w:spacing w:before="29" w:line="288" w:lineRule="auto"/>
              <w:ind w:left="17"/>
              <w:jc w:val="center"/>
              <w:rPr>
                <w:color w:val="000000"/>
                <w:sz w:val="24"/>
              </w:rPr>
            </w:pPr>
            <w:r>
              <w:rPr>
                <w:color w:val="000000"/>
                <w:sz w:val="24"/>
              </w:rPr>
              <w:t>5</w:t>
            </w:r>
          </w:p>
        </w:tc>
        <w:tc>
          <w:tcPr>
            <w:tcW w:w="1327" w:type="dxa"/>
            <w:vAlign w:val="center"/>
          </w:tcPr>
          <w:p w14:paraId="59982D54" w14:textId="4CBB9EBD" w:rsidR="002C2A73" w:rsidRPr="000B1B3C" w:rsidRDefault="002C2A73" w:rsidP="002C2A73">
            <w:pPr>
              <w:spacing w:before="29" w:line="288" w:lineRule="auto"/>
              <w:ind w:left="17"/>
              <w:jc w:val="center"/>
              <w:rPr>
                <w:color w:val="000000"/>
                <w:sz w:val="24"/>
              </w:rPr>
            </w:pPr>
            <w:r>
              <w:rPr>
                <w:color w:val="000000"/>
                <w:sz w:val="24"/>
              </w:rPr>
              <w:t>002415</w:t>
            </w:r>
          </w:p>
        </w:tc>
        <w:tc>
          <w:tcPr>
            <w:tcW w:w="1769" w:type="dxa"/>
            <w:vAlign w:val="center"/>
          </w:tcPr>
          <w:p w14:paraId="3E0FCC81" w14:textId="7202851E" w:rsidR="002C2A73" w:rsidRPr="000B1B3C" w:rsidRDefault="002C2A73" w:rsidP="002C2A73">
            <w:pPr>
              <w:spacing w:before="29" w:line="288" w:lineRule="auto"/>
              <w:ind w:left="17"/>
              <w:jc w:val="center"/>
              <w:rPr>
                <w:color w:val="000000"/>
                <w:sz w:val="24"/>
              </w:rPr>
            </w:pPr>
            <w:r>
              <w:rPr>
                <w:color w:val="000000"/>
                <w:sz w:val="24"/>
              </w:rPr>
              <w:t>海康威视</w:t>
            </w:r>
          </w:p>
        </w:tc>
        <w:tc>
          <w:tcPr>
            <w:tcW w:w="1327" w:type="dxa"/>
            <w:vAlign w:val="center"/>
          </w:tcPr>
          <w:p w14:paraId="7F25344C" w14:textId="65B9D2F2" w:rsidR="002C2A73" w:rsidRPr="000B1B3C" w:rsidRDefault="002C2A73" w:rsidP="002C2A73">
            <w:pPr>
              <w:spacing w:before="29" w:line="288" w:lineRule="auto"/>
              <w:ind w:left="17"/>
              <w:jc w:val="center"/>
              <w:rPr>
                <w:color w:val="000000"/>
                <w:sz w:val="24"/>
              </w:rPr>
            </w:pPr>
            <w:r>
              <w:rPr>
                <w:color w:val="000000"/>
                <w:sz w:val="24"/>
              </w:rPr>
              <w:t>75,350</w:t>
            </w:r>
          </w:p>
        </w:tc>
        <w:tc>
          <w:tcPr>
            <w:tcW w:w="1915" w:type="dxa"/>
            <w:vAlign w:val="center"/>
          </w:tcPr>
          <w:p w14:paraId="515433BB" w14:textId="24DE8248" w:rsidR="002C2A73" w:rsidRPr="000B1B3C" w:rsidRDefault="002C2A73" w:rsidP="002C2A73">
            <w:pPr>
              <w:spacing w:before="29" w:line="288" w:lineRule="auto"/>
              <w:ind w:left="17"/>
              <w:jc w:val="center"/>
              <w:rPr>
                <w:color w:val="000000"/>
                <w:sz w:val="24"/>
              </w:rPr>
            </w:pPr>
            <w:r>
              <w:rPr>
                <w:color w:val="000000"/>
                <w:sz w:val="24"/>
              </w:rPr>
              <w:t>2,938,650.00</w:t>
            </w:r>
          </w:p>
        </w:tc>
        <w:tc>
          <w:tcPr>
            <w:tcW w:w="1680" w:type="dxa"/>
            <w:vAlign w:val="center"/>
          </w:tcPr>
          <w:p w14:paraId="26516AF8" w14:textId="0738BB02" w:rsidR="002C2A73" w:rsidRPr="000B1B3C" w:rsidRDefault="002C2A73" w:rsidP="002C2A73">
            <w:pPr>
              <w:spacing w:before="29" w:line="288" w:lineRule="auto"/>
              <w:ind w:left="17"/>
              <w:jc w:val="center"/>
              <w:rPr>
                <w:color w:val="000000"/>
                <w:sz w:val="24"/>
              </w:rPr>
            </w:pPr>
            <w:r>
              <w:rPr>
                <w:color w:val="000000"/>
                <w:sz w:val="24"/>
              </w:rPr>
              <w:t>4.52</w:t>
            </w:r>
          </w:p>
        </w:tc>
      </w:tr>
      <w:tr w:rsidR="002C2A73" w:rsidRPr="00433554" w14:paraId="3F1BBBA0" w14:textId="77777777" w:rsidTr="00B43DFF">
        <w:tc>
          <w:tcPr>
            <w:tcW w:w="850" w:type="dxa"/>
            <w:vAlign w:val="center"/>
          </w:tcPr>
          <w:p w14:paraId="2FBF9637" w14:textId="77777777" w:rsidR="002C2A73" w:rsidRPr="000B1B3C" w:rsidRDefault="002C2A73" w:rsidP="002C2A73">
            <w:pPr>
              <w:spacing w:before="29" w:line="288" w:lineRule="auto"/>
              <w:ind w:left="17"/>
              <w:jc w:val="center"/>
              <w:rPr>
                <w:color w:val="000000"/>
                <w:sz w:val="24"/>
              </w:rPr>
            </w:pPr>
            <w:r>
              <w:rPr>
                <w:color w:val="000000"/>
                <w:sz w:val="24"/>
              </w:rPr>
              <w:t>6</w:t>
            </w:r>
          </w:p>
        </w:tc>
        <w:tc>
          <w:tcPr>
            <w:tcW w:w="1327" w:type="dxa"/>
            <w:vAlign w:val="center"/>
          </w:tcPr>
          <w:p w14:paraId="63F278D2" w14:textId="266AEDB5" w:rsidR="002C2A73" w:rsidRPr="000B1B3C" w:rsidRDefault="002C2A73" w:rsidP="002C2A73">
            <w:pPr>
              <w:spacing w:before="29" w:line="288" w:lineRule="auto"/>
              <w:ind w:left="17"/>
              <w:jc w:val="center"/>
              <w:rPr>
                <w:color w:val="000000"/>
                <w:sz w:val="24"/>
              </w:rPr>
            </w:pPr>
            <w:r>
              <w:rPr>
                <w:color w:val="000000"/>
                <w:sz w:val="24"/>
              </w:rPr>
              <w:t>000002</w:t>
            </w:r>
          </w:p>
        </w:tc>
        <w:tc>
          <w:tcPr>
            <w:tcW w:w="1769" w:type="dxa"/>
            <w:vAlign w:val="center"/>
          </w:tcPr>
          <w:p w14:paraId="6811FD02" w14:textId="770A43A2" w:rsidR="002C2A73" w:rsidRPr="000B1B3C" w:rsidRDefault="002C2A73" w:rsidP="002C2A73">
            <w:pPr>
              <w:spacing w:before="29" w:line="288" w:lineRule="auto"/>
              <w:ind w:left="17"/>
              <w:jc w:val="center"/>
              <w:rPr>
                <w:color w:val="000000"/>
                <w:sz w:val="24"/>
              </w:rPr>
            </w:pPr>
            <w:r>
              <w:rPr>
                <w:color w:val="000000"/>
                <w:sz w:val="24"/>
              </w:rPr>
              <w:t>万</w:t>
            </w:r>
            <w:r>
              <w:rPr>
                <w:color w:val="000000"/>
                <w:sz w:val="24"/>
              </w:rPr>
              <w:t xml:space="preserve">  </w:t>
            </w:r>
            <w:r>
              <w:rPr>
                <w:color w:val="000000"/>
                <w:sz w:val="24"/>
              </w:rPr>
              <w:t>科Ａ</w:t>
            </w:r>
          </w:p>
        </w:tc>
        <w:tc>
          <w:tcPr>
            <w:tcW w:w="1327" w:type="dxa"/>
            <w:vAlign w:val="center"/>
          </w:tcPr>
          <w:p w14:paraId="15242513" w14:textId="5FD190A4" w:rsidR="002C2A73" w:rsidRPr="000B1B3C" w:rsidRDefault="002C2A73" w:rsidP="002C2A73">
            <w:pPr>
              <w:spacing w:before="29" w:line="288" w:lineRule="auto"/>
              <w:ind w:left="17"/>
              <w:jc w:val="center"/>
              <w:rPr>
                <w:color w:val="000000"/>
                <w:sz w:val="24"/>
              </w:rPr>
            </w:pPr>
            <w:r>
              <w:rPr>
                <w:color w:val="000000"/>
                <w:sz w:val="24"/>
              </w:rPr>
              <w:t>93,900</w:t>
            </w:r>
          </w:p>
        </w:tc>
        <w:tc>
          <w:tcPr>
            <w:tcW w:w="1915" w:type="dxa"/>
            <w:vAlign w:val="center"/>
          </w:tcPr>
          <w:p w14:paraId="26AEFA3C" w14:textId="05A6C7E9" w:rsidR="002C2A73" w:rsidRPr="000B1B3C" w:rsidRDefault="002C2A73" w:rsidP="002C2A73">
            <w:pPr>
              <w:spacing w:before="29" w:line="288" w:lineRule="auto"/>
              <w:ind w:left="17"/>
              <w:jc w:val="center"/>
              <w:rPr>
                <w:color w:val="000000"/>
                <w:sz w:val="24"/>
              </w:rPr>
            </w:pPr>
            <w:r>
              <w:rPr>
                <w:color w:val="000000"/>
                <w:sz w:val="24"/>
              </w:rPr>
              <w:t>2,916,534.00</w:t>
            </w:r>
          </w:p>
        </w:tc>
        <w:tc>
          <w:tcPr>
            <w:tcW w:w="1680" w:type="dxa"/>
            <w:vAlign w:val="center"/>
          </w:tcPr>
          <w:p w14:paraId="21C28958" w14:textId="6A4FF16F" w:rsidR="002C2A73" w:rsidRPr="000B1B3C" w:rsidRDefault="002C2A73" w:rsidP="002C2A73">
            <w:pPr>
              <w:spacing w:before="29" w:line="288" w:lineRule="auto"/>
              <w:ind w:left="17"/>
              <w:jc w:val="center"/>
              <w:rPr>
                <w:color w:val="000000"/>
                <w:sz w:val="24"/>
              </w:rPr>
            </w:pPr>
            <w:r>
              <w:rPr>
                <w:color w:val="000000"/>
                <w:sz w:val="24"/>
              </w:rPr>
              <w:t>4.49</w:t>
            </w:r>
          </w:p>
        </w:tc>
      </w:tr>
      <w:tr w:rsidR="002C2A73" w:rsidRPr="00433554" w14:paraId="1ADD1926" w14:textId="77777777" w:rsidTr="00B43DFF">
        <w:tc>
          <w:tcPr>
            <w:tcW w:w="850" w:type="dxa"/>
            <w:vAlign w:val="center"/>
          </w:tcPr>
          <w:p w14:paraId="25F9CDFB" w14:textId="77777777" w:rsidR="002C2A73" w:rsidRPr="000B1B3C" w:rsidRDefault="002C2A73" w:rsidP="002C2A73">
            <w:pPr>
              <w:spacing w:before="29" w:line="288" w:lineRule="auto"/>
              <w:ind w:left="17"/>
              <w:jc w:val="center"/>
              <w:rPr>
                <w:color w:val="000000"/>
                <w:sz w:val="24"/>
              </w:rPr>
            </w:pPr>
            <w:r>
              <w:rPr>
                <w:color w:val="000000"/>
                <w:sz w:val="24"/>
              </w:rPr>
              <w:t>7</w:t>
            </w:r>
          </w:p>
        </w:tc>
        <w:tc>
          <w:tcPr>
            <w:tcW w:w="1327" w:type="dxa"/>
            <w:vAlign w:val="center"/>
          </w:tcPr>
          <w:p w14:paraId="7B5FDC63" w14:textId="17EE2D95" w:rsidR="002C2A73" w:rsidRPr="000B1B3C" w:rsidRDefault="002C2A73" w:rsidP="002C2A73">
            <w:pPr>
              <w:spacing w:before="29" w:line="288" w:lineRule="auto"/>
              <w:ind w:left="17"/>
              <w:jc w:val="center"/>
              <w:rPr>
                <w:color w:val="000000"/>
                <w:sz w:val="24"/>
              </w:rPr>
            </w:pPr>
            <w:r>
              <w:rPr>
                <w:color w:val="000000"/>
                <w:sz w:val="24"/>
              </w:rPr>
              <w:t>000001</w:t>
            </w:r>
          </w:p>
        </w:tc>
        <w:tc>
          <w:tcPr>
            <w:tcW w:w="1769" w:type="dxa"/>
            <w:vAlign w:val="center"/>
          </w:tcPr>
          <w:p w14:paraId="2796C9BD" w14:textId="27576314" w:rsidR="002C2A73" w:rsidRPr="000B1B3C" w:rsidRDefault="002C2A73" w:rsidP="002C2A73">
            <w:pPr>
              <w:spacing w:before="29" w:line="288" w:lineRule="auto"/>
              <w:ind w:left="17"/>
              <w:jc w:val="center"/>
              <w:rPr>
                <w:color w:val="000000"/>
                <w:sz w:val="24"/>
              </w:rPr>
            </w:pPr>
            <w:r>
              <w:rPr>
                <w:color w:val="000000"/>
                <w:sz w:val="24"/>
              </w:rPr>
              <w:t>平安银行</w:t>
            </w:r>
          </w:p>
        </w:tc>
        <w:tc>
          <w:tcPr>
            <w:tcW w:w="1327" w:type="dxa"/>
            <w:vAlign w:val="center"/>
          </w:tcPr>
          <w:p w14:paraId="5EC6103B" w14:textId="5E80C7B6" w:rsidR="002C2A73" w:rsidRPr="000B1B3C" w:rsidRDefault="002C2A73" w:rsidP="002C2A73">
            <w:pPr>
              <w:spacing w:before="29" w:line="288" w:lineRule="auto"/>
              <w:ind w:left="17"/>
              <w:jc w:val="center"/>
              <w:rPr>
                <w:color w:val="000000"/>
                <w:sz w:val="24"/>
              </w:rPr>
            </w:pPr>
            <w:r>
              <w:rPr>
                <w:color w:val="000000"/>
                <w:sz w:val="24"/>
              </w:rPr>
              <w:t>195,094</w:t>
            </w:r>
          </w:p>
        </w:tc>
        <w:tc>
          <w:tcPr>
            <w:tcW w:w="1915" w:type="dxa"/>
            <w:vAlign w:val="center"/>
          </w:tcPr>
          <w:p w14:paraId="6F698697" w14:textId="0D7A7BF8" w:rsidR="002C2A73" w:rsidRPr="000B1B3C" w:rsidRDefault="002C2A73" w:rsidP="002C2A73">
            <w:pPr>
              <w:spacing w:before="29" w:line="288" w:lineRule="auto"/>
              <w:ind w:left="17"/>
              <w:jc w:val="center"/>
              <w:rPr>
                <w:color w:val="000000"/>
                <w:sz w:val="24"/>
              </w:rPr>
            </w:pPr>
            <w:r>
              <w:rPr>
                <w:color w:val="000000"/>
                <w:sz w:val="24"/>
              </w:rPr>
              <w:t>2,594,750.20</w:t>
            </w:r>
          </w:p>
        </w:tc>
        <w:tc>
          <w:tcPr>
            <w:tcW w:w="1680" w:type="dxa"/>
            <w:vAlign w:val="center"/>
          </w:tcPr>
          <w:p w14:paraId="3E5D42EB" w14:textId="2EF28D52" w:rsidR="002C2A73" w:rsidRPr="000B1B3C" w:rsidRDefault="002C2A73" w:rsidP="002C2A73">
            <w:pPr>
              <w:spacing w:before="29" w:line="288" w:lineRule="auto"/>
              <w:ind w:left="17"/>
              <w:jc w:val="center"/>
              <w:rPr>
                <w:color w:val="000000"/>
                <w:sz w:val="24"/>
              </w:rPr>
            </w:pPr>
            <w:r>
              <w:rPr>
                <w:color w:val="000000"/>
                <w:sz w:val="24"/>
              </w:rPr>
              <w:t>3.99</w:t>
            </w:r>
          </w:p>
        </w:tc>
      </w:tr>
      <w:tr w:rsidR="002C2A73" w:rsidRPr="00433554" w14:paraId="0EEB669C" w14:textId="77777777" w:rsidTr="00B43DFF">
        <w:tc>
          <w:tcPr>
            <w:tcW w:w="850" w:type="dxa"/>
            <w:vAlign w:val="center"/>
          </w:tcPr>
          <w:p w14:paraId="2F1A903C" w14:textId="77777777" w:rsidR="002C2A73" w:rsidRPr="000B1B3C" w:rsidRDefault="002C2A73" w:rsidP="002C2A73">
            <w:pPr>
              <w:spacing w:before="29" w:line="288" w:lineRule="auto"/>
              <w:ind w:left="17"/>
              <w:jc w:val="center"/>
              <w:rPr>
                <w:color w:val="000000"/>
                <w:sz w:val="24"/>
              </w:rPr>
            </w:pPr>
            <w:r>
              <w:rPr>
                <w:color w:val="000000"/>
                <w:sz w:val="24"/>
              </w:rPr>
              <w:t>8</w:t>
            </w:r>
          </w:p>
        </w:tc>
        <w:tc>
          <w:tcPr>
            <w:tcW w:w="1327" w:type="dxa"/>
            <w:vAlign w:val="center"/>
          </w:tcPr>
          <w:p w14:paraId="291C27F0" w14:textId="2A244D6B" w:rsidR="002C2A73" w:rsidRPr="000B1B3C" w:rsidRDefault="002C2A73" w:rsidP="002C2A73">
            <w:pPr>
              <w:spacing w:before="29" w:line="288" w:lineRule="auto"/>
              <w:ind w:left="17"/>
              <w:jc w:val="center"/>
              <w:rPr>
                <w:color w:val="000000"/>
                <w:sz w:val="24"/>
              </w:rPr>
            </w:pPr>
            <w:r>
              <w:rPr>
                <w:color w:val="000000"/>
                <w:sz w:val="24"/>
              </w:rPr>
              <w:t>300498</w:t>
            </w:r>
          </w:p>
        </w:tc>
        <w:tc>
          <w:tcPr>
            <w:tcW w:w="1769" w:type="dxa"/>
            <w:vAlign w:val="center"/>
          </w:tcPr>
          <w:p w14:paraId="3834E95F" w14:textId="4DBAD86A" w:rsidR="002C2A73" w:rsidRPr="000B1B3C" w:rsidRDefault="002C2A73" w:rsidP="002C2A73">
            <w:pPr>
              <w:spacing w:before="29" w:line="288" w:lineRule="auto"/>
              <w:ind w:left="17"/>
              <w:jc w:val="center"/>
              <w:rPr>
                <w:color w:val="000000"/>
                <w:sz w:val="24"/>
              </w:rPr>
            </w:pPr>
            <w:r>
              <w:rPr>
                <w:color w:val="000000"/>
                <w:sz w:val="24"/>
              </w:rPr>
              <w:t>温氏股份</w:t>
            </w:r>
          </w:p>
        </w:tc>
        <w:tc>
          <w:tcPr>
            <w:tcW w:w="1327" w:type="dxa"/>
            <w:vAlign w:val="center"/>
          </w:tcPr>
          <w:p w14:paraId="60E9AA6A" w14:textId="140D2C7B" w:rsidR="002C2A73" w:rsidRPr="000B1B3C" w:rsidRDefault="002C2A73" w:rsidP="002C2A73">
            <w:pPr>
              <w:spacing w:before="29" w:line="288" w:lineRule="auto"/>
              <w:ind w:left="17"/>
              <w:jc w:val="center"/>
              <w:rPr>
                <w:color w:val="000000"/>
                <w:sz w:val="24"/>
              </w:rPr>
            </w:pPr>
            <w:r>
              <w:rPr>
                <w:color w:val="000000"/>
                <w:sz w:val="24"/>
              </w:rPr>
              <w:t>86,300</w:t>
            </w:r>
          </w:p>
        </w:tc>
        <w:tc>
          <w:tcPr>
            <w:tcW w:w="1915" w:type="dxa"/>
            <w:vAlign w:val="center"/>
          </w:tcPr>
          <w:p w14:paraId="7F3B9A97" w14:textId="58703995" w:rsidR="002C2A73" w:rsidRPr="000B1B3C" w:rsidRDefault="002C2A73" w:rsidP="002C2A73">
            <w:pPr>
              <w:spacing w:before="29" w:line="288" w:lineRule="auto"/>
              <w:ind w:left="17"/>
              <w:jc w:val="center"/>
              <w:rPr>
                <w:color w:val="000000"/>
                <w:sz w:val="24"/>
              </w:rPr>
            </w:pPr>
            <w:r>
              <w:rPr>
                <w:color w:val="000000"/>
                <w:sz w:val="24"/>
              </w:rPr>
              <w:t>2,062,570.00</w:t>
            </w:r>
          </w:p>
        </w:tc>
        <w:tc>
          <w:tcPr>
            <w:tcW w:w="1680" w:type="dxa"/>
            <w:vAlign w:val="center"/>
          </w:tcPr>
          <w:p w14:paraId="2CA69D40" w14:textId="645DED3B" w:rsidR="002C2A73" w:rsidRPr="000B1B3C" w:rsidRDefault="002C2A73" w:rsidP="002C2A73">
            <w:pPr>
              <w:spacing w:before="29" w:line="288" w:lineRule="auto"/>
              <w:ind w:left="17"/>
              <w:jc w:val="center"/>
              <w:rPr>
                <w:color w:val="000000"/>
                <w:sz w:val="24"/>
              </w:rPr>
            </w:pPr>
            <w:r>
              <w:rPr>
                <w:color w:val="000000"/>
                <w:sz w:val="24"/>
              </w:rPr>
              <w:t>3.17</w:t>
            </w:r>
          </w:p>
        </w:tc>
      </w:tr>
      <w:tr w:rsidR="002C2A73" w:rsidRPr="00433554" w14:paraId="34B63BC0" w14:textId="77777777" w:rsidTr="00B43DFF">
        <w:tc>
          <w:tcPr>
            <w:tcW w:w="850" w:type="dxa"/>
            <w:vAlign w:val="center"/>
          </w:tcPr>
          <w:p w14:paraId="77CC37A6" w14:textId="77777777" w:rsidR="002C2A73" w:rsidRPr="000B1B3C" w:rsidRDefault="002C2A73" w:rsidP="002C2A73">
            <w:pPr>
              <w:spacing w:before="29" w:line="288" w:lineRule="auto"/>
              <w:ind w:left="17"/>
              <w:jc w:val="center"/>
              <w:rPr>
                <w:color w:val="000000"/>
                <w:sz w:val="24"/>
              </w:rPr>
            </w:pPr>
            <w:r>
              <w:rPr>
                <w:color w:val="000000"/>
                <w:sz w:val="24"/>
              </w:rPr>
              <w:t>9</w:t>
            </w:r>
          </w:p>
        </w:tc>
        <w:tc>
          <w:tcPr>
            <w:tcW w:w="1327" w:type="dxa"/>
            <w:vAlign w:val="center"/>
          </w:tcPr>
          <w:p w14:paraId="707FD85B" w14:textId="0262E40D" w:rsidR="002C2A73" w:rsidRPr="000B1B3C" w:rsidRDefault="002C2A73" w:rsidP="002C2A73">
            <w:pPr>
              <w:spacing w:before="29" w:line="288" w:lineRule="auto"/>
              <w:ind w:left="17"/>
              <w:jc w:val="center"/>
              <w:rPr>
                <w:color w:val="000000"/>
                <w:sz w:val="24"/>
              </w:rPr>
            </w:pPr>
            <w:r>
              <w:rPr>
                <w:color w:val="000000"/>
                <w:sz w:val="24"/>
              </w:rPr>
              <w:t>002304</w:t>
            </w:r>
          </w:p>
        </w:tc>
        <w:tc>
          <w:tcPr>
            <w:tcW w:w="1769" w:type="dxa"/>
            <w:vAlign w:val="center"/>
          </w:tcPr>
          <w:p w14:paraId="739C2167" w14:textId="26D3849E" w:rsidR="002C2A73" w:rsidRPr="000B1B3C" w:rsidRDefault="002C2A73" w:rsidP="002C2A73">
            <w:pPr>
              <w:spacing w:before="29" w:line="288" w:lineRule="auto"/>
              <w:ind w:left="17"/>
              <w:jc w:val="center"/>
              <w:rPr>
                <w:color w:val="000000"/>
                <w:sz w:val="24"/>
              </w:rPr>
            </w:pPr>
            <w:r>
              <w:rPr>
                <w:color w:val="000000"/>
                <w:sz w:val="24"/>
              </w:rPr>
              <w:t>洋河股份</w:t>
            </w:r>
          </w:p>
        </w:tc>
        <w:tc>
          <w:tcPr>
            <w:tcW w:w="1327" w:type="dxa"/>
            <w:vAlign w:val="center"/>
          </w:tcPr>
          <w:p w14:paraId="47BA607B" w14:textId="1B93563A" w:rsidR="002C2A73" w:rsidRPr="000B1B3C" w:rsidRDefault="002C2A73" w:rsidP="002C2A73">
            <w:pPr>
              <w:spacing w:before="29" w:line="288" w:lineRule="auto"/>
              <w:ind w:left="17"/>
              <w:jc w:val="center"/>
              <w:rPr>
                <w:color w:val="000000"/>
                <w:sz w:val="24"/>
              </w:rPr>
            </w:pPr>
            <w:r>
              <w:rPr>
                <w:color w:val="000000"/>
                <w:sz w:val="24"/>
              </w:rPr>
              <w:t>13,038</w:t>
            </w:r>
          </w:p>
        </w:tc>
        <w:tc>
          <w:tcPr>
            <w:tcW w:w="1915" w:type="dxa"/>
            <w:vAlign w:val="center"/>
          </w:tcPr>
          <w:p w14:paraId="54143675" w14:textId="7E5FBBB8" w:rsidR="002C2A73" w:rsidRPr="000B1B3C" w:rsidRDefault="002C2A73" w:rsidP="002C2A73">
            <w:pPr>
              <w:spacing w:before="29" w:line="288" w:lineRule="auto"/>
              <w:ind w:left="17"/>
              <w:jc w:val="center"/>
              <w:rPr>
                <w:color w:val="000000"/>
                <w:sz w:val="24"/>
              </w:rPr>
            </w:pPr>
            <w:r>
              <w:rPr>
                <w:color w:val="000000"/>
                <w:sz w:val="24"/>
              </w:rPr>
              <w:t>1,499,370.00</w:t>
            </w:r>
          </w:p>
        </w:tc>
        <w:tc>
          <w:tcPr>
            <w:tcW w:w="1680" w:type="dxa"/>
            <w:vAlign w:val="center"/>
          </w:tcPr>
          <w:p w14:paraId="267A164C" w14:textId="39B17B14" w:rsidR="002C2A73" w:rsidRPr="000B1B3C" w:rsidRDefault="002C2A73" w:rsidP="002C2A73">
            <w:pPr>
              <w:spacing w:before="29" w:line="288" w:lineRule="auto"/>
              <w:ind w:left="17"/>
              <w:jc w:val="center"/>
              <w:rPr>
                <w:color w:val="000000"/>
                <w:sz w:val="24"/>
              </w:rPr>
            </w:pPr>
            <w:r>
              <w:rPr>
                <w:color w:val="000000"/>
                <w:sz w:val="24"/>
              </w:rPr>
              <w:t>2.31</w:t>
            </w:r>
          </w:p>
        </w:tc>
      </w:tr>
      <w:tr w:rsidR="002C2A73" w:rsidRPr="00433554" w14:paraId="39FA3E88" w14:textId="77777777" w:rsidTr="00B43DFF">
        <w:tc>
          <w:tcPr>
            <w:tcW w:w="850" w:type="dxa"/>
            <w:vAlign w:val="center"/>
          </w:tcPr>
          <w:p w14:paraId="4E1EFBEE" w14:textId="77777777" w:rsidR="002C2A73" w:rsidRPr="000B1B3C" w:rsidRDefault="002C2A73" w:rsidP="002C2A73">
            <w:pPr>
              <w:spacing w:before="29" w:line="288" w:lineRule="auto"/>
              <w:ind w:left="17"/>
              <w:jc w:val="center"/>
              <w:rPr>
                <w:color w:val="000000"/>
                <w:sz w:val="24"/>
              </w:rPr>
            </w:pPr>
            <w:r>
              <w:rPr>
                <w:color w:val="000000"/>
                <w:sz w:val="24"/>
              </w:rPr>
              <w:t>10</w:t>
            </w:r>
          </w:p>
        </w:tc>
        <w:tc>
          <w:tcPr>
            <w:tcW w:w="1327" w:type="dxa"/>
            <w:vAlign w:val="center"/>
          </w:tcPr>
          <w:p w14:paraId="15B3C8BB" w14:textId="68CB8435" w:rsidR="002C2A73" w:rsidRPr="000B1B3C" w:rsidRDefault="002C2A73" w:rsidP="002C2A73">
            <w:pPr>
              <w:spacing w:before="29" w:line="288" w:lineRule="auto"/>
              <w:ind w:left="17"/>
              <w:jc w:val="center"/>
              <w:rPr>
                <w:color w:val="000000"/>
                <w:sz w:val="24"/>
              </w:rPr>
            </w:pPr>
            <w:r>
              <w:rPr>
                <w:color w:val="000000"/>
                <w:sz w:val="24"/>
              </w:rPr>
              <w:t>002027</w:t>
            </w:r>
          </w:p>
        </w:tc>
        <w:tc>
          <w:tcPr>
            <w:tcW w:w="1769" w:type="dxa"/>
            <w:vAlign w:val="center"/>
          </w:tcPr>
          <w:p w14:paraId="2D287DA9" w14:textId="629BCC34" w:rsidR="002C2A73" w:rsidRPr="000B1B3C" w:rsidRDefault="002C2A73" w:rsidP="002C2A73">
            <w:pPr>
              <w:spacing w:before="29" w:line="288" w:lineRule="auto"/>
              <w:ind w:left="17"/>
              <w:jc w:val="center"/>
              <w:rPr>
                <w:color w:val="000000"/>
                <w:sz w:val="24"/>
              </w:rPr>
            </w:pPr>
            <w:r>
              <w:rPr>
                <w:color w:val="000000"/>
                <w:sz w:val="24"/>
              </w:rPr>
              <w:t>分众传媒</w:t>
            </w:r>
          </w:p>
        </w:tc>
        <w:tc>
          <w:tcPr>
            <w:tcW w:w="1327" w:type="dxa"/>
            <w:vAlign w:val="center"/>
          </w:tcPr>
          <w:p w14:paraId="05697A10" w14:textId="0DF5D6C3" w:rsidR="002C2A73" w:rsidRPr="000B1B3C" w:rsidRDefault="002C2A73" w:rsidP="002C2A73">
            <w:pPr>
              <w:spacing w:before="29" w:line="288" w:lineRule="auto"/>
              <w:ind w:left="17"/>
              <w:jc w:val="center"/>
              <w:rPr>
                <w:color w:val="000000"/>
                <w:sz w:val="24"/>
              </w:rPr>
            </w:pPr>
            <w:r>
              <w:rPr>
                <w:color w:val="000000"/>
                <w:sz w:val="24"/>
              </w:rPr>
              <w:t>96,700</w:t>
            </w:r>
          </w:p>
        </w:tc>
        <w:tc>
          <w:tcPr>
            <w:tcW w:w="1915" w:type="dxa"/>
            <w:vAlign w:val="center"/>
          </w:tcPr>
          <w:p w14:paraId="3A7C7E19" w14:textId="2B3CB196" w:rsidR="002C2A73" w:rsidRPr="000B1B3C" w:rsidRDefault="002C2A73" w:rsidP="002C2A73">
            <w:pPr>
              <w:spacing w:before="29" w:line="288" w:lineRule="auto"/>
              <w:ind w:left="17"/>
              <w:jc w:val="center"/>
              <w:rPr>
                <w:color w:val="000000"/>
                <w:sz w:val="24"/>
              </w:rPr>
            </w:pPr>
            <w:r>
              <w:rPr>
                <w:color w:val="000000"/>
                <w:sz w:val="24"/>
              </w:rPr>
              <w:t>1,361,536.00</w:t>
            </w:r>
          </w:p>
        </w:tc>
        <w:tc>
          <w:tcPr>
            <w:tcW w:w="1680" w:type="dxa"/>
            <w:vAlign w:val="center"/>
          </w:tcPr>
          <w:p w14:paraId="54FE4718" w14:textId="52758A8D" w:rsidR="002C2A73" w:rsidRPr="000B1B3C" w:rsidRDefault="002C2A73" w:rsidP="002C2A73">
            <w:pPr>
              <w:spacing w:before="29" w:line="288" w:lineRule="auto"/>
              <w:ind w:left="17"/>
              <w:jc w:val="center"/>
              <w:rPr>
                <w:color w:val="000000"/>
                <w:sz w:val="24"/>
              </w:rPr>
            </w:pPr>
            <w:r>
              <w:rPr>
                <w:color w:val="000000"/>
                <w:sz w:val="24"/>
              </w:rPr>
              <w:t>2.09</w:t>
            </w:r>
          </w:p>
        </w:tc>
      </w:tr>
    </w:tbl>
    <w:p w14:paraId="503DC6F0" w14:textId="63D8B66A" w:rsidR="00CF57A4" w:rsidRDefault="00B13D46">
      <w:pPr>
        <w:spacing w:before="50" w:line="360" w:lineRule="auto"/>
        <w:ind w:firstLineChars="200" w:firstLine="480"/>
        <w:rPr>
          <w:rFonts w:ascii="宋体" w:hAnsi="宋体"/>
          <w:color w:val="000000"/>
          <w:sz w:val="24"/>
        </w:rPr>
      </w:pPr>
      <w:r>
        <w:rPr>
          <w:rFonts w:ascii="宋体" w:hAnsi="宋体" w:hint="eastAsia"/>
          <w:color w:val="000000"/>
          <w:sz w:val="24"/>
        </w:rPr>
        <w:t>（2）报告期末积极投资按公允价值占基金资产净值比例大小排序的前五名股票投资明细</w:t>
      </w:r>
    </w:p>
    <w:p w14:paraId="6D05D5BA" w14:textId="77777777" w:rsidR="00CF57A4" w:rsidRDefault="00B13D46">
      <w:pPr>
        <w:spacing w:before="50" w:line="360" w:lineRule="auto"/>
        <w:ind w:firstLineChars="200" w:firstLine="480"/>
        <w:rPr>
          <w:rFonts w:ascii="宋体" w:hAnsi="宋体"/>
          <w:color w:val="000000"/>
          <w:sz w:val="24"/>
        </w:rPr>
      </w:pPr>
      <w:r>
        <w:rPr>
          <w:rFonts w:ascii="宋体" w:hAnsi="宋体" w:hint="eastAsia"/>
          <w:color w:val="000000"/>
          <w:sz w:val="24"/>
        </w:rPr>
        <w:t>本基金本报告期末未持有积极投资的股票。</w:t>
      </w:r>
    </w:p>
    <w:p w14:paraId="13E53A08" w14:textId="77777777" w:rsidR="00CF57A4" w:rsidRDefault="00B13D46">
      <w:pPr>
        <w:spacing w:before="50" w:line="360" w:lineRule="auto"/>
        <w:ind w:firstLineChars="200" w:firstLine="480"/>
        <w:rPr>
          <w:rFonts w:ascii="宋体" w:hAnsi="宋体"/>
          <w:color w:val="000000"/>
          <w:sz w:val="24"/>
        </w:rPr>
      </w:pPr>
      <w:r>
        <w:rPr>
          <w:rFonts w:ascii="宋体" w:hAnsi="宋体" w:hint="eastAsia"/>
          <w:color w:val="000000"/>
          <w:sz w:val="24"/>
        </w:rPr>
        <w:lastRenderedPageBreak/>
        <w:t>4、报告期末按债券品种分类的债券投资组合</w:t>
      </w:r>
    </w:p>
    <w:tbl>
      <w:tblPr>
        <w:tblW w:w="8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2835"/>
        <w:gridCol w:w="1701"/>
        <w:gridCol w:w="2977"/>
      </w:tblGrid>
      <w:tr w:rsidR="002C2A73" w:rsidRPr="0036023B" w14:paraId="74258246" w14:textId="77777777" w:rsidTr="009C5B8C">
        <w:trPr>
          <w:jc w:val="center"/>
        </w:trPr>
        <w:tc>
          <w:tcPr>
            <w:tcW w:w="846" w:type="dxa"/>
            <w:shd w:val="clear" w:color="auto" w:fill="auto"/>
            <w:vAlign w:val="center"/>
          </w:tcPr>
          <w:p w14:paraId="5038F9DB" w14:textId="77777777" w:rsidR="002C2A73" w:rsidRPr="0036023B" w:rsidRDefault="002C2A73" w:rsidP="00432C1E">
            <w:pPr>
              <w:spacing w:before="29" w:line="288" w:lineRule="auto"/>
              <w:ind w:left="17"/>
              <w:jc w:val="center"/>
              <w:rPr>
                <w:color w:val="000000"/>
                <w:sz w:val="24"/>
              </w:rPr>
            </w:pPr>
            <w:r w:rsidRPr="0036023B">
              <w:rPr>
                <w:color w:val="000000"/>
                <w:sz w:val="24"/>
              </w:rPr>
              <w:t>序号</w:t>
            </w:r>
          </w:p>
        </w:tc>
        <w:tc>
          <w:tcPr>
            <w:tcW w:w="2835" w:type="dxa"/>
            <w:shd w:val="clear" w:color="auto" w:fill="auto"/>
            <w:vAlign w:val="center"/>
          </w:tcPr>
          <w:p w14:paraId="34D6280B" w14:textId="77777777" w:rsidR="002C2A73" w:rsidRPr="0036023B" w:rsidRDefault="002C2A73" w:rsidP="00432C1E">
            <w:pPr>
              <w:spacing w:before="29" w:line="288" w:lineRule="auto"/>
              <w:ind w:left="17"/>
              <w:jc w:val="center"/>
              <w:rPr>
                <w:color w:val="000000"/>
                <w:sz w:val="24"/>
              </w:rPr>
            </w:pPr>
            <w:r w:rsidRPr="0036023B">
              <w:rPr>
                <w:color w:val="000000"/>
                <w:sz w:val="24"/>
              </w:rPr>
              <w:t>债券品种</w:t>
            </w:r>
          </w:p>
        </w:tc>
        <w:tc>
          <w:tcPr>
            <w:tcW w:w="1701" w:type="dxa"/>
            <w:shd w:val="clear" w:color="auto" w:fill="auto"/>
            <w:vAlign w:val="center"/>
          </w:tcPr>
          <w:p w14:paraId="16CAED8A" w14:textId="77777777" w:rsidR="002C2A73" w:rsidRPr="0036023B" w:rsidRDefault="002C2A73" w:rsidP="00432C1E">
            <w:pPr>
              <w:spacing w:before="29" w:line="288" w:lineRule="auto"/>
              <w:ind w:left="17"/>
              <w:jc w:val="center"/>
              <w:rPr>
                <w:color w:val="000000"/>
                <w:sz w:val="24"/>
              </w:rPr>
            </w:pPr>
            <w:r w:rsidRPr="0036023B">
              <w:rPr>
                <w:color w:val="000000"/>
                <w:sz w:val="24"/>
              </w:rPr>
              <w:t>公允价值</w:t>
            </w:r>
            <w:r w:rsidRPr="0036023B">
              <w:rPr>
                <w:color w:val="000000"/>
                <w:sz w:val="24"/>
              </w:rPr>
              <w:t>(</w:t>
            </w:r>
            <w:r w:rsidRPr="0036023B">
              <w:rPr>
                <w:color w:val="000000"/>
                <w:sz w:val="24"/>
              </w:rPr>
              <w:t>元</w:t>
            </w:r>
            <w:r w:rsidRPr="0036023B">
              <w:rPr>
                <w:color w:val="000000"/>
                <w:sz w:val="24"/>
              </w:rPr>
              <w:t>)</w:t>
            </w:r>
          </w:p>
        </w:tc>
        <w:tc>
          <w:tcPr>
            <w:tcW w:w="2977" w:type="dxa"/>
            <w:shd w:val="clear" w:color="auto" w:fill="auto"/>
            <w:vAlign w:val="center"/>
          </w:tcPr>
          <w:p w14:paraId="02077BD0" w14:textId="77777777" w:rsidR="002C2A73" w:rsidRPr="0036023B" w:rsidRDefault="002C2A73" w:rsidP="00432C1E">
            <w:pPr>
              <w:spacing w:before="29" w:line="288" w:lineRule="auto"/>
              <w:ind w:left="17"/>
              <w:jc w:val="center"/>
              <w:rPr>
                <w:color w:val="000000"/>
                <w:sz w:val="24"/>
              </w:rPr>
            </w:pPr>
            <w:r w:rsidRPr="0036023B">
              <w:rPr>
                <w:color w:val="000000"/>
                <w:sz w:val="24"/>
              </w:rPr>
              <w:t>占基金资产净值比例</w:t>
            </w:r>
            <w:r w:rsidRPr="0036023B">
              <w:rPr>
                <w:color w:val="000000"/>
                <w:sz w:val="24"/>
              </w:rPr>
              <w:t>(</w:t>
            </w:r>
            <w:r w:rsidRPr="0036023B">
              <w:rPr>
                <w:color w:val="000000"/>
                <w:sz w:val="24"/>
              </w:rPr>
              <w:t>％</w:t>
            </w:r>
            <w:r w:rsidRPr="0036023B">
              <w:rPr>
                <w:color w:val="000000"/>
                <w:sz w:val="24"/>
              </w:rPr>
              <w:t>)</w:t>
            </w:r>
          </w:p>
        </w:tc>
      </w:tr>
      <w:tr w:rsidR="002C2A73" w:rsidRPr="0036023B" w14:paraId="1B08F247" w14:textId="77777777" w:rsidTr="009C5B8C">
        <w:trPr>
          <w:jc w:val="center"/>
        </w:trPr>
        <w:tc>
          <w:tcPr>
            <w:tcW w:w="846" w:type="dxa"/>
            <w:shd w:val="clear" w:color="auto" w:fill="auto"/>
            <w:vAlign w:val="center"/>
          </w:tcPr>
          <w:p w14:paraId="5E039B9C" w14:textId="77777777" w:rsidR="002C2A73" w:rsidRPr="0036023B" w:rsidRDefault="002C2A73" w:rsidP="00432C1E">
            <w:pPr>
              <w:spacing w:before="29" w:line="288" w:lineRule="auto"/>
              <w:ind w:left="17"/>
              <w:jc w:val="center"/>
              <w:rPr>
                <w:color w:val="000000"/>
                <w:sz w:val="24"/>
              </w:rPr>
            </w:pPr>
            <w:r w:rsidRPr="0036023B">
              <w:rPr>
                <w:color w:val="000000"/>
                <w:sz w:val="24"/>
              </w:rPr>
              <w:t>1</w:t>
            </w:r>
          </w:p>
        </w:tc>
        <w:tc>
          <w:tcPr>
            <w:tcW w:w="2835" w:type="dxa"/>
            <w:shd w:val="clear" w:color="auto" w:fill="auto"/>
            <w:vAlign w:val="center"/>
          </w:tcPr>
          <w:p w14:paraId="4B759AE5" w14:textId="77777777" w:rsidR="002C2A73" w:rsidRPr="0036023B" w:rsidRDefault="002C2A73" w:rsidP="00432C1E">
            <w:pPr>
              <w:spacing w:before="29" w:line="288" w:lineRule="auto"/>
              <w:ind w:left="17"/>
              <w:jc w:val="left"/>
              <w:rPr>
                <w:color w:val="000000"/>
                <w:sz w:val="24"/>
              </w:rPr>
            </w:pPr>
            <w:r w:rsidRPr="0036023B">
              <w:rPr>
                <w:color w:val="000000"/>
                <w:sz w:val="24"/>
              </w:rPr>
              <w:t>国家债券</w:t>
            </w:r>
          </w:p>
        </w:tc>
        <w:tc>
          <w:tcPr>
            <w:tcW w:w="1701" w:type="dxa"/>
            <w:shd w:val="clear" w:color="auto" w:fill="auto"/>
            <w:vAlign w:val="center"/>
          </w:tcPr>
          <w:p w14:paraId="79C41A41" w14:textId="77777777" w:rsidR="002C2A73" w:rsidRPr="0036023B" w:rsidRDefault="002C2A73" w:rsidP="00432C1E">
            <w:pPr>
              <w:spacing w:before="29" w:line="288" w:lineRule="auto"/>
              <w:ind w:left="17"/>
              <w:jc w:val="right"/>
              <w:rPr>
                <w:color w:val="000000"/>
                <w:sz w:val="24"/>
              </w:rPr>
            </w:pPr>
            <w:r w:rsidRPr="0036023B">
              <w:rPr>
                <w:color w:val="000000"/>
                <w:sz w:val="24"/>
              </w:rPr>
              <w:t>-</w:t>
            </w:r>
          </w:p>
        </w:tc>
        <w:tc>
          <w:tcPr>
            <w:tcW w:w="2977" w:type="dxa"/>
            <w:shd w:val="clear" w:color="auto" w:fill="auto"/>
            <w:vAlign w:val="center"/>
          </w:tcPr>
          <w:p w14:paraId="7330325C" w14:textId="77777777" w:rsidR="002C2A73" w:rsidRPr="0036023B" w:rsidRDefault="002C2A73" w:rsidP="00432C1E">
            <w:pPr>
              <w:spacing w:before="29" w:line="288" w:lineRule="auto"/>
              <w:ind w:left="17"/>
              <w:jc w:val="right"/>
              <w:rPr>
                <w:color w:val="000000"/>
                <w:sz w:val="24"/>
              </w:rPr>
            </w:pPr>
            <w:r w:rsidRPr="0036023B">
              <w:rPr>
                <w:color w:val="000000"/>
                <w:sz w:val="24"/>
              </w:rPr>
              <w:t>-</w:t>
            </w:r>
          </w:p>
        </w:tc>
      </w:tr>
      <w:tr w:rsidR="002C2A73" w:rsidRPr="0036023B" w14:paraId="1DBF232F" w14:textId="77777777" w:rsidTr="009C5B8C">
        <w:trPr>
          <w:jc w:val="center"/>
        </w:trPr>
        <w:tc>
          <w:tcPr>
            <w:tcW w:w="846" w:type="dxa"/>
            <w:shd w:val="clear" w:color="auto" w:fill="auto"/>
            <w:vAlign w:val="center"/>
          </w:tcPr>
          <w:p w14:paraId="41435533" w14:textId="77777777" w:rsidR="002C2A73" w:rsidRPr="0036023B" w:rsidRDefault="002C2A73" w:rsidP="00432C1E">
            <w:pPr>
              <w:spacing w:before="29" w:line="288" w:lineRule="auto"/>
              <w:ind w:left="17"/>
              <w:jc w:val="center"/>
              <w:rPr>
                <w:color w:val="000000"/>
                <w:sz w:val="24"/>
              </w:rPr>
            </w:pPr>
            <w:r w:rsidRPr="0036023B">
              <w:rPr>
                <w:color w:val="000000"/>
                <w:sz w:val="24"/>
              </w:rPr>
              <w:t>2</w:t>
            </w:r>
          </w:p>
        </w:tc>
        <w:tc>
          <w:tcPr>
            <w:tcW w:w="2835" w:type="dxa"/>
            <w:shd w:val="clear" w:color="auto" w:fill="auto"/>
            <w:vAlign w:val="center"/>
          </w:tcPr>
          <w:p w14:paraId="4F286356" w14:textId="77777777" w:rsidR="002C2A73" w:rsidRPr="0036023B" w:rsidRDefault="002C2A73" w:rsidP="00432C1E">
            <w:pPr>
              <w:spacing w:before="29" w:line="288" w:lineRule="auto"/>
              <w:ind w:left="17"/>
              <w:jc w:val="left"/>
              <w:rPr>
                <w:color w:val="000000"/>
                <w:sz w:val="24"/>
              </w:rPr>
            </w:pPr>
            <w:r w:rsidRPr="0036023B">
              <w:rPr>
                <w:color w:val="000000"/>
                <w:sz w:val="24"/>
              </w:rPr>
              <w:t>央行票据</w:t>
            </w:r>
          </w:p>
        </w:tc>
        <w:tc>
          <w:tcPr>
            <w:tcW w:w="1701" w:type="dxa"/>
            <w:shd w:val="clear" w:color="auto" w:fill="auto"/>
            <w:vAlign w:val="center"/>
          </w:tcPr>
          <w:p w14:paraId="5B77C3F7" w14:textId="77777777" w:rsidR="002C2A73" w:rsidRPr="0036023B" w:rsidRDefault="002C2A73" w:rsidP="00432C1E">
            <w:pPr>
              <w:spacing w:before="29" w:line="288" w:lineRule="auto"/>
              <w:ind w:left="17"/>
              <w:jc w:val="right"/>
              <w:rPr>
                <w:color w:val="000000"/>
                <w:sz w:val="24"/>
              </w:rPr>
            </w:pPr>
            <w:r w:rsidRPr="0036023B">
              <w:rPr>
                <w:color w:val="000000"/>
                <w:sz w:val="24"/>
              </w:rPr>
              <w:t>-</w:t>
            </w:r>
          </w:p>
        </w:tc>
        <w:tc>
          <w:tcPr>
            <w:tcW w:w="2977" w:type="dxa"/>
            <w:shd w:val="clear" w:color="auto" w:fill="auto"/>
            <w:vAlign w:val="center"/>
          </w:tcPr>
          <w:p w14:paraId="1CA5BFE3" w14:textId="77777777" w:rsidR="002C2A73" w:rsidRPr="0036023B" w:rsidRDefault="002C2A73" w:rsidP="00432C1E">
            <w:pPr>
              <w:spacing w:before="29" w:line="288" w:lineRule="auto"/>
              <w:ind w:left="17"/>
              <w:jc w:val="right"/>
              <w:rPr>
                <w:color w:val="000000"/>
                <w:sz w:val="24"/>
              </w:rPr>
            </w:pPr>
            <w:r w:rsidRPr="0036023B">
              <w:rPr>
                <w:color w:val="000000"/>
                <w:sz w:val="24"/>
              </w:rPr>
              <w:t>-</w:t>
            </w:r>
          </w:p>
        </w:tc>
      </w:tr>
      <w:tr w:rsidR="002C2A73" w:rsidRPr="0036023B" w14:paraId="5BD56191" w14:textId="77777777" w:rsidTr="009C5B8C">
        <w:trPr>
          <w:jc w:val="center"/>
        </w:trPr>
        <w:tc>
          <w:tcPr>
            <w:tcW w:w="846" w:type="dxa"/>
            <w:shd w:val="clear" w:color="auto" w:fill="auto"/>
            <w:vAlign w:val="center"/>
          </w:tcPr>
          <w:p w14:paraId="48B592FF" w14:textId="77777777" w:rsidR="002C2A73" w:rsidRPr="0036023B" w:rsidRDefault="002C2A73" w:rsidP="00432C1E">
            <w:pPr>
              <w:spacing w:before="29" w:line="288" w:lineRule="auto"/>
              <w:ind w:left="17"/>
              <w:jc w:val="center"/>
              <w:rPr>
                <w:color w:val="000000"/>
                <w:sz w:val="24"/>
              </w:rPr>
            </w:pPr>
            <w:r w:rsidRPr="0036023B">
              <w:rPr>
                <w:color w:val="000000"/>
                <w:sz w:val="24"/>
              </w:rPr>
              <w:t>3</w:t>
            </w:r>
          </w:p>
        </w:tc>
        <w:tc>
          <w:tcPr>
            <w:tcW w:w="2835" w:type="dxa"/>
            <w:shd w:val="clear" w:color="auto" w:fill="auto"/>
            <w:vAlign w:val="center"/>
          </w:tcPr>
          <w:p w14:paraId="78D52111" w14:textId="77777777" w:rsidR="002C2A73" w:rsidRPr="0036023B" w:rsidRDefault="002C2A73" w:rsidP="00432C1E">
            <w:pPr>
              <w:spacing w:before="29" w:line="288" w:lineRule="auto"/>
              <w:ind w:left="17"/>
              <w:jc w:val="left"/>
              <w:rPr>
                <w:color w:val="000000"/>
                <w:sz w:val="24"/>
              </w:rPr>
            </w:pPr>
            <w:r w:rsidRPr="0036023B">
              <w:rPr>
                <w:color w:val="000000"/>
                <w:sz w:val="24"/>
              </w:rPr>
              <w:t>金融债券</w:t>
            </w:r>
          </w:p>
        </w:tc>
        <w:tc>
          <w:tcPr>
            <w:tcW w:w="1701" w:type="dxa"/>
            <w:shd w:val="clear" w:color="auto" w:fill="auto"/>
            <w:vAlign w:val="center"/>
          </w:tcPr>
          <w:p w14:paraId="2362809D" w14:textId="77777777" w:rsidR="002C2A73" w:rsidRPr="0036023B" w:rsidRDefault="002C2A73" w:rsidP="00432C1E">
            <w:pPr>
              <w:spacing w:before="29" w:line="288" w:lineRule="auto"/>
              <w:ind w:left="17"/>
              <w:jc w:val="right"/>
              <w:rPr>
                <w:color w:val="000000"/>
                <w:sz w:val="24"/>
              </w:rPr>
            </w:pPr>
            <w:r w:rsidRPr="0036023B">
              <w:rPr>
                <w:color w:val="000000"/>
                <w:sz w:val="24"/>
              </w:rPr>
              <w:t>-</w:t>
            </w:r>
          </w:p>
        </w:tc>
        <w:tc>
          <w:tcPr>
            <w:tcW w:w="2977" w:type="dxa"/>
            <w:shd w:val="clear" w:color="auto" w:fill="auto"/>
            <w:vAlign w:val="center"/>
          </w:tcPr>
          <w:p w14:paraId="14ECCF32" w14:textId="77777777" w:rsidR="002C2A73" w:rsidRPr="0036023B" w:rsidRDefault="002C2A73" w:rsidP="00432C1E">
            <w:pPr>
              <w:spacing w:before="29" w:line="288" w:lineRule="auto"/>
              <w:ind w:left="17"/>
              <w:jc w:val="right"/>
              <w:rPr>
                <w:color w:val="000000"/>
                <w:sz w:val="24"/>
              </w:rPr>
            </w:pPr>
            <w:r w:rsidRPr="0036023B">
              <w:rPr>
                <w:color w:val="000000"/>
                <w:sz w:val="24"/>
              </w:rPr>
              <w:t>-</w:t>
            </w:r>
          </w:p>
        </w:tc>
      </w:tr>
      <w:tr w:rsidR="002C2A73" w:rsidRPr="0036023B" w14:paraId="0AE9D9D2" w14:textId="77777777" w:rsidTr="009C5B8C">
        <w:trPr>
          <w:jc w:val="center"/>
        </w:trPr>
        <w:tc>
          <w:tcPr>
            <w:tcW w:w="846" w:type="dxa"/>
            <w:shd w:val="clear" w:color="auto" w:fill="auto"/>
            <w:vAlign w:val="center"/>
          </w:tcPr>
          <w:p w14:paraId="240CDE8E" w14:textId="77777777" w:rsidR="002C2A73" w:rsidRPr="0036023B" w:rsidRDefault="002C2A73" w:rsidP="00432C1E">
            <w:pPr>
              <w:spacing w:before="29" w:line="288" w:lineRule="auto"/>
              <w:ind w:left="17"/>
              <w:jc w:val="center"/>
              <w:rPr>
                <w:color w:val="000000"/>
                <w:sz w:val="24"/>
              </w:rPr>
            </w:pPr>
          </w:p>
        </w:tc>
        <w:tc>
          <w:tcPr>
            <w:tcW w:w="2835" w:type="dxa"/>
            <w:shd w:val="clear" w:color="auto" w:fill="auto"/>
            <w:vAlign w:val="center"/>
          </w:tcPr>
          <w:p w14:paraId="1CC2B020" w14:textId="77777777" w:rsidR="002C2A73" w:rsidRPr="0036023B" w:rsidRDefault="002C2A73" w:rsidP="00432C1E">
            <w:pPr>
              <w:spacing w:before="29" w:line="288" w:lineRule="auto"/>
              <w:ind w:left="17"/>
              <w:jc w:val="left"/>
              <w:rPr>
                <w:color w:val="000000"/>
                <w:sz w:val="24"/>
              </w:rPr>
            </w:pPr>
            <w:r w:rsidRPr="0036023B">
              <w:rPr>
                <w:color w:val="000000"/>
                <w:sz w:val="24"/>
              </w:rPr>
              <w:t>其中：政策性金融债</w:t>
            </w:r>
          </w:p>
        </w:tc>
        <w:tc>
          <w:tcPr>
            <w:tcW w:w="1701" w:type="dxa"/>
            <w:shd w:val="clear" w:color="auto" w:fill="auto"/>
            <w:vAlign w:val="center"/>
          </w:tcPr>
          <w:p w14:paraId="73EB7A7D" w14:textId="77777777" w:rsidR="002C2A73" w:rsidRPr="0036023B" w:rsidRDefault="002C2A73" w:rsidP="00432C1E">
            <w:pPr>
              <w:spacing w:before="29" w:line="288" w:lineRule="auto"/>
              <w:ind w:left="17"/>
              <w:jc w:val="right"/>
              <w:rPr>
                <w:color w:val="000000"/>
                <w:sz w:val="24"/>
              </w:rPr>
            </w:pPr>
            <w:r w:rsidRPr="0036023B">
              <w:rPr>
                <w:color w:val="000000"/>
                <w:sz w:val="24"/>
              </w:rPr>
              <w:t>-</w:t>
            </w:r>
          </w:p>
        </w:tc>
        <w:tc>
          <w:tcPr>
            <w:tcW w:w="2977" w:type="dxa"/>
            <w:shd w:val="clear" w:color="auto" w:fill="auto"/>
            <w:vAlign w:val="center"/>
          </w:tcPr>
          <w:p w14:paraId="2BC6F676" w14:textId="77777777" w:rsidR="002C2A73" w:rsidRPr="0036023B" w:rsidRDefault="002C2A73" w:rsidP="00432C1E">
            <w:pPr>
              <w:spacing w:before="29" w:line="288" w:lineRule="auto"/>
              <w:ind w:left="17"/>
              <w:jc w:val="right"/>
              <w:rPr>
                <w:color w:val="000000"/>
                <w:sz w:val="24"/>
              </w:rPr>
            </w:pPr>
            <w:r w:rsidRPr="0036023B">
              <w:rPr>
                <w:color w:val="000000"/>
                <w:sz w:val="24"/>
              </w:rPr>
              <w:t>-</w:t>
            </w:r>
          </w:p>
        </w:tc>
      </w:tr>
      <w:tr w:rsidR="002C2A73" w:rsidRPr="0036023B" w14:paraId="5CA482A9" w14:textId="77777777" w:rsidTr="009C5B8C">
        <w:trPr>
          <w:jc w:val="center"/>
        </w:trPr>
        <w:tc>
          <w:tcPr>
            <w:tcW w:w="846" w:type="dxa"/>
            <w:shd w:val="clear" w:color="auto" w:fill="auto"/>
            <w:vAlign w:val="center"/>
          </w:tcPr>
          <w:p w14:paraId="485615AB" w14:textId="77777777" w:rsidR="002C2A73" w:rsidRPr="0036023B" w:rsidRDefault="002C2A73" w:rsidP="00432C1E">
            <w:pPr>
              <w:spacing w:before="29" w:line="288" w:lineRule="auto"/>
              <w:ind w:left="17"/>
              <w:jc w:val="center"/>
              <w:rPr>
                <w:color w:val="000000"/>
                <w:sz w:val="24"/>
              </w:rPr>
            </w:pPr>
            <w:r w:rsidRPr="0036023B">
              <w:rPr>
                <w:color w:val="000000"/>
                <w:sz w:val="24"/>
              </w:rPr>
              <w:t>4</w:t>
            </w:r>
          </w:p>
        </w:tc>
        <w:tc>
          <w:tcPr>
            <w:tcW w:w="2835" w:type="dxa"/>
            <w:shd w:val="clear" w:color="auto" w:fill="auto"/>
            <w:vAlign w:val="center"/>
          </w:tcPr>
          <w:p w14:paraId="298A2CCB" w14:textId="77777777" w:rsidR="002C2A73" w:rsidRPr="0036023B" w:rsidRDefault="002C2A73" w:rsidP="00432C1E">
            <w:pPr>
              <w:spacing w:before="29" w:line="288" w:lineRule="auto"/>
              <w:ind w:left="17"/>
              <w:jc w:val="left"/>
              <w:rPr>
                <w:color w:val="000000"/>
                <w:sz w:val="24"/>
              </w:rPr>
            </w:pPr>
            <w:r w:rsidRPr="0036023B">
              <w:rPr>
                <w:color w:val="000000"/>
                <w:sz w:val="24"/>
              </w:rPr>
              <w:t>企业债券</w:t>
            </w:r>
          </w:p>
        </w:tc>
        <w:tc>
          <w:tcPr>
            <w:tcW w:w="1701" w:type="dxa"/>
            <w:shd w:val="clear" w:color="auto" w:fill="auto"/>
            <w:vAlign w:val="center"/>
          </w:tcPr>
          <w:p w14:paraId="34E54243" w14:textId="77777777" w:rsidR="002C2A73" w:rsidRPr="0036023B" w:rsidRDefault="002C2A73" w:rsidP="00432C1E">
            <w:pPr>
              <w:spacing w:before="29" w:line="288" w:lineRule="auto"/>
              <w:ind w:left="17"/>
              <w:jc w:val="right"/>
              <w:rPr>
                <w:color w:val="000000"/>
                <w:sz w:val="24"/>
              </w:rPr>
            </w:pPr>
            <w:r w:rsidRPr="0036023B">
              <w:rPr>
                <w:color w:val="000000"/>
                <w:sz w:val="24"/>
              </w:rPr>
              <w:t>-</w:t>
            </w:r>
          </w:p>
        </w:tc>
        <w:tc>
          <w:tcPr>
            <w:tcW w:w="2977" w:type="dxa"/>
            <w:shd w:val="clear" w:color="auto" w:fill="auto"/>
            <w:vAlign w:val="center"/>
          </w:tcPr>
          <w:p w14:paraId="5A2BC800" w14:textId="77777777" w:rsidR="002C2A73" w:rsidRPr="0036023B" w:rsidRDefault="002C2A73" w:rsidP="00432C1E">
            <w:pPr>
              <w:spacing w:before="29" w:line="288" w:lineRule="auto"/>
              <w:ind w:left="17"/>
              <w:jc w:val="right"/>
              <w:rPr>
                <w:color w:val="000000"/>
                <w:sz w:val="24"/>
              </w:rPr>
            </w:pPr>
            <w:r w:rsidRPr="0036023B">
              <w:rPr>
                <w:color w:val="000000"/>
                <w:sz w:val="24"/>
              </w:rPr>
              <w:t>-</w:t>
            </w:r>
          </w:p>
        </w:tc>
      </w:tr>
      <w:tr w:rsidR="002C2A73" w:rsidRPr="0036023B" w14:paraId="6488ED04" w14:textId="77777777" w:rsidTr="009C5B8C">
        <w:trPr>
          <w:jc w:val="center"/>
        </w:trPr>
        <w:tc>
          <w:tcPr>
            <w:tcW w:w="846" w:type="dxa"/>
            <w:shd w:val="clear" w:color="auto" w:fill="auto"/>
            <w:vAlign w:val="center"/>
          </w:tcPr>
          <w:p w14:paraId="2E35855B" w14:textId="77777777" w:rsidR="002C2A73" w:rsidRPr="0036023B" w:rsidRDefault="002C2A73" w:rsidP="00432C1E">
            <w:pPr>
              <w:spacing w:before="29" w:line="288" w:lineRule="auto"/>
              <w:ind w:left="17"/>
              <w:jc w:val="center"/>
              <w:rPr>
                <w:color w:val="000000"/>
                <w:sz w:val="24"/>
              </w:rPr>
            </w:pPr>
            <w:r w:rsidRPr="0036023B">
              <w:rPr>
                <w:color w:val="000000"/>
                <w:sz w:val="24"/>
              </w:rPr>
              <w:t>5</w:t>
            </w:r>
          </w:p>
        </w:tc>
        <w:tc>
          <w:tcPr>
            <w:tcW w:w="2835" w:type="dxa"/>
            <w:shd w:val="clear" w:color="auto" w:fill="auto"/>
            <w:vAlign w:val="center"/>
          </w:tcPr>
          <w:p w14:paraId="5649C67B" w14:textId="77777777" w:rsidR="002C2A73" w:rsidRPr="0036023B" w:rsidRDefault="002C2A73" w:rsidP="00432C1E">
            <w:pPr>
              <w:spacing w:before="29" w:line="288" w:lineRule="auto"/>
              <w:ind w:left="17"/>
              <w:jc w:val="left"/>
              <w:rPr>
                <w:color w:val="000000"/>
                <w:sz w:val="24"/>
              </w:rPr>
            </w:pPr>
            <w:r w:rsidRPr="0036023B">
              <w:rPr>
                <w:color w:val="000000"/>
                <w:sz w:val="24"/>
              </w:rPr>
              <w:t>企业短期融资券</w:t>
            </w:r>
          </w:p>
        </w:tc>
        <w:tc>
          <w:tcPr>
            <w:tcW w:w="1701" w:type="dxa"/>
            <w:shd w:val="clear" w:color="auto" w:fill="auto"/>
            <w:vAlign w:val="center"/>
          </w:tcPr>
          <w:p w14:paraId="67502F07" w14:textId="77777777" w:rsidR="002C2A73" w:rsidRPr="0036023B" w:rsidRDefault="002C2A73" w:rsidP="00432C1E">
            <w:pPr>
              <w:spacing w:before="29" w:line="288" w:lineRule="auto"/>
              <w:ind w:left="17"/>
              <w:jc w:val="right"/>
              <w:rPr>
                <w:color w:val="000000"/>
                <w:sz w:val="24"/>
              </w:rPr>
            </w:pPr>
            <w:r w:rsidRPr="0036023B">
              <w:rPr>
                <w:color w:val="000000"/>
                <w:sz w:val="24"/>
              </w:rPr>
              <w:t>-</w:t>
            </w:r>
          </w:p>
        </w:tc>
        <w:tc>
          <w:tcPr>
            <w:tcW w:w="2977" w:type="dxa"/>
            <w:shd w:val="clear" w:color="auto" w:fill="auto"/>
            <w:vAlign w:val="center"/>
          </w:tcPr>
          <w:p w14:paraId="0A29114A" w14:textId="77777777" w:rsidR="002C2A73" w:rsidRPr="0036023B" w:rsidRDefault="002C2A73" w:rsidP="00432C1E">
            <w:pPr>
              <w:spacing w:before="29" w:line="288" w:lineRule="auto"/>
              <w:ind w:left="17"/>
              <w:jc w:val="right"/>
              <w:rPr>
                <w:color w:val="000000"/>
                <w:sz w:val="24"/>
              </w:rPr>
            </w:pPr>
            <w:r w:rsidRPr="0036023B">
              <w:rPr>
                <w:color w:val="000000"/>
                <w:sz w:val="24"/>
              </w:rPr>
              <w:t>-</w:t>
            </w:r>
          </w:p>
        </w:tc>
      </w:tr>
      <w:tr w:rsidR="002C2A73" w:rsidRPr="0036023B" w14:paraId="697EDDFA" w14:textId="77777777" w:rsidTr="009C5B8C">
        <w:trPr>
          <w:jc w:val="center"/>
        </w:trPr>
        <w:tc>
          <w:tcPr>
            <w:tcW w:w="846" w:type="dxa"/>
            <w:shd w:val="clear" w:color="auto" w:fill="auto"/>
            <w:vAlign w:val="center"/>
          </w:tcPr>
          <w:p w14:paraId="73F9A7F0" w14:textId="77777777" w:rsidR="002C2A73" w:rsidRPr="0036023B" w:rsidRDefault="002C2A73" w:rsidP="00432C1E">
            <w:pPr>
              <w:spacing w:before="29" w:line="288" w:lineRule="auto"/>
              <w:ind w:left="17"/>
              <w:jc w:val="center"/>
              <w:rPr>
                <w:color w:val="000000"/>
                <w:sz w:val="24"/>
              </w:rPr>
            </w:pPr>
            <w:r w:rsidRPr="0036023B">
              <w:rPr>
                <w:color w:val="000000"/>
                <w:sz w:val="24"/>
              </w:rPr>
              <w:t>6</w:t>
            </w:r>
          </w:p>
        </w:tc>
        <w:tc>
          <w:tcPr>
            <w:tcW w:w="2835" w:type="dxa"/>
            <w:shd w:val="clear" w:color="auto" w:fill="auto"/>
            <w:vAlign w:val="center"/>
          </w:tcPr>
          <w:p w14:paraId="4BAC9B32" w14:textId="77777777" w:rsidR="002C2A73" w:rsidRPr="0036023B" w:rsidRDefault="002C2A73" w:rsidP="00432C1E">
            <w:pPr>
              <w:spacing w:before="29" w:line="288" w:lineRule="auto"/>
              <w:ind w:left="17"/>
              <w:jc w:val="left"/>
              <w:rPr>
                <w:color w:val="000000"/>
                <w:sz w:val="24"/>
              </w:rPr>
            </w:pPr>
            <w:r w:rsidRPr="0036023B">
              <w:rPr>
                <w:color w:val="000000"/>
                <w:sz w:val="24"/>
              </w:rPr>
              <w:t>中期票据</w:t>
            </w:r>
          </w:p>
        </w:tc>
        <w:tc>
          <w:tcPr>
            <w:tcW w:w="1701" w:type="dxa"/>
            <w:shd w:val="clear" w:color="auto" w:fill="auto"/>
            <w:vAlign w:val="center"/>
          </w:tcPr>
          <w:p w14:paraId="37CAB47E" w14:textId="77777777" w:rsidR="002C2A73" w:rsidRPr="0036023B" w:rsidRDefault="002C2A73" w:rsidP="00432C1E">
            <w:pPr>
              <w:spacing w:before="29" w:line="288" w:lineRule="auto"/>
              <w:ind w:left="17"/>
              <w:jc w:val="right"/>
              <w:rPr>
                <w:color w:val="000000"/>
                <w:sz w:val="24"/>
              </w:rPr>
            </w:pPr>
            <w:r w:rsidRPr="0036023B">
              <w:rPr>
                <w:color w:val="000000"/>
                <w:sz w:val="24"/>
              </w:rPr>
              <w:t>-</w:t>
            </w:r>
          </w:p>
        </w:tc>
        <w:tc>
          <w:tcPr>
            <w:tcW w:w="2977" w:type="dxa"/>
            <w:shd w:val="clear" w:color="auto" w:fill="auto"/>
            <w:vAlign w:val="center"/>
          </w:tcPr>
          <w:p w14:paraId="767B0BC1" w14:textId="77777777" w:rsidR="002C2A73" w:rsidRPr="0036023B" w:rsidRDefault="002C2A73" w:rsidP="00432C1E">
            <w:pPr>
              <w:spacing w:before="29" w:line="288" w:lineRule="auto"/>
              <w:ind w:left="17"/>
              <w:jc w:val="right"/>
              <w:rPr>
                <w:color w:val="000000"/>
                <w:sz w:val="24"/>
              </w:rPr>
            </w:pPr>
            <w:r w:rsidRPr="0036023B">
              <w:rPr>
                <w:color w:val="000000"/>
                <w:sz w:val="24"/>
              </w:rPr>
              <w:t>-</w:t>
            </w:r>
          </w:p>
        </w:tc>
      </w:tr>
      <w:tr w:rsidR="002C2A73" w:rsidRPr="0036023B" w14:paraId="6E3F9D2A" w14:textId="77777777" w:rsidTr="009C5B8C">
        <w:trPr>
          <w:jc w:val="center"/>
        </w:trPr>
        <w:tc>
          <w:tcPr>
            <w:tcW w:w="846" w:type="dxa"/>
            <w:shd w:val="clear" w:color="auto" w:fill="auto"/>
            <w:vAlign w:val="center"/>
          </w:tcPr>
          <w:p w14:paraId="4316AB31" w14:textId="77777777" w:rsidR="002C2A73" w:rsidRPr="0036023B" w:rsidRDefault="002C2A73" w:rsidP="00432C1E">
            <w:pPr>
              <w:spacing w:before="29" w:line="288" w:lineRule="auto"/>
              <w:ind w:left="17"/>
              <w:jc w:val="center"/>
              <w:rPr>
                <w:color w:val="000000"/>
                <w:sz w:val="24"/>
              </w:rPr>
            </w:pPr>
            <w:r w:rsidRPr="0036023B">
              <w:rPr>
                <w:color w:val="000000"/>
                <w:sz w:val="24"/>
              </w:rPr>
              <w:t>7</w:t>
            </w:r>
          </w:p>
        </w:tc>
        <w:tc>
          <w:tcPr>
            <w:tcW w:w="2835" w:type="dxa"/>
            <w:shd w:val="clear" w:color="auto" w:fill="auto"/>
            <w:vAlign w:val="center"/>
          </w:tcPr>
          <w:p w14:paraId="57B25BCE" w14:textId="77777777" w:rsidR="002C2A73" w:rsidRPr="0036023B" w:rsidRDefault="002C2A73" w:rsidP="00432C1E">
            <w:pPr>
              <w:spacing w:before="29" w:line="288" w:lineRule="auto"/>
              <w:ind w:left="17"/>
              <w:jc w:val="left"/>
              <w:rPr>
                <w:color w:val="000000"/>
                <w:sz w:val="24"/>
              </w:rPr>
            </w:pPr>
            <w:r w:rsidRPr="0036023B">
              <w:rPr>
                <w:color w:val="000000"/>
                <w:sz w:val="24"/>
              </w:rPr>
              <w:t>可转债</w:t>
            </w:r>
            <w:r>
              <w:rPr>
                <w:rFonts w:hint="eastAsia"/>
                <w:sz w:val="24"/>
              </w:rPr>
              <w:t>（可交换债）</w:t>
            </w:r>
          </w:p>
        </w:tc>
        <w:tc>
          <w:tcPr>
            <w:tcW w:w="1701" w:type="dxa"/>
            <w:shd w:val="clear" w:color="auto" w:fill="auto"/>
            <w:vAlign w:val="center"/>
          </w:tcPr>
          <w:p w14:paraId="7078C1FA" w14:textId="77777777" w:rsidR="002C2A73" w:rsidRPr="0036023B" w:rsidRDefault="002C2A73" w:rsidP="00432C1E">
            <w:pPr>
              <w:spacing w:before="29" w:line="288" w:lineRule="auto"/>
              <w:ind w:left="17"/>
              <w:jc w:val="right"/>
              <w:rPr>
                <w:color w:val="000000"/>
                <w:sz w:val="24"/>
              </w:rPr>
            </w:pPr>
            <w:r w:rsidRPr="0036023B">
              <w:rPr>
                <w:color w:val="000000"/>
                <w:sz w:val="24"/>
              </w:rPr>
              <w:t>106,600.00</w:t>
            </w:r>
          </w:p>
        </w:tc>
        <w:tc>
          <w:tcPr>
            <w:tcW w:w="2977" w:type="dxa"/>
            <w:shd w:val="clear" w:color="auto" w:fill="auto"/>
            <w:vAlign w:val="center"/>
          </w:tcPr>
          <w:p w14:paraId="63B69359" w14:textId="77777777" w:rsidR="002C2A73" w:rsidRPr="0036023B" w:rsidRDefault="002C2A73" w:rsidP="00432C1E">
            <w:pPr>
              <w:spacing w:before="29" w:line="288" w:lineRule="auto"/>
              <w:ind w:left="17"/>
              <w:jc w:val="right"/>
              <w:rPr>
                <w:color w:val="000000"/>
                <w:sz w:val="24"/>
              </w:rPr>
            </w:pPr>
            <w:r w:rsidRPr="0036023B">
              <w:rPr>
                <w:color w:val="000000"/>
                <w:sz w:val="24"/>
              </w:rPr>
              <w:t>0.16</w:t>
            </w:r>
          </w:p>
        </w:tc>
      </w:tr>
      <w:tr w:rsidR="002C2A73" w:rsidRPr="0036023B" w14:paraId="33BA8167" w14:textId="77777777" w:rsidTr="009C5B8C">
        <w:trPr>
          <w:jc w:val="center"/>
        </w:trPr>
        <w:tc>
          <w:tcPr>
            <w:tcW w:w="846" w:type="dxa"/>
            <w:shd w:val="clear" w:color="auto" w:fill="auto"/>
            <w:vAlign w:val="center"/>
          </w:tcPr>
          <w:p w14:paraId="197D3A50" w14:textId="77777777" w:rsidR="002C2A73" w:rsidRPr="00CD0479" w:rsidRDefault="002C2A73" w:rsidP="00432C1E">
            <w:pPr>
              <w:spacing w:before="29" w:line="288" w:lineRule="auto"/>
              <w:ind w:left="17"/>
              <w:jc w:val="center"/>
              <w:rPr>
                <w:color w:val="000000"/>
                <w:sz w:val="24"/>
              </w:rPr>
            </w:pPr>
            <w:r w:rsidRPr="00CD0479">
              <w:rPr>
                <w:rFonts w:hint="eastAsia"/>
                <w:color w:val="000000"/>
                <w:sz w:val="24"/>
              </w:rPr>
              <w:t>8</w:t>
            </w:r>
          </w:p>
        </w:tc>
        <w:tc>
          <w:tcPr>
            <w:tcW w:w="2835" w:type="dxa"/>
            <w:shd w:val="clear" w:color="auto" w:fill="auto"/>
            <w:vAlign w:val="center"/>
          </w:tcPr>
          <w:p w14:paraId="7432D1D2" w14:textId="77777777" w:rsidR="002C2A73" w:rsidRPr="00CD0479" w:rsidRDefault="002C2A73" w:rsidP="00432C1E">
            <w:pPr>
              <w:spacing w:before="29" w:line="288" w:lineRule="auto"/>
              <w:ind w:left="17"/>
              <w:jc w:val="left"/>
              <w:rPr>
                <w:color w:val="000000"/>
                <w:sz w:val="24"/>
              </w:rPr>
            </w:pPr>
            <w:r w:rsidRPr="00CD0479">
              <w:rPr>
                <w:rFonts w:hint="eastAsia"/>
                <w:color w:val="000000"/>
                <w:sz w:val="24"/>
              </w:rPr>
              <w:t>同业存单</w:t>
            </w:r>
          </w:p>
        </w:tc>
        <w:tc>
          <w:tcPr>
            <w:tcW w:w="1701" w:type="dxa"/>
            <w:shd w:val="clear" w:color="auto" w:fill="auto"/>
            <w:vAlign w:val="center"/>
          </w:tcPr>
          <w:p w14:paraId="5CA85F6C" w14:textId="77777777" w:rsidR="002C2A73" w:rsidRPr="00CD0479" w:rsidRDefault="002C2A73" w:rsidP="00432C1E">
            <w:pPr>
              <w:spacing w:before="29" w:line="288" w:lineRule="auto"/>
              <w:ind w:left="17"/>
              <w:jc w:val="right"/>
              <w:rPr>
                <w:color w:val="000000"/>
                <w:sz w:val="24"/>
              </w:rPr>
            </w:pPr>
            <w:r w:rsidRPr="00CD0479">
              <w:rPr>
                <w:rFonts w:hint="eastAsia"/>
                <w:color w:val="000000"/>
                <w:sz w:val="24"/>
              </w:rPr>
              <w:t>-</w:t>
            </w:r>
          </w:p>
        </w:tc>
        <w:tc>
          <w:tcPr>
            <w:tcW w:w="2977" w:type="dxa"/>
            <w:shd w:val="clear" w:color="auto" w:fill="auto"/>
            <w:vAlign w:val="center"/>
          </w:tcPr>
          <w:p w14:paraId="42618F12" w14:textId="77777777" w:rsidR="002C2A73" w:rsidRPr="00CD0479" w:rsidRDefault="002C2A73" w:rsidP="00432C1E">
            <w:pPr>
              <w:spacing w:before="29" w:line="288" w:lineRule="auto"/>
              <w:ind w:left="17"/>
              <w:jc w:val="right"/>
              <w:rPr>
                <w:color w:val="000000"/>
                <w:sz w:val="24"/>
              </w:rPr>
            </w:pPr>
            <w:r w:rsidRPr="00CD0479">
              <w:rPr>
                <w:rFonts w:hint="eastAsia"/>
                <w:color w:val="000000"/>
                <w:sz w:val="24"/>
              </w:rPr>
              <w:t>-</w:t>
            </w:r>
          </w:p>
        </w:tc>
      </w:tr>
      <w:tr w:rsidR="002C2A73" w:rsidRPr="0036023B" w14:paraId="0E462C6F" w14:textId="77777777" w:rsidTr="009C5B8C">
        <w:trPr>
          <w:jc w:val="center"/>
        </w:trPr>
        <w:tc>
          <w:tcPr>
            <w:tcW w:w="846" w:type="dxa"/>
            <w:shd w:val="clear" w:color="auto" w:fill="auto"/>
            <w:vAlign w:val="center"/>
          </w:tcPr>
          <w:p w14:paraId="15031A6C" w14:textId="77777777" w:rsidR="002C2A73" w:rsidRPr="0036023B" w:rsidRDefault="002C2A73" w:rsidP="00432C1E">
            <w:pPr>
              <w:spacing w:before="29" w:line="288" w:lineRule="auto"/>
              <w:ind w:left="17"/>
              <w:jc w:val="center"/>
              <w:rPr>
                <w:color w:val="000000"/>
                <w:sz w:val="24"/>
              </w:rPr>
            </w:pPr>
            <w:r w:rsidRPr="0036023B">
              <w:rPr>
                <w:color w:val="000000"/>
                <w:sz w:val="24"/>
              </w:rPr>
              <w:t>9</w:t>
            </w:r>
          </w:p>
        </w:tc>
        <w:tc>
          <w:tcPr>
            <w:tcW w:w="2835" w:type="dxa"/>
            <w:shd w:val="clear" w:color="auto" w:fill="auto"/>
            <w:vAlign w:val="center"/>
          </w:tcPr>
          <w:p w14:paraId="33195815" w14:textId="77777777" w:rsidR="002C2A73" w:rsidRPr="0036023B" w:rsidRDefault="002C2A73" w:rsidP="00432C1E">
            <w:pPr>
              <w:spacing w:before="29" w:line="288" w:lineRule="auto"/>
              <w:ind w:left="17"/>
              <w:jc w:val="left"/>
              <w:rPr>
                <w:color w:val="000000"/>
                <w:sz w:val="24"/>
              </w:rPr>
            </w:pPr>
            <w:r w:rsidRPr="0036023B">
              <w:rPr>
                <w:color w:val="000000"/>
                <w:sz w:val="24"/>
              </w:rPr>
              <w:t>其他</w:t>
            </w:r>
          </w:p>
        </w:tc>
        <w:tc>
          <w:tcPr>
            <w:tcW w:w="1701" w:type="dxa"/>
            <w:shd w:val="clear" w:color="auto" w:fill="auto"/>
            <w:vAlign w:val="center"/>
          </w:tcPr>
          <w:p w14:paraId="6E54F5F8" w14:textId="77777777" w:rsidR="002C2A73" w:rsidRPr="0036023B" w:rsidRDefault="002C2A73" w:rsidP="00432C1E">
            <w:pPr>
              <w:spacing w:before="29" w:line="288" w:lineRule="auto"/>
              <w:ind w:left="17"/>
              <w:jc w:val="right"/>
              <w:rPr>
                <w:color w:val="000000"/>
                <w:sz w:val="24"/>
              </w:rPr>
            </w:pPr>
            <w:r w:rsidRPr="0036023B">
              <w:rPr>
                <w:color w:val="000000"/>
                <w:sz w:val="24"/>
              </w:rPr>
              <w:t>-</w:t>
            </w:r>
          </w:p>
        </w:tc>
        <w:tc>
          <w:tcPr>
            <w:tcW w:w="2977" w:type="dxa"/>
            <w:shd w:val="clear" w:color="auto" w:fill="auto"/>
            <w:vAlign w:val="center"/>
          </w:tcPr>
          <w:p w14:paraId="4C6D0ADA" w14:textId="77777777" w:rsidR="002C2A73" w:rsidRPr="0036023B" w:rsidRDefault="002C2A73" w:rsidP="00432C1E">
            <w:pPr>
              <w:spacing w:before="29" w:line="288" w:lineRule="auto"/>
              <w:ind w:left="17"/>
              <w:jc w:val="right"/>
              <w:rPr>
                <w:color w:val="000000"/>
                <w:sz w:val="24"/>
              </w:rPr>
            </w:pPr>
            <w:r w:rsidRPr="0036023B">
              <w:rPr>
                <w:color w:val="000000"/>
                <w:sz w:val="24"/>
              </w:rPr>
              <w:t>-</w:t>
            </w:r>
          </w:p>
        </w:tc>
      </w:tr>
      <w:tr w:rsidR="002C2A73" w:rsidRPr="0036023B" w14:paraId="46D985AD" w14:textId="77777777" w:rsidTr="009C5B8C">
        <w:trPr>
          <w:jc w:val="center"/>
        </w:trPr>
        <w:tc>
          <w:tcPr>
            <w:tcW w:w="846" w:type="dxa"/>
            <w:shd w:val="clear" w:color="auto" w:fill="auto"/>
            <w:vAlign w:val="center"/>
          </w:tcPr>
          <w:p w14:paraId="35234CA2" w14:textId="77777777" w:rsidR="002C2A73" w:rsidRPr="0036023B" w:rsidRDefault="002C2A73" w:rsidP="00432C1E">
            <w:pPr>
              <w:spacing w:before="29" w:line="288" w:lineRule="auto"/>
              <w:ind w:left="17"/>
              <w:jc w:val="center"/>
              <w:rPr>
                <w:color w:val="000000"/>
                <w:sz w:val="24"/>
              </w:rPr>
            </w:pPr>
            <w:r w:rsidRPr="0036023B">
              <w:rPr>
                <w:color w:val="000000"/>
                <w:sz w:val="24"/>
              </w:rPr>
              <w:t>10</w:t>
            </w:r>
          </w:p>
        </w:tc>
        <w:tc>
          <w:tcPr>
            <w:tcW w:w="2835" w:type="dxa"/>
            <w:shd w:val="clear" w:color="auto" w:fill="auto"/>
            <w:vAlign w:val="center"/>
          </w:tcPr>
          <w:p w14:paraId="263FA012" w14:textId="77777777" w:rsidR="002C2A73" w:rsidRPr="0036023B" w:rsidRDefault="002C2A73" w:rsidP="00432C1E">
            <w:pPr>
              <w:spacing w:before="29" w:line="288" w:lineRule="auto"/>
              <w:ind w:left="17"/>
              <w:jc w:val="left"/>
              <w:rPr>
                <w:color w:val="000000"/>
                <w:sz w:val="24"/>
              </w:rPr>
            </w:pPr>
            <w:r w:rsidRPr="0036023B">
              <w:rPr>
                <w:color w:val="000000"/>
                <w:sz w:val="24"/>
              </w:rPr>
              <w:t>合计</w:t>
            </w:r>
          </w:p>
        </w:tc>
        <w:tc>
          <w:tcPr>
            <w:tcW w:w="1701" w:type="dxa"/>
            <w:shd w:val="clear" w:color="auto" w:fill="auto"/>
            <w:vAlign w:val="center"/>
          </w:tcPr>
          <w:p w14:paraId="71EC955F" w14:textId="77777777" w:rsidR="002C2A73" w:rsidRPr="0036023B" w:rsidRDefault="002C2A73" w:rsidP="00432C1E">
            <w:pPr>
              <w:spacing w:before="29" w:line="288" w:lineRule="auto"/>
              <w:ind w:left="17"/>
              <w:jc w:val="right"/>
              <w:rPr>
                <w:color w:val="000000"/>
                <w:sz w:val="24"/>
              </w:rPr>
            </w:pPr>
            <w:r w:rsidRPr="0036023B">
              <w:rPr>
                <w:color w:val="000000"/>
                <w:sz w:val="24"/>
              </w:rPr>
              <w:t>106,600.00</w:t>
            </w:r>
          </w:p>
        </w:tc>
        <w:tc>
          <w:tcPr>
            <w:tcW w:w="2977" w:type="dxa"/>
            <w:shd w:val="clear" w:color="auto" w:fill="auto"/>
            <w:vAlign w:val="center"/>
          </w:tcPr>
          <w:p w14:paraId="1C2B5E9E" w14:textId="77777777" w:rsidR="002C2A73" w:rsidRPr="0036023B" w:rsidRDefault="002C2A73" w:rsidP="00432C1E">
            <w:pPr>
              <w:spacing w:before="29" w:line="288" w:lineRule="auto"/>
              <w:ind w:left="17"/>
              <w:jc w:val="right"/>
              <w:rPr>
                <w:color w:val="000000"/>
                <w:sz w:val="24"/>
              </w:rPr>
            </w:pPr>
            <w:r w:rsidRPr="0036023B">
              <w:rPr>
                <w:color w:val="000000"/>
                <w:sz w:val="24"/>
              </w:rPr>
              <w:t>0.16</w:t>
            </w:r>
          </w:p>
        </w:tc>
      </w:tr>
    </w:tbl>
    <w:p w14:paraId="5BF00950" w14:textId="025132DF" w:rsidR="00CF57A4" w:rsidRDefault="00CF57A4" w:rsidP="009C5B8C">
      <w:pPr>
        <w:spacing w:before="50" w:line="360" w:lineRule="auto"/>
        <w:rPr>
          <w:rFonts w:ascii="宋体" w:hAnsi="宋体"/>
          <w:color w:val="000000"/>
          <w:sz w:val="24"/>
        </w:rPr>
      </w:pPr>
    </w:p>
    <w:p w14:paraId="22A23C0C" w14:textId="77777777" w:rsidR="00CF57A4" w:rsidRDefault="00B13D46">
      <w:pPr>
        <w:spacing w:before="50" w:line="360" w:lineRule="auto"/>
        <w:ind w:firstLineChars="200" w:firstLine="480"/>
        <w:rPr>
          <w:rFonts w:ascii="宋体" w:hAnsi="宋体"/>
          <w:color w:val="000000"/>
          <w:sz w:val="24"/>
        </w:rPr>
      </w:pPr>
      <w:r>
        <w:rPr>
          <w:rFonts w:ascii="宋体" w:hAnsi="宋体" w:hint="eastAsia"/>
          <w:color w:val="000000"/>
          <w:sz w:val="24"/>
        </w:rPr>
        <w:t>5、报告期末按公允价值占基金资产净值比例大小排序的前五名债券投资明细</w:t>
      </w: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846"/>
        <w:gridCol w:w="1276"/>
        <w:gridCol w:w="1275"/>
        <w:gridCol w:w="1276"/>
        <w:gridCol w:w="1701"/>
        <w:gridCol w:w="2268"/>
      </w:tblGrid>
      <w:tr w:rsidR="002C2A73" w:rsidRPr="0036023B" w14:paraId="524689A0" w14:textId="77777777" w:rsidTr="002C2A73">
        <w:trPr>
          <w:jc w:val="center"/>
        </w:trPr>
        <w:tc>
          <w:tcPr>
            <w:tcW w:w="846" w:type="dxa"/>
            <w:shd w:val="clear" w:color="auto" w:fill="auto"/>
            <w:vAlign w:val="center"/>
          </w:tcPr>
          <w:p w14:paraId="609832A9" w14:textId="77777777" w:rsidR="002C2A73" w:rsidRPr="0036023B" w:rsidRDefault="002C2A73" w:rsidP="00432C1E">
            <w:pPr>
              <w:spacing w:before="29" w:line="288" w:lineRule="auto"/>
              <w:ind w:left="17"/>
              <w:jc w:val="center"/>
              <w:rPr>
                <w:color w:val="000000"/>
                <w:sz w:val="24"/>
              </w:rPr>
            </w:pPr>
            <w:r w:rsidRPr="0036023B">
              <w:rPr>
                <w:color w:val="000000"/>
                <w:sz w:val="24"/>
              </w:rPr>
              <w:t>序号</w:t>
            </w:r>
          </w:p>
        </w:tc>
        <w:tc>
          <w:tcPr>
            <w:tcW w:w="1276" w:type="dxa"/>
            <w:shd w:val="clear" w:color="auto" w:fill="auto"/>
            <w:vAlign w:val="center"/>
          </w:tcPr>
          <w:p w14:paraId="49DC6731" w14:textId="77777777" w:rsidR="002C2A73" w:rsidRPr="0036023B" w:rsidRDefault="002C2A73" w:rsidP="00432C1E">
            <w:pPr>
              <w:spacing w:before="29" w:line="288" w:lineRule="auto"/>
              <w:ind w:left="17"/>
              <w:jc w:val="center"/>
              <w:rPr>
                <w:color w:val="000000"/>
                <w:sz w:val="24"/>
              </w:rPr>
            </w:pPr>
            <w:r w:rsidRPr="0036023B">
              <w:rPr>
                <w:color w:val="000000"/>
                <w:sz w:val="24"/>
              </w:rPr>
              <w:t>债券代码</w:t>
            </w:r>
          </w:p>
        </w:tc>
        <w:tc>
          <w:tcPr>
            <w:tcW w:w="1275" w:type="dxa"/>
            <w:shd w:val="clear" w:color="auto" w:fill="auto"/>
            <w:vAlign w:val="center"/>
          </w:tcPr>
          <w:p w14:paraId="276FAEED" w14:textId="77777777" w:rsidR="002C2A73" w:rsidRPr="0036023B" w:rsidRDefault="002C2A73" w:rsidP="00432C1E">
            <w:pPr>
              <w:spacing w:before="29" w:line="288" w:lineRule="auto"/>
              <w:ind w:left="17"/>
              <w:jc w:val="center"/>
              <w:rPr>
                <w:color w:val="000000"/>
                <w:sz w:val="24"/>
              </w:rPr>
            </w:pPr>
            <w:r w:rsidRPr="0036023B">
              <w:rPr>
                <w:color w:val="000000"/>
                <w:sz w:val="24"/>
              </w:rPr>
              <w:t>债券名称</w:t>
            </w:r>
          </w:p>
        </w:tc>
        <w:tc>
          <w:tcPr>
            <w:tcW w:w="1276" w:type="dxa"/>
            <w:shd w:val="clear" w:color="auto" w:fill="auto"/>
            <w:vAlign w:val="center"/>
          </w:tcPr>
          <w:p w14:paraId="029671B3" w14:textId="77777777" w:rsidR="002C2A73" w:rsidRPr="0036023B" w:rsidRDefault="002C2A73" w:rsidP="00432C1E">
            <w:pPr>
              <w:spacing w:before="29" w:line="288" w:lineRule="auto"/>
              <w:ind w:left="17"/>
              <w:jc w:val="center"/>
              <w:rPr>
                <w:color w:val="000000"/>
                <w:sz w:val="24"/>
              </w:rPr>
            </w:pPr>
            <w:r w:rsidRPr="0036023B">
              <w:rPr>
                <w:color w:val="000000"/>
                <w:sz w:val="24"/>
              </w:rPr>
              <w:t>数量</w:t>
            </w:r>
            <w:r w:rsidRPr="0036023B">
              <w:rPr>
                <w:color w:val="000000"/>
                <w:sz w:val="24"/>
              </w:rPr>
              <w:t>(</w:t>
            </w:r>
            <w:r w:rsidRPr="0036023B">
              <w:rPr>
                <w:color w:val="000000"/>
                <w:sz w:val="24"/>
              </w:rPr>
              <w:t>张</w:t>
            </w:r>
            <w:r w:rsidRPr="0036023B">
              <w:rPr>
                <w:color w:val="000000"/>
                <w:sz w:val="24"/>
              </w:rPr>
              <w:t>)</w:t>
            </w:r>
          </w:p>
        </w:tc>
        <w:tc>
          <w:tcPr>
            <w:tcW w:w="1701" w:type="dxa"/>
            <w:shd w:val="clear" w:color="auto" w:fill="auto"/>
            <w:vAlign w:val="center"/>
          </w:tcPr>
          <w:p w14:paraId="60948AF6" w14:textId="77777777" w:rsidR="002C2A73" w:rsidRPr="0036023B" w:rsidRDefault="002C2A73" w:rsidP="00432C1E">
            <w:pPr>
              <w:spacing w:before="29" w:line="288" w:lineRule="auto"/>
              <w:ind w:left="17"/>
              <w:jc w:val="center"/>
              <w:rPr>
                <w:color w:val="000000"/>
                <w:sz w:val="24"/>
              </w:rPr>
            </w:pPr>
            <w:r w:rsidRPr="0036023B">
              <w:rPr>
                <w:color w:val="000000"/>
                <w:sz w:val="24"/>
              </w:rPr>
              <w:t>公允价值</w:t>
            </w:r>
            <w:r w:rsidRPr="0036023B">
              <w:rPr>
                <w:color w:val="000000"/>
                <w:sz w:val="24"/>
              </w:rPr>
              <w:t>(</w:t>
            </w:r>
            <w:r w:rsidRPr="0036023B">
              <w:rPr>
                <w:color w:val="000000"/>
                <w:sz w:val="24"/>
              </w:rPr>
              <w:t>元</w:t>
            </w:r>
            <w:r w:rsidRPr="0036023B">
              <w:rPr>
                <w:color w:val="000000"/>
                <w:sz w:val="24"/>
              </w:rPr>
              <w:t>)</w:t>
            </w:r>
          </w:p>
        </w:tc>
        <w:tc>
          <w:tcPr>
            <w:tcW w:w="2268" w:type="dxa"/>
            <w:shd w:val="clear" w:color="auto" w:fill="auto"/>
            <w:vAlign w:val="center"/>
          </w:tcPr>
          <w:p w14:paraId="3DA3DC48" w14:textId="77777777" w:rsidR="002C2A73" w:rsidRPr="0036023B" w:rsidRDefault="002C2A73" w:rsidP="00432C1E">
            <w:pPr>
              <w:spacing w:before="29" w:line="288" w:lineRule="auto"/>
              <w:ind w:left="17"/>
              <w:jc w:val="center"/>
              <w:rPr>
                <w:color w:val="000000"/>
                <w:sz w:val="24"/>
              </w:rPr>
            </w:pPr>
            <w:r w:rsidRPr="0036023B">
              <w:rPr>
                <w:color w:val="000000"/>
                <w:sz w:val="24"/>
              </w:rPr>
              <w:t>占基金资产净值比例</w:t>
            </w:r>
            <w:r w:rsidRPr="0036023B">
              <w:rPr>
                <w:color w:val="000000"/>
                <w:sz w:val="24"/>
              </w:rPr>
              <w:t>(</w:t>
            </w:r>
            <w:r w:rsidRPr="0036023B">
              <w:rPr>
                <w:color w:val="000000"/>
                <w:sz w:val="24"/>
              </w:rPr>
              <w:t>％</w:t>
            </w:r>
            <w:r w:rsidRPr="0036023B">
              <w:rPr>
                <w:color w:val="000000"/>
                <w:sz w:val="24"/>
              </w:rPr>
              <w:t>)</w:t>
            </w:r>
          </w:p>
        </w:tc>
      </w:tr>
      <w:tr w:rsidR="002C2A73" w14:paraId="4A7543DC" w14:textId="77777777" w:rsidTr="009C5B8C">
        <w:trPr>
          <w:jc w:val="center"/>
        </w:trPr>
        <w:tc>
          <w:tcPr>
            <w:tcW w:w="846" w:type="dxa"/>
            <w:vAlign w:val="center"/>
          </w:tcPr>
          <w:p w14:paraId="771AA64C" w14:textId="77777777" w:rsidR="002C2A73" w:rsidRDefault="002C2A73" w:rsidP="00432C1E">
            <w:pPr>
              <w:jc w:val="center"/>
            </w:pPr>
            <w:r>
              <w:rPr>
                <w:color w:val="000000"/>
                <w:sz w:val="24"/>
              </w:rPr>
              <w:t>1</w:t>
            </w:r>
          </w:p>
        </w:tc>
        <w:tc>
          <w:tcPr>
            <w:tcW w:w="1276" w:type="dxa"/>
            <w:vAlign w:val="center"/>
          </w:tcPr>
          <w:p w14:paraId="546AB662" w14:textId="77777777" w:rsidR="002C2A73" w:rsidRDefault="002C2A73" w:rsidP="00432C1E">
            <w:pPr>
              <w:jc w:val="center"/>
            </w:pPr>
            <w:r>
              <w:rPr>
                <w:color w:val="000000"/>
                <w:sz w:val="24"/>
              </w:rPr>
              <w:t>128024</w:t>
            </w:r>
          </w:p>
        </w:tc>
        <w:tc>
          <w:tcPr>
            <w:tcW w:w="1275" w:type="dxa"/>
            <w:vAlign w:val="center"/>
          </w:tcPr>
          <w:p w14:paraId="1CE3A259" w14:textId="77777777" w:rsidR="002C2A73" w:rsidRDefault="002C2A73" w:rsidP="00432C1E">
            <w:pPr>
              <w:jc w:val="center"/>
            </w:pPr>
            <w:r>
              <w:rPr>
                <w:color w:val="000000"/>
                <w:sz w:val="24"/>
              </w:rPr>
              <w:t>宁行转债</w:t>
            </w:r>
          </w:p>
        </w:tc>
        <w:tc>
          <w:tcPr>
            <w:tcW w:w="1276" w:type="dxa"/>
            <w:vAlign w:val="center"/>
          </w:tcPr>
          <w:p w14:paraId="63D7F484" w14:textId="77777777" w:rsidR="002C2A73" w:rsidRDefault="002C2A73" w:rsidP="00432C1E">
            <w:pPr>
              <w:jc w:val="right"/>
            </w:pPr>
            <w:r>
              <w:rPr>
                <w:color w:val="000000"/>
                <w:sz w:val="24"/>
              </w:rPr>
              <w:t>1,066</w:t>
            </w:r>
          </w:p>
        </w:tc>
        <w:tc>
          <w:tcPr>
            <w:tcW w:w="1701" w:type="dxa"/>
            <w:vAlign w:val="center"/>
          </w:tcPr>
          <w:p w14:paraId="6ECC5107" w14:textId="77777777" w:rsidR="002C2A73" w:rsidRDefault="002C2A73" w:rsidP="00432C1E">
            <w:pPr>
              <w:jc w:val="right"/>
            </w:pPr>
            <w:r>
              <w:rPr>
                <w:color w:val="000000"/>
                <w:sz w:val="24"/>
              </w:rPr>
              <w:t>106,600.00</w:t>
            </w:r>
          </w:p>
        </w:tc>
        <w:tc>
          <w:tcPr>
            <w:tcW w:w="2268" w:type="dxa"/>
            <w:vAlign w:val="center"/>
          </w:tcPr>
          <w:p w14:paraId="2F4D7B05" w14:textId="77777777" w:rsidR="002C2A73" w:rsidRDefault="002C2A73" w:rsidP="00432C1E">
            <w:pPr>
              <w:jc w:val="right"/>
            </w:pPr>
            <w:r>
              <w:rPr>
                <w:color w:val="000000"/>
                <w:sz w:val="24"/>
              </w:rPr>
              <w:t>0.16</w:t>
            </w:r>
          </w:p>
        </w:tc>
      </w:tr>
    </w:tbl>
    <w:p w14:paraId="44E6671C" w14:textId="00193ADB" w:rsidR="00CF57A4" w:rsidRDefault="00CF57A4" w:rsidP="009C5B8C">
      <w:pPr>
        <w:spacing w:before="50" w:line="360" w:lineRule="auto"/>
        <w:rPr>
          <w:rFonts w:ascii="宋体" w:hAnsi="宋体"/>
          <w:color w:val="000000"/>
          <w:sz w:val="24"/>
        </w:rPr>
      </w:pPr>
    </w:p>
    <w:p w14:paraId="560E7357" w14:textId="77777777" w:rsidR="00CF57A4" w:rsidRDefault="00B13D46">
      <w:pPr>
        <w:spacing w:before="50" w:line="360" w:lineRule="auto"/>
        <w:ind w:firstLineChars="200" w:firstLine="480"/>
        <w:rPr>
          <w:rFonts w:ascii="宋体" w:hAnsi="宋体"/>
          <w:color w:val="000000"/>
          <w:sz w:val="24"/>
        </w:rPr>
      </w:pPr>
      <w:r>
        <w:rPr>
          <w:rFonts w:ascii="宋体" w:hAnsi="宋体" w:hint="eastAsia"/>
          <w:color w:val="000000"/>
          <w:sz w:val="24"/>
        </w:rPr>
        <w:t>6、报告期末按公允价值占基金资产净值比例大小排序的前十名资产支持证券投资明细</w:t>
      </w:r>
    </w:p>
    <w:p w14:paraId="036BA61A" w14:textId="77777777" w:rsidR="00CF57A4" w:rsidRDefault="00B13D46">
      <w:pPr>
        <w:spacing w:before="50" w:line="360" w:lineRule="auto"/>
        <w:ind w:firstLineChars="200" w:firstLine="480"/>
        <w:rPr>
          <w:rFonts w:ascii="宋体" w:hAnsi="宋体"/>
          <w:color w:val="000000"/>
          <w:sz w:val="24"/>
        </w:rPr>
      </w:pPr>
      <w:r>
        <w:rPr>
          <w:rFonts w:ascii="宋体" w:hAnsi="宋体" w:hint="eastAsia"/>
          <w:color w:val="000000"/>
          <w:sz w:val="24"/>
        </w:rPr>
        <w:t>本基金本报告期末未持有资产支持证券。</w:t>
      </w:r>
    </w:p>
    <w:p w14:paraId="53CFF096" w14:textId="77777777" w:rsidR="00CF57A4" w:rsidRDefault="00B13D46">
      <w:pPr>
        <w:autoSpaceDE w:val="0"/>
        <w:autoSpaceDN w:val="0"/>
        <w:adjustRightInd w:val="0"/>
        <w:spacing w:before="29" w:line="288" w:lineRule="auto"/>
        <w:ind w:firstLineChars="200" w:firstLine="480"/>
        <w:jc w:val="left"/>
        <w:rPr>
          <w:rFonts w:ascii="宋体" w:hAnsi="宋体"/>
          <w:color w:val="000000"/>
          <w:sz w:val="24"/>
        </w:rPr>
      </w:pPr>
      <w:r>
        <w:rPr>
          <w:rFonts w:ascii="宋体" w:hAnsi="宋体"/>
          <w:color w:val="000000"/>
          <w:sz w:val="24"/>
        </w:rPr>
        <w:t>7、报告期末按公允价值占基金资产净值比例大小排序的前五名贵金属投资明细</w:t>
      </w:r>
    </w:p>
    <w:p w14:paraId="6B4D8CB9" w14:textId="77777777" w:rsidR="00CF57A4" w:rsidRDefault="00B13D46">
      <w:pPr>
        <w:autoSpaceDE w:val="0"/>
        <w:autoSpaceDN w:val="0"/>
        <w:adjustRightInd w:val="0"/>
        <w:spacing w:before="29" w:line="288" w:lineRule="auto"/>
        <w:ind w:firstLineChars="200" w:firstLine="480"/>
        <w:jc w:val="left"/>
        <w:rPr>
          <w:rFonts w:ascii="宋体" w:hAnsi="宋体"/>
          <w:color w:val="000000"/>
          <w:sz w:val="24"/>
        </w:rPr>
      </w:pPr>
      <w:r>
        <w:rPr>
          <w:rFonts w:ascii="宋体" w:hAnsi="宋体" w:hint="eastAsia"/>
          <w:color w:val="000000"/>
          <w:sz w:val="24"/>
        </w:rPr>
        <w:t>本基金本报告期末未持有贵金属。</w:t>
      </w:r>
    </w:p>
    <w:p w14:paraId="191C7412" w14:textId="77777777" w:rsidR="00CF57A4" w:rsidRDefault="00B13D46">
      <w:pPr>
        <w:spacing w:before="50" w:line="360" w:lineRule="auto"/>
        <w:ind w:firstLineChars="200" w:firstLine="480"/>
        <w:rPr>
          <w:rFonts w:ascii="宋体" w:hAnsi="宋体"/>
          <w:color w:val="000000"/>
          <w:sz w:val="24"/>
        </w:rPr>
      </w:pPr>
      <w:r>
        <w:rPr>
          <w:rFonts w:ascii="宋体" w:hAnsi="宋体" w:hint="eastAsia"/>
          <w:color w:val="000000"/>
          <w:sz w:val="24"/>
        </w:rPr>
        <w:t>8、报告期末按公允价值占基金资产净值比例大小排序的前五名权证投资明细</w:t>
      </w:r>
    </w:p>
    <w:p w14:paraId="739D8883" w14:textId="77777777" w:rsidR="00CF57A4" w:rsidRDefault="00B13D46">
      <w:pPr>
        <w:spacing w:before="50" w:line="360" w:lineRule="auto"/>
        <w:ind w:firstLineChars="200" w:firstLine="480"/>
        <w:rPr>
          <w:rFonts w:ascii="宋体" w:hAnsi="宋体"/>
          <w:color w:val="000000"/>
          <w:sz w:val="24"/>
        </w:rPr>
      </w:pPr>
      <w:r>
        <w:rPr>
          <w:rFonts w:ascii="宋体" w:hAnsi="宋体" w:hint="eastAsia"/>
          <w:color w:val="000000"/>
          <w:sz w:val="24"/>
        </w:rPr>
        <w:t>本基金本报告期末未持有权证。</w:t>
      </w:r>
    </w:p>
    <w:p w14:paraId="7D8B0FB5" w14:textId="77777777" w:rsidR="00CF57A4" w:rsidRDefault="00B13D46">
      <w:pPr>
        <w:spacing w:before="50" w:line="360" w:lineRule="auto"/>
        <w:ind w:firstLineChars="200" w:firstLine="480"/>
        <w:rPr>
          <w:rFonts w:ascii="宋体" w:hAnsi="宋体"/>
          <w:color w:val="000000"/>
          <w:sz w:val="24"/>
        </w:rPr>
      </w:pPr>
      <w:r>
        <w:rPr>
          <w:rFonts w:ascii="宋体" w:hAnsi="宋体" w:hint="eastAsia"/>
          <w:color w:val="000000"/>
          <w:sz w:val="24"/>
        </w:rPr>
        <w:t>9、报告期末本基金投资的股指期货交易情况说明</w:t>
      </w:r>
    </w:p>
    <w:p w14:paraId="5AE6985A" w14:textId="77777777" w:rsidR="00CF57A4" w:rsidRDefault="00B13D46">
      <w:pPr>
        <w:spacing w:before="50" w:line="360" w:lineRule="auto"/>
        <w:ind w:firstLineChars="200" w:firstLine="480"/>
        <w:rPr>
          <w:rFonts w:ascii="宋体" w:hAnsi="宋体"/>
          <w:color w:val="000000"/>
          <w:sz w:val="24"/>
        </w:rPr>
      </w:pPr>
      <w:r>
        <w:rPr>
          <w:rFonts w:ascii="宋体" w:hAnsi="宋体" w:hint="eastAsia"/>
          <w:color w:val="000000"/>
          <w:sz w:val="24"/>
        </w:rPr>
        <w:t>本基金本报告期末未持有股指期货。</w:t>
      </w:r>
    </w:p>
    <w:p w14:paraId="5B6F8970" w14:textId="77777777" w:rsidR="00CF57A4" w:rsidRDefault="00B13D46">
      <w:pPr>
        <w:spacing w:before="50" w:line="360" w:lineRule="auto"/>
        <w:ind w:firstLineChars="200" w:firstLine="480"/>
        <w:rPr>
          <w:rFonts w:ascii="宋体" w:hAnsi="宋体"/>
          <w:color w:val="000000"/>
          <w:sz w:val="24"/>
        </w:rPr>
      </w:pPr>
      <w:r>
        <w:rPr>
          <w:rFonts w:ascii="宋体" w:hAnsi="宋体" w:hint="eastAsia"/>
          <w:color w:val="000000"/>
          <w:sz w:val="24"/>
        </w:rPr>
        <w:t>10、报告期末本基金投资的国债期货交易情况说明</w:t>
      </w:r>
    </w:p>
    <w:p w14:paraId="60F8783C" w14:textId="77777777" w:rsidR="00CF57A4" w:rsidRDefault="00B13D46">
      <w:pPr>
        <w:spacing w:before="50" w:line="360" w:lineRule="auto"/>
        <w:ind w:firstLineChars="200" w:firstLine="480"/>
        <w:rPr>
          <w:rFonts w:ascii="宋体" w:hAnsi="宋体"/>
          <w:color w:val="000000"/>
          <w:sz w:val="24"/>
        </w:rPr>
      </w:pPr>
      <w:r>
        <w:rPr>
          <w:rFonts w:ascii="宋体" w:hAnsi="宋体" w:hint="eastAsia"/>
          <w:color w:val="000000"/>
          <w:sz w:val="24"/>
        </w:rPr>
        <w:lastRenderedPageBreak/>
        <w:t>本基金本报告期末未持有国债期货。</w:t>
      </w:r>
    </w:p>
    <w:p w14:paraId="37297AE0" w14:textId="77777777" w:rsidR="00CF57A4" w:rsidRDefault="00B13D46">
      <w:pPr>
        <w:spacing w:before="50" w:line="360" w:lineRule="auto"/>
        <w:ind w:firstLineChars="200" w:firstLine="480"/>
        <w:rPr>
          <w:rFonts w:ascii="宋体" w:hAnsi="宋体"/>
          <w:color w:val="000000"/>
          <w:sz w:val="24"/>
        </w:rPr>
      </w:pPr>
      <w:r>
        <w:rPr>
          <w:rFonts w:ascii="宋体" w:hAnsi="宋体" w:hint="eastAsia"/>
          <w:color w:val="000000"/>
          <w:sz w:val="24"/>
        </w:rPr>
        <w:t>11、投资组合报告附注</w:t>
      </w:r>
    </w:p>
    <w:p w14:paraId="4D5BBE7D" w14:textId="2BEB2BC3" w:rsidR="00CF57A4" w:rsidRDefault="00B13D46" w:rsidP="002C2A73">
      <w:pPr>
        <w:spacing w:before="50" w:line="360" w:lineRule="auto"/>
        <w:ind w:firstLineChars="200" w:firstLine="480"/>
        <w:rPr>
          <w:color w:val="000000"/>
          <w:kern w:val="0"/>
          <w:sz w:val="24"/>
        </w:rPr>
      </w:pPr>
      <w:r>
        <w:rPr>
          <w:rFonts w:ascii="宋体" w:hAnsi="宋体" w:hint="eastAsia"/>
          <w:color w:val="000000"/>
          <w:sz w:val="24"/>
        </w:rPr>
        <w:t>（1）</w:t>
      </w:r>
      <w:r w:rsidR="002C2A73" w:rsidRPr="002C2A73">
        <w:rPr>
          <w:rFonts w:ascii="宋体" w:hAnsi="宋体" w:hint="eastAsia"/>
          <w:color w:val="000000"/>
          <w:sz w:val="24"/>
        </w:rPr>
        <w:t>报告期内本基金投资的前十名证券的发行主体未被监管部门立案调查，在本报告编制日前一年内本基金投资的前十名证券的发行主体未受到公开谴责和处罚。</w:t>
      </w:r>
    </w:p>
    <w:p w14:paraId="53A79674" w14:textId="059FF514" w:rsidR="00CF57A4" w:rsidRDefault="00B13D46">
      <w:pPr>
        <w:spacing w:before="50" w:line="360" w:lineRule="auto"/>
        <w:ind w:firstLineChars="200" w:firstLine="480"/>
        <w:rPr>
          <w:rFonts w:ascii="宋体" w:hAnsi="宋体"/>
          <w:color w:val="000000"/>
          <w:sz w:val="24"/>
        </w:rPr>
      </w:pPr>
      <w:r>
        <w:rPr>
          <w:rFonts w:ascii="宋体" w:hAnsi="宋体" w:hint="eastAsia"/>
          <w:color w:val="000000"/>
          <w:sz w:val="24"/>
        </w:rPr>
        <w:t>（2）本基金投资的前十名股票中，没有超出基金合同规定的备选股票库之外的股票。</w:t>
      </w:r>
    </w:p>
    <w:p w14:paraId="5F43C032" w14:textId="0D0D2228" w:rsidR="00CF57A4" w:rsidRDefault="00B13D46">
      <w:pPr>
        <w:spacing w:before="50" w:line="360" w:lineRule="auto"/>
        <w:ind w:firstLineChars="200" w:firstLine="480"/>
        <w:rPr>
          <w:rFonts w:ascii="宋体" w:hAnsi="宋体"/>
          <w:color w:val="000000"/>
          <w:sz w:val="24"/>
        </w:rPr>
      </w:pPr>
      <w:r>
        <w:rPr>
          <w:rFonts w:ascii="宋体" w:hAnsi="宋体" w:hint="eastAsia"/>
          <w:color w:val="000000"/>
          <w:sz w:val="24"/>
        </w:rPr>
        <w:t>（3）其他资产构成</w:t>
      </w:r>
    </w:p>
    <w:tbl>
      <w:tblPr>
        <w:tblStyle w:val="af6"/>
        <w:tblW w:w="8868" w:type="dxa"/>
        <w:tblLayout w:type="fixed"/>
        <w:tblLook w:val="04A0" w:firstRow="1" w:lastRow="0" w:firstColumn="1" w:lastColumn="0" w:noHBand="0" w:noVBand="1"/>
      </w:tblPr>
      <w:tblGrid>
        <w:gridCol w:w="984"/>
        <w:gridCol w:w="2876"/>
        <w:gridCol w:w="5008"/>
      </w:tblGrid>
      <w:tr w:rsidR="00433554" w:rsidRPr="0036023B" w14:paraId="1178F53F" w14:textId="77777777" w:rsidTr="00433554">
        <w:tc>
          <w:tcPr>
            <w:tcW w:w="984" w:type="dxa"/>
          </w:tcPr>
          <w:p w14:paraId="4531391F" w14:textId="77777777" w:rsidR="00433554" w:rsidRPr="0036023B" w:rsidRDefault="00433554" w:rsidP="00433554">
            <w:pPr>
              <w:autoSpaceDE w:val="0"/>
              <w:autoSpaceDN w:val="0"/>
              <w:adjustRightInd w:val="0"/>
              <w:spacing w:before="29" w:line="288" w:lineRule="auto"/>
              <w:ind w:left="17"/>
              <w:jc w:val="center"/>
              <w:rPr>
                <w:color w:val="000000"/>
                <w:kern w:val="0"/>
                <w:sz w:val="24"/>
              </w:rPr>
            </w:pPr>
            <w:r w:rsidRPr="0036023B">
              <w:rPr>
                <w:color w:val="000000"/>
                <w:kern w:val="0"/>
                <w:sz w:val="24"/>
              </w:rPr>
              <w:t>序号</w:t>
            </w:r>
          </w:p>
        </w:tc>
        <w:tc>
          <w:tcPr>
            <w:tcW w:w="2876" w:type="dxa"/>
          </w:tcPr>
          <w:p w14:paraId="0C6936E0" w14:textId="77777777" w:rsidR="00433554" w:rsidRPr="0036023B" w:rsidRDefault="00433554" w:rsidP="00433554">
            <w:pPr>
              <w:autoSpaceDE w:val="0"/>
              <w:autoSpaceDN w:val="0"/>
              <w:adjustRightInd w:val="0"/>
              <w:spacing w:before="29" w:line="288" w:lineRule="auto"/>
              <w:ind w:left="17"/>
              <w:jc w:val="center"/>
              <w:rPr>
                <w:color w:val="000000"/>
                <w:kern w:val="0"/>
                <w:sz w:val="24"/>
              </w:rPr>
            </w:pPr>
            <w:r w:rsidRPr="0036023B">
              <w:rPr>
                <w:color w:val="000000"/>
                <w:kern w:val="0"/>
                <w:sz w:val="24"/>
              </w:rPr>
              <w:t>名称</w:t>
            </w:r>
          </w:p>
        </w:tc>
        <w:tc>
          <w:tcPr>
            <w:tcW w:w="5008" w:type="dxa"/>
          </w:tcPr>
          <w:p w14:paraId="3B6AF655" w14:textId="77777777" w:rsidR="00433554" w:rsidRPr="0036023B" w:rsidRDefault="00433554" w:rsidP="00433554">
            <w:pPr>
              <w:autoSpaceDE w:val="0"/>
              <w:autoSpaceDN w:val="0"/>
              <w:adjustRightInd w:val="0"/>
              <w:spacing w:before="29" w:line="288" w:lineRule="auto"/>
              <w:ind w:left="17"/>
              <w:jc w:val="center"/>
              <w:rPr>
                <w:color w:val="000000"/>
                <w:kern w:val="0"/>
                <w:sz w:val="24"/>
              </w:rPr>
            </w:pPr>
            <w:r w:rsidRPr="0036023B">
              <w:rPr>
                <w:color w:val="000000"/>
                <w:kern w:val="0"/>
                <w:sz w:val="24"/>
              </w:rPr>
              <w:t>金额（元）</w:t>
            </w:r>
          </w:p>
        </w:tc>
      </w:tr>
      <w:tr w:rsidR="002C2A73" w:rsidRPr="0036023B" w14:paraId="6FF0047F" w14:textId="77777777" w:rsidTr="00B43DFF">
        <w:tc>
          <w:tcPr>
            <w:tcW w:w="984" w:type="dxa"/>
            <w:vAlign w:val="center"/>
          </w:tcPr>
          <w:p w14:paraId="6865279C" w14:textId="77777777" w:rsidR="002C2A73" w:rsidRPr="0036023B" w:rsidRDefault="002C2A73" w:rsidP="002C2A73">
            <w:pPr>
              <w:autoSpaceDE w:val="0"/>
              <w:autoSpaceDN w:val="0"/>
              <w:adjustRightInd w:val="0"/>
              <w:spacing w:before="29" w:line="288" w:lineRule="auto"/>
              <w:ind w:left="15"/>
              <w:jc w:val="center"/>
              <w:rPr>
                <w:color w:val="000000"/>
                <w:kern w:val="0"/>
                <w:sz w:val="24"/>
              </w:rPr>
            </w:pPr>
            <w:r w:rsidRPr="0036023B">
              <w:rPr>
                <w:color w:val="000000"/>
                <w:sz w:val="24"/>
              </w:rPr>
              <w:t>1</w:t>
            </w:r>
          </w:p>
        </w:tc>
        <w:tc>
          <w:tcPr>
            <w:tcW w:w="2876" w:type="dxa"/>
            <w:vAlign w:val="center"/>
          </w:tcPr>
          <w:p w14:paraId="0BAD6E95" w14:textId="77777777" w:rsidR="002C2A73" w:rsidRPr="0036023B" w:rsidRDefault="002C2A73" w:rsidP="002C2A73">
            <w:pPr>
              <w:autoSpaceDE w:val="0"/>
              <w:autoSpaceDN w:val="0"/>
              <w:adjustRightInd w:val="0"/>
              <w:spacing w:before="29" w:line="288" w:lineRule="auto"/>
              <w:ind w:left="15"/>
              <w:jc w:val="left"/>
              <w:rPr>
                <w:color w:val="000000"/>
                <w:kern w:val="0"/>
                <w:sz w:val="24"/>
              </w:rPr>
            </w:pPr>
            <w:r w:rsidRPr="0036023B">
              <w:rPr>
                <w:color w:val="000000"/>
                <w:kern w:val="0"/>
                <w:sz w:val="24"/>
              </w:rPr>
              <w:t>存出保证金</w:t>
            </w:r>
          </w:p>
        </w:tc>
        <w:tc>
          <w:tcPr>
            <w:tcW w:w="5008" w:type="dxa"/>
            <w:vAlign w:val="center"/>
          </w:tcPr>
          <w:p w14:paraId="1777F49E" w14:textId="4B492E77" w:rsidR="002C2A73" w:rsidRPr="0036023B" w:rsidRDefault="002C2A73" w:rsidP="002C2A73">
            <w:pPr>
              <w:autoSpaceDE w:val="0"/>
              <w:autoSpaceDN w:val="0"/>
              <w:adjustRightInd w:val="0"/>
              <w:spacing w:before="29" w:line="288" w:lineRule="auto"/>
              <w:ind w:left="15"/>
              <w:jc w:val="right"/>
              <w:rPr>
                <w:color w:val="000000"/>
                <w:kern w:val="0"/>
                <w:sz w:val="24"/>
              </w:rPr>
            </w:pPr>
            <w:r w:rsidRPr="0036023B">
              <w:rPr>
                <w:color w:val="000000"/>
                <w:kern w:val="0"/>
                <w:sz w:val="24"/>
              </w:rPr>
              <w:t>108.81</w:t>
            </w:r>
          </w:p>
        </w:tc>
      </w:tr>
      <w:tr w:rsidR="002C2A73" w:rsidRPr="0036023B" w14:paraId="6E609E9E" w14:textId="77777777" w:rsidTr="00B43DFF">
        <w:tc>
          <w:tcPr>
            <w:tcW w:w="984" w:type="dxa"/>
            <w:vAlign w:val="center"/>
          </w:tcPr>
          <w:p w14:paraId="65E977B1" w14:textId="77777777" w:rsidR="002C2A73" w:rsidRPr="0036023B" w:rsidRDefault="002C2A73" w:rsidP="002C2A73">
            <w:pPr>
              <w:autoSpaceDE w:val="0"/>
              <w:autoSpaceDN w:val="0"/>
              <w:adjustRightInd w:val="0"/>
              <w:spacing w:before="29" w:line="288" w:lineRule="auto"/>
              <w:ind w:left="15"/>
              <w:jc w:val="center"/>
              <w:rPr>
                <w:color w:val="000000"/>
                <w:sz w:val="24"/>
              </w:rPr>
            </w:pPr>
            <w:r w:rsidRPr="0036023B">
              <w:rPr>
                <w:color w:val="000000"/>
                <w:sz w:val="24"/>
              </w:rPr>
              <w:t>2</w:t>
            </w:r>
          </w:p>
        </w:tc>
        <w:tc>
          <w:tcPr>
            <w:tcW w:w="2876" w:type="dxa"/>
            <w:vAlign w:val="center"/>
          </w:tcPr>
          <w:p w14:paraId="48A1AF5F" w14:textId="77777777" w:rsidR="002C2A73" w:rsidRPr="0036023B" w:rsidRDefault="002C2A73" w:rsidP="002C2A73">
            <w:pPr>
              <w:autoSpaceDE w:val="0"/>
              <w:autoSpaceDN w:val="0"/>
              <w:adjustRightInd w:val="0"/>
              <w:spacing w:before="29" w:line="288" w:lineRule="auto"/>
              <w:ind w:left="15"/>
              <w:jc w:val="left"/>
              <w:rPr>
                <w:color w:val="000000"/>
                <w:kern w:val="0"/>
                <w:sz w:val="24"/>
              </w:rPr>
            </w:pPr>
            <w:r w:rsidRPr="0036023B">
              <w:rPr>
                <w:color w:val="000000"/>
                <w:kern w:val="0"/>
                <w:sz w:val="24"/>
              </w:rPr>
              <w:t>应收证券清算款</w:t>
            </w:r>
          </w:p>
        </w:tc>
        <w:tc>
          <w:tcPr>
            <w:tcW w:w="5008" w:type="dxa"/>
            <w:vAlign w:val="center"/>
          </w:tcPr>
          <w:p w14:paraId="7DD1A2D4" w14:textId="51886E36" w:rsidR="002C2A73" w:rsidRPr="0036023B" w:rsidRDefault="002C2A73" w:rsidP="002C2A73">
            <w:pPr>
              <w:autoSpaceDE w:val="0"/>
              <w:autoSpaceDN w:val="0"/>
              <w:adjustRightInd w:val="0"/>
              <w:spacing w:before="29" w:line="288" w:lineRule="auto"/>
              <w:ind w:left="15"/>
              <w:jc w:val="right"/>
              <w:rPr>
                <w:color w:val="000000"/>
                <w:kern w:val="0"/>
                <w:sz w:val="24"/>
              </w:rPr>
            </w:pPr>
            <w:r w:rsidRPr="0036023B">
              <w:rPr>
                <w:color w:val="000000"/>
                <w:kern w:val="0"/>
                <w:sz w:val="24"/>
              </w:rPr>
              <w:t>-</w:t>
            </w:r>
          </w:p>
        </w:tc>
      </w:tr>
      <w:tr w:rsidR="002C2A73" w:rsidRPr="0036023B" w14:paraId="1CD1D28F" w14:textId="77777777" w:rsidTr="00B43DFF">
        <w:tc>
          <w:tcPr>
            <w:tcW w:w="984" w:type="dxa"/>
            <w:vAlign w:val="center"/>
          </w:tcPr>
          <w:p w14:paraId="0BB1FA21" w14:textId="77777777" w:rsidR="002C2A73" w:rsidRPr="0036023B" w:rsidRDefault="002C2A73" w:rsidP="002C2A73">
            <w:pPr>
              <w:autoSpaceDE w:val="0"/>
              <w:autoSpaceDN w:val="0"/>
              <w:adjustRightInd w:val="0"/>
              <w:spacing w:before="29" w:line="288" w:lineRule="auto"/>
              <w:ind w:left="15"/>
              <w:jc w:val="center"/>
              <w:rPr>
                <w:color w:val="000000"/>
                <w:sz w:val="24"/>
              </w:rPr>
            </w:pPr>
            <w:r w:rsidRPr="0036023B">
              <w:rPr>
                <w:color w:val="000000"/>
                <w:sz w:val="24"/>
              </w:rPr>
              <w:t>3</w:t>
            </w:r>
          </w:p>
        </w:tc>
        <w:tc>
          <w:tcPr>
            <w:tcW w:w="2876" w:type="dxa"/>
            <w:vAlign w:val="center"/>
          </w:tcPr>
          <w:p w14:paraId="45D578AA" w14:textId="77777777" w:rsidR="002C2A73" w:rsidRPr="0036023B" w:rsidRDefault="002C2A73" w:rsidP="002C2A73">
            <w:pPr>
              <w:autoSpaceDE w:val="0"/>
              <w:autoSpaceDN w:val="0"/>
              <w:adjustRightInd w:val="0"/>
              <w:spacing w:before="29" w:line="288" w:lineRule="auto"/>
              <w:ind w:left="15"/>
              <w:jc w:val="left"/>
              <w:rPr>
                <w:color w:val="000000"/>
                <w:kern w:val="0"/>
                <w:sz w:val="24"/>
              </w:rPr>
            </w:pPr>
            <w:r w:rsidRPr="0036023B">
              <w:rPr>
                <w:color w:val="000000"/>
                <w:kern w:val="0"/>
                <w:sz w:val="24"/>
              </w:rPr>
              <w:t>应收股利</w:t>
            </w:r>
          </w:p>
        </w:tc>
        <w:tc>
          <w:tcPr>
            <w:tcW w:w="5008" w:type="dxa"/>
            <w:vAlign w:val="center"/>
          </w:tcPr>
          <w:p w14:paraId="2982DFD6" w14:textId="79F8E56E" w:rsidR="002C2A73" w:rsidRPr="0036023B" w:rsidRDefault="002C2A73" w:rsidP="002C2A73">
            <w:pPr>
              <w:autoSpaceDE w:val="0"/>
              <w:autoSpaceDN w:val="0"/>
              <w:adjustRightInd w:val="0"/>
              <w:spacing w:before="29" w:line="288" w:lineRule="auto"/>
              <w:ind w:left="15"/>
              <w:jc w:val="right"/>
              <w:rPr>
                <w:color w:val="000000"/>
                <w:kern w:val="0"/>
                <w:sz w:val="24"/>
              </w:rPr>
            </w:pPr>
            <w:r w:rsidRPr="0036023B">
              <w:rPr>
                <w:color w:val="000000"/>
                <w:kern w:val="0"/>
                <w:sz w:val="24"/>
              </w:rPr>
              <w:t>-</w:t>
            </w:r>
          </w:p>
        </w:tc>
      </w:tr>
      <w:tr w:rsidR="002C2A73" w:rsidRPr="0036023B" w14:paraId="04DB6558" w14:textId="77777777" w:rsidTr="00B43DFF">
        <w:tc>
          <w:tcPr>
            <w:tcW w:w="984" w:type="dxa"/>
            <w:vAlign w:val="center"/>
          </w:tcPr>
          <w:p w14:paraId="38878C2B" w14:textId="77777777" w:rsidR="002C2A73" w:rsidRPr="0036023B" w:rsidRDefault="002C2A73" w:rsidP="002C2A73">
            <w:pPr>
              <w:autoSpaceDE w:val="0"/>
              <w:autoSpaceDN w:val="0"/>
              <w:adjustRightInd w:val="0"/>
              <w:spacing w:before="29" w:line="288" w:lineRule="auto"/>
              <w:ind w:left="15"/>
              <w:jc w:val="center"/>
              <w:rPr>
                <w:color w:val="000000"/>
                <w:sz w:val="24"/>
              </w:rPr>
            </w:pPr>
            <w:r w:rsidRPr="0036023B">
              <w:rPr>
                <w:color w:val="000000"/>
                <w:sz w:val="24"/>
              </w:rPr>
              <w:t>4</w:t>
            </w:r>
          </w:p>
        </w:tc>
        <w:tc>
          <w:tcPr>
            <w:tcW w:w="2876" w:type="dxa"/>
            <w:vAlign w:val="center"/>
          </w:tcPr>
          <w:p w14:paraId="43192DC1" w14:textId="77777777" w:rsidR="002C2A73" w:rsidRPr="0036023B" w:rsidRDefault="002C2A73" w:rsidP="002C2A73">
            <w:pPr>
              <w:autoSpaceDE w:val="0"/>
              <w:autoSpaceDN w:val="0"/>
              <w:adjustRightInd w:val="0"/>
              <w:spacing w:before="29" w:line="288" w:lineRule="auto"/>
              <w:ind w:left="15"/>
              <w:jc w:val="left"/>
              <w:rPr>
                <w:color w:val="000000"/>
                <w:kern w:val="0"/>
                <w:sz w:val="24"/>
              </w:rPr>
            </w:pPr>
            <w:r w:rsidRPr="0036023B">
              <w:rPr>
                <w:color w:val="000000"/>
                <w:kern w:val="0"/>
                <w:sz w:val="24"/>
              </w:rPr>
              <w:t>应收利息</w:t>
            </w:r>
          </w:p>
        </w:tc>
        <w:tc>
          <w:tcPr>
            <w:tcW w:w="5008" w:type="dxa"/>
            <w:vAlign w:val="center"/>
          </w:tcPr>
          <w:p w14:paraId="37FD20AD" w14:textId="5C86A8AB" w:rsidR="002C2A73" w:rsidRPr="0036023B" w:rsidRDefault="002C2A73" w:rsidP="002C2A73">
            <w:pPr>
              <w:autoSpaceDE w:val="0"/>
              <w:autoSpaceDN w:val="0"/>
              <w:adjustRightInd w:val="0"/>
              <w:spacing w:before="29" w:line="288" w:lineRule="auto"/>
              <w:ind w:left="15"/>
              <w:jc w:val="right"/>
              <w:rPr>
                <w:color w:val="000000"/>
                <w:kern w:val="0"/>
                <w:sz w:val="24"/>
              </w:rPr>
            </w:pPr>
            <w:r w:rsidRPr="0036023B">
              <w:rPr>
                <w:color w:val="000000"/>
                <w:kern w:val="0"/>
                <w:sz w:val="24"/>
              </w:rPr>
              <w:t>196.90</w:t>
            </w:r>
          </w:p>
        </w:tc>
      </w:tr>
      <w:tr w:rsidR="002C2A73" w:rsidRPr="0036023B" w14:paraId="1477AFB1" w14:textId="77777777" w:rsidTr="00B43DFF">
        <w:tc>
          <w:tcPr>
            <w:tcW w:w="984" w:type="dxa"/>
            <w:vAlign w:val="center"/>
          </w:tcPr>
          <w:p w14:paraId="6FCB81EF" w14:textId="77777777" w:rsidR="002C2A73" w:rsidRPr="0036023B" w:rsidRDefault="002C2A73" w:rsidP="002C2A73">
            <w:pPr>
              <w:autoSpaceDE w:val="0"/>
              <w:autoSpaceDN w:val="0"/>
              <w:adjustRightInd w:val="0"/>
              <w:spacing w:before="29" w:line="288" w:lineRule="auto"/>
              <w:ind w:left="15"/>
              <w:jc w:val="center"/>
              <w:rPr>
                <w:color w:val="000000"/>
                <w:sz w:val="24"/>
              </w:rPr>
            </w:pPr>
            <w:r w:rsidRPr="0036023B">
              <w:rPr>
                <w:color w:val="000000"/>
                <w:sz w:val="24"/>
              </w:rPr>
              <w:t>5</w:t>
            </w:r>
          </w:p>
        </w:tc>
        <w:tc>
          <w:tcPr>
            <w:tcW w:w="2876" w:type="dxa"/>
            <w:vAlign w:val="center"/>
          </w:tcPr>
          <w:p w14:paraId="6D44AB07" w14:textId="77777777" w:rsidR="002C2A73" w:rsidRPr="0036023B" w:rsidRDefault="002C2A73" w:rsidP="002C2A73">
            <w:pPr>
              <w:autoSpaceDE w:val="0"/>
              <w:autoSpaceDN w:val="0"/>
              <w:adjustRightInd w:val="0"/>
              <w:spacing w:before="29" w:line="288" w:lineRule="auto"/>
              <w:ind w:left="15"/>
              <w:jc w:val="left"/>
              <w:rPr>
                <w:color w:val="000000"/>
                <w:kern w:val="0"/>
                <w:sz w:val="24"/>
              </w:rPr>
            </w:pPr>
            <w:r w:rsidRPr="0036023B">
              <w:rPr>
                <w:color w:val="000000"/>
                <w:kern w:val="0"/>
                <w:sz w:val="24"/>
              </w:rPr>
              <w:t>应收申购款</w:t>
            </w:r>
          </w:p>
        </w:tc>
        <w:tc>
          <w:tcPr>
            <w:tcW w:w="5008" w:type="dxa"/>
            <w:vAlign w:val="center"/>
          </w:tcPr>
          <w:p w14:paraId="7E621976" w14:textId="35017DC4" w:rsidR="002C2A73" w:rsidRPr="0036023B" w:rsidRDefault="002C2A73" w:rsidP="002C2A73">
            <w:pPr>
              <w:autoSpaceDE w:val="0"/>
              <w:autoSpaceDN w:val="0"/>
              <w:adjustRightInd w:val="0"/>
              <w:spacing w:before="29" w:line="288" w:lineRule="auto"/>
              <w:ind w:left="15"/>
              <w:jc w:val="right"/>
              <w:rPr>
                <w:color w:val="000000"/>
                <w:kern w:val="0"/>
                <w:sz w:val="24"/>
              </w:rPr>
            </w:pPr>
            <w:r w:rsidRPr="0036023B">
              <w:rPr>
                <w:color w:val="000000"/>
                <w:kern w:val="0"/>
                <w:sz w:val="24"/>
              </w:rPr>
              <w:t>-</w:t>
            </w:r>
          </w:p>
        </w:tc>
      </w:tr>
      <w:tr w:rsidR="002C2A73" w:rsidRPr="0036023B" w14:paraId="39A61B3B" w14:textId="77777777" w:rsidTr="00B43DFF">
        <w:tc>
          <w:tcPr>
            <w:tcW w:w="984" w:type="dxa"/>
            <w:vAlign w:val="center"/>
          </w:tcPr>
          <w:p w14:paraId="4E9BDB76" w14:textId="77777777" w:rsidR="002C2A73" w:rsidRPr="0036023B" w:rsidRDefault="002C2A73" w:rsidP="002C2A73">
            <w:pPr>
              <w:autoSpaceDE w:val="0"/>
              <w:autoSpaceDN w:val="0"/>
              <w:adjustRightInd w:val="0"/>
              <w:spacing w:before="29" w:line="288" w:lineRule="auto"/>
              <w:ind w:left="15"/>
              <w:jc w:val="center"/>
              <w:rPr>
                <w:color w:val="000000"/>
                <w:sz w:val="24"/>
              </w:rPr>
            </w:pPr>
            <w:r w:rsidRPr="0036023B">
              <w:rPr>
                <w:color w:val="000000"/>
                <w:sz w:val="24"/>
              </w:rPr>
              <w:t>6</w:t>
            </w:r>
          </w:p>
        </w:tc>
        <w:tc>
          <w:tcPr>
            <w:tcW w:w="2876" w:type="dxa"/>
            <w:vAlign w:val="center"/>
          </w:tcPr>
          <w:p w14:paraId="4C3F269E" w14:textId="77777777" w:rsidR="002C2A73" w:rsidRPr="0036023B" w:rsidRDefault="002C2A73" w:rsidP="002C2A73">
            <w:pPr>
              <w:autoSpaceDE w:val="0"/>
              <w:autoSpaceDN w:val="0"/>
              <w:adjustRightInd w:val="0"/>
              <w:spacing w:before="29" w:line="288" w:lineRule="auto"/>
              <w:ind w:left="15"/>
              <w:jc w:val="left"/>
              <w:rPr>
                <w:color w:val="000000"/>
                <w:kern w:val="0"/>
                <w:sz w:val="24"/>
              </w:rPr>
            </w:pPr>
            <w:r w:rsidRPr="0036023B">
              <w:rPr>
                <w:color w:val="000000"/>
                <w:kern w:val="0"/>
                <w:sz w:val="24"/>
              </w:rPr>
              <w:t>其他应收款</w:t>
            </w:r>
          </w:p>
        </w:tc>
        <w:tc>
          <w:tcPr>
            <w:tcW w:w="5008" w:type="dxa"/>
            <w:vAlign w:val="center"/>
          </w:tcPr>
          <w:p w14:paraId="2DB952B1" w14:textId="15429349" w:rsidR="002C2A73" w:rsidRPr="0036023B" w:rsidRDefault="002C2A73" w:rsidP="002C2A73">
            <w:pPr>
              <w:autoSpaceDE w:val="0"/>
              <w:autoSpaceDN w:val="0"/>
              <w:adjustRightInd w:val="0"/>
              <w:spacing w:before="29" w:line="288" w:lineRule="auto"/>
              <w:ind w:left="15"/>
              <w:jc w:val="right"/>
              <w:rPr>
                <w:color w:val="000000"/>
                <w:kern w:val="0"/>
                <w:sz w:val="24"/>
              </w:rPr>
            </w:pPr>
            <w:r w:rsidRPr="0036023B">
              <w:rPr>
                <w:color w:val="000000"/>
                <w:kern w:val="0"/>
                <w:sz w:val="24"/>
              </w:rPr>
              <w:t>-</w:t>
            </w:r>
          </w:p>
        </w:tc>
      </w:tr>
      <w:tr w:rsidR="002C2A73" w:rsidRPr="0036023B" w14:paraId="1B69C7A9" w14:textId="77777777" w:rsidTr="00B43DFF">
        <w:tc>
          <w:tcPr>
            <w:tcW w:w="984" w:type="dxa"/>
            <w:vAlign w:val="center"/>
          </w:tcPr>
          <w:p w14:paraId="346F727D" w14:textId="77777777" w:rsidR="002C2A73" w:rsidRPr="0036023B" w:rsidRDefault="002C2A73" w:rsidP="002C2A73">
            <w:pPr>
              <w:autoSpaceDE w:val="0"/>
              <w:autoSpaceDN w:val="0"/>
              <w:adjustRightInd w:val="0"/>
              <w:spacing w:before="29" w:line="288" w:lineRule="auto"/>
              <w:ind w:left="15"/>
              <w:jc w:val="center"/>
              <w:rPr>
                <w:color w:val="000000"/>
                <w:sz w:val="24"/>
              </w:rPr>
            </w:pPr>
            <w:r w:rsidRPr="0036023B">
              <w:rPr>
                <w:color w:val="000000"/>
                <w:sz w:val="24"/>
              </w:rPr>
              <w:t>7</w:t>
            </w:r>
          </w:p>
        </w:tc>
        <w:tc>
          <w:tcPr>
            <w:tcW w:w="2876" w:type="dxa"/>
            <w:vAlign w:val="center"/>
          </w:tcPr>
          <w:p w14:paraId="3287E6E6" w14:textId="77777777" w:rsidR="002C2A73" w:rsidRPr="0036023B" w:rsidRDefault="002C2A73" w:rsidP="002C2A73">
            <w:pPr>
              <w:autoSpaceDE w:val="0"/>
              <w:autoSpaceDN w:val="0"/>
              <w:adjustRightInd w:val="0"/>
              <w:spacing w:before="29" w:line="288" w:lineRule="auto"/>
              <w:ind w:left="15"/>
              <w:jc w:val="left"/>
              <w:rPr>
                <w:color w:val="000000"/>
                <w:kern w:val="0"/>
                <w:sz w:val="24"/>
              </w:rPr>
            </w:pPr>
            <w:r w:rsidRPr="0036023B">
              <w:rPr>
                <w:color w:val="000000"/>
                <w:kern w:val="0"/>
                <w:sz w:val="24"/>
              </w:rPr>
              <w:t>待摊费用</w:t>
            </w:r>
          </w:p>
        </w:tc>
        <w:tc>
          <w:tcPr>
            <w:tcW w:w="5008" w:type="dxa"/>
            <w:vAlign w:val="center"/>
          </w:tcPr>
          <w:p w14:paraId="22B1D5F4" w14:textId="36190B25" w:rsidR="002C2A73" w:rsidRPr="0036023B" w:rsidRDefault="002C2A73" w:rsidP="002C2A73">
            <w:pPr>
              <w:autoSpaceDE w:val="0"/>
              <w:autoSpaceDN w:val="0"/>
              <w:adjustRightInd w:val="0"/>
              <w:spacing w:before="29" w:line="288" w:lineRule="auto"/>
              <w:ind w:left="15"/>
              <w:jc w:val="right"/>
              <w:rPr>
                <w:color w:val="000000"/>
                <w:sz w:val="24"/>
              </w:rPr>
            </w:pPr>
            <w:r w:rsidRPr="0036023B">
              <w:rPr>
                <w:color w:val="000000"/>
                <w:sz w:val="24"/>
              </w:rPr>
              <w:t>-</w:t>
            </w:r>
          </w:p>
        </w:tc>
      </w:tr>
      <w:tr w:rsidR="002C2A73" w:rsidRPr="0036023B" w14:paraId="7567034B" w14:textId="77777777" w:rsidTr="00B43DFF">
        <w:tc>
          <w:tcPr>
            <w:tcW w:w="984" w:type="dxa"/>
            <w:vAlign w:val="center"/>
          </w:tcPr>
          <w:p w14:paraId="441D65F3" w14:textId="77777777" w:rsidR="002C2A73" w:rsidRPr="0036023B" w:rsidRDefault="002C2A73" w:rsidP="002C2A73">
            <w:pPr>
              <w:autoSpaceDE w:val="0"/>
              <w:autoSpaceDN w:val="0"/>
              <w:adjustRightInd w:val="0"/>
              <w:spacing w:before="29" w:line="288" w:lineRule="auto"/>
              <w:ind w:left="15"/>
              <w:jc w:val="center"/>
              <w:rPr>
                <w:color w:val="000000"/>
                <w:sz w:val="24"/>
              </w:rPr>
            </w:pPr>
            <w:r w:rsidRPr="0036023B">
              <w:rPr>
                <w:color w:val="000000"/>
                <w:sz w:val="24"/>
              </w:rPr>
              <w:t>8</w:t>
            </w:r>
          </w:p>
        </w:tc>
        <w:tc>
          <w:tcPr>
            <w:tcW w:w="2876" w:type="dxa"/>
            <w:vAlign w:val="center"/>
          </w:tcPr>
          <w:p w14:paraId="36DD0706" w14:textId="77777777" w:rsidR="002C2A73" w:rsidRPr="0036023B" w:rsidRDefault="002C2A73" w:rsidP="002C2A73">
            <w:pPr>
              <w:autoSpaceDE w:val="0"/>
              <w:autoSpaceDN w:val="0"/>
              <w:adjustRightInd w:val="0"/>
              <w:spacing w:before="29" w:line="288" w:lineRule="auto"/>
              <w:ind w:left="15"/>
              <w:jc w:val="left"/>
              <w:rPr>
                <w:color w:val="000000"/>
                <w:kern w:val="0"/>
                <w:sz w:val="24"/>
              </w:rPr>
            </w:pPr>
            <w:r w:rsidRPr="0036023B">
              <w:rPr>
                <w:color w:val="000000"/>
                <w:kern w:val="0"/>
                <w:sz w:val="24"/>
              </w:rPr>
              <w:t>其他</w:t>
            </w:r>
          </w:p>
        </w:tc>
        <w:tc>
          <w:tcPr>
            <w:tcW w:w="5008" w:type="dxa"/>
            <w:vAlign w:val="center"/>
          </w:tcPr>
          <w:p w14:paraId="586352A9" w14:textId="79CD6A0C" w:rsidR="002C2A73" w:rsidRPr="0036023B" w:rsidRDefault="002C2A73" w:rsidP="002C2A73">
            <w:pPr>
              <w:autoSpaceDE w:val="0"/>
              <w:autoSpaceDN w:val="0"/>
              <w:adjustRightInd w:val="0"/>
              <w:spacing w:before="29" w:line="288" w:lineRule="auto"/>
              <w:ind w:left="15"/>
              <w:jc w:val="right"/>
              <w:rPr>
                <w:color w:val="000000"/>
                <w:kern w:val="0"/>
                <w:sz w:val="24"/>
              </w:rPr>
            </w:pPr>
            <w:r w:rsidRPr="0036023B">
              <w:rPr>
                <w:color w:val="000000"/>
                <w:kern w:val="0"/>
                <w:sz w:val="24"/>
              </w:rPr>
              <w:t>-</w:t>
            </w:r>
          </w:p>
        </w:tc>
      </w:tr>
      <w:tr w:rsidR="002C2A73" w:rsidRPr="0036023B" w14:paraId="25CB26FC" w14:textId="77777777" w:rsidTr="00B43DFF">
        <w:tc>
          <w:tcPr>
            <w:tcW w:w="984" w:type="dxa"/>
            <w:vAlign w:val="center"/>
          </w:tcPr>
          <w:p w14:paraId="0BF655A7" w14:textId="77777777" w:rsidR="002C2A73" w:rsidRPr="0036023B" w:rsidRDefault="002C2A73" w:rsidP="002C2A73">
            <w:pPr>
              <w:autoSpaceDE w:val="0"/>
              <w:autoSpaceDN w:val="0"/>
              <w:adjustRightInd w:val="0"/>
              <w:spacing w:before="29" w:line="288" w:lineRule="auto"/>
              <w:ind w:left="15"/>
              <w:jc w:val="center"/>
              <w:rPr>
                <w:color w:val="000000"/>
                <w:sz w:val="24"/>
              </w:rPr>
            </w:pPr>
            <w:r w:rsidRPr="0036023B">
              <w:rPr>
                <w:color w:val="000000"/>
                <w:sz w:val="24"/>
              </w:rPr>
              <w:t>9</w:t>
            </w:r>
          </w:p>
        </w:tc>
        <w:tc>
          <w:tcPr>
            <w:tcW w:w="2876" w:type="dxa"/>
            <w:vAlign w:val="center"/>
          </w:tcPr>
          <w:p w14:paraId="04408F75" w14:textId="77777777" w:rsidR="002C2A73" w:rsidRPr="0036023B" w:rsidRDefault="002C2A73" w:rsidP="002C2A73">
            <w:pPr>
              <w:autoSpaceDE w:val="0"/>
              <w:autoSpaceDN w:val="0"/>
              <w:adjustRightInd w:val="0"/>
              <w:spacing w:before="29" w:line="288" w:lineRule="auto"/>
              <w:ind w:left="15"/>
              <w:jc w:val="left"/>
              <w:rPr>
                <w:color w:val="000000"/>
                <w:kern w:val="0"/>
                <w:sz w:val="24"/>
              </w:rPr>
            </w:pPr>
            <w:r w:rsidRPr="0036023B">
              <w:rPr>
                <w:color w:val="000000"/>
                <w:kern w:val="0"/>
                <w:sz w:val="24"/>
              </w:rPr>
              <w:t>合计</w:t>
            </w:r>
          </w:p>
        </w:tc>
        <w:tc>
          <w:tcPr>
            <w:tcW w:w="5008" w:type="dxa"/>
            <w:vAlign w:val="center"/>
          </w:tcPr>
          <w:p w14:paraId="3BCC404A" w14:textId="586A45DE" w:rsidR="002C2A73" w:rsidRPr="0036023B" w:rsidRDefault="002C2A73" w:rsidP="002C2A73">
            <w:pPr>
              <w:autoSpaceDE w:val="0"/>
              <w:autoSpaceDN w:val="0"/>
              <w:adjustRightInd w:val="0"/>
              <w:spacing w:before="29" w:line="288" w:lineRule="auto"/>
              <w:ind w:left="15"/>
              <w:jc w:val="right"/>
              <w:rPr>
                <w:color w:val="000000"/>
                <w:kern w:val="0"/>
                <w:sz w:val="24"/>
              </w:rPr>
            </w:pPr>
            <w:r w:rsidRPr="0036023B">
              <w:rPr>
                <w:color w:val="000000"/>
                <w:kern w:val="0"/>
                <w:sz w:val="24"/>
              </w:rPr>
              <w:t>305.71</w:t>
            </w:r>
          </w:p>
        </w:tc>
      </w:tr>
    </w:tbl>
    <w:p w14:paraId="7DA34BB0" w14:textId="77777777" w:rsidR="00CF57A4" w:rsidRDefault="00B13D46">
      <w:pPr>
        <w:spacing w:before="50" w:line="360" w:lineRule="auto"/>
        <w:ind w:firstLineChars="200" w:firstLine="480"/>
        <w:rPr>
          <w:rFonts w:ascii="宋体" w:hAnsi="宋体"/>
          <w:color w:val="000000"/>
          <w:sz w:val="24"/>
        </w:rPr>
      </w:pPr>
      <w:r>
        <w:rPr>
          <w:rFonts w:ascii="宋体" w:hAnsi="宋体" w:hint="eastAsia"/>
          <w:color w:val="000000"/>
          <w:sz w:val="24"/>
        </w:rPr>
        <w:t>（4）报告期末持有的处于转股期的可转换债券明细</w:t>
      </w:r>
    </w:p>
    <w:p w14:paraId="7C9B9D57" w14:textId="77777777" w:rsidR="00CF57A4" w:rsidRDefault="00B13D46">
      <w:pPr>
        <w:spacing w:before="50" w:line="360" w:lineRule="auto"/>
        <w:ind w:firstLineChars="200" w:firstLine="480"/>
        <w:rPr>
          <w:rFonts w:ascii="宋体" w:hAnsi="宋体"/>
          <w:color w:val="000000"/>
          <w:sz w:val="24"/>
        </w:rPr>
      </w:pPr>
      <w:r>
        <w:rPr>
          <w:rFonts w:ascii="宋体" w:hAnsi="宋体" w:hint="eastAsia"/>
          <w:color w:val="000000"/>
          <w:sz w:val="24"/>
        </w:rPr>
        <w:t>本基金本报告期末未持有处于转股期的可转换债券。</w:t>
      </w:r>
    </w:p>
    <w:p w14:paraId="78EFFCED" w14:textId="77777777" w:rsidR="00CF57A4" w:rsidRDefault="00B13D46">
      <w:pPr>
        <w:spacing w:before="50" w:line="360" w:lineRule="auto"/>
        <w:ind w:firstLineChars="200" w:firstLine="480"/>
        <w:rPr>
          <w:rFonts w:ascii="宋体" w:hAnsi="宋体"/>
          <w:color w:val="000000"/>
          <w:sz w:val="24"/>
        </w:rPr>
      </w:pPr>
      <w:r>
        <w:rPr>
          <w:rFonts w:ascii="宋体" w:hAnsi="宋体" w:hint="eastAsia"/>
          <w:color w:val="000000"/>
          <w:sz w:val="24"/>
        </w:rPr>
        <w:t>（5）</w:t>
      </w:r>
      <w:r w:rsidR="00E231B5" w:rsidRPr="00E231B5">
        <w:rPr>
          <w:rFonts w:ascii="宋体" w:hAnsi="宋体" w:hint="eastAsia"/>
          <w:color w:val="000000"/>
          <w:sz w:val="24"/>
        </w:rPr>
        <w:t>报告期末指数投资前十名股票中存在流通受限情况的说明</w:t>
      </w:r>
    </w:p>
    <w:p w14:paraId="1C335980" w14:textId="33109073" w:rsidR="00CF57A4" w:rsidRDefault="00DA745A">
      <w:pPr>
        <w:autoSpaceDE w:val="0"/>
        <w:autoSpaceDN w:val="0"/>
        <w:adjustRightInd w:val="0"/>
        <w:spacing w:before="29" w:line="288" w:lineRule="auto"/>
        <w:ind w:firstLineChars="200" w:firstLine="480"/>
        <w:jc w:val="left"/>
        <w:rPr>
          <w:rFonts w:ascii="宋体" w:hAnsi="宋体"/>
          <w:color w:val="000000"/>
          <w:sz w:val="24"/>
        </w:rPr>
      </w:pPr>
      <w:r w:rsidRPr="00DA745A">
        <w:rPr>
          <w:rFonts w:ascii="宋体" w:hAnsi="宋体" w:hint="eastAsia"/>
          <w:color w:val="000000"/>
          <w:sz w:val="24"/>
        </w:rPr>
        <w:t>本基金本报告期末前十名股票中不存在流通受限情况。</w:t>
      </w:r>
    </w:p>
    <w:p w14:paraId="78FD4716" w14:textId="77777777" w:rsidR="00CF57A4" w:rsidRDefault="00B13D46">
      <w:pPr>
        <w:spacing w:before="50" w:line="360" w:lineRule="auto"/>
        <w:rPr>
          <w:rFonts w:ascii="宋体" w:hAnsi="宋体"/>
          <w:color w:val="000000"/>
          <w:sz w:val="24"/>
        </w:rPr>
      </w:pPr>
      <w:r>
        <w:rPr>
          <w:rFonts w:ascii="宋体" w:hAnsi="宋体" w:hint="eastAsia"/>
          <w:color w:val="000000"/>
          <w:sz w:val="24"/>
        </w:rPr>
        <w:t xml:space="preserve">    （6）报告期末积极投资前五名股票中存在流通受限情况的说明</w:t>
      </w:r>
    </w:p>
    <w:p w14:paraId="279D01B1" w14:textId="77777777" w:rsidR="00CF57A4" w:rsidRDefault="00B13D46">
      <w:pPr>
        <w:spacing w:before="50" w:line="360" w:lineRule="auto"/>
        <w:ind w:firstLineChars="200" w:firstLine="480"/>
        <w:rPr>
          <w:rFonts w:ascii="宋体" w:hAnsi="宋体"/>
          <w:color w:val="000000"/>
          <w:sz w:val="24"/>
        </w:rPr>
      </w:pPr>
      <w:r>
        <w:rPr>
          <w:rFonts w:ascii="宋体" w:hAnsi="宋体" w:hint="eastAsia"/>
          <w:color w:val="000000"/>
          <w:sz w:val="24"/>
        </w:rPr>
        <w:t>本基金本报告期末未持有积极投资的股票。</w:t>
      </w:r>
    </w:p>
    <w:p w14:paraId="4D56AFF4" w14:textId="77777777" w:rsidR="00CF57A4" w:rsidRDefault="00B13D46">
      <w:pPr>
        <w:spacing w:before="50" w:line="360" w:lineRule="auto"/>
        <w:ind w:firstLineChars="200" w:firstLine="480"/>
        <w:rPr>
          <w:rFonts w:ascii="宋体" w:hAnsi="宋体"/>
          <w:color w:val="000000"/>
          <w:sz w:val="24"/>
        </w:rPr>
      </w:pPr>
      <w:r>
        <w:rPr>
          <w:rFonts w:ascii="宋体" w:hAnsi="宋体" w:hint="eastAsia"/>
          <w:color w:val="000000"/>
          <w:sz w:val="24"/>
        </w:rPr>
        <w:t>（7）投资组合报告附注的其他文字描述部分</w:t>
      </w:r>
    </w:p>
    <w:p w14:paraId="11A8F684" w14:textId="77777777" w:rsidR="00CF57A4" w:rsidRDefault="00B13D46">
      <w:pPr>
        <w:spacing w:before="50" w:line="360" w:lineRule="auto"/>
        <w:ind w:firstLineChars="200" w:firstLine="480"/>
        <w:rPr>
          <w:rFonts w:ascii="宋体" w:hAnsi="宋体"/>
          <w:color w:val="000000"/>
          <w:sz w:val="24"/>
        </w:rPr>
      </w:pPr>
      <w:r>
        <w:rPr>
          <w:rFonts w:ascii="宋体" w:hAnsi="宋体" w:hint="eastAsia"/>
          <w:color w:val="000000"/>
          <w:sz w:val="24"/>
        </w:rPr>
        <w:t>由于四舍五入的原因，分项之和与合计项之间可能存在尾差。</w:t>
      </w:r>
    </w:p>
    <w:p w14:paraId="1A05D563" w14:textId="77777777" w:rsidR="00CF57A4" w:rsidRDefault="00CF57A4">
      <w:pPr>
        <w:spacing w:before="50" w:line="360" w:lineRule="auto"/>
        <w:ind w:firstLineChars="200" w:firstLine="480"/>
        <w:rPr>
          <w:rFonts w:ascii="宋体" w:hAnsi="宋体"/>
          <w:color w:val="000000"/>
          <w:sz w:val="24"/>
        </w:rPr>
      </w:pPr>
    </w:p>
    <w:p w14:paraId="6CD7E99D" w14:textId="77777777" w:rsidR="00CF57A4" w:rsidRDefault="00CF57A4">
      <w:pPr>
        <w:spacing w:before="50" w:line="360" w:lineRule="auto"/>
        <w:rPr>
          <w:rFonts w:ascii="宋体" w:hAnsi="宋体"/>
          <w:color w:val="000000"/>
          <w:sz w:val="24"/>
        </w:rPr>
      </w:pPr>
    </w:p>
    <w:p w14:paraId="322A2425" w14:textId="77777777" w:rsidR="00CF57A4" w:rsidRDefault="00B13D46">
      <w:pPr>
        <w:pStyle w:val="af1"/>
        <w:rPr>
          <w:rFonts w:eastAsia="黑体"/>
          <w:color w:val="000000"/>
          <w:kern w:val="0"/>
          <w:sz w:val="30"/>
        </w:rPr>
      </w:pPr>
      <w:bookmarkStart w:id="110" w:name="_Toc109537391"/>
      <w:bookmarkEnd w:id="107"/>
      <w:bookmarkEnd w:id="108"/>
      <w:bookmarkEnd w:id="109"/>
      <w:r>
        <w:rPr>
          <w:rFonts w:eastAsia="黑体"/>
          <w:color w:val="000000"/>
          <w:kern w:val="0"/>
          <w:sz w:val="30"/>
        </w:rPr>
        <w:br w:type="page"/>
      </w:r>
      <w:bookmarkStart w:id="111" w:name="_Toc320704363"/>
      <w:bookmarkStart w:id="112" w:name="_Toc320703951"/>
      <w:bookmarkStart w:id="113" w:name="_Toc320704003"/>
      <w:bookmarkStart w:id="114" w:name="_Toc320704076"/>
      <w:bookmarkStart w:id="115" w:name="_Toc322519878"/>
      <w:bookmarkStart w:id="116" w:name="_Toc322002727"/>
      <w:r>
        <w:rPr>
          <w:rFonts w:eastAsia="黑体" w:hint="eastAsia"/>
          <w:color w:val="000000"/>
          <w:kern w:val="0"/>
          <w:sz w:val="30"/>
        </w:rPr>
        <w:lastRenderedPageBreak/>
        <w:t>十一、基金的业绩</w:t>
      </w:r>
      <w:bookmarkEnd w:id="111"/>
      <w:bookmarkEnd w:id="112"/>
      <w:bookmarkEnd w:id="113"/>
      <w:bookmarkEnd w:id="114"/>
      <w:bookmarkEnd w:id="115"/>
      <w:bookmarkEnd w:id="116"/>
    </w:p>
    <w:p w14:paraId="15B97FE1" w14:textId="27E82D66" w:rsidR="00CF57A4" w:rsidRDefault="00B13D46">
      <w:pPr>
        <w:spacing w:line="360" w:lineRule="auto"/>
        <w:ind w:firstLineChars="200" w:firstLine="480"/>
        <w:rPr>
          <w:rFonts w:ascii="宋体" w:hAnsi="宋体"/>
          <w:sz w:val="24"/>
          <w:szCs w:val="21"/>
        </w:rPr>
      </w:pPr>
      <w:r>
        <w:rPr>
          <w:rFonts w:ascii="宋体" w:hAnsi="宋体" w:hint="eastAsia"/>
          <w:sz w:val="24"/>
          <w:szCs w:val="21"/>
        </w:rPr>
        <w:t>基金业绩截止日为</w:t>
      </w:r>
      <w:r w:rsidR="00D562FE">
        <w:rPr>
          <w:rFonts w:ascii="宋体" w:hAnsi="宋体" w:hint="eastAsia"/>
          <w:sz w:val="24"/>
          <w:szCs w:val="21"/>
        </w:rPr>
        <w:t>201</w:t>
      </w:r>
      <w:r w:rsidR="00D562FE">
        <w:rPr>
          <w:rFonts w:ascii="宋体" w:hAnsi="宋体"/>
          <w:sz w:val="24"/>
          <w:szCs w:val="21"/>
        </w:rPr>
        <w:t>7</w:t>
      </w:r>
      <w:r w:rsidR="00D562FE">
        <w:rPr>
          <w:rFonts w:ascii="宋体" w:hAnsi="宋体" w:hint="eastAsia"/>
          <w:sz w:val="24"/>
          <w:szCs w:val="21"/>
        </w:rPr>
        <w:t>年</w:t>
      </w:r>
      <w:r w:rsidR="00D562FE">
        <w:rPr>
          <w:rFonts w:ascii="宋体" w:hAnsi="宋体"/>
          <w:sz w:val="24"/>
          <w:szCs w:val="21"/>
        </w:rPr>
        <w:t>12</w:t>
      </w:r>
      <w:r>
        <w:rPr>
          <w:rFonts w:ascii="宋体" w:hAnsi="宋体" w:hint="eastAsia"/>
          <w:sz w:val="24"/>
          <w:szCs w:val="21"/>
        </w:rPr>
        <w:t>月</w:t>
      </w:r>
      <w:r w:rsidR="00D562FE">
        <w:rPr>
          <w:rFonts w:ascii="宋体" w:hAnsi="宋体"/>
          <w:sz w:val="24"/>
          <w:szCs w:val="21"/>
        </w:rPr>
        <w:t>31</w:t>
      </w:r>
      <w:r>
        <w:rPr>
          <w:rFonts w:ascii="宋体" w:hAnsi="宋体" w:hint="eastAsia"/>
          <w:sz w:val="24"/>
          <w:szCs w:val="21"/>
        </w:rPr>
        <w:t>日，所载财务数据未经审计师审计。</w:t>
      </w:r>
    </w:p>
    <w:p w14:paraId="086B8573" w14:textId="77777777" w:rsidR="00CF57A4" w:rsidRDefault="00B13D46">
      <w:pPr>
        <w:spacing w:line="360" w:lineRule="auto"/>
        <w:ind w:firstLineChars="200" w:firstLine="480"/>
        <w:rPr>
          <w:rFonts w:ascii="宋体" w:hAnsi="宋体"/>
          <w:sz w:val="24"/>
          <w:szCs w:val="21"/>
        </w:rPr>
      </w:pPr>
      <w:r>
        <w:rPr>
          <w:rFonts w:ascii="宋体" w:hAnsi="宋体" w:hint="eastAsia"/>
          <w:sz w:val="24"/>
          <w:szCs w:val="21"/>
        </w:rPr>
        <w:t>基金管理人依照恪尽职守、诚实信用、谨慎勤勉的原则管理和运用基金财产，但不保证基金一定盈利，也不保证最低收益。基金的过往业绩并不代表其未来表现。投资有风险，投资人在做出投资决策前应仔细阅读本基金的招募说明书。</w:t>
      </w:r>
    </w:p>
    <w:p w14:paraId="1FEB54C9" w14:textId="77777777" w:rsidR="00CF57A4" w:rsidRDefault="00B13D46">
      <w:pPr>
        <w:spacing w:afterLines="50" w:after="156" w:line="360" w:lineRule="auto"/>
        <w:ind w:firstLineChars="200" w:firstLine="480"/>
        <w:rPr>
          <w:rFonts w:ascii="宋体" w:hAnsi="宋体"/>
          <w:sz w:val="24"/>
          <w:szCs w:val="21"/>
        </w:rPr>
      </w:pPr>
      <w:r>
        <w:rPr>
          <w:rFonts w:ascii="宋体" w:hAnsi="宋体" w:hint="eastAsia"/>
          <w:sz w:val="24"/>
          <w:szCs w:val="21"/>
        </w:rPr>
        <w:t>1、基金份额净值增长率及其与同期业绩比较基准收益率的比较</w:t>
      </w:r>
    </w:p>
    <w:tbl>
      <w:tblPr>
        <w:tblW w:w="8568" w:type="dxa"/>
        <w:tblInd w:w="108" w:type="dxa"/>
        <w:tblLayout w:type="fixed"/>
        <w:tblLook w:val="04A0" w:firstRow="1" w:lastRow="0" w:firstColumn="1" w:lastColumn="0" w:noHBand="0" w:noVBand="1"/>
      </w:tblPr>
      <w:tblGrid>
        <w:gridCol w:w="2178"/>
        <w:gridCol w:w="1097"/>
        <w:gridCol w:w="1044"/>
        <w:gridCol w:w="1104"/>
        <w:gridCol w:w="1044"/>
        <w:gridCol w:w="1057"/>
        <w:gridCol w:w="1044"/>
      </w:tblGrid>
      <w:tr w:rsidR="00CF57A4" w14:paraId="483BF9E8" w14:textId="77777777">
        <w:tc>
          <w:tcPr>
            <w:tcW w:w="2178" w:type="dxa"/>
            <w:tcBorders>
              <w:top w:val="single" w:sz="8" w:space="0" w:color="000000"/>
              <w:left w:val="single" w:sz="8" w:space="0" w:color="000000"/>
              <w:bottom w:val="single" w:sz="8" w:space="0" w:color="000000"/>
              <w:right w:val="single" w:sz="8" w:space="0" w:color="000000"/>
            </w:tcBorders>
            <w:vAlign w:val="center"/>
          </w:tcPr>
          <w:p w14:paraId="22206BDA" w14:textId="77777777" w:rsidR="00CF57A4" w:rsidRDefault="00B13D46">
            <w:pPr>
              <w:autoSpaceDE w:val="0"/>
              <w:autoSpaceDN w:val="0"/>
              <w:adjustRightInd w:val="0"/>
              <w:spacing w:before="29" w:line="288" w:lineRule="auto"/>
              <w:ind w:left="15"/>
              <w:jc w:val="center"/>
              <w:rPr>
                <w:rFonts w:cs="Arial"/>
                <w:color w:val="000000"/>
                <w:kern w:val="0"/>
                <w:sz w:val="24"/>
              </w:rPr>
            </w:pPr>
            <w:r>
              <w:rPr>
                <w:rFonts w:cs="Arial" w:hint="eastAsia"/>
                <w:color w:val="000000"/>
                <w:kern w:val="0"/>
                <w:sz w:val="24"/>
              </w:rPr>
              <w:t>阶段</w:t>
            </w:r>
          </w:p>
        </w:tc>
        <w:tc>
          <w:tcPr>
            <w:tcW w:w="1097" w:type="dxa"/>
            <w:tcBorders>
              <w:top w:val="single" w:sz="8" w:space="0" w:color="000000"/>
              <w:left w:val="single" w:sz="8" w:space="0" w:color="000000"/>
              <w:bottom w:val="single" w:sz="8" w:space="0" w:color="000000"/>
              <w:right w:val="single" w:sz="8" w:space="0" w:color="000000"/>
            </w:tcBorders>
            <w:vAlign w:val="center"/>
          </w:tcPr>
          <w:p w14:paraId="50D652F3" w14:textId="77777777" w:rsidR="00CF57A4" w:rsidRDefault="00B13D46">
            <w:pPr>
              <w:autoSpaceDE w:val="0"/>
              <w:autoSpaceDN w:val="0"/>
              <w:adjustRightInd w:val="0"/>
              <w:spacing w:before="29" w:line="288" w:lineRule="auto"/>
              <w:ind w:left="15"/>
              <w:jc w:val="center"/>
              <w:rPr>
                <w:rFonts w:cs="Arial"/>
                <w:color w:val="000000"/>
                <w:kern w:val="0"/>
                <w:sz w:val="24"/>
              </w:rPr>
            </w:pPr>
            <w:r>
              <w:rPr>
                <w:rFonts w:cs="Arial" w:hint="eastAsia"/>
                <w:color w:val="000000"/>
                <w:kern w:val="0"/>
                <w:sz w:val="24"/>
              </w:rPr>
              <w:t>净值增长率①</w:t>
            </w:r>
          </w:p>
        </w:tc>
        <w:tc>
          <w:tcPr>
            <w:tcW w:w="1044" w:type="dxa"/>
            <w:tcBorders>
              <w:top w:val="single" w:sz="8" w:space="0" w:color="000000"/>
              <w:left w:val="single" w:sz="8" w:space="0" w:color="000000"/>
              <w:bottom w:val="single" w:sz="8" w:space="0" w:color="000000"/>
              <w:right w:val="single" w:sz="8" w:space="0" w:color="000000"/>
            </w:tcBorders>
            <w:vAlign w:val="center"/>
          </w:tcPr>
          <w:p w14:paraId="49391C6D" w14:textId="77777777" w:rsidR="00CF57A4" w:rsidRDefault="00B13D46">
            <w:pPr>
              <w:autoSpaceDE w:val="0"/>
              <w:autoSpaceDN w:val="0"/>
              <w:adjustRightInd w:val="0"/>
              <w:spacing w:before="29" w:line="288" w:lineRule="auto"/>
              <w:ind w:left="15"/>
              <w:jc w:val="center"/>
              <w:rPr>
                <w:rFonts w:cs="Arial"/>
                <w:color w:val="000000"/>
                <w:kern w:val="0"/>
                <w:sz w:val="24"/>
              </w:rPr>
            </w:pPr>
            <w:r>
              <w:rPr>
                <w:rFonts w:cs="Arial" w:hint="eastAsia"/>
                <w:color w:val="000000"/>
                <w:kern w:val="0"/>
                <w:sz w:val="24"/>
              </w:rPr>
              <w:t>净值增长率标准差②</w:t>
            </w:r>
          </w:p>
        </w:tc>
        <w:tc>
          <w:tcPr>
            <w:tcW w:w="1104" w:type="dxa"/>
            <w:tcBorders>
              <w:top w:val="single" w:sz="8" w:space="0" w:color="000000"/>
              <w:left w:val="single" w:sz="8" w:space="0" w:color="000000"/>
              <w:bottom w:val="single" w:sz="8" w:space="0" w:color="000000"/>
              <w:right w:val="single" w:sz="8" w:space="0" w:color="000000"/>
            </w:tcBorders>
            <w:vAlign w:val="center"/>
          </w:tcPr>
          <w:p w14:paraId="2F046DDF" w14:textId="77777777" w:rsidR="00CF57A4" w:rsidRDefault="00B13D46">
            <w:pPr>
              <w:autoSpaceDE w:val="0"/>
              <w:autoSpaceDN w:val="0"/>
              <w:adjustRightInd w:val="0"/>
              <w:spacing w:before="29" w:line="288" w:lineRule="auto"/>
              <w:ind w:left="15"/>
              <w:jc w:val="center"/>
              <w:rPr>
                <w:rFonts w:cs="Arial"/>
                <w:color w:val="000000"/>
                <w:kern w:val="0"/>
                <w:sz w:val="24"/>
              </w:rPr>
            </w:pPr>
            <w:r>
              <w:rPr>
                <w:rFonts w:cs="Arial" w:hint="eastAsia"/>
                <w:color w:val="000000"/>
                <w:kern w:val="0"/>
                <w:sz w:val="24"/>
              </w:rPr>
              <w:t>业绩比较基准收益率③</w:t>
            </w:r>
          </w:p>
        </w:tc>
        <w:tc>
          <w:tcPr>
            <w:tcW w:w="1044" w:type="dxa"/>
            <w:tcBorders>
              <w:top w:val="single" w:sz="8" w:space="0" w:color="000000"/>
              <w:left w:val="single" w:sz="8" w:space="0" w:color="000000"/>
              <w:bottom w:val="single" w:sz="8" w:space="0" w:color="000000"/>
              <w:right w:val="single" w:sz="8" w:space="0" w:color="000000"/>
            </w:tcBorders>
            <w:vAlign w:val="center"/>
          </w:tcPr>
          <w:p w14:paraId="57F7C98B" w14:textId="77777777" w:rsidR="00CF57A4" w:rsidRDefault="00B13D46">
            <w:pPr>
              <w:autoSpaceDE w:val="0"/>
              <w:autoSpaceDN w:val="0"/>
              <w:adjustRightInd w:val="0"/>
              <w:spacing w:before="29" w:line="288" w:lineRule="auto"/>
              <w:ind w:left="15"/>
              <w:jc w:val="center"/>
              <w:rPr>
                <w:rFonts w:cs="Arial"/>
                <w:color w:val="000000"/>
                <w:kern w:val="0"/>
                <w:sz w:val="24"/>
              </w:rPr>
            </w:pPr>
            <w:r>
              <w:rPr>
                <w:rFonts w:cs="Arial" w:hint="eastAsia"/>
                <w:color w:val="000000"/>
                <w:kern w:val="0"/>
                <w:sz w:val="24"/>
              </w:rPr>
              <w:t>业绩比较基准收益率标准差④</w:t>
            </w:r>
          </w:p>
        </w:tc>
        <w:tc>
          <w:tcPr>
            <w:tcW w:w="1057" w:type="dxa"/>
            <w:tcBorders>
              <w:top w:val="single" w:sz="8" w:space="0" w:color="000000"/>
              <w:left w:val="single" w:sz="8" w:space="0" w:color="000000"/>
              <w:bottom w:val="single" w:sz="8" w:space="0" w:color="000000"/>
              <w:right w:val="single" w:sz="8" w:space="0" w:color="000000"/>
            </w:tcBorders>
            <w:vAlign w:val="center"/>
          </w:tcPr>
          <w:p w14:paraId="57FBC8EA" w14:textId="77777777" w:rsidR="00CF57A4" w:rsidRDefault="00B13D46">
            <w:pPr>
              <w:autoSpaceDE w:val="0"/>
              <w:autoSpaceDN w:val="0"/>
              <w:adjustRightInd w:val="0"/>
              <w:spacing w:before="29" w:line="288" w:lineRule="auto"/>
              <w:ind w:left="15"/>
              <w:jc w:val="center"/>
              <w:rPr>
                <w:rFonts w:cs="Arial"/>
                <w:color w:val="000000"/>
                <w:kern w:val="0"/>
                <w:sz w:val="24"/>
              </w:rPr>
            </w:pPr>
            <w:r>
              <w:rPr>
                <w:rFonts w:cs="Arial" w:hint="eastAsia"/>
                <w:color w:val="000000"/>
                <w:kern w:val="0"/>
                <w:sz w:val="24"/>
              </w:rPr>
              <w:t>①</w:t>
            </w:r>
            <w:r>
              <w:rPr>
                <w:rFonts w:cs="Arial"/>
                <w:color w:val="000000"/>
                <w:kern w:val="0"/>
                <w:sz w:val="24"/>
              </w:rPr>
              <w:t>-</w:t>
            </w:r>
            <w:r>
              <w:rPr>
                <w:rFonts w:cs="Arial" w:hint="eastAsia"/>
                <w:color w:val="000000"/>
                <w:kern w:val="0"/>
                <w:sz w:val="24"/>
              </w:rPr>
              <w:t>③</w:t>
            </w:r>
          </w:p>
        </w:tc>
        <w:tc>
          <w:tcPr>
            <w:tcW w:w="1044" w:type="dxa"/>
            <w:tcBorders>
              <w:top w:val="single" w:sz="8" w:space="0" w:color="000000"/>
              <w:left w:val="single" w:sz="8" w:space="0" w:color="000000"/>
              <w:bottom w:val="single" w:sz="8" w:space="0" w:color="000000"/>
              <w:right w:val="single" w:sz="8" w:space="0" w:color="000000"/>
            </w:tcBorders>
            <w:vAlign w:val="center"/>
          </w:tcPr>
          <w:p w14:paraId="715796AA" w14:textId="77777777" w:rsidR="00CF57A4" w:rsidRDefault="00B13D46">
            <w:pPr>
              <w:autoSpaceDE w:val="0"/>
              <w:autoSpaceDN w:val="0"/>
              <w:adjustRightInd w:val="0"/>
              <w:spacing w:before="29" w:line="288" w:lineRule="auto"/>
              <w:ind w:left="15"/>
              <w:jc w:val="center"/>
              <w:rPr>
                <w:rFonts w:cs="Arial"/>
                <w:color w:val="000000"/>
                <w:kern w:val="0"/>
                <w:sz w:val="24"/>
              </w:rPr>
            </w:pPr>
            <w:r>
              <w:rPr>
                <w:rFonts w:cs="Arial" w:hint="eastAsia"/>
                <w:color w:val="000000"/>
                <w:kern w:val="0"/>
                <w:sz w:val="24"/>
              </w:rPr>
              <w:t>②</w:t>
            </w:r>
            <w:r>
              <w:rPr>
                <w:rFonts w:cs="Arial"/>
                <w:color w:val="000000"/>
                <w:kern w:val="0"/>
                <w:sz w:val="24"/>
              </w:rPr>
              <w:t>-</w:t>
            </w:r>
            <w:r>
              <w:rPr>
                <w:rFonts w:cs="Arial" w:hint="eastAsia"/>
                <w:color w:val="000000"/>
                <w:kern w:val="0"/>
                <w:sz w:val="24"/>
              </w:rPr>
              <w:t>④</w:t>
            </w:r>
          </w:p>
        </w:tc>
      </w:tr>
      <w:tr w:rsidR="002C2A73" w14:paraId="2644B3B2" w14:textId="77777777">
        <w:tc>
          <w:tcPr>
            <w:tcW w:w="2178" w:type="dxa"/>
            <w:tcBorders>
              <w:top w:val="single" w:sz="8" w:space="0" w:color="000000"/>
              <w:left w:val="single" w:sz="8" w:space="0" w:color="000000"/>
              <w:bottom w:val="single" w:sz="8" w:space="0" w:color="000000"/>
              <w:right w:val="single" w:sz="8" w:space="0" w:color="000000"/>
            </w:tcBorders>
            <w:vAlign w:val="center"/>
          </w:tcPr>
          <w:p w14:paraId="3FEF26C0" w14:textId="77777777" w:rsidR="002C2A73" w:rsidRDefault="002C2A73" w:rsidP="002C2A73">
            <w:pPr>
              <w:autoSpaceDE w:val="0"/>
              <w:autoSpaceDN w:val="0"/>
              <w:adjustRightInd w:val="0"/>
              <w:spacing w:before="29" w:line="288" w:lineRule="auto"/>
              <w:ind w:left="15"/>
              <w:jc w:val="left"/>
              <w:rPr>
                <w:rFonts w:ascii="宋体" w:hAnsi="宋体" w:cs="Arial"/>
                <w:color w:val="000000"/>
                <w:kern w:val="0"/>
                <w:sz w:val="24"/>
              </w:rPr>
            </w:pPr>
            <w:r>
              <w:rPr>
                <w:color w:val="000000"/>
                <w:sz w:val="24"/>
              </w:rPr>
              <w:t>过去三个月</w:t>
            </w:r>
          </w:p>
        </w:tc>
        <w:tc>
          <w:tcPr>
            <w:tcW w:w="1097" w:type="dxa"/>
            <w:tcBorders>
              <w:top w:val="single" w:sz="8" w:space="0" w:color="000000"/>
              <w:left w:val="single" w:sz="8" w:space="0" w:color="000000"/>
              <w:bottom w:val="single" w:sz="8" w:space="0" w:color="000000"/>
              <w:right w:val="single" w:sz="8" w:space="0" w:color="000000"/>
            </w:tcBorders>
            <w:vAlign w:val="center"/>
          </w:tcPr>
          <w:p w14:paraId="54AE7C0D" w14:textId="11227933" w:rsidR="002C2A73" w:rsidRDefault="002C2A73" w:rsidP="002C2A73">
            <w:pPr>
              <w:autoSpaceDE w:val="0"/>
              <w:autoSpaceDN w:val="0"/>
              <w:adjustRightInd w:val="0"/>
              <w:spacing w:before="29" w:line="288" w:lineRule="auto"/>
              <w:ind w:left="15"/>
              <w:jc w:val="center"/>
              <w:rPr>
                <w:rFonts w:cs="Arial"/>
                <w:color w:val="000000"/>
                <w:kern w:val="0"/>
                <w:sz w:val="24"/>
              </w:rPr>
            </w:pPr>
            <w:r>
              <w:rPr>
                <w:color w:val="000000"/>
                <w:sz w:val="24"/>
              </w:rPr>
              <w:t>9.17%</w:t>
            </w:r>
          </w:p>
        </w:tc>
        <w:tc>
          <w:tcPr>
            <w:tcW w:w="1044" w:type="dxa"/>
            <w:tcBorders>
              <w:top w:val="single" w:sz="8" w:space="0" w:color="000000"/>
              <w:left w:val="single" w:sz="8" w:space="0" w:color="000000"/>
              <w:bottom w:val="single" w:sz="8" w:space="0" w:color="000000"/>
              <w:right w:val="single" w:sz="8" w:space="0" w:color="000000"/>
            </w:tcBorders>
            <w:vAlign w:val="center"/>
          </w:tcPr>
          <w:p w14:paraId="44D9D291" w14:textId="72905684" w:rsidR="002C2A73" w:rsidRDefault="002C2A73" w:rsidP="002C2A73">
            <w:pPr>
              <w:autoSpaceDE w:val="0"/>
              <w:autoSpaceDN w:val="0"/>
              <w:adjustRightInd w:val="0"/>
              <w:spacing w:before="29" w:line="288" w:lineRule="auto"/>
              <w:ind w:left="15"/>
              <w:jc w:val="center"/>
              <w:rPr>
                <w:rFonts w:cs="Arial"/>
                <w:color w:val="000000"/>
                <w:kern w:val="0"/>
                <w:sz w:val="24"/>
              </w:rPr>
            </w:pPr>
            <w:r>
              <w:rPr>
                <w:color w:val="000000"/>
                <w:sz w:val="24"/>
              </w:rPr>
              <w:t>1.15%</w:t>
            </w:r>
          </w:p>
        </w:tc>
        <w:tc>
          <w:tcPr>
            <w:tcW w:w="1104" w:type="dxa"/>
            <w:tcBorders>
              <w:top w:val="single" w:sz="8" w:space="0" w:color="000000"/>
              <w:left w:val="single" w:sz="8" w:space="0" w:color="000000"/>
              <w:bottom w:val="single" w:sz="8" w:space="0" w:color="000000"/>
              <w:right w:val="single" w:sz="8" w:space="0" w:color="000000"/>
            </w:tcBorders>
            <w:vAlign w:val="center"/>
          </w:tcPr>
          <w:p w14:paraId="736FE854" w14:textId="2654009D" w:rsidR="002C2A73" w:rsidRDefault="002C2A73" w:rsidP="002C2A73">
            <w:pPr>
              <w:autoSpaceDE w:val="0"/>
              <w:autoSpaceDN w:val="0"/>
              <w:adjustRightInd w:val="0"/>
              <w:spacing w:before="29" w:line="288" w:lineRule="auto"/>
              <w:ind w:left="15"/>
              <w:jc w:val="center"/>
              <w:rPr>
                <w:rFonts w:cs="Arial"/>
                <w:color w:val="000000"/>
                <w:kern w:val="0"/>
                <w:sz w:val="24"/>
              </w:rPr>
            </w:pPr>
            <w:r>
              <w:rPr>
                <w:color w:val="000000"/>
                <w:sz w:val="24"/>
              </w:rPr>
              <w:t>9.51%</w:t>
            </w:r>
          </w:p>
        </w:tc>
        <w:tc>
          <w:tcPr>
            <w:tcW w:w="1044" w:type="dxa"/>
            <w:tcBorders>
              <w:top w:val="single" w:sz="8" w:space="0" w:color="000000"/>
              <w:left w:val="single" w:sz="8" w:space="0" w:color="000000"/>
              <w:bottom w:val="single" w:sz="8" w:space="0" w:color="000000"/>
              <w:right w:val="single" w:sz="8" w:space="0" w:color="000000"/>
            </w:tcBorders>
            <w:vAlign w:val="center"/>
          </w:tcPr>
          <w:p w14:paraId="2730CEAF" w14:textId="7FA847D8" w:rsidR="002C2A73" w:rsidRDefault="002C2A73" w:rsidP="002C2A73">
            <w:pPr>
              <w:autoSpaceDE w:val="0"/>
              <w:autoSpaceDN w:val="0"/>
              <w:adjustRightInd w:val="0"/>
              <w:spacing w:before="29" w:line="288" w:lineRule="auto"/>
              <w:ind w:left="15"/>
              <w:jc w:val="center"/>
              <w:rPr>
                <w:rFonts w:cs="Arial"/>
                <w:color w:val="000000"/>
                <w:kern w:val="0"/>
                <w:sz w:val="24"/>
              </w:rPr>
            </w:pPr>
            <w:r>
              <w:rPr>
                <w:color w:val="000000"/>
                <w:sz w:val="24"/>
              </w:rPr>
              <w:t>1.17%</w:t>
            </w:r>
          </w:p>
        </w:tc>
        <w:tc>
          <w:tcPr>
            <w:tcW w:w="1057" w:type="dxa"/>
            <w:tcBorders>
              <w:top w:val="single" w:sz="8" w:space="0" w:color="000000"/>
              <w:left w:val="single" w:sz="8" w:space="0" w:color="000000"/>
              <w:bottom w:val="single" w:sz="8" w:space="0" w:color="000000"/>
              <w:right w:val="single" w:sz="8" w:space="0" w:color="000000"/>
            </w:tcBorders>
            <w:vAlign w:val="center"/>
          </w:tcPr>
          <w:p w14:paraId="1675E645" w14:textId="75D92E3D" w:rsidR="002C2A73" w:rsidRDefault="002C2A73" w:rsidP="002C2A73">
            <w:pPr>
              <w:autoSpaceDE w:val="0"/>
              <w:autoSpaceDN w:val="0"/>
              <w:adjustRightInd w:val="0"/>
              <w:spacing w:before="29" w:line="288" w:lineRule="auto"/>
              <w:ind w:left="15"/>
              <w:jc w:val="center"/>
              <w:rPr>
                <w:rFonts w:cs="Arial"/>
                <w:color w:val="000000"/>
                <w:kern w:val="0"/>
                <w:sz w:val="24"/>
              </w:rPr>
            </w:pPr>
            <w:r>
              <w:rPr>
                <w:color w:val="000000"/>
                <w:sz w:val="24"/>
              </w:rPr>
              <w:t>-0.34%</w:t>
            </w:r>
          </w:p>
        </w:tc>
        <w:tc>
          <w:tcPr>
            <w:tcW w:w="1044" w:type="dxa"/>
            <w:tcBorders>
              <w:top w:val="single" w:sz="8" w:space="0" w:color="000000"/>
              <w:left w:val="single" w:sz="8" w:space="0" w:color="000000"/>
              <w:bottom w:val="single" w:sz="8" w:space="0" w:color="000000"/>
              <w:right w:val="single" w:sz="8" w:space="0" w:color="000000"/>
            </w:tcBorders>
            <w:vAlign w:val="center"/>
          </w:tcPr>
          <w:p w14:paraId="440F9E9D" w14:textId="27CFD545" w:rsidR="002C2A73" w:rsidRDefault="002C2A73" w:rsidP="002C2A73">
            <w:pPr>
              <w:autoSpaceDE w:val="0"/>
              <w:autoSpaceDN w:val="0"/>
              <w:adjustRightInd w:val="0"/>
              <w:spacing w:before="29" w:line="288" w:lineRule="auto"/>
              <w:ind w:left="15"/>
              <w:jc w:val="center"/>
              <w:rPr>
                <w:rFonts w:cs="Arial"/>
                <w:color w:val="000000"/>
                <w:kern w:val="0"/>
                <w:sz w:val="24"/>
              </w:rPr>
            </w:pPr>
            <w:r>
              <w:rPr>
                <w:color w:val="000000"/>
                <w:sz w:val="24"/>
              </w:rPr>
              <w:t>-0.02%</w:t>
            </w:r>
          </w:p>
        </w:tc>
      </w:tr>
      <w:tr w:rsidR="002C2A73" w14:paraId="44F1CB8E" w14:textId="77777777">
        <w:tc>
          <w:tcPr>
            <w:tcW w:w="2178" w:type="dxa"/>
            <w:tcBorders>
              <w:top w:val="single" w:sz="8" w:space="0" w:color="000000"/>
              <w:left w:val="single" w:sz="8" w:space="0" w:color="000000"/>
              <w:bottom w:val="single" w:sz="8" w:space="0" w:color="000000"/>
              <w:right w:val="single" w:sz="8" w:space="0" w:color="000000"/>
            </w:tcBorders>
            <w:vAlign w:val="center"/>
          </w:tcPr>
          <w:p w14:paraId="147E85C5" w14:textId="6B357C53" w:rsidR="002C2A73" w:rsidRDefault="002C2A73">
            <w:pPr>
              <w:autoSpaceDE w:val="0"/>
              <w:autoSpaceDN w:val="0"/>
              <w:adjustRightInd w:val="0"/>
              <w:spacing w:before="29" w:line="288" w:lineRule="auto"/>
              <w:ind w:left="15"/>
              <w:jc w:val="left"/>
              <w:rPr>
                <w:color w:val="000000"/>
                <w:sz w:val="24"/>
              </w:rPr>
            </w:pPr>
            <w:r>
              <w:rPr>
                <w:rFonts w:hint="eastAsia"/>
                <w:color w:val="000000"/>
                <w:sz w:val="24"/>
              </w:rPr>
              <w:t>2017</w:t>
            </w:r>
            <w:r>
              <w:rPr>
                <w:rFonts w:hint="eastAsia"/>
                <w:color w:val="000000"/>
                <w:sz w:val="24"/>
              </w:rPr>
              <w:t>年度</w:t>
            </w:r>
            <w:r w:rsidDel="002C2A73">
              <w:rPr>
                <w:color w:val="000000"/>
                <w:sz w:val="24"/>
              </w:rPr>
              <w:t xml:space="preserve"> </w:t>
            </w:r>
          </w:p>
        </w:tc>
        <w:tc>
          <w:tcPr>
            <w:tcW w:w="1097" w:type="dxa"/>
            <w:tcBorders>
              <w:top w:val="single" w:sz="8" w:space="0" w:color="000000"/>
              <w:left w:val="single" w:sz="8" w:space="0" w:color="000000"/>
              <w:bottom w:val="single" w:sz="8" w:space="0" w:color="000000"/>
              <w:right w:val="single" w:sz="8" w:space="0" w:color="000000"/>
            </w:tcBorders>
            <w:vAlign w:val="center"/>
          </w:tcPr>
          <w:p w14:paraId="54DE8DF0" w14:textId="7DEF6832" w:rsidR="002C2A73" w:rsidRDefault="002C2A73" w:rsidP="002C2A73">
            <w:pPr>
              <w:autoSpaceDE w:val="0"/>
              <w:autoSpaceDN w:val="0"/>
              <w:adjustRightInd w:val="0"/>
              <w:spacing w:before="29" w:line="288" w:lineRule="auto"/>
              <w:ind w:left="15"/>
              <w:jc w:val="center"/>
              <w:rPr>
                <w:color w:val="000000"/>
                <w:sz w:val="24"/>
              </w:rPr>
            </w:pPr>
            <w:r>
              <w:rPr>
                <w:color w:val="000000"/>
                <w:sz w:val="24"/>
              </w:rPr>
              <w:t>32.47%</w:t>
            </w:r>
          </w:p>
        </w:tc>
        <w:tc>
          <w:tcPr>
            <w:tcW w:w="1044" w:type="dxa"/>
            <w:tcBorders>
              <w:top w:val="single" w:sz="8" w:space="0" w:color="000000"/>
              <w:left w:val="single" w:sz="8" w:space="0" w:color="000000"/>
              <w:bottom w:val="single" w:sz="8" w:space="0" w:color="000000"/>
              <w:right w:val="single" w:sz="8" w:space="0" w:color="000000"/>
            </w:tcBorders>
            <w:vAlign w:val="center"/>
          </w:tcPr>
          <w:p w14:paraId="78F812F1" w14:textId="647D43AB" w:rsidR="002C2A73" w:rsidRDefault="002C2A73" w:rsidP="002C2A73">
            <w:pPr>
              <w:autoSpaceDE w:val="0"/>
              <w:autoSpaceDN w:val="0"/>
              <w:adjustRightInd w:val="0"/>
              <w:spacing w:before="29" w:line="288" w:lineRule="auto"/>
              <w:ind w:left="15"/>
              <w:jc w:val="center"/>
              <w:rPr>
                <w:color w:val="000000"/>
                <w:sz w:val="24"/>
              </w:rPr>
            </w:pPr>
            <w:r>
              <w:rPr>
                <w:color w:val="000000"/>
                <w:sz w:val="24"/>
              </w:rPr>
              <w:t>0.90%</w:t>
            </w:r>
          </w:p>
        </w:tc>
        <w:tc>
          <w:tcPr>
            <w:tcW w:w="1104" w:type="dxa"/>
            <w:tcBorders>
              <w:top w:val="single" w:sz="8" w:space="0" w:color="000000"/>
              <w:left w:val="single" w:sz="8" w:space="0" w:color="000000"/>
              <w:bottom w:val="single" w:sz="8" w:space="0" w:color="000000"/>
              <w:right w:val="single" w:sz="8" w:space="0" w:color="000000"/>
            </w:tcBorders>
            <w:vAlign w:val="center"/>
          </w:tcPr>
          <w:p w14:paraId="5FFB90D3" w14:textId="3499DA8D" w:rsidR="002C2A73" w:rsidRDefault="002C2A73" w:rsidP="002C2A73">
            <w:pPr>
              <w:autoSpaceDE w:val="0"/>
              <w:autoSpaceDN w:val="0"/>
              <w:adjustRightInd w:val="0"/>
              <w:spacing w:before="29" w:line="288" w:lineRule="auto"/>
              <w:ind w:left="15"/>
              <w:jc w:val="center"/>
              <w:rPr>
                <w:color w:val="000000"/>
                <w:sz w:val="24"/>
              </w:rPr>
            </w:pPr>
            <w:r>
              <w:rPr>
                <w:color w:val="000000"/>
                <w:sz w:val="24"/>
              </w:rPr>
              <w:t>32.11%</w:t>
            </w:r>
          </w:p>
        </w:tc>
        <w:tc>
          <w:tcPr>
            <w:tcW w:w="1044" w:type="dxa"/>
            <w:tcBorders>
              <w:top w:val="single" w:sz="8" w:space="0" w:color="000000"/>
              <w:left w:val="single" w:sz="8" w:space="0" w:color="000000"/>
              <w:bottom w:val="single" w:sz="8" w:space="0" w:color="000000"/>
              <w:right w:val="single" w:sz="8" w:space="0" w:color="000000"/>
            </w:tcBorders>
            <w:vAlign w:val="center"/>
          </w:tcPr>
          <w:p w14:paraId="50EFD06F" w14:textId="0D622E7D" w:rsidR="002C2A73" w:rsidRDefault="002C2A73" w:rsidP="002C2A73">
            <w:pPr>
              <w:autoSpaceDE w:val="0"/>
              <w:autoSpaceDN w:val="0"/>
              <w:adjustRightInd w:val="0"/>
              <w:spacing w:before="29" w:line="288" w:lineRule="auto"/>
              <w:ind w:left="15"/>
              <w:jc w:val="center"/>
              <w:rPr>
                <w:color w:val="000000"/>
                <w:sz w:val="24"/>
              </w:rPr>
            </w:pPr>
            <w:r>
              <w:rPr>
                <w:color w:val="000000"/>
                <w:sz w:val="24"/>
              </w:rPr>
              <w:t>0.91%</w:t>
            </w:r>
          </w:p>
        </w:tc>
        <w:tc>
          <w:tcPr>
            <w:tcW w:w="1057" w:type="dxa"/>
            <w:tcBorders>
              <w:top w:val="single" w:sz="8" w:space="0" w:color="000000"/>
              <w:left w:val="single" w:sz="8" w:space="0" w:color="000000"/>
              <w:bottom w:val="single" w:sz="8" w:space="0" w:color="000000"/>
              <w:right w:val="single" w:sz="8" w:space="0" w:color="000000"/>
            </w:tcBorders>
            <w:vAlign w:val="center"/>
          </w:tcPr>
          <w:p w14:paraId="1B1C0DBD" w14:textId="0A9E2E08" w:rsidR="002C2A73" w:rsidRDefault="002C2A73" w:rsidP="002C2A73">
            <w:pPr>
              <w:autoSpaceDE w:val="0"/>
              <w:autoSpaceDN w:val="0"/>
              <w:adjustRightInd w:val="0"/>
              <w:spacing w:before="29" w:line="288" w:lineRule="auto"/>
              <w:ind w:left="15"/>
              <w:jc w:val="center"/>
              <w:rPr>
                <w:color w:val="000000"/>
                <w:sz w:val="24"/>
              </w:rPr>
            </w:pPr>
            <w:r>
              <w:rPr>
                <w:color w:val="000000"/>
                <w:sz w:val="24"/>
              </w:rPr>
              <w:t>0.36%</w:t>
            </w:r>
          </w:p>
        </w:tc>
        <w:tc>
          <w:tcPr>
            <w:tcW w:w="1044" w:type="dxa"/>
            <w:tcBorders>
              <w:top w:val="single" w:sz="8" w:space="0" w:color="000000"/>
              <w:left w:val="single" w:sz="8" w:space="0" w:color="000000"/>
              <w:bottom w:val="single" w:sz="8" w:space="0" w:color="000000"/>
              <w:right w:val="single" w:sz="8" w:space="0" w:color="000000"/>
            </w:tcBorders>
            <w:vAlign w:val="center"/>
          </w:tcPr>
          <w:p w14:paraId="1E47D637" w14:textId="71589A5B" w:rsidR="002C2A73" w:rsidRDefault="002C2A73" w:rsidP="002C2A73">
            <w:pPr>
              <w:autoSpaceDE w:val="0"/>
              <w:autoSpaceDN w:val="0"/>
              <w:adjustRightInd w:val="0"/>
              <w:spacing w:before="29" w:line="288" w:lineRule="auto"/>
              <w:ind w:left="15"/>
              <w:jc w:val="center"/>
              <w:rPr>
                <w:color w:val="000000"/>
                <w:sz w:val="24"/>
              </w:rPr>
            </w:pPr>
            <w:r>
              <w:rPr>
                <w:color w:val="000000"/>
                <w:sz w:val="24"/>
              </w:rPr>
              <w:t>-0.01%</w:t>
            </w:r>
          </w:p>
        </w:tc>
      </w:tr>
      <w:tr w:rsidR="006920ED" w14:paraId="71651AFF" w14:textId="77777777" w:rsidTr="00B43DFF">
        <w:tc>
          <w:tcPr>
            <w:tcW w:w="2178" w:type="dxa"/>
            <w:tcBorders>
              <w:top w:val="single" w:sz="8" w:space="0" w:color="000000"/>
              <w:left w:val="single" w:sz="8" w:space="0" w:color="000000"/>
              <w:bottom w:val="single" w:sz="8" w:space="0" w:color="000000"/>
              <w:right w:val="single" w:sz="8" w:space="0" w:color="000000"/>
            </w:tcBorders>
            <w:vAlign w:val="center"/>
          </w:tcPr>
          <w:p w14:paraId="34AE7228" w14:textId="77777777" w:rsidR="006920ED" w:rsidRDefault="006920ED" w:rsidP="006920ED">
            <w:pPr>
              <w:autoSpaceDE w:val="0"/>
              <w:autoSpaceDN w:val="0"/>
              <w:adjustRightInd w:val="0"/>
              <w:spacing w:before="29" w:line="288" w:lineRule="auto"/>
              <w:ind w:left="15"/>
              <w:jc w:val="left"/>
              <w:rPr>
                <w:color w:val="000000"/>
                <w:sz w:val="24"/>
              </w:rPr>
            </w:pPr>
            <w:r w:rsidRPr="00BA18F0">
              <w:rPr>
                <w:color w:val="000000"/>
                <w:kern w:val="0"/>
                <w:sz w:val="24"/>
                <w:szCs w:val="20"/>
              </w:rPr>
              <w:t>2016</w:t>
            </w:r>
            <w:r w:rsidRPr="00BA18F0">
              <w:rPr>
                <w:rFonts w:hint="eastAsia"/>
                <w:color w:val="000000"/>
                <w:kern w:val="0"/>
                <w:sz w:val="24"/>
                <w:szCs w:val="20"/>
              </w:rPr>
              <w:t>年度</w:t>
            </w:r>
            <w:r w:rsidRPr="00BA18F0" w:rsidDel="003C4007">
              <w:rPr>
                <w:rFonts w:hint="eastAsia"/>
                <w:color w:val="000000"/>
                <w:kern w:val="0"/>
                <w:sz w:val="24"/>
                <w:szCs w:val="20"/>
              </w:rPr>
              <w:t xml:space="preserve"> </w:t>
            </w:r>
          </w:p>
        </w:tc>
        <w:tc>
          <w:tcPr>
            <w:tcW w:w="1097" w:type="dxa"/>
            <w:tcBorders>
              <w:top w:val="single" w:sz="8" w:space="0" w:color="000000"/>
              <w:left w:val="single" w:sz="8" w:space="0" w:color="000000"/>
              <w:bottom w:val="single" w:sz="8" w:space="0" w:color="000000"/>
              <w:right w:val="single" w:sz="8" w:space="0" w:color="000000"/>
            </w:tcBorders>
          </w:tcPr>
          <w:p w14:paraId="235E2EBE" w14:textId="77777777" w:rsidR="006920ED" w:rsidRDefault="006920ED" w:rsidP="006920ED">
            <w:pPr>
              <w:autoSpaceDE w:val="0"/>
              <w:autoSpaceDN w:val="0"/>
              <w:adjustRightInd w:val="0"/>
              <w:spacing w:before="29" w:line="288" w:lineRule="auto"/>
              <w:ind w:left="15"/>
              <w:jc w:val="center"/>
              <w:rPr>
                <w:color w:val="000000"/>
                <w:sz w:val="24"/>
              </w:rPr>
            </w:pPr>
            <w:r w:rsidRPr="00B43DFF">
              <w:rPr>
                <w:color w:val="000000"/>
                <w:sz w:val="24"/>
              </w:rPr>
              <w:t>-8.63%</w:t>
            </w:r>
          </w:p>
        </w:tc>
        <w:tc>
          <w:tcPr>
            <w:tcW w:w="1044" w:type="dxa"/>
            <w:tcBorders>
              <w:top w:val="single" w:sz="8" w:space="0" w:color="000000"/>
              <w:left w:val="single" w:sz="8" w:space="0" w:color="000000"/>
              <w:bottom w:val="single" w:sz="8" w:space="0" w:color="000000"/>
              <w:right w:val="single" w:sz="8" w:space="0" w:color="000000"/>
            </w:tcBorders>
          </w:tcPr>
          <w:p w14:paraId="6F33EA10" w14:textId="77777777" w:rsidR="006920ED" w:rsidRDefault="006920ED" w:rsidP="006920ED">
            <w:pPr>
              <w:autoSpaceDE w:val="0"/>
              <w:autoSpaceDN w:val="0"/>
              <w:adjustRightInd w:val="0"/>
              <w:spacing w:before="29" w:line="288" w:lineRule="auto"/>
              <w:ind w:left="15"/>
              <w:jc w:val="center"/>
              <w:rPr>
                <w:color w:val="000000"/>
                <w:sz w:val="24"/>
              </w:rPr>
            </w:pPr>
            <w:r w:rsidRPr="00B43DFF">
              <w:rPr>
                <w:color w:val="000000"/>
                <w:sz w:val="24"/>
              </w:rPr>
              <w:t>1.47%</w:t>
            </w:r>
          </w:p>
        </w:tc>
        <w:tc>
          <w:tcPr>
            <w:tcW w:w="1104" w:type="dxa"/>
            <w:tcBorders>
              <w:top w:val="single" w:sz="8" w:space="0" w:color="000000"/>
              <w:left w:val="single" w:sz="8" w:space="0" w:color="000000"/>
              <w:bottom w:val="single" w:sz="8" w:space="0" w:color="000000"/>
              <w:right w:val="single" w:sz="8" w:space="0" w:color="000000"/>
            </w:tcBorders>
          </w:tcPr>
          <w:p w14:paraId="35A76D1C" w14:textId="77777777" w:rsidR="006920ED" w:rsidRDefault="006920ED" w:rsidP="006920ED">
            <w:pPr>
              <w:autoSpaceDE w:val="0"/>
              <w:autoSpaceDN w:val="0"/>
              <w:adjustRightInd w:val="0"/>
              <w:spacing w:before="29" w:line="288" w:lineRule="auto"/>
              <w:ind w:left="15"/>
              <w:jc w:val="center"/>
              <w:rPr>
                <w:color w:val="000000"/>
                <w:sz w:val="24"/>
              </w:rPr>
            </w:pPr>
            <w:r w:rsidRPr="00B43DFF">
              <w:rPr>
                <w:color w:val="000000"/>
                <w:sz w:val="24"/>
              </w:rPr>
              <w:t>-9.28%</w:t>
            </w:r>
          </w:p>
        </w:tc>
        <w:tc>
          <w:tcPr>
            <w:tcW w:w="1044" w:type="dxa"/>
            <w:tcBorders>
              <w:top w:val="single" w:sz="8" w:space="0" w:color="000000"/>
              <w:left w:val="single" w:sz="8" w:space="0" w:color="000000"/>
              <w:bottom w:val="single" w:sz="8" w:space="0" w:color="000000"/>
              <w:right w:val="single" w:sz="8" w:space="0" w:color="000000"/>
            </w:tcBorders>
          </w:tcPr>
          <w:p w14:paraId="7311AA67" w14:textId="77777777" w:rsidR="006920ED" w:rsidRDefault="006920ED" w:rsidP="006920ED">
            <w:pPr>
              <w:autoSpaceDE w:val="0"/>
              <w:autoSpaceDN w:val="0"/>
              <w:adjustRightInd w:val="0"/>
              <w:spacing w:before="29" w:line="288" w:lineRule="auto"/>
              <w:ind w:left="15"/>
              <w:jc w:val="center"/>
              <w:rPr>
                <w:color w:val="000000"/>
                <w:sz w:val="24"/>
              </w:rPr>
            </w:pPr>
            <w:r w:rsidRPr="00B43DFF">
              <w:rPr>
                <w:color w:val="000000"/>
                <w:sz w:val="24"/>
              </w:rPr>
              <w:t>1.56%</w:t>
            </w:r>
          </w:p>
        </w:tc>
        <w:tc>
          <w:tcPr>
            <w:tcW w:w="1057" w:type="dxa"/>
            <w:tcBorders>
              <w:top w:val="single" w:sz="8" w:space="0" w:color="000000"/>
              <w:left w:val="single" w:sz="8" w:space="0" w:color="000000"/>
              <w:bottom w:val="single" w:sz="8" w:space="0" w:color="000000"/>
              <w:right w:val="single" w:sz="8" w:space="0" w:color="000000"/>
            </w:tcBorders>
          </w:tcPr>
          <w:p w14:paraId="07C32C74" w14:textId="77777777" w:rsidR="006920ED" w:rsidRDefault="006920ED" w:rsidP="006920ED">
            <w:pPr>
              <w:autoSpaceDE w:val="0"/>
              <w:autoSpaceDN w:val="0"/>
              <w:adjustRightInd w:val="0"/>
              <w:spacing w:before="29" w:line="288" w:lineRule="auto"/>
              <w:ind w:left="15"/>
              <w:jc w:val="center"/>
              <w:rPr>
                <w:color w:val="000000"/>
                <w:sz w:val="24"/>
              </w:rPr>
            </w:pPr>
            <w:r w:rsidRPr="00B43DFF">
              <w:rPr>
                <w:color w:val="000000"/>
                <w:sz w:val="24"/>
              </w:rPr>
              <w:t>0.65%</w:t>
            </w:r>
          </w:p>
        </w:tc>
        <w:tc>
          <w:tcPr>
            <w:tcW w:w="1044" w:type="dxa"/>
            <w:tcBorders>
              <w:top w:val="single" w:sz="8" w:space="0" w:color="000000"/>
              <w:left w:val="single" w:sz="8" w:space="0" w:color="000000"/>
              <w:bottom w:val="single" w:sz="8" w:space="0" w:color="000000"/>
              <w:right w:val="single" w:sz="8" w:space="0" w:color="000000"/>
            </w:tcBorders>
          </w:tcPr>
          <w:p w14:paraId="658D1B81" w14:textId="77777777" w:rsidR="006920ED" w:rsidRDefault="006920ED" w:rsidP="006920ED">
            <w:pPr>
              <w:autoSpaceDE w:val="0"/>
              <w:autoSpaceDN w:val="0"/>
              <w:adjustRightInd w:val="0"/>
              <w:spacing w:before="29" w:line="288" w:lineRule="auto"/>
              <w:ind w:left="15"/>
              <w:jc w:val="center"/>
              <w:rPr>
                <w:color w:val="000000"/>
                <w:sz w:val="24"/>
              </w:rPr>
            </w:pPr>
            <w:r w:rsidRPr="00B43DFF">
              <w:rPr>
                <w:color w:val="000000"/>
                <w:sz w:val="24"/>
              </w:rPr>
              <w:t>-0.09%</w:t>
            </w:r>
          </w:p>
        </w:tc>
      </w:tr>
      <w:tr w:rsidR="006920ED" w14:paraId="2529EDBC" w14:textId="77777777">
        <w:tc>
          <w:tcPr>
            <w:tcW w:w="2178" w:type="dxa"/>
            <w:tcBorders>
              <w:top w:val="single" w:sz="8" w:space="0" w:color="000000"/>
              <w:left w:val="single" w:sz="8" w:space="0" w:color="000000"/>
              <w:bottom w:val="single" w:sz="8" w:space="0" w:color="000000"/>
              <w:right w:val="single" w:sz="8" w:space="0" w:color="000000"/>
            </w:tcBorders>
            <w:vAlign w:val="center"/>
          </w:tcPr>
          <w:p w14:paraId="4EC9A17F" w14:textId="77777777" w:rsidR="006920ED" w:rsidRDefault="006920ED" w:rsidP="006920ED">
            <w:pPr>
              <w:autoSpaceDE w:val="0"/>
              <w:autoSpaceDN w:val="0"/>
              <w:adjustRightInd w:val="0"/>
              <w:spacing w:before="29" w:line="288" w:lineRule="auto"/>
              <w:ind w:left="15"/>
              <w:jc w:val="left"/>
              <w:rPr>
                <w:color w:val="000000"/>
                <w:sz w:val="24"/>
              </w:rPr>
            </w:pPr>
            <w:r>
              <w:rPr>
                <w:rFonts w:hint="eastAsia"/>
                <w:color w:val="000000"/>
                <w:sz w:val="24"/>
              </w:rPr>
              <w:t>2015</w:t>
            </w:r>
            <w:r>
              <w:rPr>
                <w:rFonts w:hint="eastAsia"/>
                <w:color w:val="000000"/>
                <w:sz w:val="24"/>
              </w:rPr>
              <w:t>年度</w:t>
            </w:r>
          </w:p>
        </w:tc>
        <w:tc>
          <w:tcPr>
            <w:tcW w:w="1097" w:type="dxa"/>
            <w:tcBorders>
              <w:top w:val="single" w:sz="8" w:space="0" w:color="000000"/>
              <w:left w:val="single" w:sz="8" w:space="0" w:color="000000"/>
              <w:bottom w:val="single" w:sz="8" w:space="0" w:color="000000"/>
              <w:right w:val="single" w:sz="8" w:space="0" w:color="000000"/>
            </w:tcBorders>
            <w:vAlign w:val="center"/>
          </w:tcPr>
          <w:p w14:paraId="28455E87" w14:textId="77777777" w:rsidR="006920ED" w:rsidRDefault="006920ED" w:rsidP="006920ED">
            <w:pPr>
              <w:autoSpaceDE w:val="0"/>
              <w:autoSpaceDN w:val="0"/>
              <w:adjustRightInd w:val="0"/>
              <w:spacing w:before="29" w:line="288" w:lineRule="auto"/>
              <w:ind w:left="15"/>
              <w:jc w:val="center"/>
              <w:rPr>
                <w:color w:val="000000"/>
                <w:sz w:val="24"/>
              </w:rPr>
            </w:pPr>
            <w:r>
              <w:rPr>
                <w:color w:val="000000"/>
                <w:sz w:val="24"/>
              </w:rPr>
              <w:t>15.34%</w:t>
            </w:r>
          </w:p>
        </w:tc>
        <w:tc>
          <w:tcPr>
            <w:tcW w:w="1044" w:type="dxa"/>
            <w:tcBorders>
              <w:top w:val="single" w:sz="8" w:space="0" w:color="000000"/>
              <w:left w:val="single" w:sz="8" w:space="0" w:color="000000"/>
              <w:bottom w:val="single" w:sz="8" w:space="0" w:color="000000"/>
              <w:right w:val="single" w:sz="8" w:space="0" w:color="000000"/>
            </w:tcBorders>
            <w:vAlign w:val="center"/>
          </w:tcPr>
          <w:p w14:paraId="08482F46" w14:textId="77777777" w:rsidR="006920ED" w:rsidRDefault="006920ED" w:rsidP="006920ED">
            <w:pPr>
              <w:autoSpaceDE w:val="0"/>
              <w:autoSpaceDN w:val="0"/>
              <w:adjustRightInd w:val="0"/>
              <w:spacing w:before="29" w:line="288" w:lineRule="auto"/>
              <w:ind w:left="15"/>
              <w:jc w:val="center"/>
              <w:rPr>
                <w:color w:val="000000"/>
                <w:sz w:val="24"/>
              </w:rPr>
            </w:pPr>
            <w:r>
              <w:rPr>
                <w:color w:val="000000"/>
                <w:sz w:val="24"/>
              </w:rPr>
              <w:t>2.56%</w:t>
            </w:r>
          </w:p>
        </w:tc>
        <w:tc>
          <w:tcPr>
            <w:tcW w:w="1104" w:type="dxa"/>
            <w:tcBorders>
              <w:top w:val="single" w:sz="8" w:space="0" w:color="000000"/>
              <w:left w:val="single" w:sz="8" w:space="0" w:color="000000"/>
              <w:bottom w:val="single" w:sz="8" w:space="0" w:color="000000"/>
              <w:right w:val="single" w:sz="8" w:space="0" w:color="000000"/>
            </w:tcBorders>
            <w:vAlign w:val="center"/>
          </w:tcPr>
          <w:p w14:paraId="544A35D1" w14:textId="77777777" w:rsidR="006920ED" w:rsidRDefault="006920ED" w:rsidP="006920ED">
            <w:pPr>
              <w:autoSpaceDE w:val="0"/>
              <w:autoSpaceDN w:val="0"/>
              <w:adjustRightInd w:val="0"/>
              <w:spacing w:before="29" w:line="288" w:lineRule="auto"/>
              <w:ind w:left="15"/>
              <w:jc w:val="center"/>
              <w:rPr>
                <w:color w:val="000000"/>
                <w:sz w:val="24"/>
              </w:rPr>
            </w:pPr>
            <w:r>
              <w:rPr>
                <w:color w:val="000000"/>
                <w:sz w:val="24"/>
              </w:rPr>
              <w:t>15.63%</w:t>
            </w:r>
          </w:p>
        </w:tc>
        <w:tc>
          <w:tcPr>
            <w:tcW w:w="1044" w:type="dxa"/>
            <w:tcBorders>
              <w:top w:val="single" w:sz="8" w:space="0" w:color="000000"/>
              <w:left w:val="single" w:sz="8" w:space="0" w:color="000000"/>
              <w:bottom w:val="single" w:sz="8" w:space="0" w:color="000000"/>
              <w:right w:val="single" w:sz="8" w:space="0" w:color="000000"/>
            </w:tcBorders>
            <w:vAlign w:val="center"/>
          </w:tcPr>
          <w:p w14:paraId="3DFF8544" w14:textId="77777777" w:rsidR="006920ED" w:rsidRDefault="006920ED" w:rsidP="006920ED">
            <w:pPr>
              <w:autoSpaceDE w:val="0"/>
              <w:autoSpaceDN w:val="0"/>
              <w:adjustRightInd w:val="0"/>
              <w:spacing w:before="29" w:line="288" w:lineRule="auto"/>
              <w:ind w:left="15"/>
              <w:jc w:val="center"/>
              <w:rPr>
                <w:color w:val="000000"/>
                <w:sz w:val="24"/>
              </w:rPr>
            </w:pPr>
            <w:r>
              <w:rPr>
                <w:color w:val="000000"/>
                <w:sz w:val="24"/>
              </w:rPr>
              <w:t>2.60%</w:t>
            </w:r>
          </w:p>
        </w:tc>
        <w:tc>
          <w:tcPr>
            <w:tcW w:w="1057" w:type="dxa"/>
            <w:tcBorders>
              <w:top w:val="single" w:sz="8" w:space="0" w:color="000000"/>
              <w:left w:val="single" w:sz="8" w:space="0" w:color="000000"/>
              <w:bottom w:val="single" w:sz="8" w:space="0" w:color="000000"/>
              <w:right w:val="single" w:sz="8" w:space="0" w:color="000000"/>
            </w:tcBorders>
            <w:vAlign w:val="center"/>
          </w:tcPr>
          <w:p w14:paraId="0EA86297" w14:textId="77777777" w:rsidR="006920ED" w:rsidRDefault="006920ED" w:rsidP="006920ED">
            <w:pPr>
              <w:autoSpaceDE w:val="0"/>
              <w:autoSpaceDN w:val="0"/>
              <w:adjustRightInd w:val="0"/>
              <w:spacing w:before="29" w:line="288" w:lineRule="auto"/>
              <w:ind w:left="15"/>
              <w:jc w:val="center"/>
              <w:rPr>
                <w:color w:val="000000"/>
                <w:sz w:val="24"/>
              </w:rPr>
            </w:pPr>
            <w:r>
              <w:rPr>
                <w:color w:val="000000"/>
                <w:sz w:val="24"/>
              </w:rPr>
              <w:t>-0.29%</w:t>
            </w:r>
          </w:p>
        </w:tc>
        <w:tc>
          <w:tcPr>
            <w:tcW w:w="1044" w:type="dxa"/>
            <w:tcBorders>
              <w:top w:val="single" w:sz="8" w:space="0" w:color="000000"/>
              <w:left w:val="single" w:sz="8" w:space="0" w:color="000000"/>
              <w:bottom w:val="single" w:sz="8" w:space="0" w:color="000000"/>
              <w:right w:val="single" w:sz="8" w:space="0" w:color="000000"/>
            </w:tcBorders>
            <w:vAlign w:val="center"/>
          </w:tcPr>
          <w:p w14:paraId="6CDAE902" w14:textId="77777777" w:rsidR="006920ED" w:rsidRDefault="006920ED" w:rsidP="006920ED">
            <w:pPr>
              <w:autoSpaceDE w:val="0"/>
              <w:autoSpaceDN w:val="0"/>
              <w:adjustRightInd w:val="0"/>
              <w:spacing w:before="29" w:line="288" w:lineRule="auto"/>
              <w:ind w:left="15"/>
              <w:jc w:val="center"/>
              <w:rPr>
                <w:color w:val="000000"/>
                <w:sz w:val="24"/>
              </w:rPr>
            </w:pPr>
            <w:r>
              <w:rPr>
                <w:color w:val="000000"/>
                <w:sz w:val="24"/>
              </w:rPr>
              <w:t>-0.04%</w:t>
            </w:r>
          </w:p>
        </w:tc>
      </w:tr>
      <w:tr w:rsidR="006920ED" w14:paraId="67192561" w14:textId="77777777">
        <w:tc>
          <w:tcPr>
            <w:tcW w:w="2178" w:type="dxa"/>
            <w:tcBorders>
              <w:top w:val="single" w:sz="8" w:space="0" w:color="000000"/>
              <w:left w:val="single" w:sz="8" w:space="0" w:color="000000"/>
              <w:bottom w:val="single" w:sz="8" w:space="0" w:color="000000"/>
              <w:right w:val="single" w:sz="8" w:space="0" w:color="000000"/>
            </w:tcBorders>
            <w:vAlign w:val="center"/>
          </w:tcPr>
          <w:p w14:paraId="54921073" w14:textId="77777777" w:rsidR="006920ED" w:rsidRPr="00B43DFF" w:rsidRDefault="006920ED" w:rsidP="006920ED">
            <w:pPr>
              <w:autoSpaceDE w:val="0"/>
              <w:autoSpaceDN w:val="0"/>
              <w:adjustRightInd w:val="0"/>
              <w:spacing w:before="29" w:line="288" w:lineRule="auto"/>
              <w:ind w:left="15"/>
              <w:jc w:val="left"/>
              <w:rPr>
                <w:color w:val="000000"/>
                <w:sz w:val="24"/>
              </w:rPr>
            </w:pPr>
            <w:r>
              <w:rPr>
                <w:rFonts w:hint="eastAsia"/>
                <w:color w:val="000000"/>
                <w:sz w:val="24"/>
              </w:rPr>
              <w:t>2014</w:t>
            </w:r>
            <w:r>
              <w:rPr>
                <w:rFonts w:hint="eastAsia"/>
                <w:color w:val="000000"/>
                <w:sz w:val="24"/>
              </w:rPr>
              <w:t>年度</w:t>
            </w:r>
          </w:p>
        </w:tc>
        <w:tc>
          <w:tcPr>
            <w:tcW w:w="1097" w:type="dxa"/>
            <w:tcBorders>
              <w:top w:val="single" w:sz="8" w:space="0" w:color="000000"/>
              <w:left w:val="single" w:sz="8" w:space="0" w:color="000000"/>
              <w:bottom w:val="single" w:sz="8" w:space="0" w:color="000000"/>
              <w:right w:val="single" w:sz="8" w:space="0" w:color="000000"/>
            </w:tcBorders>
            <w:vAlign w:val="center"/>
          </w:tcPr>
          <w:p w14:paraId="028DECBD" w14:textId="77777777" w:rsidR="006920ED" w:rsidRDefault="006920ED" w:rsidP="006920ED">
            <w:pPr>
              <w:autoSpaceDE w:val="0"/>
              <w:autoSpaceDN w:val="0"/>
              <w:adjustRightInd w:val="0"/>
              <w:spacing w:before="29" w:line="288" w:lineRule="auto"/>
              <w:ind w:left="15"/>
              <w:jc w:val="center"/>
              <w:rPr>
                <w:color w:val="000000"/>
                <w:sz w:val="24"/>
              </w:rPr>
            </w:pPr>
            <w:r>
              <w:rPr>
                <w:color w:val="000000"/>
                <w:sz w:val="24"/>
              </w:rPr>
              <w:t>45.96%</w:t>
            </w:r>
          </w:p>
        </w:tc>
        <w:tc>
          <w:tcPr>
            <w:tcW w:w="1044" w:type="dxa"/>
            <w:tcBorders>
              <w:top w:val="single" w:sz="8" w:space="0" w:color="000000"/>
              <w:left w:val="single" w:sz="8" w:space="0" w:color="000000"/>
              <w:bottom w:val="single" w:sz="8" w:space="0" w:color="000000"/>
              <w:right w:val="single" w:sz="8" w:space="0" w:color="000000"/>
            </w:tcBorders>
            <w:vAlign w:val="center"/>
          </w:tcPr>
          <w:p w14:paraId="19BFC3C9" w14:textId="77777777" w:rsidR="006920ED" w:rsidRDefault="006920ED" w:rsidP="006920ED">
            <w:pPr>
              <w:autoSpaceDE w:val="0"/>
              <w:autoSpaceDN w:val="0"/>
              <w:adjustRightInd w:val="0"/>
              <w:spacing w:before="29" w:line="288" w:lineRule="auto"/>
              <w:ind w:left="15"/>
              <w:jc w:val="center"/>
              <w:rPr>
                <w:color w:val="000000"/>
                <w:sz w:val="24"/>
              </w:rPr>
            </w:pPr>
            <w:r>
              <w:rPr>
                <w:color w:val="000000"/>
                <w:sz w:val="24"/>
              </w:rPr>
              <w:t>1.25%</w:t>
            </w:r>
          </w:p>
        </w:tc>
        <w:tc>
          <w:tcPr>
            <w:tcW w:w="1104" w:type="dxa"/>
            <w:tcBorders>
              <w:top w:val="single" w:sz="8" w:space="0" w:color="000000"/>
              <w:left w:val="single" w:sz="8" w:space="0" w:color="000000"/>
              <w:bottom w:val="single" w:sz="8" w:space="0" w:color="000000"/>
              <w:right w:val="single" w:sz="8" w:space="0" w:color="000000"/>
            </w:tcBorders>
            <w:vAlign w:val="center"/>
          </w:tcPr>
          <w:p w14:paraId="6CC6C78B" w14:textId="77777777" w:rsidR="006920ED" w:rsidRDefault="006920ED" w:rsidP="006920ED">
            <w:pPr>
              <w:autoSpaceDE w:val="0"/>
              <w:autoSpaceDN w:val="0"/>
              <w:adjustRightInd w:val="0"/>
              <w:spacing w:before="29" w:line="288" w:lineRule="auto"/>
              <w:ind w:left="15"/>
              <w:jc w:val="center"/>
              <w:rPr>
                <w:color w:val="000000"/>
                <w:sz w:val="24"/>
              </w:rPr>
            </w:pPr>
            <w:r>
              <w:rPr>
                <w:color w:val="000000"/>
                <w:sz w:val="24"/>
              </w:rPr>
              <w:t>44.92%</w:t>
            </w:r>
          </w:p>
        </w:tc>
        <w:tc>
          <w:tcPr>
            <w:tcW w:w="1044" w:type="dxa"/>
            <w:tcBorders>
              <w:top w:val="single" w:sz="8" w:space="0" w:color="000000"/>
              <w:left w:val="single" w:sz="8" w:space="0" w:color="000000"/>
              <w:bottom w:val="single" w:sz="8" w:space="0" w:color="000000"/>
              <w:right w:val="single" w:sz="8" w:space="0" w:color="000000"/>
            </w:tcBorders>
            <w:vAlign w:val="center"/>
          </w:tcPr>
          <w:p w14:paraId="20E201F4" w14:textId="77777777" w:rsidR="006920ED" w:rsidRDefault="006920ED" w:rsidP="006920ED">
            <w:pPr>
              <w:autoSpaceDE w:val="0"/>
              <w:autoSpaceDN w:val="0"/>
              <w:adjustRightInd w:val="0"/>
              <w:spacing w:before="29" w:line="288" w:lineRule="auto"/>
              <w:ind w:left="15"/>
              <w:jc w:val="center"/>
              <w:rPr>
                <w:color w:val="000000"/>
                <w:sz w:val="24"/>
              </w:rPr>
            </w:pPr>
            <w:r>
              <w:rPr>
                <w:color w:val="000000"/>
                <w:sz w:val="24"/>
              </w:rPr>
              <w:t>1.26%</w:t>
            </w:r>
          </w:p>
        </w:tc>
        <w:tc>
          <w:tcPr>
            <w:tcW w:w="1057" w:type="dxa"/>
            <w:tcBorders>
              <w:top w:val="single" w:sz="8" w:space="0" w:color="000000"/>
              <w:left w:val="single" w:sz="8" w:space="0" w:color="000000"/>
              <w:bottom w:val="single" w:sz="8" w:space="0" w:color="000000"/>
              <w:right w:val="single" w:sz="8" w:space="0" w:color="000000"/>
            </w:tcBorders>
            <w:vAlign w:val="center"/>
          </w:tcPr>
          <w:p w14:paraId="1971BB32" w14:textId="77777777" w:rsidR="006920ED" w:rsidRDefault="006920ED" w:rsidP="006920ED">
            <w:pPr>
              <w:autoSpaceDE w:val="0"/>
              <w:autoSpaceDN w:val="0"/>
              <w:adjustRightInd w:val="0"/>
              <w:spacing w:before="29" w:line="288" w:lineRule="auto"/>
              <w:ind w:left="15"/>
              <w:jc w:val="center"/>
              <w:rPr>
                <w:color w:val="000000"/>
                <w:sz w:val="24"/>
              </w:rPr>
            </w:pPr>
            <w:r>
              <w:rPr>
                <w:color w:val="000000"/>
                <w:sz w:val="24"/>
              </w:rPr>
              <w:t>1.04%</w:t>
            </w:r>
          </w:p>
        </w:tc>
        <w:tc>
          <w:tcPr>
            <w:tcW w:w="1044" w:type="dxa"/>
            <w:tcBorders>
              <w:top w:val="single" w:sz="8" w:space="0" w:color="000000"/>
              <w:left w:val="single" w:sz="8" w:space="0" w:color="000000"/>
              <w:bottom w:val="single" w:sz="8" w:space="0" w:color="000000"/>
              <w:right w:val="single" w:sz="8" w:space="0" w:color="000000"/>
            </w:tcBorders>
            <w:vAlign w:val="center"/>
          </w:tcPr>
          <w:p w14:paraId="3B272091" w14:textId="77777777" w:rsidR="006920ED" w:rsidRDefault="006920ED" w:rsidP="006920ED">
            <w:pPr>
              <w:autoSpaceDE w:val="0"/>
              <w:autoSpaceDN w:val="0"/>
              <w:adjustRightInd w:val="0"/>
              <w:spacing w:before="29" w:line="288" w:lineRule="auto"/>
              <w:ind w:left="15"/>
              <w:jc w:val="center"/>
              <w:rPr>
                <w:color w:val="000000"/>
                <w:sz w:val="24"/>
              </w:rPr>
            </w:pPr>
            <w:r>
              <w:rPr>
                <w:color w:val="000000"/>
                <w:sz w:val="24"/>
              </w:rPr>
              <w:t>-0.01%</w:t>
            </w:r>
          </w:p>
        </w:tc>
      </w:tr>
      <w:tr w:rsidR="006920ED" w14:paraId="0DCAD848" w14:textId="77777777">
        <w:tc>
          <w:tcPr>
            <w:tcW w:w="2178" w:type="dxa"/>
            <w:tcBorders>
              <w:top w:val="single" w:sz="8" w:space="0" w:color="000000"/>
              <w:left w:val="single" w:sz="8" w:space="0" w:color="000000"/>
              <w:bottom w:val="single" w:sz="8" w:space="0" w:color="000000"/>
              <w:right w:val="single" w:sz="8" w:space="0" w:color="000000"/>
            </w:tcBorders>
            <w:vAlign w:val="center"/>
          </w:tcPr>
          <w:p w14:paraId="4ABBD7C0" w14:textId="77777777" w:rsidR="006920ED" w:rsidRPr="00B43DFF" w:rsidRDefault="006920ED" w:rsidP="006920ED">
            <w:pPr>
              <w:autoSpaceDE w:val="0"/>
              <w:autoSpaceDN w:val="0"/>
              <w:adjustRightInd w:val="0"/>
              <w:spacing w:before="29" w:line="288" w:lineRule="auto"/>
              <w:ind w:left="15"/>
              <w:jc w:val="left"/>
              <w:rPr>
                <w:color w:val="000000"/>
                <w:sz w:val="24"/>
              </w:rPr>
            </w:pPr>
            <w:r>
              <w:rPr>
                <w:color w:val="000000"/>
                <w:sz w:val="24"/>
              </w:rPr>
              <w:t>2013</w:t>
            </w:r>
            <w:r w:rsidRPr="00B43DFF">
              <w:rPr>
                <w:rFonts w:hint="eastAsia"/>
                <w:color w:val="000000"/>
                <w:sz w:val="24"/>
              </w:rPr>
              <w:t>年度</w:t>
            </w:r>
          </w:p>
        </w:tc>
        <w:tc>
          <w:tcPr>
            <w:tcW w:w="1097" w:type="dxa"/>
            <w:tcBorders>
              <w:top w:val="single" w:sz="8" w:space="0" w:color="000000"/>
              <w:left w:val="single" w:sz="8" w:space="0" w:color="000000"/>
              <w:bottom w:val="single" w:sz="8" w:space="0" w:color="000000"/>
              <w:right w:val="single" w:sz="8" w:space="0" w:color="000000"/>
            </w:tcBorders>
            <w:vAlign w:val="center"/>
          </w:tcPr>
          <w:p w14:paraId="2350AE9A" w14:textId="77777777" w:rsidR="006920ED" w:rsidRDefault="006920ED" w:rsidP="006920ED">
            <w:pPr>
              <w:autoSpaceDE w:val="0"/>
              <w:autoSpaceDN w:val="0"/>
              <w:adjustRightInd w:val="0"/>
              <w:spacing w:before="29" w:line="288" w:lineRule="auto"/>
              <w:ind w:left="15"/>
              <w:jc w:val="center"/>
              <w:rPr>
                <w:color w:val="000000"/>
                <w:sz w:val="24"/>
              </w:rPr>
            </w:pPr>
            <w:r>
              <w:rPr>
                <w:color w:val="000000"/>
                <w:sz w:val="24"/>
              </w:rPr>
              <w:t>-2.82%</w:t>
            </w:r>
          </w:p>
        </w:tc>
        <w:tc>
          <w:tcPr>
            <w:tcW w:w="1044" w:type="dxa"/>
            <w:tcBorders>
              <w:top w:val="single" w:sz="8" w:space="0" w:color="000000"/>
              <w:left w:val="single" w:sz="8" w:space="0" w:color="000000"/>
              <w:bottom w:val="single" w:sz="8" w:space="0" w:color="000000"/>
              <w:right w:val="single" w:sz="8" w:space="0" w:color="000000"/>
            </w:tcBorders>
            <w:vAlign w:val="center"/>
          </w:tcPr>
          <w:p w14:paraId="69471938" w14:textId="77777777" w:rsidR="006920ED" w:rsidRDefault="006920ED" w:rsidP="006920ED">
            <w:pPr>
              <w:autoSpaceDE w:val="0"/>
              <w:autoSpaceDN w:val="0"/>
              <w:adjustRightInd w:val="0"/>
              <w:spacing w:before="29" w:line="288" w:lineRule="auto"/>
              <w:ind w:left="15"/>
              <w:jc w:val="center"/>
              <w:rPr>
                <w:color w:val="000000"/>
                <w:sz w:val="24"/>
              </w:rPr>
            </w:pPr>
            <w:r>
              <w:rPr>
                <w:color w:val="000000"/>
                <w:sz w:val="24"/>
              </w:rPr>
              <w:t>1.50%</w:t>
            </w:r>
          </w:p>
        </w:tc>
        <w:tc>
          <w:tcPr>
            <w:tcW w:w="1104" w:type="dxa"/>
            <w:tcBorders>
              <w:top w:val="single" w:sz="8" w:space="0" w:color="000000"/>
              <w:left w:val="single" w:sz="8" w:space="0" w:color="000000"/>
              <w:bottom w:val="single" w:sz="8" w:space="0" w:color="000000"/>
              <w:right w:val="single" w:sz="8" w:space="0" w:color="000000"/>
            </w:tcBorders>
            <w:vAlign w:val="center"/>
          </w:tcPr>
          <w:p w14:paraId="679F59ED" w14:textId="77777777" w:rsidR="006920ED" w:rsidRDefault="006920ED" w:rsidP="006920ED">
            <w:pPr>
              <w:autoSpaceDE w:val="0"/>
              <w:autoSpaceDN w:val="0"/>
              <w:adjustRightInd w:val="0"/>
              <w:spacing w:before="29" w:line="288" w:lineRule="auto"/>
              <w:ind w:left="15"/>
              <w:jc w:val="center"/>
              <w:rPr>
                <w:color w:val="000000"/>
                <w:sz w:val="24"/>
              </w:rPr>
            </w:pPr>
            <w:r>
              <w:rPr>
                <w:color w:val="000000"/>
                <w:sz w:val="24"/>
              </w:rPr>
              <w:t>-3.33%</w:t>
            </w:r>
          </w:p>
        </w:tc>
        <w:tc>
          <w:tcPr>
            <w:tcW w:w="1044" w:type="dxa"/>
            <w:tcBorders>
              <w:top w:val="single" w:sz="8" w:space="0" w:color="000000"/>
              <w:left w:val="single" w:sz="8" w:space="0" w:color="000000"/>
              <w:bottom w:val="single" w:sz="8" w:space="0" w:color="000000"/>
              <w:right w:val="single" w:sz="8" w:space="0" w:color="000000"/>
            </w:tcBorders>
            <w:vAlign w:val="center"/>
          </w:tcPr>
          <w:p w14:paraId="6749B81B" w14:textId="77777777" w:rsidR="006920ED" w:rsidRDefault="006920ED" w:rsidP="006920ED">
            <w:pPr>
              <w:autoSpaceDE w:val="0"/>
              <w:autoSpaceDN w:val="0"/>
              <w:adjustRightInd w:val="0"/>
              <w:spacing w:before="29" w:line="288" w:lineRule="auto"/>
              <w:ind w:left="15"/>
              <w:jc w:val="center"/>
              <w:rPr>
                <w:color w:val="000000"/>
                <w:sz w:val="24"/>
              </w:rPr>
            </w:pPr>
            <w:r>
              <w:rPr>
                <w:color w:val="000000"/>
                <w:sz w:val="24"/>
              </w:rPr>
              <w:t>1.50%</w:t>
            </w:r>
          </w:p>
        </w:tc>
        <w:tc>
          <w:tcPr>
            <w:tcW w:w="1057" w:type="dxa"/>
            <w:tcBorders>
              <w:top w:val="single" w:sz="8" w:space="0" w:color="000000"/>
              <w:left w:val="single" w:sz="8" w:space="0" w:color="000000"/>
              <w:bottom w:val="single" w:sz="8" w:space="0" w:color="000000"/>
              <w:right w:val="single" w:sz="8" w:space="0" w:color="000000"/>
            </w:tcBorders>
            <w:vAlign w:val="center"/>
          </w:tcPr>
          <w:p w14:paraId="1228C9F0" w14:textId="77777777" w:rsidR="006920ED" w:rsidRDefault="006920ED" w:rsidP="006920ED">
            <w:pPr>
              <w:autoSpaceDE w:val="0"/>
              <w:autoSpaceDN w:val="0"/>
              <w:adjustRightInd w:val="0"/>
              <w:spacing w:before="29" w:line="288" w:lineRule="auto"/>
              <w:ind w:left="15"/>
              <w:jc w:val="center"/>
              <w:rPr>
                <w:color w:val="000000"/>
                <w:sz w:val="24"/>
              </w:rPr>
            </w:pPr>
            <w:r>
              <w:rPr>
                <w:color w:val="000000"/>
                <w:sz w:val="24"/>
              </w:rPr>
              <w:t>0.51%</w:t>
            </w:r>
          </w:p>
        </w:tc>
        <w:tc>
          <w:tcPr>
            <w:tcW w:w="1044" w:type="dxa"/>
            <w:tcBorders>
              <w:top w:val="single" w:sz="8" w:space="0" w:color="000000"/>
              <w:left w:val="single" w:sz="8" w:space="0" w:color="000000"/>
              <w:bottom w:val="single" w:sz="8" w:space="0" w:color="000000"/>
              <w:right w:val="single" w:sz="8" w:space="0" w:color="000000"/>
            </w:tcBorders>
            <w:vAlign w:val="center"/>
          </w:tcPr>
          <w:p w14:paraId="41D7C5C4" w14:textId="77777777" w:rsidR="006920ED" w:rsidRDefault="006920ED" w:rsidP="006920ED">
            <w:pPr>
              <w:autoSpaceDE w:val="0"/>
              <w:autoSpaceDN w:val="0"/>
              <w:adjustRightInd w:val="0"/>
              <w:spacing w:before="29" w:line="288" w:lineRule="auto"/>
              <w:ind w:left="15"/>
              <w:jc w:val="center"/>
              <w:rPr>
                <w:color w:val="000000"/>
                <w:sz w:val="24"/>
              </w:rPr>
            </w:pPr>
            <w:r>
              <w:rPr>
                <w:color w:val="000000"/>
                <w:sz w:val="24"/>
              </w:rPr>
              <w:t>0.00%</w:t>
            </w:r>
          </w:p>
        </w:tc>
      </w:tr>
      <w:tr w:rsidR="006920ED" w14:paraId="5CD2AAEE" w14:textId="77777777">
        <w:tc>
          <w:tcPr>
            <w:tcW w:w="2178" w:type="dxa"/>
            <w:tcBorders>
              <w:top w:val="single" w:sz="8" w:space="0" w:color="000000"/>
              <w:left w:val="single" w:sz="8" w:space="0" w:color="000000"/>
              <w:bottom w:val="single" w:sz="8" w:space="0" w:color="000000"/>
              <w:right w:val="single" w:sz="8" w:space="0" w:color="000000"/>
            </w:tcBorders>
            <w:vAlign w:val="center"/>
          </w:tcPr>
          <w:p w14:paraId="39D80119" w14:textId="77777777" w:rsidR="006920ED" w:rsidRDefault="006920ED" w:rsidP="006920ED">
            <w:pPr>
              <w:autoSpaceDE w:val="0"/>
              <w:autoSpaceDN w:val="0"/>
              <w:adjustRightInd w:val="0"/>
              <w:spacing w:before="29" w:line="288" w:lineRule="auto"/>
              <w:ind w:left="15"/>
              <w:jc w:val="left"/>
              <w:rPr>
                <w:color w:val="000000"/>
                <w:sz w:val="24"/>
              </w:rPr>
            </w:pPr>
            <w:r w:rsidRPr="00B43DFF">
              <w:rPr>
                <w:color w:val="000000"/>
                <w:sz w:val="24"/>
              </w:rPr>
              <w:t>2012</w:t>
            </w:r>
            <w:r w:rsidRPr="00B43DFF">
              <w:rPr>
                <w:rFonts w:hint="eastAsia"/>
                <w:color w:val="000000"/>
                <w:sz w:val="24"/>
              </w:rPr>
              <w:t>年度</w:t>
            </w:r>
          </w:p>
        </w:tc>
        <w:tc>
          <w:tcPr>
            <w:tcW w:w="1097" w:type="dxa"/>
            <w:tcBorders>
              <w:top w:val="single" w:sz="8" w:space="0" w:color="000000"/>
              <w:left w:val="single" w:sz="8" w:space="0" w:color="000000"/>
              <w:bottom w:val="single" w:sz="8" w:space="0" w:color="000000"/>
              <w:right w:val="single" w:sz="8" w:space="0" w:color="000000"/>
            </w:tcBorders>
            <w:vAlign w:val="center"/>
          </w:tcPr>
          <w:p w14:paraId="2EAEE5BD" w14:textId="77777777" w:rsidR="006920ED" w:rsidRDefault="006920ED" w:rsidP="006920ED">
            <w:pPr>
              <w:autoSpaceDE w:val="0"/>
              <w:autoSpaceDN w:val="0"/>
              <w:adjustRightInd w:val="0"/>
              <w:spacing w:before="29" w:line="288" w:lineRule="auto"/>
              <w:ind w:left="15"/>
              <w:jc w:val="center"/>
              <w:rPr>
                <w:color w:val="000000"/>
                <w:sz w:val="24"/>
              </w:rPr>
            </w:pPr>
            <w:r>
              <w:rPr>
                <w:color w:val="000000"/>
                <w:sz w:val="24"/>
              </w:rPr>
              <w:t>5.05%</w:t>
            </w:r>
          </w:p>
        </w:tc>
        <w:tc>
          <w:tcPr>
            <w:tcW w:w="1044" w:type="dxa"/>
            <w:tcBorders>
              <w:top w:val="single" w:sz="8" w:space="0" w:color="000000"/>
              <w:left w:val="single" w:sz="8" w:space="0" w:color="000000"/>
              <w:bottom w:val="single" w:sz="8" w:space="0" w:color="000000"/>
              <w:right w:val="single" w:sz="8" w:space="0" w:color="000000"/>
            </w:tcBorders>
            <w:vAlign w:val="center"/>
          </w:tcPr>
          <w:p w14:paraId="06B04C58" w14:textId="77777777" w:rsidR="006920ED" w:rsidRDefault="006920ED" w:rsidP="006920ED">
            <w:pPr>
              <w:autoSpaceDE w:val="0"/>
              <w:autoSpaceDN w:val="0"/>
              <w:adjustRightInd w:val="0"/>
              <w:spacing w:before="29" w:line="288" w:lineRule="auto"/>
              <w:ind w:left="15"/>
              <w:jc w:val="center"/>
              <w:rPr>
                <w:color w:val="000000"/>
                <w:sz w:val="24"/>
              </w:rPr>
            </w:pPr>
            <w:r>
              <w:rPr>
                <w:color w:val="000000"/>
                <w:sz w:val="24"/>
              </w:rPr>
              <w:t>1.40%</w:t>
            </w:r>
          </w:p>
        </w:tc>
        <w:tc>
          <w:tcPr>
            <w:tcW w:w="1104" w:type="dxa"/>
            <w:tcBorders>
              <w:top w:val="single" w:sz="8" w:space="0" w:color="000000"/>
              <w:left w:val="single" w:sz="8" w:space="0" w:color="000000"/>
              <w:bottom w:val="single" w:sz="8" w:space="0" w:color="000000"/>
              <w:right w:val="single" w:sz="8" w:space="0" w:color="000000"/>
            </w:tcBorders>
            <w:vAlign w:val="center"/>
          </w:tcPr>
          <w:p w14:paraId="346D86CA" w14:textId="77777777" w:rsidR="006920ED" w:rsidRDefault="006920ED" w:rsidP="006920ED">
            <w:pPr>
              <w:autoSpaceDE w:val="0"/>
              <w:autoSpaceDN w:val="0"/>
              <w:adjustRightInd w:val="0"/>
              <w:spacing w:before="29" w:line="288" w:lineRule="auto"/>
              <w:ind w:left="15"/>
              <w:jc w:val="center"/>
              <w:rPr>
                <w:color w:val="000000"/>
                <w:sz w:val="24"/>
              </w:rPr>
            </w:pPr>
            <w:r>
              <w:rPr>
                <w:color w:val="000000"/>
                <w:sz w:val="24"/>
              </w:rPr>
              <w:t>4.91%</w:t>
            </w:r>
          </w:p>
        </w:tc>
        <w:tc>
          <w:tcPr>
            <w:tcW w:w="1044" w:type="dxa"/>
            <w:tcBorders>
              <w:top w:val="single" w:sz="8" w:space="0" w:color="000000"/>
              <w:left w:val="single" w:sz="8" w:space="0" w:color="000000"/>
              <w:bottom w:val="single" w:sz="8" w:space="0" w:color="000000"/>
              <w:right w:val="single" w:sz="8" w:space="0" w:color="000000"/>
            </w:tcBorders>
            <w:vAlign w:val="center"/>
          </w:tcPr>
          <w:p w14:paraId="68D8BD69" w14:textId="77777777" w:rsidR="006920ED" w:rsidRDefault="006920ED" w:rsidP="006920ED">
            <w:pPr>
              <w:autoSpaceDE w:val="0"/>
              <w:autoSpaceDN w:val="0"/>
              <w:adjustRightInd w:val="0"/>
              <w:spacing w:before="29" w:line="288" w:lineRule="auto"/>
              <w:ind w:left="15"/>
              <w:jc w:val="center"/>
              <w:rPr>
                <w:color w:val="000000"/>
                <w:sz w:val="24"/>
              </w:rPr>
            </w:pPr>
            <w:r>
              <w:rPr>
                <w:color w:val="000000"/>
                <w:sz w:val="24"/>
              </w:rPr>
              <w:t>1.40%</w:t>
            </w:r>
          </w:p>
        </w:tc>
        <w:tc>
          <w:tcPr>
            <w:tcW w:w="1057" w:type="dxa"/>
            <w:tcBorders>
              <w:top w:val="single" w:sz="8" w:space="0" w:color="000000"/>
              <w:left w:val="single" w:sz="8" w:space="0" w:color="000000"/>
              <w:bottom w:val="single" w:sz="8" w:space="0" w:color="000000"/>
              <w:right w:val="single" w:sz="8" w:space="0" w:color="000000"/>
            </w:tcBorders>
            <w:vAlign w:val="center"/>
          </w:tcPr>
          <w:p w14:paraId="5DE750AA" w14:textId="77777777" w:rsidR="006920ED" w:rsidRDefault="006920ED" w:rsidP="006920ED">
            <w:pPr>
              <w:autoSpaceDE w:val="0"/>
              <w:autoSpaceDN w:val="0"/>
              <w:adjustRightInd w:val="0"/>
              <w:spacing w:before="29" w:line="288" w:lineRule="auto"/>
              <w:ind w:left="15"/>
              <w:jc w:val="center"/>
              <w:rPr>
                <w:color w:val="000000"/>
                <w:sz w:val="24"/>
              </w:rPr>
            </w:pPr>
            <w:r>
              <w:rPr>
                <w:color w:val="000000"/>
                <w:sz w:val="24"/>
              </w:rPr>
              <w:t>0.14%</w:t>
            </w:r>
          </w:p>
        </w:tc>
        <w:tc>
          <w:tcPr>
            <w:tcW w:w="1044" w:type="dxa"/>
            <w:tcBorders>
              <w:top w:val="single" w:sz="8" w:space="0" w:color="000000"/>
              <w:left w:val="single" w:sz="8" w:space="0" w:color="000000"/>
              <w:bottom w:val="single" w:sz="8" w:space="0" w:color="000000"/>
              <w:right w:val="single" w:sz="8" w:space="0" w:color="000000"/>
            </w:tcBorders>
            <w:vAlign w:val="center"/>
          </w:tcPr>
          <w:p w14:paraId="0E0E7CB4" w14:textId="77777777" w:rsidR="006920ED" w:rsidRDefault="006920ED" w:rsidP="006920ED">
            <w:pPr>
              <w:autoSpaceDE w:val="0"/>
              <w:autoSpaceDN w:val="0"/>
              <w:adjustRightInd w:val="0"/>
              <w:spacing w:before="29" w:line="288" w:lineRule="auto"/>
              <w:ind w:left="15"/>
              <w:jc w:val="center"/>
              <w:rPr>
                <w:color w:val="000000"/>
                <w:sz w:val="24"/>
              </w:rPr>
            </w:pPr>
            <w:r>
              <w:rPr>
                <w:color w:val="000000"/>
                <w:sz w:val="24"/>
              </w:rPr>
              <w:t>0.00%</w:t>
            </w:r>
          </w:p>
        </w:tc>
      </w:tr>
      <w:tr w:rsidR="006920ED" w14:paraId="1B7FF042" w14:textId="77777777">
        <w:tc>
          <w:tcPr>
            <w:tcW w:w="2178" w:type="dxa"/>
            <w:tcBorders>
              <w:top w:val="single" w:sz="8" w:space="0" w:color="000000"/>
              <w:left w:val="single" w:sz="8" w:space="0" w:color="000000"/>
              <w:bottom w:val="single" w:sz="8" w:space="0" w:color="000000"/>
              <w:right w:val="single" w:sz="8" w:space="0" w:color="000000"/>
            </w:tcBorders>
            <w:vAlign w:val="center"/>
          </w:tcPr>
          <w:p w14:paraId="18F44661" w14:textId="77777777" w:rsidR="006920ED" w:rsidRDefault="006920ED" w:rsidP="006920ED">
            <w:pPr>
              <w:autoSpaceDE w:val="0"/>
              <w:autoSpaceDN w:val="0"/>
              <w:adjustRightInd w:val="0"/>
              <w:spacing w:before="29" w:line="288" w:lineRule="auto"/>
              <w:ind w:left="15"/>
              <w:jc w:val="left"/>
              <w:rPr>
                <w:color w:val="000000"/>
                <w:sz w:val="24"/>
              </w:rPr>
            </w:pPr>
            <w:r w:rsidRPr="00B43DFF">
              <w:rPr>
                <w:color w:val="000000"/>
                <w:sz w:val="24"/>
              </w:rPr>
              <w:t>2011</w:t>
            </w:r>
            <w:r w:rsidRPr="00B43DFF">
              <w:rPr>
                <w:rFonts w:hint="eastAsia"/>
                <w:color w:val="000000"/>
                <w:sz w:val="24"/>
              </w:rPr>
              <w:t>年度（自基金合同生效日起至</w:t>
            </w:r>
            <w:r w:rsidRPr="00B43DFF">
              <w:rPr>
                <w:color w:val="000000"/>
                <w:sz w:val="24"/>
              </w:rPr>
              <w:t>2011</w:t>
            </w:r>
            <w:r w:rsidRPr="00B43DFF">
              <w:rPr>
                <w:rFonts w:hint="eastAsia"/>
                <w:color w:val="000000"/>
                <w:sz w:val="24"/>
              </w:rPr>
              <w:t>年</w:t>
            </w:r>
            <w:r w:rsidRPr="00B43DFF">
              <w:rPr>
                <w:color w:val="000000"/>
                <w:sz w:val="24"/>
              </w:rPr>
              <w:t>12</w:t>
            </w:r>
            <w:r w:rsidRPr="00B43DFF">
              <w:rPr>
                <w:rFonts w:hint="eastAsia"/>
                <w:color w:val="000000"/>
                <w:sz w:val="24"/>
              </w:rPr>
              <w:t>月</w:t>
            </w:r>
            <w:r w:rsidRPr="00B43DFF">
              <w:rPr>
                <w:color w:val="000000"/>
                <w:sz w:val="24"/>
              </w:rPr>
              <w:t>31</w:t>
            </w:r>
            <w:r w:rsidRPr="00B43DFF">
              <w:rPr>
                <w:rFonts w:hint="eastAsia"/>
                <w:color w:val="000000"/>
                <w:sz w:val="24"/>
              </w:rPr>
              <w:t>日）</w:t>
            </w:r>
          </w:p>
        </w:tc>
        <w:tc>
          <w:tcPr>
            <w:tcW w:w="1097" w:type="dxa"/>
            <w:tcBorders>
              <w:top w:val="single" w:sz="8" w:space="0" w:color="000000"/>
              <w:left w:val="single" w:sz="8" w:space="0" w:color="000000"/>
              <w:bottom w:val="single" w:sz="8" w:space="0" w:color="000000"/>
              <w:right w:val="single" w:sz="8" w:space="0" w:color="000000"/>
            </w:tcBorders>
            <w:vAlign w:val="center"/>
          </w:tcPr>
          <w:p w14:paraId="6E3CA983" w14:textId="77777777" w:rsidR="006920ED" w:rsidRDefault="006920ED" w:rsidP="006920ED">
            <w:pPr>
              <w:autoSpaceDE w:val="0"/>
              <w:autoSpaceDN w:val="0"/>
              <w:adjustRightInd w:val="0"/>
              <w:spacing w:before="29" w:line="288" w:lineRule="auto"/>
              <w:ind w:left="15"/>
              <w:jc w:val="center"/>
              <w:rPr>
                <w:color w:val="000000"/>
                <w:sz w:val="24"/>
              </w:rPr>
            </w:pPr>
            <w:r>
              <w:rPr>
                <w:color w:val="000000"/>
                <w:sz w:val="24"/>
              </w:rPr>
              <w:t>-9.00%</w:t>
            </w:r>
          </w:p>
        </w:tc>
        <w:tc>
          <w:tcPr>
            <w:tcW w:w="1044" w:type="dxa"/>
            <w:tcBorders>
              <w:top w:val="single" w:sz="8" w:space="0" w:color="000000"/>
              <w:left w:val="single" w:sz="8" w:space="0" w:color="000000"/>
              <w:bottom w:val="single" w:sz="8" w:space="0" w:color="000000"/>
              <w:right w:val="single" w:sz="8" w:space="0" w:color="000000"/>
            </w:tcBorders>
            <w:vAlign w:val="center"/>
          </w:tcPr>
          <w:p w14:paraId="28400239" w14:textId="77777777" w:rsidR="006920ED" w:rsidRDefault="006920ED" w:rsidP="006920ED">
            <w:pPr>
              <w:autoSpaceDE w:val="0"/>
              <w:autoSpaceDN w:val="0"/>
              <w:adjustRightInd w:val="0"/>
              <w:spacing w:before="29" w:line="288" w:lineRule="auto"/>
              <w:ind w:left="15"/>
              <w:jc w:val="center"/>
              <w:rPr>
                <w:color w:val="000000"/>
                <w:sz w:val="24"/>
              </w:rPr>
            </w:pPr>
            <w:r>
              <w:rPr>
                <w:color w:val="000000"/>
                <w:sz w:val="24"/>
              </w:rPr>
              <w:t>1.13%</w:t>
            </w:r>
          </w:p>
        </w:tc>
        <w:tc>
          <w:tcPr>
            <w:tcW w:w="1104" w:type="dxa"/>
            <w:tcBorders>
              <w:top w:val="single" w:sz="8" w:space="0" w:color="000000"/>
              <w:left w:val="single" w:sz="8" w:space="0" w:color="000000"/>
              <w:bottom w:val="single" w:sz="8" w:space="0" w:color="000000"/>
              <w:right w:val="single" w:sz="8" w:space="0" w:color="000000"/>
            </w:tcBorders>
            <w:vAlign w:val="center"/>
          </w:tcPr>
          <w:p w14:paraId="3AA21375" w14:textId="77777777" w:rsidR="006920ED" w:rsidRDefault="006920ED" w:rsidP="006920ED">
            <w:pPr>
              <w:autoSpaceDE w:val="0"/>
              <w:autoSpaceDN w:val="0"/>
              <w:adjustRightInd w:val="0"/>
              <w:spacing w:before="29" w:line="288" w:lineRule="auto"/>
              <w:ind w:left="15"/>
              <w:jc w:val="center"/>
              <w:rPr>
                <w:color w:val="000000"/>
                <w:sz w:val="24"/>
              </w:rPr>
            </w:pPr>
            <w:r>
              <w:rPr>
                <w:color w:val="000000"/>
                <w:sz w:val="24"/>
              </w:rPr>
              <w:t>-19.19%</w:t>
            </w:r>
          </w:p>
        </w:tc>
        <w:tc>
          <w:tcPr>
            <w:tcW w:w="1044" w:type="dxa"/>
            <w:tcBorders>
              <w:top w:val="single" w:sz="8" w:space="0" w:color="000000"/>
              <w:left w:val="single" w:sz="8" w:space="0" w:color="000000"/>
              <w:bottom w:val="single" w:sz="8" w:space="0" w:color="000000"/>
              <w:right w:val="single" w:sz="8" w:space="0" w:color="000000"/>
            </w:tcBorders>
            <w:vAlign w:val="center"/>
          </w:tcPr>
          <w:p w14:paraId="76D145AB" w14:textId="77777777" w:rsidR="006920ED" w:rsidRDefault="006920ED" w:rsidP="006920ED">
            <w:pPr>
              <w:autoSpaceDE w:val="0"/>
              <w:autoSpaceDN w:val="0"/>
              <w:adjustRightInd w:val="0"/>
              <w:spacing w:before="29" w:line="288" w:lineRule="auto"/>
              <w:ind w:left="15"/>
              <w:jc w:val="center"/>
              <w:rPr>
                <w:color w:val="000000"/>
                <w:sz w:val="24"/>
              </w:rPr>
            </w:pPr>
            <w:r>
              <w:rPr>
                <w:color w:val="000000"/>
                <w:sz w:val="24"/>
              </w:rPr>
              <w:t>1.49%</w:t>
            </w:r>
          </w:p>
        </w:tc>
        <w:tc>
          <w:tcPr>
            <w:tcW w:w="1057" w:type="dxa"/>
            <w:tcBorders>
              <w:top w:val="single" w:sz="8" w:space="0" w:color="000000"/>
              <w:left w:val="single" w:sz="8" w:space="0" w:color="000000"/>
              <w:bottom w:val="single" w:sz="8" w:space="0" w:color="000000"/>
              <w:right w:val="single" w:sz="8" w:space="0" w:color="000000"/>
            </w:tcBorders>
            <w:vAlign w:val="center"/>
          </w:tcPr>
          <w:p w14:paraId="556AACFA" w14:textId="77777777" w:rsidR="006920ED" w:rsidRDefault="006920ED" w:rsidP="006920ED">
            <w:pPr>
              <w:autoSpaceDE w:val="0"/>
              <w:autoSpaceDN w:val="0"/>
              <w:adjustRightInd w:val="0"/>
              <w:spacing w:before="29" w:line="288" w:lineRule="auto"/>
              <w:ind w:left="15"/>
              <w:jc w:val="center"/>
              <w:rPr>
                <w:color w:val="000000"/>
                <w:sz w:val="24"/>
              </w:rPr>
            </w:pPr>
            <w:r>
              <w:rPr>
                <w:color w:val="000000"/>
                <w:sz w:val="24"/>
              </w:rPr>
              <w:t>10.19%</w:t>
            </w:r>
          </w:p>
        </w:tc>
        <w:tc>
          <w:tcPr>
            <w:tcW w:w="1044" w:type="dxa"/>
            <w:tcBorders>
              <w:top w:val="single" w:sz="8" w:space="0" w:color="000000"/>
              <w:left w:val="single" w:sz="8" w:space="0" w:color="000000"/>
              <w:bottom w:val="single" w:sz="8" w:space="0" w:color="000000"/>
              <w:right w:val="single" w:sz="8" w:space="0" w:color="000000"/>
            </w:tcBorders>
            <w:vAlign w:val="center"/>
          </w:tcPr>
          <w:p w14:paraId="787AD666" w14:textId="77777777" w:rsidR="006920ED" w:rsidRDefault="006920ED" w:rsidP="006920ED">
            <w:pPr>
              <w:autoSpaceDE w:val="0"/>
              <w:autoSpaceDN w:val="0"/>
              <w:adjustRightInd w:val="0"/>
              <w:spacing w:before="29" w:line="288" w:lineRule="auto"/>
              <w:ind w:left="15"/>
              <w:jc w:val="center"/>
              <w:rPr>
                <w:color w:val="000000"/>
                <w:sz w:val="24"/>
              </w:rPr>
            </w:pPr>
            <w:r>
              <w:rPr>
                <w:color w:val="000000"/>
                <w:sz w:val="24"/>
              </w:rPr>
              <w:t>-0.36%</w:t>
            </w:r>
          </w:p>
        </w:tc>
      </w:tr>
    </w:tbl>
    <w:p w14:paraId="1630C85B" w14:textId="77777777" w:rsidR="00CF57A4" w:rsidRDefault="00B13D46">
      <w:pPr>
        <w:spacing w:line="360" w:lineRule="auto"/>
        <w:ind w:firstLineChars="200" w:firstLine="480"/>
        <w:rPr>
          <w:rFonts w:ascii="宋体" w:hAnsi="宋体"/>
          <w:sz w:val="24"/>
          <w:szCs w:val="21"/>
        </w:rPr>
      </w:pPr>
      <w:r>
        <w:rPr>
          <w:rFonts w:ascii="宋体" w:hAnsi="宋体" w:hint="eastAsia"/>
          <w:sz w:val="24"/>
          <w:szCs w:val="21"/>
        </w:rPr>
        <w:t>2、自基金合同生效以来基金份额累计净值增长率变动及其与同期业绩比较基准收益率变动的比较</w:t>
      </w:r>
    </w:p>
    <w:p w14:paraId="6882FD42" w14:textId="77777777" w:rsidR="00CF57A4" w:rsidRDefault="00B13D46">
      <w:pPr>
        <w:spacing w:line="288" w:lineRule="auto"/>
        <w:jc w:val="center"/>
        <w:rPr>
          <w:color w:val="000000"/>
          <w:sz w:val="24"/>
        </w:rPr>
      </w:pPr>
      <w:r>
        <w:rPr>
          <w:rFonts w:hint="eastAsia"/>
          <w:color w:val="000000"/>
          <w:sz w:val="24"/>
        </w:rPr>
        <w:t>深证</w:t>
      </w:r>
      <w:r>
        <w:rPr>
          <w:rFonts w:hint="eastAsia"/>
          <w:color w:val="000000"/>
          <w:sz w:val="24"/>
        </w:rPr>
        <w:t>300</w:t>
      </w:r>
      <w:r>
        <w:rPr>
          <w:rFonts w:hint="eastAsia"/>
          <w:color w:val="000000"/>
          <w:sz w:val="24"/>
        </w:rPr>
        <w:t>价值交易型开放式指数证券投资基金</w:t>
      </w:r>
    </w:p>
    <w:p w14:paraId="043AC1A5" w14:textId="77777777" w:rsidR="00CF57A4" w:rsidRDefault="00B13D46">
      <w:pPr>
        <w:pStyle w:val="ab"/>
        <w:snapToGrid w:val="0"/>
        <w:spacing w:before="120" w:line="288" w:lineRule="auto"/>
        <w:ind w:firstLine="480"/>
        <w:jc w:val="center"/>
        <w:rPr>
          <w:rFonts w:ascii="Times New Roman" w:hAnsi="宋体"/>
          <w:color w:val="000000"/>
          <w:sz w:val="24"/>
        </w:rPr>
      </w:pPr>
      <w:r>
        <w:rPr>
          <w:rFonts w:ascii="Times New Roman" w:hAnsi="宋体" w:hint="eastAsia"/>
          <w:color w:val="000000"/>
          <w:sz w:val="24"/>
        </w:rPr>
        <w:t>份额累计净值增长率与业绩比较基准收益率历史走势对比图</w:t>
      </w:r>
    </w:p>
    <w:p w14:paraId="5D23834C" w14:textId="22369109" w:rsidR="00CF57A4" w:rsidRDefault="00B13D46">
      <w:pPr>
        <w:spacing w:before="29" w:line="288" w:lineRule="auto"/>
        <w:jc w:val="center"/>
        <w:rPr>
          <w:sz w:val="24"/>
        </w:rPr>
      </w:pPr>
      <w:r>
        <w:rPr>
          <w:color w:val="000000"/>
          <w:kern w:val="0"/>
          <w:sz w:val="24"/>
        </w:rPr>
        <w:t>（</w:t>
      </w:r>
      <w:r>
        <w:rPr>
          <w:color w:val="000000"/>
          <w:kern w:val="0"/>
          <w:sz w:val="24"/>
        </w:rPr>
        <w:t>2011</w:t>
      </w:r>
      <w:r>
        <w:rPr>
          <w:color w:val="000000"/>
          <w:kern w:val="0"/>
          <w:sz w:val="24"/>
        </w:rPr>
        <w:t>年</w:t>
      </w:r>
      <w:r>
        <w:rPr>
          <w:color w:val="000000"/>
          <w:kern w:val="0"/>
          <w:sz w:val="24"/>
        </w:rPr>
        <w:t>9</w:t>
      </w:r>
      <w:r>
        <w:rPr>
          <w:color w:val="000000"/>
          <w:kern w:val="0"/>
          <w:sz w:val="24"/>
        </w:rPr>
        <w:t>月</w:t>
      </w:r>
      <w:r>
        <w:rPr>
          <w:color w:val="000000"/>
          <w:kern w:val="0"/>
          <w:sz w:val="24"/>
        </w:rPr>
        <w:t>22</w:t>
      </w:r>
      <w:r>
        <w:rPr>
          <w:color w:val="000000"/>
          <w:kern w:val="0"/>
          <w:sz w:val="24"/>
        </w:rPr>
        <w:t>日至</w:t>
      </w:r>
      <w:r w:rsidR="002C2A73">
        <w:rPr>
          <w:color w:val="000000"/>
          <w:kern w:val="0"/>
          <w:sz w:val="24"/>
        </w:rPr>
        <w:t>2017</w:t>
      </w:r>
      <w:r w:rsidR="002C2A73">
        <w:rPr>
          <w:color w:val="000000"/>
          <w:kern w:val="0"/>
          <w:sz w:val="24"/>
        </w:rPr>
        <w:t>年</w:t>
      </w:r>
      <w:r w:rsidR="002C2A73">
        <w:rPr>
          <w:color w:val="000000"/>
          <w:kern w:val="0"/>
          <w:sz w:val="24"/>
        </w:rPr>
        <w:t>12</w:t>
      </w:r>
      <w:r>
        <w:rPr>
          <w:color w:val="000000"/>
          <w:kern w:val="0"/>
          <w:sz w:val="24"/>
        </w:rPr>
        <w:t>月</w:t>
      </w:r>
      <w:r w:rsidR="002C2A73">
        <w:rPr>
          <w:color w:val="000000"/>
          <w:kern w:val="0"/>
          <w:sz w:val="24"/>
        </w:rPr>
        <w:t>31</w:t>
      </w:r>
      <w:r>
        <w:rPr>
          <w:color w:val="000000"/>
          <w:kern w:val="0"/>
          <w:sz w:val="24"/>
        </w:rPr>
        <w:t>日）</w:t>
      </w:r>
    </w:p>
    <w:p w14:paraId="3670E8D4" w14:textId="2266D073" w:rsidR="00CF57A4" w:rsidRDefault="002C2A73">
      <w:pPr>
        <w:tabs>
          <w:tab w:val="left" w:pos="1800"/>
        </w:tabs>
        <w:spacing w:before="29" w:line="288" w:lineRule="auto"/>
        <w:jc w:val="center"/>
        <w:rPr>
          <w:color w:val="000000"/>
          <w:sz w:val="24"/>
        </w:rPr>
      </w:pPr>
      <w:r w:rsidRPr="0036023B">
        <w:rPr>
          <w:noProof/>
          <w:color w:val="000000"/>
          <w:sz w:val="24"/>
        </w:rPr>
        <w:lastRenderedPageBreak/>
        <w:drawing>
          <wp:inline distT="0" distB="0" distL="0" distR="0" wp14:anchorId="24207D08" wp14:editId="751A0713">
            <wp:extent cx="5372100" cy="3146125"/>
            <wp:effectExtent l="0" t="0" r="0" b="0"/>
            <wp:docPr id="3" name="图片 2" descr="走势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走势图1.jpg"/>
                    <pic:cNvPicPr/>
                  </pic:nvPicPr>
                  <pic:blipFill>
                    <a:blip r:embed="rId16" cstate="print"/>
                    <a:stretch>
                      <a:fillRect/>
                    </a:stretch>
                  </pic:blipFill>
                  <pic:spPr>
                    <a:xfrm>
                      <a:off x="0" y="0"/>
                      <a:ext cx="5372100" cy="3146125"/>
                    </a:xfrm>
                    <a:prstGeom prst="rect">
                      <a:avLst/>
                    </a:prstGeom>
                  </pic:spPr>
                </pic:pic>
              </a:graphicData>
            </a:graphic>
          </wp:inline>
        </w:drawing>
      </w:r>
    </w:p>
    <w:p w14:paraId="24A0EE46" w14:textId="77777777" w:rsidR="00CF57A4" w:rsidRDefault="00B13D46">
      <w:pPr>
        <w:tabs>
          <w:tab w:val="left" w:pos="-540"/>
          <w:tab w:val="left" w:pos="1182"/>
        </w:tabs>
        <w:spacing w:line="360" w:lineRule="auto"/>
        <w:rPr>
          <w:rFonts w:ascii="宋体" w:hAnsi="宋体"/>
          <w:sz w:val="24"/>
          <w:szCs w:val="21"/>
        </w:rPr>
      </w:pPr>
      <w:r>
        <w:rPr>
          <w:color w:val="000000"/>
          <w:sz w:val="24"/>
        </w:rPr>
        <w:t>注：本基金建仓期为自基金合同生效日起的</w:t>
      </w:r>
      <w:r>
        <w:rPr>
          <w:color w:val="000000"/>
          <w:sz w:val="24"/>
        </w:rPr>
        <w:t>3</w:t>
      </w:r>
      <w:r>
        <w:rPr>
          <w:color w:val="000000"/>
          <w:sz w:val="24"/>
        </w:rPr>
        <w:t>个月。截至建仓期结束，本基金各项资产配置比例符合基金合同及招募说明书有关投资比例的约定。</w:t>
      </w:r>
    </w:p>
    <w:p w14:paraId="4CE1C46D" w14:textId="77777777" w:rsidR="00CF57A4" w:rsidRDefault="00B13D46">
      <w:pPr>
        <w:pStyle w:val="af1"/>
        <w:rPr>
          <w:rFonts w:eastAsia="黑体"/>
          <w:color w:val="000000"/>
          <w:kern w:val="0"/>
          <w:sz w:val="30"/>
        </w:rPr>
      </w:pPr>
      <w:r>
        <w:rPr>
          <w:rFonts w:eastAsia="黑体"/>
          <w:color w:val="000000"/>
          <w:kern w:val="0"/>
          <w:sz w:val="30"/>
        </w:rPr>
        <w:br w:type="page"/>
      </w:r>
      <w:bookmarkStart w:id="117" w:name="_Toc322002728"/>
      <w:bookmarkStart w:id="118" w:name="_Toc320703953"/>
      <w:bookmarkStart w:id="119" w:name="_Toc320704004"/>
      <w:bookmarkStart w:id="120" w:name="_Toc320704077"/>
      <w:bookmarkStart w:id="121" w:name="_Toc320704364"/>
      <w:bookmarkStart w:id="122" w:name="_Toc322519879"/>
      <w:r>
        <w:rPr>
          <w:rFonts w:eastAsia="黑体" w:hint="eastAsia"/>
          <w:color w:val="000000"/>
          <w:kern w:val="0"/>
          <w:sz w:val="30"/>
        </w:rPr>
        <w:lastRenderedPageBreak/>
        <w:t>十二、基金的财产</w:t>
      </w:r>
      <w:bookmarkEnd w:id="117"/>
      <w:bookmarkEnd w:id="118"/>
      <w:bookmarkEnd w:id="119"/>
      <w:bookmarkEnd w:id="120"/>
      <w:bookmarkEnd w:id="121"/>
      <w:bookmarkEnd w:id="122"/>
    </w:p>
    <w:p w14:paraId="0C397101" w14:textId="77777777" w:rsidR="00CF57A4" w:rsidRDefault="00B13D46">
      <w:pPr>
        <w:spacing w:line="360" w:lineRule="auto"/>
        <w:ind w:firstLineChars="200" w:firstLine="482"/>
        <w:rPr>
          <w:rFonts w:ascii="宋体" w:hAnsi="宋体"/>
          <w:b/>
          <w:color w:val="000000"/>
          <w:sz w:val="24"/>
          <w:szCs w:val="18"/>
        </w:rPr>
      </w:pPr>
      <w:r>
        <w:rPr>
          <w:rFonts w:ascii="宋体" w:hAnsi="宋体"/>
          <w:b/>
          <w:color w:val="000000"/>
          <w:sz w:val="24"/>
          <w:szCs w:val="18"/>
        </w:rPr>
        <w:t>(</w:t>
      </w:r>
      <w:r>
        <w:rPr>
          <w:rFonts w:ascii="宋体" w:hAnsi="宋体" w:hint="eastAsia"/>
          <w:b/>
          <w:color w:val="000000"/>
          <w:sz w:val="24"/>
          <w:szCs w:val="18"/>
        </w:rPr>
        <w:t>一</w:t>
      </w:r>
      <w:r>
        <w:rPr>
          <w:rFonts w:ascii="宋体" w:hAnsi="宋体"/>
          <w:b/>
          <w:color w:val="000000"/>
          <w:sz w:val="24"/>
          <w:szCs w:val="18"/>
        </w:rPr>
        <w:t>)</w:t>
      </w:r>
      <w:r>
        <w:rPr>
          <w:rFonts w:ascii="宋体" w:hAnsi="宋体" w:hint="eastAsia"/>
          <w:b/>
          <w:color w:val="000000"/>
          <w:sz w:val="24"/>
          <w:szCs w:val="18"/>
        </w:rPr>
        <w:t>基金资产总值</w:t>
      </w:r>
    </w:p>
    <w:p w14:paraId="12B0D9F4" w14:textId="77777777" w:rsidR="00CF57A4" w:rsidRDefault="00B13D46">
      <w:pPr>
        <w:spacing w:line="360" w:lineRule="auto"/>
        <w:ind w:firstLineChars="200" w:firstLine="480"/>
        <w:rPr>
          <w:rFonts w:ascii="宋体" w:hAnsi="宋体"/>
          <w:color w:val="000000"/>
          <w:sz w:val="24"/>
          <w:szCs w:val="21"/>
        </w:rPr>
      </w:pPr>
      <w:bookmarkStart w:id="123" w:name="_Toc79392635"/>
      <w:bookmarkStart w:id="124" w:name="_Toc79556449"/>
      <w:r>
        <w:rPr>
          <w:rFonts w:ascii="宋体" w:hAnsi="宋体" w:hint="eastAsia"/>
          <w:color w:val="000000"/>
          <w:sz w:val="24"/>
          <w:szCs w:val="21"/>
        </w:rPr>
        <w:t>基金资产总值是指基金拥有的各类有价证券、银行存款本息、基金应收款项以及其他资产的价值总和。</w:t>
      </w:r>
      <w:bookmarkEnd w:id="123"/>
      <w:bookmarkEnd w:id="124"/>
    </w:p>
    <w:p w14:paraId="25A62E06" w14:textId="77777777" w:rsidR="00CF57A4" w:rsidRDefault="00B13D46">
      <w:pPr>
        <w:spacing w:line="360" w:lineRule="auto"/>
        <w:ind w:firstLineChars="200" w:firstLine="482"/>
        <w:rPr>
          <w:rFonts w:ascii="宋体" w:hAnsi="宋体"/>
          <w:b/>
          <w:color w:val="000000"/>
          <w:sz w:val="24"/>
          <w:szCs w:val="18"/>
        </w:rPr>
      </w:pPr>
      <w:r>
        <w:rPr>
          <w:rFonts w:ascii="宋体" w:hAnsi="宋体"/>
          <w:b/>
          <w:color w:val="000000"/>
          <w:sz w:val="24"/>
          <w:szCs w:val="18"/>
        </w:rPr>
        <w:t>(</w:t>
      </w:r>
      <w:r>
        <w:rPr>
          <w:rFonts w:ascii="宋体" w:hAnsi="宋体" w:hint="eastAsia"/>
          <w:b/>
          <w:color w:val="000000"/>
          <w:sz w:val="24"/>
          <w:szCs w:val="18"/>
        </w:rPr>
        <w:t>二</w:t>
      </w:r>
      <w:r>
        <w:rPr>
          <w:rFonts w:ascii="宋体" w:hAnsi="宋体"/>
          <w:b/>
          <w:color w:val="000000"/>
          <w:sz w:val="24"/>
          <w:szCs w:val="18"/>
        </w:rPr>
        <w:t>)</w:t>
      </w:r>
      <w:r>
        <w:rPr>
          <w:rFonts w:ascii="宋体" w:hAnsi="宋体" w:hint="eastAsia"/>
          <w:b/>
          <w:color w:val="000000"/>
          <w:sz w:val="24"/>
          <w:szCs w:val="18"/>
        </w:rPr>
        <w:t>基金资产净值</w:t>
      </w:r>
    </w:p>
    <w:p w14:paraId="7340617C" w14:textId="77777777" w:rsidR="00CF57A4" w:rsidRDefault="00B13D46">
      <w:pPr>
        <w:spacing w:line="360" w:lineRule="auto"/>
        <w:ind w:firstLineChars="200" w:firstLine="480"/>
        <w:rPr>
          <w:rFonts w:ascii="宋体" w:hAnsi="宋体"/>
          <w:color w:val="000000"/>
          <w:sz w:val="24"/>
          <w:szCs w:val="18"/>
        </w:rPr>
      </w:pPr>
      <w:r>
        <w:rPr>
          <w:rFonts w:ascii="宋体" w:hAnsi="宋体" w:hint="eastAsia"/>
          <w:color w:val="000000"/>
          <w:sz w:val="24"/>
        </w:rPr>
        <w:t>基金资产净值是指基金资产总值减去基金负债后的净资产值。</w:t>
      </w:r>
    </w:p>
    <w:p w14:paraId="07E8D2ED" w14:textId="77777777" w:rsidR="00CF57A4" w:rsidRDefault="00B13D46">
      <w:pPr>
        <w:spacing w:line="360" w:lineRule="auto"/>
        <w:ind w:firstLineChars="200" w:firstLine="482"/>
        <w:rPr>
          <w:rFonts w:ascii="宋体" w:hAnsi="宋体"/>
          <w:b/>
          <w:color w:val="000000"/>
          <w:sz w:val="24"/>
          <w:szCs w:val="18"/>
        </w:rPr>
      </w:pPr>
      <w:r>
        <w:rPr>
          <w:rFonts w:ascii="宋体" w:hAnsi="宋体"/>
          <w:b/>
          <w:color w:val="000000"/>
          <w:sz w:val="24"/>
          <w:szCs w:val="18"/>
        </w:rPr>
        <w:t>(</w:t>
      </w:r>
      <w:r>
        <w:rPr>
          <w:rFonts w:ascii="宋体" w:hAnsi="宋体" w:hint="eastAsia"/>
          <w:b/>
          <w:color w:val="000000"/>
          <w:sz w:val="24"/>
          <w:szCs w:val="18"/>
        </w:rPr>
        <w:t>三</w:t>
      </w:r>
      <w:r>
        <w:rPr>
          <w:rFonts w:ascii="宋体" w:hAnsi="宋体"/>
          <w:b/>
          <w:color w:val="000000"/>
          <w:sz w:val="24"/>
          <w:szCs w:val="18"/>
        </w:rPr>
        <w:t>)</w:t>
      </w:r>
      <w:r>
        <w:rPr>
          <w:rFonts w:ascii="宋体" w:hAnsi="宋体" w:hint="eastAsia"/>
          <w:b/>
          <w:color w:val="000000"/>
          <w:sz w:val="24"/>
          <w:szCs w:val="18"/>
        </w:rPr>
        <w:t>基金财产的账户</w:t>
      </w:r>
    </w:p>
    <w:p w14:paraId="09F091C3" w14:textId="77777777" w:rsidR="00CF57A4" w:rsidRDefault="00B13D46">
      <w:pPr>
        <w:spacing w:line="360" w:lineRule="auto"/>
        <w:ind w:firstLineChars="200" w:firstLine="480"/>
        <w:rPr>
          <w:rFonts w:ascii="宋体" w:hAnsi="宋体"/>
          <w:color w:val="000000"/>
          <w:sz w:val="24"/>
          <w:szCs w:val="21"/>
        </w:rPr>
      </w:pPr>
      <w:r>
        <w:rPr>
          <w:rFonts w:ascii="宋体" w:hAnsi="宋体" w:hint="eastAsia"/>
          <w:color w:val="000000"/>
          <w:sz w:val="24"/>
        </w:rPr>
        <w:t>本基金财产以基金名义开立银行存款账户，以基金托管人的名义开立证券交易清算资金的结算备付金账户，以基金托管人和本基金联名的方式开立基金证券账户，以本基金的名义开立银行间债券托管账户。开立的基金专用账户与基金管理人、基金托管人、基金销售机构和注册登记机构自有的财产账户以及其他基金财产账户相独立。</w:t>
      </w:r>
    </w:p>
    <w:p w14:paraId="6D149A23" w14:textId="77777777" w:rsidR="00CF57A4" w:rsidRDefault="00B13D46">
      <w:pPr>
        <w:spacing w:line="360" w:lineRule="auto"/>
        <w:ind w:firstLineChars="200" w:firstLine="482"/>
        <w:rPr>
          <w:rFonts w:ascii="宋体" w:hAnsi="宋体"/>
          <w:b/>
          <w:color w:val="000000"/>
          <w:sz w:val="24"/>
          <w:szCs w:val="18"/>
        </w:rPr>
      </w:pPr>
      <w:r>
        <w:rPr>
          <w:rFonts w:ascii="宋体" w:hAnsi="宋体"/>
          <w:b/>
          <w:color w:val="000000"/>
          <w:sz w:val="24"/>
          <w:szCs w:val="18"/>
        </w:rPr>
        <w:t>(</w:t>
      </w:r>
      <w:r>
        <w:rPr>
          <w:rFonts w:ascii="宋体" w:hAnsi="宋体" w:hint="eastAsia"/>
          <w:b/>
          <w:color w:val="000000"/>
          <w:sz w:val="24"/>
          <w:szCs w:val="18"/>
        </w:rPr>
        <w:t>四</w:t>
      </w:r>
      <w:r>
        <w:rPr>
          <w:rFonts w:ascii="宋体" w:hAnsi="宋体"/>
          <w:b/>
          <w:color w:val="000000"/>
          <w:sz w:val="24"/>
          <w:szCs w:val="18"/>
        </w:rPr>
        <w:t>)</w:t>
      </w:r>
      <w:r>
        <w:rPr>
          <w:rFonts w:ascii="宋体" w:hAnsi="宋体" w:hint="eastAsia"/>
          <w:b/>
          <w:color w:val="000000"/>
          <w:sz w:val="24"/>
          <w:szCs w:val="18"/>
        </w:rPr>
        <w:t>基金财产的处分</w:t>
      </w:r>
    </w:p>
    <w:p w14:paraId="4A6A28AD"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基金财产独立于基金管理人、基金托管人和代销机构的固有财产，并由基金托管人保管。基金管理人、基金托管人因基金财产的管理、运用或者其他情形而取得的财产和收益归入基金财产。基金管理人、基金托管人可以按基金合同的约定收取管理费、托管费以及基金合同约定的其他费用。基金管理人、基金托管人以其自有财产承担法律责任，其债权人不得对基金财产行使请求冻结、扣押和其他权利。</w:t>
      </w:r>
    </w:p>
    <w:p w14:paraId="65A74757"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基金管理人、基金托管人因依法解散、被依法撤销或者被依法宣告破产等原因进行清算的，基金财产不属于其清算财产。</w:t>
      </w:r>
    </w:p>
    <w:p w14:paraId="5D68D448" w14:textId="77777777" w:rsidR="00CF57A4" w:rsidRDefault="00B13D46">
      <w:pPr>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t>基金财产的债权，不得与基金管理人、基金托管人固有财产的债务相抵销；不同基金财产的债权债务，不得相互抵销。</w:t>
      </w:r>
    </w:p>
    <w:p w14:paraId="19A4BBC7"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除依据《基金法》、基金合同及其他有关规定处分外，基金财产不得被处分。非因基金财产本身承担的债务，不得对基金财产强制执行。</w:t>
      </w:r>
    </w:p>
    <w:p w14:paraId="5FC4912A" w14:textId="77777777" w:rsidR="00CF57A4" w:rsidRDefault="00B13D46">
      <w:pPr>
        <w:pStyle w:val="af1"/>
        <w:rPr>
          <w:rFonts w:eastAsia="黑体"/>
          <w:color w:val="000000"/>
          <w:kern w:val="0"/>
          <w:sz w:val="30"/>
        </w:rPr>
      </w:pPr>
      <w:r>
        <w:rPr>
          <w:rFonts w:eastAsia="黑体"/>
          <w:color w:val="000000"/>
          <w:kern w:val="0"/>
          <w:sz w:val="30"/>
        </w:rPr>
        <w:br w:type="page"/>
      </w:r>
      <w:bookmarkStart w:id="125" w:name="_Toc320704078"/>
      <w:bookmarkStart w:id="126" w:name="_Toc320704365"/>
      <w:bookmarkStart w:id="127" w:name="_Toc322002729"/>
      <w:bookmarkStart w:id="128" w:name="_Toc320703954"/>
      <w:bookmarkStart w:id="129" w:name="_Toc322519880"/>
      <w:bookmarkStart w:id="130" w:name="_Toc320704005"/>
      <w:r>
        <w:rPr>
          <w:rFonts w:eastAsia="黑体" w:hint="eastAsia"/>
          <w:color w:val="000000"/>
          <w:kern w:val="0"/>
          <w:sz w:val="30"/>
        </w:rPr>
        <w:lastRenderedPageBreak/>
        <w:t>十三、基金资产的估值</w:t>
      </w:r>
      <w:bookmarkEnd w:id="125"/>
      <w:bookmarkEnd w:id="126"/>
      <w:bookmarkEnd w:id="127"/>
      <w:bookmarkEnd w:id="128"/>
      <w:bookmarkEnd w:id="129"/>
      <w:bookmarkEnd w:id="130"/>
    </w:p>
    <w:p w14:paraId="1301EA3A" w14:textId="77777777" w:rsidR="00CF57A4" w:rsidRDefault="00B13D46">
      <w:pPr>
        <w:spacing w:line="476" w:lineRule="exact"/>
        <w:ind w:firstLineChars="200" w:firstLine="482"/>
        <w:rPr>
          <w:rFonts w:ascii="宋体" w:hAnsi="宋体"/>
          <w:b/>
          <w:color w:val="000000"/>
          <w:sz w:val="24"/>
        </w:rPr>
      </w:pPr>
      <w:r>
        <w:rPr>
          <w:rFonts w:ascii="宋体" w:hAnsi="宋体" w:hint="eastAsia"/>
          <w:b/>
          <w:color w:val="000000"/>
          <w:sz w:val="24"/>
        </w:rPr>
        <w:t>（一）估值目的</w:t>
      </w:r>
    </w:p>
    <w:p w14:paraId="4B83711C" w14:textId="77777777" w:rsidR="00CF57A4" w:rsidRDefault="00B13D46">
      <w:pPr>
        <w:spacing w:line="476" w:lineRule="exact"/>
        <w:ind w:firstLineChars="200" w:firstLine="480"/>
        <w:rPr>
          <w:rFonts w:ascii="宋体" w:hAnsi="宋体"/>
          <w:color w:val="000000"/>
          <w:sz w:val="24"/>
        </w:rPr>
      </w:pPr>
      <w:r>
        <w:rPr>
          <w:rFonts w:ascii="宋体" w:hAnsi="宋体" w:hint="eastAsia"/>
          <w:color w:val="000000"/>
          <w:sz w:val="24"/>
        </w:rPr>
        <w:t>基金资产的估值目的是客观、准确地反映基金资产是否保值、增值，并为基金份额提供计价依据。</w:t>
      </w:r>
    </w:p>
    <w:p w14:paraId="0C97284D" w14:textId="77777777" w:rsidR="00CF57A4" w:rsidRDefault="00B13D46">
      <w:pPr>
        <w:spacing w:line="476" w:lineRule="exact"/>
        <w:ind w:firstLineChars="200" w:firstLine="482"/>
        <w:rPr>
          <w:rFonts w:ascii="宋体" w:hAnsi="宋体"/>
          <w:b/>
          <w:color w:val="000000"/>
          <w:sz w:val="24"/>
        </w:rPr>
      </w:pPr>
      <w:r>
        <w:rPr>
          <w:rFonts w:ascii="宋体" w:hAnsi="宋体" w:hint="eastAsia"/>
          <w:b/>
          <w:color w:val="000000"/>
          <w:sz w:val="24"/>
        </w:rPr>
        <w:t>（二）估值日</w:t>
      </w:r>
    </w:p>
    <w:p w14:paraId="1DF1BF62" w14:textId="77777777" w:rsidR="00CF57A4" w:rsidRDefault="00B13D46">
      <w:pPr>
        <w:spacing w:line="476" w:lineRule="exact"/>
        <w:ind w:firstLineChars="200" w:firstLine="480"/>
        <w:rPr>
          <w:rFonts w:ascii="宋体" w:hAnsi="宋体"/>
          <w:color w:val="000000"/>
          <w:sz w:val="24"/>
        </w:rPr>
      </w:pPr>
      <w:r>
        <w:rPr>
          <w:rFonts w:ascii="宋体" w:hAnsi="宋体" w:hint="eastAsia"/>
          <w:color w:val="000000"/>
          <w:sz w:val="24"/>
        </w:rPr>
        <w:t>本基金的估值日为相关的证券交易场所的正常交易日，以及国家法律法规规定需要对外披露基金净值的非交易日。</w:t>
      </w:r>
    </w:p>
    <w:p w14:paraId="5E47C8EC" w14:textId="77777777" w:rsidR="00CF57A4" w:rsidRDefault="00B13D46">
      <w:pPr>
        <w:spacing w:line="476" w:lineRule="exact"/>
        <w:ind w:firstLineChars="200" w:firstLine="482"/>
        <w:rPr>
          <w:rFonts w:ascii="宋体" w:hAnsi="宋体"/>
          <w:b/>
          <w:color w:val="000000"/>
          <w:sz w:val="24"/>
        </w:rPr>
      </w:pPr>
      <w:r>
        <w:rPr>
          <w:rFonts w:ascii="宋体" w:hAnsi="宋体" w:hint="eastAsia"/>
          <w:b/>
          <w:color w:val="000000"/>
          <w:sz w:val="24"/>
        </w:rPr>
        <w:t>（三）估值对象</w:t>
      </w:r>
    </w:p>
    <w:p w14:paraId="02F3FA07" w14:textId="77777777" w:rsidR="00CF57A4" w:rsidRDefault="00B13D46">
      <w:pPr>
        <w:spacing w:line="476" w:lineRule="exact"/>
        <w:ind w:firstLineChars="200" w:firstLine="480"/>
        <w:rPr>
          <w:rFonts w:ascii="宋体" w:hAnsi="宋体"/>
          <w:color w:val="000000"/>
          <w:sz w:val="24"/>
        </w:rPr>
      </w:pPr>
      <w:r>
        <w:rPr>
          <w:rFonts w:ascii="宋体" w:hAnsi="宋体" w:hint="eastAsia"/>
          <w:color w:val="000000"/>
          <w:sz w:val="24"/>
        </w:rPr>
        <w:t>基金依法拥有的股票、债券、权证及其他基金资产和负债。</w:t>
      </w:r>
    </w:p>
    <w:p w14:paraId="64CB8E6C" w14:textId="77777777" w:rsidR="00CF57A4" w:rsidRDefault="00B13D46">
      <w:pPr>
        <w:spacing w:line="476" w:lineRule="exact"/>
        <w:ind w:firstLineChars="200" w:firstLine="482"/>
        <w:rPr>
          <w:rFonts w:ascii="宋体" w:hAnsi="宋体"/>
          <w:b/>
          <w:color w:val="000000"/>
          <w:sz w:val="24"/>
        </w:rPr>
      </w:pPr>
      <w:r>
        <w:rPr>
          <w:rFonts w:ascii="宋体" w:hAnsi="宋体" w:hint="eastAsia"/>
          <w:b/>
          <w:color w:val="000000"/>
          <w:sz w:val="24"/>
        </w:rPr>
        <w:t>（四）估值方法</w:t>
      </w:r>
    </w:p>
    <w:p w14:paraId="7023A1B2" w14:textId="77777777" w:rsidR="00CF57A4" w:rsidRDefault="00B13D46">
      <w:pPr>
        <w:spacing w:line="476" w:lineRule="exact"/>
        <w:ind w:firstLineChars="200" w:firstLine="480"/>
        <w:rPr>
          <w:rFonts w:ascii="宋体" w:hAnsi="宋体"/>
          <w:color w:val="000000"/>
          <w:sz w:val="24"/>
        </w:rPr>
      </w:pPr>
      <w:r>
        <w:rPr>
          <w:rFonts w:ascii="宋体" w:hAnsi="宋体"/>
          <w:color w:val="000000"/>
          <w:sz w:val="24"/>
        </w:rPr>
        <w:t>1</w:t>
      </w:r>
      <w:r>
        <w:rPr>
          <w:rFonts w:ascii="宋体" w:hAnsi="宋体" w:hint="eastAsia"/>
          <w:color w:val="000000"/>
          <w:sz w:val="24"/>
        </w:rPr>
        <w:t>、股票估值方法：</w:t>
      </w:r>
    </w:p>
    <w:p w14:paraId="21FF200E" w14:textId="77777777" w:rsidR="00CF57A4" w:rsidRDefault="00B13D46">
      <w:pPr>
        <w:spacing w:line="476" w:lineRule="exact"/>
        <w:ind w:firstLineChars="200" w:firstLine="480"/>
        <w:rPr>
          <w:rFonts w:ascii="宋体" w:hAnsi="宋体"/>
          <w:color w:val="000000"/>
          <w:sz w:val="24"/>
        </w:rPr>
      </w:pPr>
      <w:r>
        <w:rPr>
          <w:rFonts w:ascii="宋体" w:hAnsi="宋体" w:hint="eastAsia"/>
          <w:color w:val="000000"/>
          <w:sz w:val="24"/>
        </w:rPr>
        <w:t>（1）上市股票的估值：</w:t>
      </w:r>
    </w:p>
    <w:p w14:paraId="537D6C43" w14:textId="77777777" w:rsidR="00CF57A4" w:rsidRDefault="00B13D46">
      <w:pPr>
        <w:spacing w:line="476" w:lineRule="exact"/>
        <w:ind w:firstLineChars="200" w:firstLine="480"/>
        <w:rPr>
          <w:rFonts w:ascii="宋体" w:hAnsi="宋体"/>
          <w:color w:val="000000"/>
          <w:sz w:val="24"/>
        </w:rPr>
      </w:pPr>
      <w:r>
        <w:rPr>
          <w:rFonts w:ascii="宋体" w:hAnsi="宋体" w:hint="eastAsia"/>
          <w:color w:val="000000"/>
          <w:sz w:val="24"/>
        </w:rPr>
        <w:t>上市流通股票按估值日其所在证券交易所的收盘价估值；估值日无交易的，以最近交易日的收盘价估值。</w:t>
      </w:r>
    </w:p>
    <w:p w14:paraId="0DAF2281" w14:textId="77777777" w:rsidR="00CF57A4" w:rsidRDefault="00B13D46">
      <w:pPr>
        <w:spacing w:line="476" w:lineRule="exact"/>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2</w:t>
      </w:r>
      <w:r>
        <w:rPr>
          <w:rFonts w:ascii="宋体" w:hAnsi="宋体" w:hint="eastAsia"/>
          <w:color w:val="000000"/>
          <w:sz w:val="24"/>
        </w:rPr>
        <w:t>）未上市股票的估值：</w:t>
      </w:r>
    </w:p>
    <w:p w14:paraId="12CB7260" w14:textId="77777777" w:rsidR="00CF57A4" w:rsidRDefault="00B13D46">
      <w:pPr>
        <w:spacing w:line="476" w:lineRule="exact"/>
        <w:ind w:firstLineChars="200" w:firstLine="480"/>
        <w:rPr>
          <w:rFonts w:ascii="宋体" w:hAnsi="宋体"/>
          <w:color w:val="000000"/>
          <w:sz w:val="24"/>
        </w:rPr>
      </w:pPr>
      <w:r>
        <w:rPr>
          <w:rFonts w:ascii="宋体" w:hAnsi="宋体" w:hint="eastAsia"/>
          <w:color w:val="000000"/>
          <w:sz w:val="24"/>
        </w:rPr>
        <w:t>①</w:t>
      </w:r>
      <w:r>
        <w:rPr>
          <w:rFonts w:ascii="宋体" w:hAnsi="宋体"/>
          <w:color w:val="000000"/>
          <w:sz w:val="24"/>
        </w:rPr>
        <w:t xml:space="preserve"> </w:t>
      </w:r>
      <w:r>
        <w:rPr>
          <w:rFonts w:ascii="宋体" w:hAnsi="宋体" w:hint="eastAsia"/>
          <w:color w:val="000000"/>
          <w:sz w:val="24"/>
        </w:rPr>
        <w:t>首次发行未上市的股票，采用估值技术确定公允价值，在估值技术难以可靠计量公允价值的情况下，按成本价估值；</w:t>
      </w:r>
    </w:p>
    <w:p w14:paraId="21EF999B" w14:textId="77777777" w:rsidR="00CF57A4" w:rsidRDefault="00B13D46">
      <w:pPr>
        <w:spacing w:line="476" w:lineRule="exact"/>
        <w:ind w:firstLineChars="200" w:firstLine="480"/>
        <w:rPr>
          <w:rFonts w:ascii="宋体" w:hAnsi="宋体"/>
          <w:color w:val="000000"/>
          <w:sz w:val="24"/>
        </w:rPr>
      </w:pPr>
      <w:r>
        <w:rPr>
          <w:rFonts w:ascii="宋体" w:hAnsi="宋体" w:hint="eastAsia"/>
          <w:color w:val="000000"/>
          <w:sz w:val="24"/>
        </w:rPr>
        <w:t>②</w:t>
      </w:r>
      <w:r>
        <w:rPr>
          <w:rFonts w:ascii="宋体" w:hAnsi="宋体"/>
          <w:color w:val="000000"/>
          <w:sz w:val="24"/>
        </w:rPr>
        <w:t xml:space="preserve"> </w:t>
      </w:r>
      <w:r>
        <w:rPr>
          <w:rFonts w:ascii="宋体" w:hAnsi="宋体" w:hint="eastAsia"/>
          <w:color w:val="000000"/>
          <w:sz w:val="24"/>
        </w:rPr>
        <w:t>送股、转增股、配股和公开增发新股等发行未上市的股票，按估值日在证券交易所上市的同一股票的市价进行估值；</w:t>
      </w:r>
    </w:p>
    <w:p w14:paraId="7FE482C8" w14:textId="77777777" w:rsidR="00CF57A4" w:rsidRDefault="00B13D46">
      <w:pPr>
        <w:spacing w:line="476" w:lineRule="exact"/>
        <w:ind w:firstLineChars="200" w:firstLine="480"/>
        <w:rPr>
          <w:rFonts w:ascii="宋体" w:hAnsi="宋体"/>
          <w:color w:val="000000"/>
          <w:sz w:val="24"/>
        </w:rPr>
      </w:pPr>
      <w:r>
        <w:rPr>
          <w:rFonts w:ascii="宋体" w:hAnsi="宋体" w:hint="eastAsia"/>
          <w:color w:val="000000"/>
          <w:sz w:val="24"/>
        </w:rPr>
        <w:t>③</w:t>
      </w:r>
      <w:r>
        <w:rPr>
          <w:rFonts w:ascii="宋体" w:hAnsi="宋体"/>
          <w:color w:val="000000"/>
          <w:sz w:val="24"/>
        </w:rPr>
        <w:t xml:space="preserve"> </w:t>
      </w:r>
      <w:r>
        <w:rPr>
          <w:rFonts w:ascii="宋体" w:hAnsi="宋体" w:hint="eastAsia"/>
          <w:color w:val="000000"/>
          <w:sz w:val="24"/>
        </w:rPr>
        <w:t>首次公开发行有明确锁定期的股票，同一股票在交易所上市后，按估值日在证券交易所上市的同一股票的市价进行估值；</w:t>
      </w:r>
    </w:p>
    <w:p w14:paraId="7C7A2AB0" w14:textId="77777777" w:rsidR="00CF57A4" w:rsidRDefault="00B13D46">
      <w:pPr>
        <w:spacing w:line="476" w:lineRule="exact"/>
        <w:ind w:firstLineChars="200" w:firstLine="480"/>
        <w:rPr>
          <w:rFonts w:ascii="宋体" w:hAnsi="宋体"/>
          <w:color w:val="000000"/>
          <w:sz w:val="24"/>
        </w:rPr>
      </w:pPr>
      <w:r>
        <w:rPr>
          <w:rFonts w:ascii="宋体" w:hAnsi="宋体" w:hint="eastAsia"/>
          <w:color w:val="000000"/>
          <w:sz w:val="24"/>
        </w:rPr>
        <w:t>④</w:t>
      </w:r>
      <w:r>
        <w:rPr>
          <w:rFonts w:ascii="宋体" w:hAnsi="宋体"/>
          <w:color w:val="000000"/>
          <w:sz w:val="24"/>
        </w:rPr>
        <w:t xml:space="preserve"> </w:t>
      </w:r>
      <w:r>
        <w:rPr>
          <w:rFonts w:ascii="宋体" w:hAnsi="宋体" w:hint="eastAsia"/>
          <w:color w:val="000000"/>
          <w:sz w:val="24"/>
        </w:rPr>
        <w:t>非公开发行的且在发行时明确一定期限锁定期的股票，按监管机构或行业协会有关规定确定公允价值。</w:t>
      </w:r>
    </w:p>
    <w:p w14:paraId="75C4A1D6" w14:textId="77777777" w:rsidR="00CF57A4" w:rsidRDefault="00B13D46">
      <w:pPr>
        <w:spacing w:line="476" w:lineRule="exact"/>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3</w:t>
      </w:r>
      <w:r>
        <w:rPr>
          <w:rFonts w:ascii="宋体" w:hAnsi="宋体" w:hint="eastAsia"/>
          <w:color w:val="000000"/>
          <w:sz w:val="24"/>
        </w:rPr>
        <w:t>）在任何情况下，基金管理人如采用本项第（</w:t>
      </w:r>
      <w:r>
        <w:rPr>
          <w:rFonts w:ascii="宋体" w:hAnsi="宋体"/>
          <w:color w:val="000000"/>
          <w:sz w:val="24"/>
        </w:rPr>
        <w:t>1</w:t>
      </w:r>
      <w:r>
        <w:rPr>
          <w:rFonts w:ascii="宋体" w:hAnsi="宋体" w:hint="eastAsia"/>
          <w:color w:val="000000"/>
          <w:sz w:val="24"/>
        </w:rPr>
        <w:t>）－（</w:t>
      </w:r>
      <w:r>
        <w:rPr>
          <w:rFonts w:ascii="宋体" w:hAnsi="宋体"/>
          <w:color w:val="000000"/>
          <w:sz w:val="24"/>
        </w:rPr>
        <w:t>2</w:t>
      </w:r>
      <w:r>
        <w:rPr>
          <w:rFonts w:ascii="宋体" w:hAnsi="宋体" w:hint="eastAsia"/>
          <w:color w:val="000000"/>
          <w:sz w:val="24"/>
        </w:rPr>
        <w:t>）小项规定的方法对基金资产进行估值，均应被认为采用了适当的估值方法。但是，如果基金管理人认为按本项第（</w:t>
      </w:r>
      <w:r>
        <w:rPr>
          <w:rFonts w:ascii="宋体" w:hAnsi="宋体"/>
          <w:color w:val="000000"/>
          <w:sz w:val="24"/>
        </w:rPr>
        <w:t>1</w:t>
      </w:r>
      <w:r>
        <w:rPr>
          <w:rFonts w:ascii="宋体" w:hAnsi="宋体" w:hint="eastAsia"/>
          <w:color w:val="000000"/>
          <w:sz w:val="24"/>
        </w:rPr>
        <w:t>）－（</w:t>
      </w:r>
      <w:r>
        <w:rPr>
          <w:rFonts w:ascii="宋体" w:hAnsi="宋体"/>
          <w:color w:val="000000"/>
          <w:sz w:val="24"/>
        </w:rPr>
        <w:t>2</w:t>
      </w:r>
      <w:r>
        <w:rPr>
          <w:rFonts w:ascii="宋体" w:hAnsi="宋体" w:hint="eastAsia"/>
          <w:color w:val="000000"/>
          <w:sz w:val="24"/>
        </w:rPr>
        <w:t>）小项规定的方法对基金资产进行估值不能客观反映其公允价值的，基金管理人可根据具体情况，并与基金托管人商定后，按最能反映公允价值的价格估值。</w:t>
      </w:r>
    </w:p>
    <w:p w14:paraId="13819158" w14:textId="77777777" w:rsidR="00CF57A4" w:rsidRDefault="00B13D46">
      <w:pPr>
        <w:spacing w:line="476" w:lineRule="exact"/>
        <w:ind w:firstLineChars="200" w:firstLine="480"/>
        <w:rPr>
          <w:rFonts w:ascii="宋体" w:hAnsi="宋体"/>
          <w:color w:val="000000"/>
          <w:sz w:val="24"/>
        </w:rPr>
      </w:pPr>
      <w:r>
        <w:rPr>
          <w:rFonts w:ascii="宋体" w:hAnsi="宋体" w:hint="eastAsia"/>
          <w:color w:val="000000"/>
          <w:sz w:val="24"/>
        </w:rPr>
        <w:lastRenderedPageBreak/>
        <w:t>（</w:t>
      </w:r>
      <w:r>
        <w:rPr>
          <w:rFonts w:ascii="宋体" w:hAnsi="宋体"/>
          <w:color w:val="000000"/>
          <w:sz w:val="24"/>
        </w:rPr>
        <w:t>4</w:t>
      </w:r>
      <w:r>
        <w:rPr>
          <w:rFonts w:ascii="宋体" w:hAnsi="宋体" w:hint="eastAsia"/>
          <w:color w:val="000000"/>
          <w:sz w:val="24"/>
        </w:rPr>
        <w:t>）国家有最新规定的，按其规定进行估值。</w:t>
      </w:r>
    </w:p>
    <w:p w14:paraId="6CB1A785" w14:textId="77777777" w:rsidR="00CF57A4" w:rsidRDefault="00B13D46">
      <w:pPr>
        <w:spacing w:line="476" w:lineRule="exact"/>
        <w:ind w:firstLineChars="200" w:firstLine="480"/>
        <w:rPr>
          <w:rFonts w:ascii="宋体" w:hAnsi="宋体"/>
          <w:color w:val="000000"/>
          <w:sz w:val="24"/>
        </w:rPr>
      </w:pPr>
      <w:r>
        <w:rPr>
          <w:rFonts w:ascii="宋体" w:hAnsi="宋体"/>
          <w:color w:val="000000"/>
          <w:sz w:val="24"/>
        </w:rPr>
        <w:t>2</w:t>
      </w:r>
      <w:r>
        <w:rPr>
          <w:rFonts w:ascii="宋体" w:hAnsi="宋体" w:hint="eastAsia"/>
          <w:color w:val="000000"/>
          <w:sz w:val="24"/>
        </w:rPr>
        <w:t>、债券估值方法：</w:t>
      </w:r>
    </w:p>
    <w:p w14:paraId="76748F40" w14:textId="77777777" w:rsidR="00CF57A4" w:rsidRDefault="00B13D46">
      <w:pPr>
        <w:spacing w:line="476" w:lineRule="exact"/>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1</w:t>
      </w:r>
      <w:r>
        <w:rPr>
          <w:rFonts w:ascii="宋体" w:hAnsi="宋体" w:hint="eastAsia"/>
          <w:color w:val="000000"/>
          <w:sz w:val="24"/>
        </w:rPr>
        <w:t>）交易所市场上市交易或挂牌转让的固定收益品种（另有规定的除外），选取第三方估值机构提供的相应品种当日的估值净价进行估值。</w:t>
      </w:r>
    </w:p>
    <w:p w14:paraId="70A886DA" w14:textId="77777777" w:rsidR="00CF57A4" w:rsidRDefault="00B13D46">
      <w:pPr>
        <w:spacing w:line="476" w:lineRule="exact"/>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2</w:t>
      </w:r>
      <w:r>
        <w:rPr>
          <w:rFonts w:ascii="宋体" w:hAnsi="宋体" w:hint="eastAsia"/>
          <w:color w:val="000000"/>
          <w:sz w:val="24"/>
        </w:rPr>
        <w:t>）在证券交易所市场挂牌交易且未实行净价交易的债券按估值日收盘价减去债券收盘价中所含的债券应收利息得到的净价进行估值；估值日没有交易的，且最近交易日后经济环境未发生重大变化，按最近交易日债券收盘价减去债券收盘价中所含的债券应收利息得到的净价估值；如果估值日无交易，且最近交易日后经济环境发生了重大变化的，将参考类似投资品种的现行市价及重大变化因素，调整最近交易日收盘价，确定公允价值进行估值。</w:t>
      </w:r>
      <w:r>
        <w:rPr>
          <w:rFonts w:ascii="宋体" w:hAnsi="宋体"/>
          <w:color w:val="000000"/>
          <w:sz w:val="24"/>
        </w:rPr>
        <w:t xml:space="preserve">     </w:t>
      </w:r>
    </w:p>
    <w:p w14:paraId="0C4A5C19" w14:textId="77777777" w:rsidR="00CF57A4" w:rsidRDefault="00B13D46">
      <w:pPr>
        <w:spacing w:line="476" w:lineRule="exact"/>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3</w:t>
      </w:r>
      <w:r>
        <w:rPr>
          <w:rFonts w:ascii="宋体" w:hAnsi="宋体" w:hint="eastAsia"/>
          <w:color w:val="000000"/>
          <w:sz w:val="24"/>
        </w:rPr>
        <w:t>）首次发行未上市债券采用估值技术确定的公允价值进行估值，在估值技术难以可靠计量公允价值的情况下，按成本估值。</w:t>
      </w:r>
    </w:p>
    <w:p w14:paraId="1BBBEB26" w14:textId="77777777" w:rsidR="00CF57A4" w:rsidRDefault="00B13D46">
      <w:pPr>
        <w:spacing w:line="476" w:lineRule="exact"/>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4</w:t>
      </w:r>
      <w:r>
        <w:rPr>
          <w:rFonts w:ascii="宋体" w:hAnsi="宋体" w:hint="eastAsia"/>
          <w:color w:val="000000"/>
          <w:sz w:val="24"/>
        </w:rPr>
        <w:t>）交易所以大宗交易方式转让的资产支持证券，采用估值技术确定公允价值，在估值技术难以可靠计量公允价值的情况下，按成本进行后续计量。</w:t>
      </w:r>
    </w:p>
    <w:p w14:paraId="1338CFE6" w14:textId="77777777" w:rsidR="00CF57A4" w:rsidRDefault="00B13D46">
      <w:pPr>
        <w:spacing w:line="476" w:lineRule="exact"/>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5</w:t>
      </w:r>
      <w:r>
        <w:rPr>
          <w:rFonts w:ascii="宋体" w:hAnsi="宋体" w:hint="eastAsia"/>
          <w:color w:val="000000"/>
          <w:sz w:val="24"/>
        </w:rPr>
        <w:t>）在全国银行间债券市场交易的债券、资产支持证券等固定收益品种，采用估值技术确定公允价值。</w:t>
      </w:r>
    </w:p>
    <w:p w14:paraId="058C5BC9" w14:textId="77777777" w:rsidR="00CF57A4" w:rsidRDefault="00B13D46">
      <w:pPr>
        <w:spacing w:line="476" w:lineRule="exact"/>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6</w:t>
      </w:r>
      <w:r>
        <w:rPr>
          <w:rFonts w:ascii="宋体" w:hAnsi="宋体" w:hint="eastAsia"/>
          <w:color w:val="000000"/>
          <w:sz w:val="24"/>
        </w:rPr>
        <w:t>）同一债券同时在两个或两个以上市场交易的，按债券所处的市场分别估值。</w:t>
      </w:r>
    </w:p>
    <w:p w14:paraId="74A9EE74" w14:textId="77777777" w:rsidR="00CF57A4" w:rsidRDefault="00B13D46">
      <w:pPr>
        <w:spacing w:line="476" w:lineRule="exact"/>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7</w:t>
      </w:r>
      <w:r>
        <w:rPr>
          <w:rFonts w:ascii="宋体" w:hAnsi="宋体" w:hint="eastAsia"/>
          <w:color w:val="000000"/>
          <w:sz w:val="24"/>
        </w:rPr>
        <w:t>）在任何情况下，基金管理人如采用本项第（</w:t>
      </w:r>
      <w:r>
        <w:rPr>
          <w:rFonts w:ascii="宋体" w:hAnsi="宋体"/>
          <w:color w:val="000000"/>
          <w:sz w:val="24"/>
        </w:rPr>
        <w:t>1</w:t>
      </w:r>
      <w:r>
        <w:rPr>
          <w:rFonts w:ascii="宋体" w:hAnsi="宋体" w:hint="eastAsia"/>
          <w:color w:val="000000"/>
          <w:sz w:val="24"/>
        </w:rPr>
        <w:t>）－（</w:t>
      </w:r>
      <w:r>
        <w:rPr>
          <w:rFonts w:ascii="宋体" w:hAnsi="宋体"/>
          <w:color w:val="000000"/>
          <w:sz w:val="24"/>
        </w:rPr>
        <w:t>6</w:t>
      </w:r>
      <w:r>
        <w:rPr>
          <w:rFonts w:ascii="宋体" w:hAnsi="宋体" w:hint="eastAsia"/>
          <w:color w:val="000000"/>
          <w:sz w:val="24"/>
        </w:rPr>
        <w:t>）小项规定的方法对基金资产进行估值，均应被认为采用了适当的估值方法。但是，如果基金管理人认为按本项第（</w:t>
      </w:r>
      <w:r>
        <w:rPr>
          <w:rFonts w:ascii="宋体" w:hAnsi="宋体"/>
          <w:color w:val="000000"/>
          <w:sz w:val="24"/>
        </w:rPr>
        <w:t>1</w:t>
      </w:r>
      <w:r>
        <w:rPr>
          <w:rFonts w:ascii="宋体" w:hAnsi="宋体" w:hint="eastAsia"/>
          <w:color w:val="000000"/>
          <w:sz w:val="24"/>
        </w:rPr>
        <w:t>）－（</w:t>
      </w:r>
      <w:r>
        <w:rPr>
          <w:rFonts w:ascii="宋体" w:hAnsi="宋体"/>
          <w:color w:val="000000"/>
          <w:sz w:val="24"/>
        </w:rPr>
        <w:t>6</w:t>
      </w:r>
      <w:r>
        <w:rPr>
          <w:rFonts w:ascii="宋体" w:hAnsi="宋体" w:hint="eastAsia"/>
          <w:color w:val="000000"/>
          <w:sz w:val="24"/>
        </w:rPr>
        <w:t>）小项规定的方法对基金资产进行估值不能客观反映其公允价值的，基金管理人在综合考虑市场成交价、市场报价、流动性、收益率曲线等多种因素基础上形成的债券估值，基金管理人可根据具体情况与基金托管人商定后，按最能反映公允价值的价格估值。</w:t>
      </w:r>
    </w:p>
    <w:p w14:paraId="362DE070" w14:textId="77777777" w:rsidR="00CF57A4" w:rsidRDefault="00B13D46">
      <w:pPr>
        <w:spacing w:line="476" w:lineRule="exact"/>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8</w:t>
      </w:r>
      <w:r>
        <w:rPr>
          <w:rFonts w:ascii="宋体" w:hAnsi="宋体" w:hint="eastAsia"/>
          <w:color w:val="000000"/>
          <w:sz w:val="24"/>
        </w:rPr>
        <w:t>）国家有最新规定的，按其规定进行估值。</w:t>
      </w:r>
    </w:p>
    <w:p w14:paraId="1907EBC0" w14:textId="77777777" w:rsidR="00CF57A4" w:rsidRDefault="00B13D46">
      <w:pPr>
        <w:spacing w:line="476" w:lineRule="exact"/>
        <w:ind w:firstLineChars="200" w:firstLine="480"/>
        <w:rPr>
          <w:rFonts w:ascii="宋体" w:hAnsi="宋体"/>
          <w:color w:val="000000"/>
          <w:sz w:val="24"/>
        </w:rPr>
      </w:pPr>
      <w:r>
        <w:rPr>
          <w:rFonts w:ascii="宋体" w:hAnsi="宋体"/>
          <w:color w:val="000000"/>
          <w:sz w:val="24"/>
        </w:rPr>
        <w:t>3</w:t>
      </w:r>
      <w:r>
        <w:rPr>
          <w:rFonts w:ascii="宋体" w:hAnsi="宋体" w:hint="eastAsia"/>
          <w:color w:val="000000"/>
          <w:sz w:val="24"/>
        </w:rPr>
        <w:t>、权证估值方法：</w:t>
      </w:r>
    </w:p>
    <w:p w14:paraId="5FEBEE07" w14:textId="77777777" w:rsidR="00CF57A4" w:rsidRDefault="00B13D46">
      <w:pPr>
        <w:spacing w:line="476" w:lineRule="exact"/>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1</w:t>
      </w:r>
      <w:r>
        <w:rPr>
          <w:rFonts w:ascii="宋体" w:hAnsi="宋体" w:hint="eastAsia"/>
          <w:color w:val="000000"/>
          <w:sz w:val="24"/>
        </w:rPr>
        <w:t>）基金持有的权证，从持有确认日起到卖出日或行权日止，上市交易的权证按估值日在证券交易所挂牌的该权证的收盘价估值；估值日没有交易的，且最</w:t>
      </w:r>
      <w:r>
        <w:rPr>
          <w:rFonts w:ascii="宋体" w:hAnsi="宋体" w:hint="eastAsia"/>
          <w:color w:val="000000"/>
          <w:sz w:val="24"/>
        </w:rPr>
        <w:lastRenderedPageBreak/>
        <w:t>近交易日后经济环境未发生重大变化，按最近交易日的收盘价估值；如最近交易日后经济环境发生了重大变化的，可参考类似投资品种的现行市价及重大变化因素，调整最近交易市价，确定公允价格。</w:t>
      </w:r>
    </w:p>
    <w:p w14:paraId="7917751B" w14:textId="77777777" w:rsidR="00CF57A4" w:rsidRDefault="00B13D46">
      <w:pPr>
        <w:spacing w:line="476" w:lineRule="exact"/>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2</w:t>
      </w:r>
      <w:r>
        <w:rPr>
          <w:rFonts w:ascii="宋体" w:hAnsi="宋体" w:hint="eastAsia"/>
          <w:color w:val="000000"/>
          <w:sz w:val="24"/>
        </w:rPr>
        <w:t>）首次发行未上市的权证，采用估值技术确定公允价值，在估值技术难以可靠计量公允价值的情况下，按成本估值。</w:t>
      </w:r>
    </w:p>
    <w:p w14:paraId="13F48299" w14:textId="77777777" w:rsidR="00CF57A4" w:rsidRDefault="00B13D46">
      <w:pPr>
        <w:spacing w:line="476" w:lineRule="exact"/>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3</w:t>
      </w:r>
      <w:r>
        <w:rPr>
          <w:rFonts w:ascii="宋体" w:hAnsi="宋体" w:hint="eastAsia"/>
          <w:color w:val="000000"/>
          <w:sz w:val="24"/>
        </w:rPr>
        <w:t>）因持有股票而享有的配股权，以及停止交易、但未行权的权证，采用估值技术确定公允价值进行估值。</w:t>
      </w:r>
    </w:p>
    <w:p w14:paraId="2642EFBD" w14:textId="77777777" w:rsidR="00CF57A4" w:rsidRDefault="00B13D46">
      <w:pPr>
        <w:spacing w:line="476" w:lineRule="exact"/>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4</w:t>
      </w:r>
      <w:r>
        <w:rPr>
          <w:rFonts w:ascii="宋体" w:hAnsi="宋体" w:hint="eastAsia"/>
          <w:color w:val="000000"/>
          <w:sz w:val="24"/>
        </w:rPr>
        <w:t>）在任何情况下，基金管理人如采用本项第（</w:t>
      </w:r>
      <w:r>
        <w:rPr>
          <w:rFonts w:ascii="宋体" w:hAnsi="宋体"/>
          <w:color w:val="000000"/>
          <w:sz w:val="24"/>
        </w:rPr>
        <w:t>1</w:t>
      </w:r>
      <w:r>
        <w:rPr>
          <w:rFonts w:ascii="宋体" w:hAnsi="宋体" w:hint="eastAsia"/>
          <w:color w:val="000000"/>
          <w:sz w:val="24"/>
        </w:rPr>
        <w:t>）</w:t>
      </w:r>
      <w:r>
        <w:rPr>
          <w:rFonts w:ascii="宋体" w:hAnsi="宋体" w:hint="eastAsia"/>
          <w:color w:val="000000"/>
        </w:rPr>
        <w:t>－</w:t>
      </w:r>
      <w:r>
        <w:rPr>
          <w:rFonts w:ascii="宋体" w:hAnsi="宋体" w:hint="eastAsia"/>
          <w:color w:val="000000"/>
          <w:sz w:val="24"/>
        </w:rPr>
        <w:t>（</w:t>
      </w:r>
      <w:r>
        <w:rPr>
          <w:rFonts w:ascii="宋体" w:hAnsi="宋体"/>
          <w:color w:val="000000"/>
          <w:sz w:val="24"/>
        </w:rPr>
        <w:t>3</w:t>
      </w:r>
      <w:r>
        <w:rPr>
          <w:rFonts w:ascii="宋体" w:hAnsi="宋体" w:hint="eastAsia"/>
          <w:color w:val="000000"/>
          <w:sz w:val="24"/>
        </w:rPr>
        <w:t>）项规定的方法对基金资产进行估值，均应被认为采用了适当的估值方法。但是，如果基金管理人认为按本项第（</w:t>
      </w:r>
      <w:r>
        <w:rPr>
          <w:rFonts w:ascii="宋体" w:hAnsi="宋体"/>
          <w:color w:val="000000"/>
          <w:sz w:val="24"/>
        </w:rPr>
        <w:t>1</w:t>
      </w:r>
      <w:r>
        <w:rPr>
          <w:rFonts w:ascii="宋体" w:hAnsi="宋体" w:hint="eastAsia"/>
          <w:color w:val="000000"/>
          <w:sz w:val="24"/>
        </w:rPr>
        <w:t>）</w:t>
      </w:r>
      <w:r>
        <w:rPr>
          <w:rFonts w:ascii="宋体" w:hAnsi="宋体" w:hint="eastAsia"/>
          <w:color w:val="000000"/>
        </w:rPr>
        <w:t>－</w:t>
      </w:r>
      <w:r>
        <w:rPr>
          <w:rFonts w:ascii="宋体" w:hAnsi="宋体" w:hint="eastAsia"/>
          <w:color w:val="000000"/>
          <w:sz w:val="24"/>
        </w:rPr>
        <w:t>（</w:t>
      </w:r>
      <w:r>
        <w:rPr>
          <w:rFonts w:ascii="宋体" w:hAnsi="宋体"/>
          <w:color w:val="000000"/>
          <w:sz w:val="24"/>
        </w:rPr>
        <w:t>3</w:t>
      </w:r>
      <w:r>
        <w:rPr>
          <w:rFonts w:ascii="宋体" w:hAnsi="宋体" w:hint="eastAsia"/>
          <w:color w:val="000000"/>
          <w:sz w:val="24"/>
        </w:rPr>
        <w:t>）项规定的方法对基金资产进行估值不能客观反映其公允价值的，基金管理人可根据具体情况，并与基金托管人商定后，按最能反映公允价值的价格估值。</w:t>
      </w:r>
    </w:p>
    <w:p w14:paraId="70F3FC6D" w14:textId="77777777" w:rsidR="00CF57A4" w:rsidRDefault="00B13D46">
      <w:pPr>
        <w:spacing w:line="476" w:lineRule="exact"/>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5</w:t>
      </w:r>
      <w:r>
        <w:rPr>
          <w:rFonts w:ascii="宋体" w:hAnsi="宋体" w:hint="eastAsia"/>
          <w:color w:val="000000"/>
          <w:sz w:val="24"/>
        </w:rPr>
        <w:t>）国家有最新规定的，按其规定进行估值。</w:t>
      </w:r>
    </w:p>
    <w:p w14:paraId="5B27C879" w14:textId="77777777" w:rsidR="00CF57A4" w:rsidRDefault="00B13D46">
      <w:pPr>
        <w:spacing w:line="476" w:lineRule="exact"/>
        <w:ind w:firstLineChars="200" w:firstLine="480"/>
        <w:rPr>
          <w:rFonts w:ascii="宋体" w:hAnsi="宋体"/>
          <w:color w:val="000000"/>
          <w:sz w:val="24"/>
        </w:rPr>
      </w:pPr>
      <w:r>
        <w:rPr>
          <w:rFonts w:ascii="宋体" w:hAnsi="宋体" w:hint="eastAsia"/>
          <w:color w:val="000000"/>
          <w:sz w:val="24"/>
        </w:rPr>
        <w:t>4、衍生品及其他有价证券等资产按国家有关规定进行估值。</w:t>
      </w:r>
    </w:p>
    <w:p w14:paraId="2042B2EF" w14:textId="77777777" w:rsidR="00CF57A4" w:rsidRDefault="00B13D46">
      <w:pPr>
        <w:spacing w:line="476" w:lineRule="exact"/>
        <w:ind w:firstLineChars="200" w:firstLine="480"/>
        <w:rPr>
          <w:rFonts w:ascii="宋体" w:hAnsi="宋体"/>
          <w:color w:val="000000"/>
          <w:sz w:val="24"/>
        </w:rPr>
      </w:pPr>
      <w:r>
        <w:rPr>
          <w:rFonts w:ascii="宋体" w:hAnsi="宋体" w:hint="eastAsia"/>
          <w:color w:val="000000"/>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39D740A8" w14:textId="77777777" w:rsidR="00CF57A4" w:rsidRDefault="00B13D46">
      <w:pPr>
        <w:spacing w:line="476" w:lineRule="exact"/>
        <w:ind w:firstLineChars="200" w:firstLine="480"/>
        <w:rPr>
          <w:rFonts w:ascii="宋体" w:hAnsi="宋体"/>
          <w:color w:val="000000"/>
          <w:sz w:val="24"/>
        </w:rPr>
      </w:pPr>
      <w:r>
        <w:rPr>
          <w:rFonts w:ascii="宋体" w:hAnsi="宋体" w:hint="eastAsia"/>
          <w:color w:val="000000"/>
          <w:sz w:val="24"/>
        </w:rPr>
        <w:t>根据有关法律法规，本基金的基金会计责任方由基金管理人担任。因此，就与本基金有关的会计问题，如经相关各方在平等基础上充分讨论后，仍无法达成一致的意见，基金管理人有权按照其对基金资产净值的计算结果对外予以公布。</w:t>
      </w:r>
    </w:p>
    <w:p w14:paraId="11D851F6" w14:textId="77777777" w:rsidR="00CF57A4" w:rsidRDefault="00B13D46">
      <w:pPr>
        <w:spacing w:line="476" w:lineRule="exact"/>
        <w:ind w:firstLineChars="200" w:firstLine="482"/>
        <w:rPr>
          <w:rFonts w:ascii="宋体" w:hAnsi="宋体"/>
          <w:b/>
          <w:color w:val="000000"/>
          <w:sz w:val="24"/>
        </w:rPr>
      </w:pPr>
      <w:r>
        <w:rPr>
          <w:rFonts w:ascii="宋体" w:hAnsi="宋体" w:hint="eastAsia"/>
          <w:b/>
          <w:color w:val="000000"/>
          <w:sz w:val="24"/>
        </w:rPr>
        <w:t>（五）估值程序</w:t>
      </w:r>
    </w:p>
    <w:p w14:paraId="32CD178B" w14:textId="77777777" w:rsidR="00CF57A4" w:rsidRDefault="00B13D46">
      <w:pPr>
        <w:spacing w:line="476" w:lineRule="exact"/>
        <w:ind w:firstLineChars="200" w:firstLine="480"/>
        <w:rPr>
          <w:rFonts w:ascii="宋体" w:hAnsi="宋体"/>
          <w:color w:val="000000"/>
          <w:sz w:val="24"/>
        </w:rPr>
      </w:pPr>
      <w:r>
        <w:rPr>
          <w:rFonts w:ascii="宋体" w:hAnsi="宋体" w:hint="eastAsia"/>
          <w:color w:val="000000"/>
          <w:sz w:val="24"/>
        </w:rPr>
        <w:t>基金日常估值由基金管理人进行。基金份额净值由基金管理人完成估值后，将估值结果以书面形式报给基金托管人，基金托管人按基金合同规定的估值方法、时间、程序进行复核，基金托管人复核无误后签章返回给基金管理人，由基金管理人依据本基金合同和有关法律法规的规定予以公布。月末、年中和年末估值复核与基金会计账目的核对同时进行。</w:t>
      </w:r>
    </w:p>
    <w:p w14:paraId="010D0CC9" w14:textId="77777777" w:rsidR="00CF57A4" w:rsidRDefault="00B13D46">
      <w:pPr>
        <w:spacing w:line="476" w:lineRule="exact"/>
        <w:ind w:firstLineChars="200" w:firstLine="482"/>
        <w:rPr>
          <w:rFonts w:ascii="宋体" w:hAnsi="宋体"/>
          <w:b/>
          <w:color w:val="000000"/>
          <w:sz w:val="24"/>
        </w:rPr>
      </w:pPr>
      <w:r>
        <w:rPr>
          <w:rFonts w:ascii="宋体" w:hAnsi="宋体" w:hint="eastAsia"/>
          <w:b/>
          <w:color w:val="000000"/>
          <w:sz w:val="24"/>
        </w:rPr>
        <w:t>（六）估值错误的处理</w:t>
      </w:r>
    </w:p>
    <w:p w14:paraId="6CB033F6" w14:textId="77777777" w:rsidR="00CF57A4" w:rsidRDefault="00B13D46">
      <w:pPr>
        <w:spacing w:line="476" w:lineRule="exact"/>
        <w:ind w:firstLineChars="200" w:firstLine="480"/>
        <w:rPr>
          <w:rFonts w:ascii="宋体" w:hAnsi="宋体"/>
          <w:color w:val="000000"/>
          <w:sz w:val="24"/>
        </w:rPr>
      </w:pPr>
      <w:r>
        <w:rPr>
          <w:rFonts w:ascii="宋体" w:hAnsi="宋体" w:hint="eastAsia"/>
          <w:color w:val="000000"/>
          <w:sz w:val="24"/>
        </w:rPr>
        <w:t>基金管理人和基金托管人将采取必要、适当、合理的措施确保基金资产估值</w:t>
      </w:r>
      <w:r>
        <w:rPr>
          <w:rFonts w:ascii="宋体" w:hAnsi="宋体" w:hint="eastAsia"/>
          <w:color w:val="000000"/>
          <w:sz w:val="24"/>
        </w:rPr>
        <w:lastRenderedPageBreak/>
        <w:t>的准确性、及时性。</w:t>
      </w:r>
    </w:p>
    <w:p w14:paraId="3EC6665F" w14:textId="77777777" w:rsidR="00CF57A4" w:rsidRDefault="00B13D46">
      <w:pPr>
        <w:spacing w:line="476" w:lineRule="exact"/>
        <w:ind w:firstLineChars="200" w:firstLine="480"/>
        <w:rPr>
          <w:rFonts w:ascii="宋体" w:hAnsi="宋体"/>
          <w:color w:val="000000"/>
          <w:sz w:val="24"/>
        </w:rPr>
      </w:pPr>
      <w:r>
        <w:rPr>
          <w:rFonts w:ascii="宋体" w:hAnsi="宋体" w:hint="eastAsia"/>
          <w:color w:val="000000"/>
          <w:sz w:val="24"/>
        </w:rPr>
        <w:t>本基金合同的当事人应按照以下约定处理：</w:t>
      </w:r>
    </w:p>
    <w:p w14:paraId="5C520F38" w14:textId="77777777" w:rsidR="00CF57A4" w:rsidRDefault="00B13D46">
      <w:pPr>
        <w:spacing w:line="476" w:lineRule="exact"/>
        <w:ind w:firstLineChars="200" w:firstLine="480"/>
        <w:rPr>
          <w:rFonts w:ascii="宋体" w:hAnsi="宋体"/>
          <w:color w:val="000000"/>
          <w:sz w:val="24"/>
        </w:rPr>
      </w:pPr>
      <w:r>
        <w:rPr>
          <w:rFonts w:ascii="宋体" w:hAnsi="宋体"/>
          <w:color w:val="000000"/>
          <w:sz w:val="24"/>
        </w:rPr>
        <w:t>1</w:t>
      </w:r>
      <w:r>
        <w:rPr>
          <w:rFonts w:ascii="宋体" w:hAnsi="宋体" w:hint="eastAsia"/>
          <w:color w:val="000000"/>
          <w:sz w:val="24"/>
        </w:rPr>
        <w:t>、差错类型</w:t>
      </w:r>
    </w:p>
    <w:p w14:paraId="531EC6D6" w14:textId="77777777" w:rsidR="00CF57A4" w:rsidRDefault="00B13D46">
      <w:pPr>
        <w:spacing w:line="476" w:lineRule="exact"/>
        <w:ind w:firstLineChars="200" w:firstLine="480"/>
        <w:rPr>
          <w:rFonts w:ascii="宋体" w:hAnsi="宋体"/>
          <w:color w:val="000000"/>
          <w:sz w:val="24"/>
        </w:rPr>
      </w:pPr>
      <w:r>
        <w:rPr>
          <w:rFonts w:ascii="宋体" w:hAnsi="宋体" w:hint="eastAsia"/>
          <w:color w:val="000000"/>
          <w:sz w:val="24"/>
        </w:rPr>
        <w:t>本基金运作过程中，如果由于基金管理人或基金托管人或注册登记机构或代销机构或投资者自身的过错造成差错，导致其他当事人遭受损失的，差错的责任人应当对由于该差错遭受损失的当事人（</w:t>
      </w:r>
      <w:r>
        <w:rPr>
          <w:rFonts w:ascii="宋体" w:hAnsi="宋体"/>
          <w:color w:val="000000"/>
          <w:sz w:val="24"/>
        </w:rPr>
        <w:t>“</w:t>
      </w:r>
      <w:r>
        <w:rPr>
          <w:rFonts w:ascii="宋体" w:hAnsi="宋体" w:hint="eastAsia"/>
          <w:color w:val="000000"/>
          <w:sz w:val="24"/>
        </w:rPr>
        <w:t>受损方</w:t>
      </w:r>
      <w:r>
        <w:rPr>
          <w:rFonts w:ascii="宋体" w:hAnsi="宋体"/>
          <w:color w:val="000000"/>
          <w:sz w:val="24"/>
        </w:rPr>
        <w:t>”</w:t>
      </w:r>
      <w:r>
        <w:rPr>
          <w:rFonts w:ascii="宋体" w:hAnsi="宋体" w:hint="eastAsia"/>
          <w:color w:val="000000"/>
          <w:sz w:val="24"/>
        </w:rPr>
        <w:t>）按下述</w:t>
      </w:r>
      <w:r>
        <w:rPr>
          <w:rFonts w:ascii="宋体" w:hAnsi="宋体"/>
          <w:color w:val="000000"/>
          <w:sz w:val="24"/>
        </w:rPr>
        <w:t>“</w:t>
      </w:r>
      <w:r>
        <w:rPr>
          <w:rFonts w:ascii="宋体" w:hAnsi="宋体" w:hint="eastAsia"/>
          <w:color w:val="000000"/>
          <w:sz w:val="24"/>
        </w:rPr>
        <w:t>差错处理原则</w:t>
      </w:r>
      <w:r>
        <w:rPr>
          <w:rFonts w:ascii="宋体" w:hAnsi="宋体"/>
          <w:color w:val="000000"/>
          <w:sz w:val="24"/>
        </w:rPr>
        <w:t>”</w:t>
      </w:r>
      <w:r>
        <w:rPr>
          <w:rFonts w:ascii="宋体" w:hAnsi="宋体" w:hint="eastAsia"/>
          <w:color w:val="000000"/>
          <w:sz w:val="24"/>
        </w:rPr>
        <w:t>给予赔偿。</w:t>
      </w:r>
    </w:p>
    <w:p w14:paraId="5EBEE45F" w14:textId="77777777" w:rsidR="00CF57A4" w:rsidRDefault="00B13D46">
      <w:pPr>
        <w:spacing w:line="476" w:lineRule="exact"/>
        <w:ind w:firstLineChars="200" w:firstLine="480"/>
        <w:rPr>
          <w:rFonts w:ascii="宋体" w:hAnsi="宋体"/>
          <w:color w:val="000000"/>
          <w:sz w:val="24"/>
        </w:rPr>
      </w:pPr>
      <w:r>
        <w:rPr>
          <w:rFonts w:ascii="宋体" w:hAnsi="宋体" w:hint="eastAsia"/>
          <w:color w:val="000000"/>
          <w:sz w:val="24"/>
        </w:rPr>
        <w:t>上述差错的主要类型包括但不限于：资料申报差错、数据传输差错、数据计算差错、系统故障差错、下达指令差错等；对于因技术原因引起的差错，若系同行业现有技术水平不能预见、不能避免、不能克服，则属不可抗力，按照下述规定执行。</w:t>
      </w:r>
    </w:p>
    <w:p w14:paraId="5C4BE82D" w14:textId="77777777" w:rsidR="00CF57A4" w:rsidRDefault="00B13D46">
      <w:pPr>
        <w:spacing w:line="476" w:lineRule="exact"/>
        <w:ind w:firstLineChars="200" w:firstLine="480"/>
        <w:rPr>
          <w:rFonts w:ascii="宋体" w:hAnsi="宋体"/>
          <w:color w:val="000000"/>
          <w:sz w:val="24"/>
        </w:rPr>
      </w:pPr>
      <w:r>
        <w:rPr>
          <w:rFonts w:ascii="宋体" w:hAnsi="宋体" w:hint="eastAsia"/>
          <w:color w:val="000000"/>
          <w:sz w:val="24"/>
        </w:rPr>
        <w:t>由于不可抗力原因造成投资者的交易资料灭失或被错误处理或造成其他差错，因不可抗力原因出现差错的当事人不对其他当事人承担赔偿责任，但因该差错取得不当得利的当事人仍应负有返还不当得利的义务。</w:t>
      </w:r>
    </w:p>
    <w:p w14:paraId="6716F41E" w14:textId="77777777" w:rsidR="00CF57A4" w:rsidRDefault="00B13D46">
      <w:pPr>
        <w:spacing w:line="476" w:lineRule="exact"/>
        <w:ind w:firstLineChars="200" w:firstLine="480"/>
        <w:rPr>
          <w:rFonts w:ascii="宋体" w:hAnsi="宋体"/>
          <w:color w:val="000000"/>
          <w:sz w:val="24"/>
        </w:rPr>
      </w:pPr>
      <w:r>
        <w:rPr>
          <w:rFonts w:ascii="宋体" w:hAnsi="宋体"/>
          <w:color w:val="000000"/>
          <w:sz w:val="24"/>
        </w:rPr>
        <w:t>2</w:t>
      </w:r>
      <w:r>
        <w:rPr>
          <w:rFonts w:ascii="宋体" w:hAnsi="宋体" w:hint="eastAsia"/>
          <w:color w:val="000000"/>
          <w:sz w:val="24"/>
        </w:rPr>
        <w:t>、差错处理原则</w:t>
      </w:r>
    </w:p>
    <w:p w14:paraId="76A000B5" w14:textId="77777777" w:rsidR="00CF57A4" w:rsidRDefault="00B13D46">
      <w:pPr>
        <w:spacing w:line="476" w:lineRule="exact"/>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1</w:t>
      </w:r>
      <w:r>
        <w:rPr>
          <w:rFonts w:ascii="宋体" w:hAnsi="宋体" w:hint="eastAsia"/>
          <w:color w:val="000000"/>
          <w:sz w:val="24"/>
        </w:rPr>
        <w:t>）差错已发生，但尚未给当事人造成损失时，差错责任方应及时协调各方，及时进行更正，因更正差错发生的费用由差错责任方承担；由于差错责任方未及时更正已产生的差错，给当事人造成损失的，由差错责任方承担；若差错责任方已经积极协调，并且有协助义务的当事人有足够的时间进行更正而未更正，则其应当承担相应赔偿责任。差错责任方应对更正的情况向有关当事人进行确认，确保差错已得到更正；</w:t>
      </w:r>
    </w:p>
    <w:p w14:paraId="7348097A" w14:textId="77777777" w:rsidR="00CF57A4" w:rsidRDefault="00B13D46">
      <w:pPr>
        <w:spacing w:line="476" w:lineRule="exact"/>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2</w:t>
      </w:r>
      <w:r>
        <w:rPr>
          <w:rFonts w:ascii="宋体" w:hAnsi="宋体" w:hint="eastAsia"/>
          <w:color w:val="000000"/>
          <w:sz w:val="24"/>
        </w:rPr>
        <w:t>）差错的责任方对可能导致有关当事人的直接损失负责，不对间接损失负责，并且仅对差错的有关直接当事人负责，不对第三方负责；</w:t>
      </w:r>
    </w:p>
    <w:p w14:paraId="2DA0728D" w14:textId="77777777" w:rsidR="00CF57A4" w:rsidRDefault="00B13D46">
      <w:pPr>
        <w:spacing w:line="476" w:lineRule="exact"/>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3</w:t>
      </w:r>
      <w:r>
        <w:rPr>
          <w:rFonts w:ascii="宋体" w:hAnsi="宋体" w:hint="eastAsia"/>
          <w:color w:val="000000"/>
          <w:sz w:val="24"/>
        </w:rPr>
        <w:t>）因差错而获得不当得利的当事人负有及时返还不当得利的义务。但差错责任方仍应对差错负责。如果由于获得不当得利的当事人不返还或不全部返还不当得利造成其他当事人的利益损失，则差错责任方应赔偿受损方的损失，并在其支付的赔偿金额的范围内对获得不当得利的当事人享有要求交付不当得利的权利；如果获得不当得利的当事人已经将此部分不当得利返还给受损方，则受损方应当</w:t>
      </w:r>
      <w:r>
        <w:rPr>
          <w:rFonts w:ascii="宋体" w:hAnsi="宋体" w:hint="eastAsia"/>
          <w:color w:val="000000"/>
          <w:sz w:val="24"/>
        </w:rPr>
        <w:lastRenderedPageBreak/>
        <w:t>将其已经获得的赔偿额加上已经获得的不当得利返还的总和超过其实际损失的差额部分支付给差错责任方；</w:t>
      </w:r>
    </w:p>
    <w:p w14:paraId="7F574DFB" w14:textId="77777777" w:rsidR="00CF57A4" w:rsidRDefault="00B13D46">
      <w:pPr>
        <w:spacing w:line="476" w:lineRule="exact"/>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4</w:t>
      </w:r>
      <w:r>
        <w:rPr>
          <w:rFonts w:ascii="宋体" w:hAnsi="宋体" w:hint="eastAsia"/>
          <w:color w:val="000000"/>
          <w:sz w:val="24"/>
        </w:rPr>
        <w:t>）差错调整采用尽量恢复至假设未发生差错的正确情形的方式；</w:t>
      </w:r>
    </w:p>
    <w:p w14:paraId="53579051" w14:textId="77777777" w:rsidR="00CF57A4" w:rsidRDefault="00B13D46">
      <w:pPr>
        <w:spacing w:line="476" w:lineRule="exact"/>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5</w:t>
      </w:r>
      <w:r>
        <w:rPr>
          <w:rFonts w:ascii="宋体" w:hAnsi="宋体" w:hint="eastAsia"/>
          <w:color w:val="000000"/>
          <w:sz w:val="24"/>
        </w:rPr>
        <w:t>）差错责任方拒绝进行赔偿时，如果因基金管理人的行为造成基金财产损失时，基金托管人应为基金的利益向基金管理人追偿，如果因基金托管人的行为造成基金财产损失时，基金管理人应为基金的利益向基金托管人追偿。基金管理人和基金托管人之外的第三方造成基金财产的损失，并拒绝进行赔偿时，由基金管理人负责向差错方追偿，追偿过程中产生的有关费用，由责任方承担；</w:t>
      </w:r>
    </w:p>
    <w:p w14:paraId="61485043" w14:textId="77777777" w:rsidR="00CF57A4" w:rsidRDefault="00B13D46">
      <w:pPr>
        <w:spacing w:line="476" w:lineRule="exact"/>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6</w:t>
      </w:r>
      <w:r>
        <w:rPr>
          <w:rFonts w:ascii="宋体" w:hAnsi="宋体" w:hint="eastAsia"/>
          <w:color w:val="000000"/>
          <w:sz w:val="24"/>
        </w:rPr>
        <w:t>）如果出现差错的当事人未按规定对受损方进行赔偿，并且依据法律法规、基金合同或其他规定，基金管理人自行或依据法院判决、仲裁裁决对受损方承担了赔偿责任，则基金管理人有权向有责任的当事人进行追索，并有权要求其赔偿或补偿由此发生的费用和遭受的损失；</w:t>
      </w:r>
    </w:p>
    <w:p w14:paraId="2E3BF634" w14:textId="77777777" w:rsidR="00CF57A4" w:rsidRDefault="00B13D46">
      <w:pPr>
        <w:spacing w:line="476" w:lineRule="exact"/>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7</w:t>
      </w:r>
      <w:r>
        <w:rPr>
          <w:rFonts w:ascii="宋体" w:hAnsi="宋体" w:hint="eastAsia"/>
          <w:color w:val="000000"/>
          <w:sz w:val="24"/>
        </w:rPr>
        <w:t>）按法律法规规定的其他原则处理差错。</w:t>
      </w:r>
    </w:p>
    <w:p w14:paraId="4D60F6E4" w14:textId="77777777" w:rsidR="00CF57A4" w:rsidRDefault="00B13D46">
      <w:pPr>
        <w:spacing w:line="476" w:lineRule="exact"/>
        <w:ind w:firstLineChars="200" w:firstLine="480"/>
        <w:rPr>
          <w:rFonts w:ascii="宋体" w:hAnsi="宋体"/>
          <w:color w:val="000000"/>
          <w:sz w:val="24"/>
        </w:rPr>
      </w:pPr>
      <w:r>
        <w:rPr>
          <w:rFonts w:ascii="宋体" w:hAnsi="宋体"/>
          <w:color w:val="000000"/>
          <w:sz w:val="24"/>
        </w:rPr>
        <w:t>3</w:t>
      </w:r>
      <w:r>
        <w:rPr>
          <w:rFonts w:ascii="宋体" w:hAnsi="宋体" w:hint="eastAsia"/>
          <w:color w:val="000000"/>
          <w:sz w:val="24"/>
        </w:rPr>
        <w:t>、差错处理程序</w:t>
      </w:r>
    </w:p>
    <w:p w14:paraId="1BEC660B" w14:textId="77777777" w:rsidR="00CF57A4" w:rsidRDefault="00B13D46">
      <w:pPr>
        <w:spacing w:line="476" w:lineRule="exact"/>
        <w:ind w:firstLineChars="200" w:firstLine="480"/>
        <w:rPr>
          <w:rFonts w:ascii="宋体" w:hAnsi="宋体"/>
          <w:color w:val="000000"/>
          <w:sz w:val="24"/>
        </w:rPr>
      </w:pPr>
      <w:r>
        <w:rPr>
          <w:rFonts w:ascii="宋体" w:hAnsi="宋体" w:hint="eastAsia"/>
          <w:color w:val="000000"/>
          <w:sz w:val="24"/>
        </w:rPr>
        <w:t>差错被发现后，有关的当事人应当及时进行处理，处理的程序如下：</w:t>
      </w:r>
    </w:p>
    <w:p w14:paraId="571365F9" w14:textId="77777777" w:rsidR="00CF57A4" w:rsidRDefault="00B13D46">
      <w:pPr>
        <w:spacing w:line="476" w:lineRule="exact"/>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1</w:t>
      </w:r>
      <w:r>
        <w:rPr>
          <w:rFonts w:ascii="宋体" w:hAnsi="宋体" w:hint="eastAsia"/>
          <w:color w:val="000000"/>
          <w:sz w:val="24"/>
        </w:rPr>
        <w:t>）查明差错发生的原因，列明所有的当事人，并根据差错发生的原因确定差错的责任方；</w:t>
      </w:r>
    </w:p>
    <w:p w14:paraId="1E3BE138" w14:textId="77777777" w:rsidR="00CF57A4" w:rsidRDefault="00B13D46">
      <w:pPr>
        <w:spacing w:line="476" w:lineRule="exact"/>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2</w:t>
      </w:r>
      <w:r>
        <w:rPr>
          <w:rFonts w:ascii="宋体" w:hAnsi="宋体" w:hint="eastAsia"/>
          <w:color w:val="000000"/>
          <w:sz w:val="24"/>
        </w:rPr>
        <w:t>）根据差错处理原则或当事人协商的方法对因差错造成的损失进行评估；</w:t>
      </w:r>
    </w:p>
    <w:p w14:paraId="7A3BDA10" w14:textId="77777777" w:rsidR="00CF57A4" w:rsidRDefault="00B13D46">
      <w:pPr>
        <w:spacing w:line="476" w:lineRule="exact"/>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3</w:t>
      </w:r>
      <w:r>
        <w:rPr>
          <w:rFonts w:ascii="宋体" w:hAnsi="宋体" w:hint="eastAsia"/>
          <w:color w:val="000000"/>
          <w:sz w:val="24"/>
        </w:rPr>
        <w:t>）根据差错处理原则或当事人协商的方法由差错的责任方进行更正和赔偿损失；</w:t>
      </w:r>
    </w:p>
    <w:p w14:paraId="652984E8" w14:textId="77777777" w:rsidR="00CF57A4" w:rsidRDefault="00B13D46">
      <w:pPr>
        <w:spacing w:line="476" w:lineRule="exact"/>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4</w:t>
      </w:r>
      <w:r>
        <w:rPr>
          <w:rFonts w:ascii="宋体" w:hAnsi="宋体" w:hint="eastAsia"/>
          <w:color w:val="000000"/>
          <w:sz w:val="24"/>
        </w:rPr>
        <w:t>）根据差错处理的方法，需要修改基金注册登记机构交易数据的，由基金注册登记机构进行更正，并就差错的更正向有关当事人进行确认。</w:t>
      </w:r>
    </w:p>
    <w:p w14:paraId="04DCA41B" w14:textId="77777777" w:rsidR="00CF57A4" w:rsidRDefault="00B13D46">
      <w:pPr>
        <w:spacing w:line="476" w:lineRule="exact"/>
        <w:ind w:firstLineChars="200" w:firstLine="480"/>
        <w:rPr>
          <w:rFonts w:ascii="宋体" w:hAnsi="宋体"/>
          <w:color w:val="000000"/>
          <w:sz w:val="24"/>
        </w:rPr>
      </w:pPr>
      <w:r>
        <w:rPr>
          <w:rFonts w:ascii="宋体" w:hAnsi="宋体"/>
          <w:color w:val="000000"/>
          <w:sz w:val="24"/>
        </w:rPr>
        <w:t>4</w:t>
      </w:r>
      <w:r>
        <w:rPr>
          <w:rFonts w:ascii="宋体" w:hAnsi="宋体" w:hint="eastAsia"/>
          <w:color w:val="000000"/>
          <w:sz w:val="24"/>
        </w:rPr>
        <w:t>、基金份额净值差错处理的原则和方法</w:t>
      </w:r>
    </w:p>
    <w:p w14:paraId="1F9061E6" w14:textId="77777777" w:rsidR="00CF57A4" w:rsidRDefault="00B13D46">
      <w:pPr>
        <w:spacing w:line="476" w:lineRule="exact"/>
        <w:ind w:firstLine="420"/>
        <w:rPr>
          <w:rFonts w:ascii="宋体" w:hAnsi="宋体"/>
          <w:color w:val="000000"/>
          <w:kern w:val="0"/>
          <w:sz w:val="24"/>
        </w:rPr>
      </w:pPr>
      <w:r>
        <w:rPr>
          <w:rFonts w:ascii="宋体" w:hAnsi="宋体" w:hint="eastAsia"/>
          <w:color w:val="000000"/>
          <w:kern w:val="0"/>
          <w:sz w:val="24"/>
        </w:rPr>
        <w:t>（</w:t>
      </w:r>
      <w:r>
        <w:rPr>
          <w:rFonts w:ascii="宋体" w:hAnsi="宋体"/>
          <w:color w:val="000000"/>
          <w:kern w:val="0"/>
          <w:sz w:val="24"/>
        </w:rPr>
        <w:t>1</w:t>
      </w:r>
      <w:r>
        <w:rPr>
          <w:rFonts w:ascii="宋体" w:hAnsi="宋体" w:hint="eastAsia"/>
          <w:color w:val="000000"/>
          <w:kern w:val="0"/>
          <w:sz w:val="24"/>
        </w:rPr>
        <w:t>）当基金份额净值小数点后</w:t>
      </w:r>
      <w:r>
        <w:rPr>
          <w:rFonts w:ascii="宋体" w:hAnsi="宋体"/>
          <w:color w:val="000000"/>
          <w:kern w:val="0"/>
          <w:sz w:val="24"/>
        </w:rPr>
        <w:t>3</w:t>
      </w:r>
      <w:r>
        <w:rPr>
          <w:rFonts w:ascii="宋体" w:hAnsi="宋体" w:hint="eastAsia"/>
          <w:color w:val="000000"/>
          <w:kern w:val="0"/>
          <w:sz w:val="24"/>
        </w:rPr>
        <w:t>位以内（含第</w:t>
      </w:r>
      <w:r>
        <w:rPr>
          <w:rFonts w:ascii="宋体" w:hAnsi="宋体"/>
          <w:color w:val="000000"/>
          <w:kern w:val="0"/>
          <w:sz w:val="24"/>
        </w:rPr>
        <w:t>3</w:t>
      </w:r>
      <w:r>
        <w:rPr>
          <w:rFonts w:ascii="宋体" w:hAnsi="宋体" w:hint="eastAsia"/>
          <w:color w:val="000000"/>
          <w:kern w:val="0"/>
          <w:sz w:val="24"/>
        </w:rPr>
        <w:t>位）发生差错时，视为基金份额净值错误；基金份额净值出现错误时，基金管理人应当立即予以纠正，通报基金托管人，并采取合理的措施防止损失进一步扩大；当错误达到或超过基金资产净值的</w:t>
      </w:r>
      <w:r>
        <w:rPr>
          <w:rFonts w:ascii="宋体" w:hAnsi="宋体"/>
          <w:color w:val="000000"/>
          <w:kern w:val="0"/>
          <w:sz w:val="24"/>
        </w:rPr>
        <w:t>0.25%</w:t>
      </w:r>
      <w:r>
        <w:rPr>
          <w:rFonts w:ascii="宋体" w:hAnsi="宋体" w:hint="eastAsia"/>
          <w:color w:val="000000"/>
          <w:kern w:val="0"/>
          <w:sz w:val="24"/>
        </w:rPr>
        <w:t>时，基金管理人应当及时通知基金托管人并报中国证监会；错误偏差达到基金份额净值的</w:t>
      </w:r>
      <w:r>
        <w:rPr>
          <w:rFonts w:ascii="宋体" w:hAnsi="宋体"/>
          <w:color w:val="000000"/>
          <w:kern w:val="0"/>
          <w:sz w:val="24"/>
        </w:rPr>
        <w:t>0.5%</w:t>
      </w:r>
      <w:r>
        <w:rPr>
          <w:rFonts w:ascii="宋体" w:hAnsi="宋体" w:hint="eastAsia"/>
          <w:color w:val="000000"/>
          <w:kern w:val="0"/>
          <w:sz w:val="24"/>
        </w:rPr>
        <w:t>时，基金管理人应当公告、通报基金托管人并报中国</w:t>
      </w:r>
      <w:r>
        <w:rPr>
          <w:rFonts w:ascii="宋体" w:hAnsi="宋体" w:hint="eastAsia"/>
          <w:color w:val="000000"/>
          <w:kern w:val="0"/>
          <w:sz w:val="24"/>
        </w:rPr>
        <w:lastRenderedPageBreak/>
        <w:t>证监会备案；当发生净值计算错误时，由基金管理人负责处理，由此给基金份额持有人和基金造成损失的，应由基金管理人先行赔付，基金管理人按差错情形，有权向其他当事人追偿。</w:t>
      </w:r>
      <w:r>
        <w:rPr>
          <w:rFonts w:ascii="宋体" w:hAnsi="宋体"/>
          <w:color w:val="000000"/>
          <w:kern w:val="0"/>
          <w:sz w:val="24"/>
        </w:rPr>
        <w:t xml:space="preserve"> </w:t>
      </w:r>
    </w:p>
    <w:p w14:paraId="01086FFA" w14:textId="77777777" w:rsidR="00CF57A4" w:rsidRDefault="00B13D46">
      <w:pPr>
        <w:spacing w:line="476" w:lineRule="exact"/>
        <w:ind w:firstLine="420"/>
        <w:rPr>
          <w:rFonts w:ascii="宋体" w:hAnsi="宋体"/>
          <w:color w:val="000000"/>
          <w:kern w:val="0"/>
          <w:sz w:val="24"/>
        </w:rPr>
      </w:pPr>
      <w:r>
        <w:rPr>
          <w:rFonts w:ascii="宋体" w:hAnsi="宋体" w:hint="eastAsia"/>
          <w:color w:val="000000"/>
          <w:kern w:val="0"/>
          <w:sz w:val="24"/>
        </w:rPr>
        <w:t>（</w:t>
      </w:r>
      <w:r>
        <w:rPr>
          <w:rFonts w:ascii="宋体" w:hAnsi="宋体"/>
          <w:color w:val="000000"/>
          <w:kern w:val="0"/>
          <w:sz w:val="24"/>
        </w:rPr>
        <w:t>2</w:t>
      </w:r>
      <w:r>
        <w:rPr>
          <w:rFonts w:ascii="宋体" w:hAnsi="宋体" w:hint="eastAsia"/>
          <w:color w:val="000000"/>
          <w:kern w:val="0"/>
          <w:sz w:val="24"/>
        </w:rPr>
        <w:t>）当基金份额净值计算差错给基金和基金份额持有人造成损失需要进行赔偿时，基金管理人和基金托管人应根据实际情况界定双方承担的责任，经确认后按以下条款进行赔偿：</w:t>
      </w:r>
      <w:r>
        <w:rPr>
          <w:rFonts w:ascii="宋体" w:hAnsi="宋体"/>
          <w:color w:val="000000"/>
          <w:kern w:val="0"/>
          <w:sz w:val="24"/>
        </w:rPr>
        <w:t xml:space="preserve"> </w:t>
      </w:r>
    </w:p>
    <w:p w14:paraId="3BBC7EDF" w14:textId="77777777" w:rsidR="00CF57A4" w:rsidRDefault="00B13D46">
      <w:pPr>
        <w:spacing w:line="476" w:lineRule="exact"/>
        <w:ind w:firstLineChars="200" w:firstLine="480"/>
        <w:rPr>
          <w:rFonts w:ascii="宋体" w:hAnsi="宋体"/>
          <w:color w:val="000000"/>
          <w:kern w:val="0"/>
          <w:sz w:val="24"/>
        </w:rPr>
      </w:pPr>
      <w:r>
        <w:rPr>
          <w:rFonts w:ascii="宋体" w:hAnsi="宋体" w:hint="eastAsia"/>
          <w:color w:val="000000"/>
          <w:kern w:val="0"/>
          <w:sz w:val="24"/>
        </w:rPr>
        <w:t>① 本基金的基金会计责任方由基金管理人担任，与本基金有关的会计问题，如经双方在平等基础上充分讨论后，尚不能达成一致时，按基金会计责任方的建议执行，由此给基金份额持有人和基金造成的损失，由基金管理人负责赔付；</w:t>
      </w:r>
      <w:r>
        <w:rPr>
          <w:rFonts w:ascii="宋体" w:hAnsi="宋体"/>
          <w:color w:val="000000"/>
          <w:kern w:val="0"/>
          <w:sz w:val="24"/>
        </w:rPr>
        <w:t xml:space="preserve"> </w:t>
      </w:r>
    </w:p>
    <w:p w14:paraId="495BFB91" w14:textId="77777777" w:rsidR="00CF57A4" w:rsidRDefault="00B13D46">
      <w:pPr>
        <w:spacing w:line="476" w:lineRule="exact"/>
        <w:ind w:firstLineChars="200" w:firstLine="480"/>
        <w:rPr>
          <w:rFonts w:ascii="宋体" w:hAnsi="宋体"/>
          <w:color w:val="000000"/>
          <w:kern w:val="0"/>
          <w:sz w:val="24"/>
        </w:rPr>
      </w:pPr>
      <w:r>
        <w:rPr>
          <w:rFonts w:ascii="宋体" w:hAnsi="宋体" w:hint="eastAsia"/>
          <w:color w:val="000000"/>
          <w:kern w:val="0"/>
          <w:sz w:val="24"/>
        </w:rPr>
        <w:t>② 若基金管理人计算的基金份额净值已由基金托管人复核确认后公告，基金份额净值出错且造成基金份额持有人损失的，应根据法律法规的规定对基金份额持有人或基金支付赔偿金，就实际向基金份额持有人或基金支付的赔偿金额，</w:t>
      </w:r>
      <w:r>
        <w:rPr>
          <w:rStyle w:val="read"/>
          <w:rFonts w:ascii="宋体" w:hAnsi="宋体" w:hint="eastAsia"/>
          <w:color w:val="000000"/>
          <w:sz w:val="24"/>
        </w:rPr>
        <w:t>其中基金管理人承担</w:t>
      </w:r>
      <w:r>
        <w:rPr>
          <w:rStyle w:val="read"/>
          <w:rFonts w:ascii="宋体" w:hAnsi="宋体"/>
          <w:color w:val="000000"/>
          <w:sz w:val="24"/>
        </w:rPr>
        <w:t>50%</w:t>
      </w:r>
      <w:r>
        <w:rPr>
          <w:rStyle w:val="read"/>
          <w:rFonts w:ascii="宋体" w:hAnsi="宋体" w:hint="eastAsia"/>
          <w:color w:val="000000"/>
          <w:sz w:val="24"/>
        </w:rPr>
        <w:t>，基金托管人承担</w:t>
      </w:r>
      <w:r>
        <w:rPr>
          <w:rStyle w:val="read"/>
          <w:rFonts w:ascii="宋体" w:hAnsi="宋体"/>
          <w:color w:val="000000"/>
          <w:sz w:val="24"/>
        </w:rPr>
        <w:t>50%</w:t>
      </w:r>
      <w:r>
        <w:rPr>
          <w:rStyle w:val="read"/>
          <w:rFonts w:ascii="宋体" w:hAnsi="宋体" w:hint="eastAsia"/>
          <w:color w:val="000000"/>
          <w:sz w:val="24"/>
        </w:rPr>
        <w:t>；</w:t>
      </w:r>
    </w:p>
    <w:p w14:paraId="68CEC4B6" w14:textId="77777777" w:rsidR="00CF57A4" w:rsidRDefault="00B13D46">
      <w:pPr>
        <w:spacing w:line="476" w:lineRule="exact"/>
        <w:ind w:firstLineChars="200" w:firstLine="480"/>
        <w:rPr>
          <w:rFonts w:ascii="宋体" w:hAnsi="宋体"/>
          <w:color w:val="000000"/>
          <w:kern w:val="0"/>
          <w:sz w:val="24"/>
        </w:rPr>
      </w:pPr>
      <w:r>
        <w:rPr>
          <w:rFonts w:ascii="宋体" w:hAnsi="宋体" w:hint="eastAsia"/>
          <w:color w:val="000000"/>
          <w:kern w:val="0"/>
          <w:sz w:val="24"/>
        </w:rPr>
        <w:t>③ 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金管理人负责赔付；</w:t>
      </w:r>
      <w:r>
        <w:rPr>
          <w:rFonts w:ascii="宋体" w:hAnsi="宋体"/>
          <w:color w:val="000000"/>
          <w:kern w:val="0"/>
          <w:sz w:val="24"/>
        </w:rPr>
        <w:t xml:space="preserve"> </w:t>
      </w:r>
    </w:p>
    <w:p w14:paraId="5F5D6E8E" w14:textId="77777777" w:rsidR="00CF57A4" w:rsidRDefault="00B13D46">
      <w:pPr>
        <w:spacing w:line="476" w:lineRule="exact"/>
        <w:ind w:firstLineChars="200" w:firstLine="480"/>
        <w:rPr>
          <w:rFonts w:ascii="宋体" w:hAnsi="宋体"/>
          <w:color w:val="000000"/>
          <w:kern w:val="0"/>
          <w:sz w:val="24"/>
        </w:rPr>
      </w:pPr>
      <w:r>
        <w:rPr>
          <w:rFonts w:ascii="宋体" w:hAnsi="宋体" w:hint="eastAsia"/>
          <w:color w:val="000000"/>
          <w:kern w:val="0"/>
          <w:sz w:val="24"/>
        </w:rPr>
        <w:t>④ 由于基金管理人提供的信息错误（包括但不限于基金申购或赎回金额等），基金托管人在履行了正常的复核程序后仍不能发现该错误，进而导致基金份额净值计算错误而引起的基金份额持有人和基金财产的损失，由基金管理人负责赔付。</w:t>
      </w:r>
    </w:p>
    <w:p w14:paraId="1E6721C4" w14:textId="77777777" w:rsidR="00CF57A4" w:rsidRDefault="00B13D46">
      <w:pPr>
        <w:spacing w:line="476" w:lineRule="exact"/>
        <w:ind w:firstLine="420"/>
        <w:rPr>
          <w:rFonts w:ascii="宋体" w:hAnsi="宋体"/>
          <w:color w:val="000000"/>
          <w:kern w:val="0"/>
          <w:sz w:val="24"/>
        </w:rPr>
      </w:pPr>
      <w:r>
        <w:rPr>
          <w:rFonts w:ascii="宋体" w:hAnsi="宋体" w:hint="eastAsia"/>
          <w:color w:val="000000"/>
          <w:kern w:val="0"/>
          <w:sz w:val="24"/>
        </w:rPr>
        <w:t>（</w:t>
      </w:r>
      <w:r>
        <w:rPr>
          <w:rFonts w:ascii="宋体" w:hAnsi="宋体"/>
          <w:color w:val="000000"/>
          <w:kern w:val="0"/>
          <w:sz w:val="24"/>
        </w:rPr>
        <w:t>3</w:t>
      </w:r>
      <w:r>
        <w:rPr>
          <w:rFonts w:ascii="宋体" w:hAnsi="宋体" w:hint="eastAsia"/>
          <w:color w:val="000000"/>
          <w:kern w:val="0"/>
          <w:sz w:val="24"/>
        </w:rPr>
        <w:t>）基金管理人和基金托管人由于各自技术系统设置而产生的净值计算尾差，以基金管理人计算结果为准。</w:t>
      </w:r>
    </w:p>
    <w:p w14:paraId="7587306B" w14:textId="77777777" w:rsidR="00CF57A4" w:rsidRDefault="00B13D46">
      <w:pPr>
        <w:spacing w:line="476" w:lineRule="exact"/>
        <w:ind w:firstLine="420"/>
        <w:rPr>
          <w:rFonts w:ascii="宋体" w:hAnsi="宋体"/>
          <w:color w:val="000000"/>
          <w:kern w:val="0"/>
          <w:sz w:val="24"/>
        </w:rPr>
      </w:pPr>
      <w:r>
        <w:rPr>
          <w:rFonts w:ascii="宋体" w:hAnsi="宋体" w:hint="eastAsia"/>
          <w:color w:val="000000"/>
          <w:kern w:val="0"/>
          <w:sz w:val="24"/>
        </w:rPr>
        <w:t>（</w:t>
      </w:r>
      <w:r>
        <w:rPr>
          <w:rFonts w:ascii="宋体" w:hAnsi="宋体"/>
          <w:color w:val="000000"/>
          <w:kern w:val="0"/>
          <w:sz w:val="24"/>
        </w:rPr>
        <w:t>4</w:t>
      </w:r>
      <w:r>
        <w:rPr>
          <w:rFonts w:ascii="宋体" w:hAnsi="宋体" w:hint="eastAsia"/>
          <w:color w:val="000000"/>
          <w:kern w:val="0"/>
          <w:sz w:val="24"/>
        </w:rPr>
        <w:t>）前述内容如法律法规或者监管部门另有规定的，从其规定。如果行业有通行做法，双方当事人应本着平等和保护基金份额持有人利益的原则进行协商。</w:t>
      </w:r>
    </w:p>
    <w:p w14:paraId="5E597F5E" w14:textId="77777777" w:rsidR="00CF57A4" w:rsidRDefault="00B13D46">
      <w:pPr>
        <w:spacing w:line="476" w:lineRule="exact"/>
        <w:ind w:firstLineChars="200" w:firstLine="482"/>
        <w:rPr>
          <w:rFonts w:ascii="宋体" w:hAnsi="宋体"/>
          <w:b/>
          <w:color w:val="000000"/>
          <w:sz w:val="24"/>
        </w:rPr>
      </w:pPr>
      <w:r>
        <w:rPr>
          <w:rFonts w:ascii="宋体" w:hAnsi="宋体" w:hint="eastAsia"/>
          <w:b/>
          <w:color w:val="000000"/>
          <w:sz w:val="24"/>
        </w:rPr>
        <w:t>（七）暂停估值的情形</w:t>
      </w:r>
    </w:p>
    <w:p w14:paraId="2A7814CA" w14:textId="77777777" w:rsidR="00CF57A4" w:rsidRDefault="00B13D46">
      <w:pPr>
        <w:spacing w:line="476" w:lineRule="exact"/>
        <w:ind w:firstLineChars="200" w:firstLine="480"/>
        <w:rPr>
          <w:rFonts w:ascii="宋体" w:hAnsi="宋体"/>
          <w:color w:val="000000"/>
          <w:sz w:val="24"/>
        </w:rPr>
      </w:pPr>
      <w:r>
        <w:rPr>
          <w:rFonts w:ascii="宋体" w:hAnsi="宋体"/>
          <w:color w:val="000000"/>
          <w:sz w:val="24"/>
        </w:rPr>
        <w:t>1</w:t>
      </w:r>
      <w:r>
        <w:rPr>
          <w:rFonts w:ascii="宋体" w:hAnsi="宋体" w:hint="eastAsia"/>
          <w:color w:val="000000"/>
          <w:sz w:val="24"/>
        </w:rPr>
        <w:t>、基金投资所涉及的证券交易所遇法定节假日或因其他原因暂停营业时；</w:t>
      </w:r>
    </w:p>
    <w:p w14:paraId="5BC2427A" w14:textId="77777777" w:rsidR="00CF57A4" w:rsidRDefault="00B13D46">
      <w:pPr>
        <w:spacing w:line="476" w:lineRule="exact"/>
        <w:ind w:firstLineChars="200" w:firstLine="480"/>
        <w:rPr>
          <w:rFonts w:ascii="宋体" w:hAnsi="宋体"/>
          <w:color w:val="000000"/>
          <w:sz w:val="24"/>
        </w:rPr>
      </w:pPr>
      <w:r>
        <w:rPr>
          <w:rFonts w:ascii="宋体" w:hAnsi="宋体"/>
          <w:color w:val="000000"/>
          <w:sz w:val="24"/>
        </w:rPr>
        <w:t>2</w:t>
      </w:r>
      <w:r>
        <w:rPr>
          <w:rFonts w:ascii="宋体" w:hAnsi="宋体" w:hint="eastAsia"/>
          <w:color w:val="000000"/>
          <w:sz w:val="24"/>
        </w:rPr>
        <w:t>、因不可抗力或其他情形致使基金管理人、基金托管人无法准确评估基金资产价值时；</w:t>
      </w:r>
    </w:p>
    <w:p w14:paraId="467D2BE5" w14:textId="77777777" w:rsidR="00CF57A4" w:rsidRDefault="00B13D46">
      <w:pPr>
        <w:spacing w:line="476" w:lineRule="exact"/>
        <w:ind w:firstLineChars="200" w:firstLine="480"/>
        <w:rPr>
          <w:rFonts w:ascii="宋体" w:hAnsi="宋体"/>
          <w:color w:val="000000"/>
          <w:sz w:val="24"/>
        </w:rPr>
      </w:pPr>
      <w:r>
        <w:rPr>
          <w:rFonts w:ascii="宋体" w:hAnsi="宋体"/>
          <w:color w:val="000000"/>
          <w:sz w:val="24"/>
        </w:rPr>
        <w:lastRenderedPageBreak/>
        <w:t>3</w:t>
      </w:r>
      <w:r>
        <w:rPr>
          <w:rFonts w:ascii="宋体" w:hAnsi="宋体" w:hint="eastAsia"/>
          <w:color w:val="000000"/>
          <w:sz w:val="24"/>
        </w:rPr>
        <w:t>、占基金相当比例的投资品种的估值出现重大转变，而基金管理人为保障基金份额持有人的利益，决定延迟估值；</w:t>
      </w:r>
    </w:p>
    <w:p w14:paraId="6535E2C0" w14:textId="1F40DB60" w:rsidR="00631996" w:rsidRDefault="00631996">
      <w:pPr>
        <w:spacing w:line="476" w:lineRule="exact"/>
        <w:ind w:firstLineChars="200" w:firstLine="480"/>
        <w:rPr>
          <w:rFonts w:ascii="宋体" w:hAnsi="宋体"/>
          <w:color w:val="000000"/>
          <w:sz w:val="24"/>
        </w:rPr>
      </w:pPr>
      <w:r>
        <w:rPr>
          <w:rFonts w:ascii="宋体" w:hAnsi="宋体" w:hint="eastAsia"/>
          <w:color w:val="000000"/>
          <w:sz w:val="24"/>
        </w:rPr>
        <w:t>4</w:t>
      </w:r>
      <w:r>
        <w:rPr>
          <w:rFonts w:ascii="宋体" w:hAnsi="宋体"/>
          <w:color w:val="000000"/>
          <w:sz w:val="24"/>
        </w:rPr>
        <w:t>、</w:t>
      </w:r>
      <w:r w:rsidRPr="00631996">
        <w:rPr>
          <w:rFonts w:ascii="宋体" w:hAnsi="宋体" w:hint="eastAsia"/>
          <w:color w:val="000000"/>
          <w:sz w:val="24"/>
        </w:rPr>
        <w:t>当前一估值日基金资产净值50%以上的资产出现无可参考的活跃市场价格且采用估值技术仍导致公允价值存在重大不确定性时，经与基金托管人协商确认后，基金管理人应当暂停估值；</w:t>
      </w:r>
    </w:p>
    <w:p w14:paraId="4B09C768" w14:textId="5D579EDF" w:rsidR="00CF57A4" w:rsidRDefault="00631996">
      <w:pPr>
        <w:spacing w:line="476" w:lineRule="exact"/>
        <w:ind w:firstLineChars="200" w:firstLine="480"/>
        <w:rPr>
          <w:rFonts w:ascii="宋体" w:hAnsi="宋体"/>
          <w:color w:val="000000"/>
          <w:sz w:val="24"/>
        </w:rPr>
      </w:pPr>
      <w:r>
        <w:rPr>
          <w:rFonts w:ascii="宋体" w:hAnsi="宋体"/>
          <w:color w:val="000000"/>
          <w:sz w:val="24"/>
        </w:rPr>
        <w:t>5</w:t>
      </w:r>
      <w:r w:rsidR="00B13D46">
        <w:rPr>
          <w:rFonts w:ascii="宋体" w:hAnsi="宋体" w:hint="eastAsia"/>
          <w:color w:val="000000"/>
          <w:sz w:val="24"/>
        </w:rPr>
        <w:t>、中国证监会和基金合同认定的其他情形。</w:t>
      </w:r>
    </w:p>
    <w:p w14:paraId="5133CB1B" w14:textId="77777777" w:rsidR="00CF57A4" w:rsidRDefault="00B13D46">
      <w:pPr>
        <w:spacing w:line="476" w:lineRule="exact"/>
        <w:ind w:firstLineChars="200" w:firstLine="482"/>
        <w:rPr>
          <w:rFonts w:ascii="宋体" w:hAnsi="宋体"/>
          <w:b/>
          <w:color w:val="000000"/>
          <w:sz w:val="24"/>
        </w:rPr>
      </w:pPr>
      <w:r>
        <w:rPr>
          <w:rFonts w:ascii="宋体" w:hAnsi="宋体" w:hint="eastAsia"/>
          <w:b/>
          <w:color w:val="000000"/>
          <w:sz w:val="24"/>
        </w:rPr>
        <w:t>（八）基金净值的确认</w:t>
      </w:r>
    </w:p>
    <w:p w14:paraId="4B039AFB" w14:textId="77777777" w:rsidR="00CF57A4" w:rsidRDefault="00B13D46">
      <w:pPr>
        <w:spacing w:line="476" w:lineRule="exact"/>
        <w:ind w:firstLineChars="200" w:firstLine="480"/>
        <w:rPr>
          <w:rFonts w:ascii="宋体" w:hAnsi="宋体"/>
          <w:color w:val="000000"/>
          <w:sz w:val="24"/>
        </w:rPr>
      </w:pPr>
      <w:r>
        <w:rPr>
          <w:rFonts w:ascii="宋体" w:hAnsi="宋体" w:hint="eastAsia"/>
          <w:color w:val="000000"/>
          <w:sz w:val="24"/>
        </w:rPr>
        <w:t>用于基金信息披露的基金资产净值和基金份额净值由基金管理人负责计算，基金托管人负责进行复核。基金管理人应于每个工作日交易结束后将当日的净值计算结果发送给基金托管人。基金托管人对净值计算结果复核确认后发送给基金管理人，由基金管理人依据本基金合同和有关法律法规的规定对基金净值予以公布。</w:t>
      </w:r>
    </w:p>
    <w:p w14:paraId="645D76A8" w14:textId="77777777" w:rsidR="00CF57A4" w:rsidRDefault="00B13D46">
      <w:pPr>
        <w:spacing w:line="476" w:lineRule="exact"/>
        <w:ind w:firstLineChars="200" w:firstLine="480"/>
        <w:rPr>
          <w:rFonts w:ascii="宋体" w:hAnsi="宋体"/>
          <w:color w:val="000000"/>
          <w:sz w:val="24"/>
        </w:rPr>
      </w:pPr>
      <w:r>
        <w:rPr>
          <w:rFonts w:ascii="宋体" w:hAnsi="宋体" w:hint="eastAsia"/>
          <w:color w:val="000000"/>
          <w:sz w:val="24"/>
        </w:rPr>
        <w:t>基金份额净值的计算精确到</w:t>
      </w:r>
      <w:r>
        <w:rPr>
          <w:rFonts w:ascii="宋体" w:hAnsi="宋体"/>
          <w:color w:val="000000"/>
          <w:sz w:val="24"/>
        </w:rPr>
        <w:t>0.001</w:t>
      </w:r>
      <w:r>
        <w:rPr>
          <w:rFonts w:ascii="宋体" w:hAnsi="宋体" w:hint="eastAsia"/>
          <w:color w:val="000000"/>
          <w:sz w:val="24"/>
        </w:rPr>
        <w:t>元，小数点后第四位四舍五入。国家另有规定的，从其规定。</w:t>
      </w:r>
    </w:p>
    <w:p w14:paraId="709E0550" w14:textId="77777777" w:rsidR="00CF57A4" w:rsidRDefault="00B13D46">
      <w:pPr>
        <w:spacing w:line="476" w:lineRule="exact"/>
        <w:ind w:firstLineChars="200" w:firstLine="482"/>
        <w:rPr>
          <w:rFonts w:ascii="宋体" w:hAnsi="宋体"/>
          <w:b/>
          <w:color w:val="000000"/>
          <w:sz w:val="24"/>
        </w:rPr>
      </w:pPr>
      <w:r>
        <w:rPr>
          <w:rFonts w:ascii="宋体" w:hAnsi="宋体" w:hint="eastAsia"/>
          <w:b/>
          <w:color w:val="000000"/>
          <w:sz w:val="24"/>
        </w:rPr>
        <w:t>（九）特殊情形的处理</w:t>
      </w:r>
    </w:p>
    <w:p w14:paraId="793EB8AF" w14:textId="77777777" w:rsidR="00CF57A4" w:rsidRDefault="00B13D46">
      <w:pPr>
        <w:spacing w:line="476" w:lineRule="exact"/>
        <w:ind w:firstLineChars="200" w:firstLine="480"/>
        <w:rPr>
          <w:rFonts w:ascii="宋体" w:hAnsi="宋体"/>
          <w:color w:val="000000"/>
          <w:sz w:val="24"/>
        </w:rPr>
      </w:pPr>
      <w:r>
        <w:rPr>
          <w:rFonts w:ascii="宋体" w:hAnsi="宋体" w:hint="eastAsia"/>
          <w:color w:val="000000"/>
          <w:sz w:val="24"/>
        </w:rPr>
        <w:t>1、基金管理人或基金托管人按股票估值方法的第（3）项、债券估值方法的第（7）项、权证估值方法的第（4）项进行估值时，所造成的误差不作为基金资产估值错误处理。</w:t>
      </w:r>
    </w:p>
    <w:p w14:paraId="763FFDB1" w14:textId="77777777" w:rsidR="00CF57A4" w:rsidRDefault="00B13D46">
      <w:pPr>
        <w:spacing w:line="476" w:lineRule="exact"/>
        <w:ind w:firstLineChars="200" w:firstLine="480"/>
        <w:rPr>
          <w:rFonts w:ascii="宋体" w:hAnsi="宋体"/>
          <w:color w:val="000000"/>
          <w:sz w:val="24"/>
        </w:rPr>
      </w:pPr>
      <w:r>
        <w:rPr>
          <w:rFonts w:ascii="宋体" w:hAnsi="宋体"/>
          <w:color w:val="000000"/>
          <w:kern w:val="0"/>
          <w:sz w:val="24"/>
        </w:rPr>
        <w:t>2</w:t>
      </w:r>
      <w:r>
        <w:rPr>
          <w:rFonts w:ascii="宋体" w:hAnsi="宋体" w:hint="eastAsia"/>
          <w:color w:val="000000"/>
          <w:kern w:val="0"/>
          <w:sz w:val="24"/>
        </w:rPr>
        <w:t>、由于证券交易所或注册登记公司发送的数据错误，有关会计制度变化或由于其他不可抗力原因，基金管理人和基金托管人虽然已经采取必要、适当、合理的措施进行检查，但是未能发现该错误而造成的基金份额净值计算错误，基金管理人、基金托管人免除赔偿责任。但基金管理人、基金托管人应积极采取必要的措施消除由此造成的影响。</w:t>
      </w:r>
    </w:p>
    <w:p w14:paraId="0FF473B4" w14:textId="77777777" w:rsidR="00CF57A4" w:rsidRDefault="00CF57A4">
      <w:pPr>
        <w:spacing w:line="360" w:lineRule="auto"/>
        <w:rPr>
          <w:rFonts w:ascii="宋体" w:hAnsi="宋体"/>
          <w:color w:val="000000"/>
          <w:sz w:val="24"/>
        </w:rPr>
      </w:pPr>
    </w:p>
    <w:p w14:paraId="3007725E" w14:textId="77777777" w:rsidR="00CF57A4" w:rsidRDefault="00B13D46">
      <w:pPr>
        <w:pStyle w:val="af1"/>
        <w:rPr>
          <w:rFonts w:eastAsia="黑体"/>
          <w:color w:val="000000"/>
          <w:kern w:val="0"/>
          <w:sz w:val="30"/>
        </w:rPr>
      </w:pPr>
      <w:bookmarkStart w:id="131" w:name="_Hlt88900301"/>
      <w:bookmarkStart w:id="132" w:name="_Hlt80435237"/>
      <w:bookmarkStart w:id="133" w:name="_Hlt81129040"/>
      <w:bookmarkStart w:id="134" w:name="_Toc109537392"/>
      <w:bookmarkEnd w:id="131"/>
      <w:bookmarkEnd w:id="132"/>
      <w:bookmarkEnd w:id="133"/>
      <w:r>
        <w:rPr>
          <w:rFonts w:eastAsia="黑体"/>
          <w:color w:val="000000"/>
          <w:kern w:val="0"/>
          <w:sz w:val="30"/>
        </w:rPr>
        <w:br w:type="page"/>
      </w:r>
      <w:bookmarkStart w:id="135" w:name="_Toc320704006"/>
      <w:bookmarkStart w:id="136" w:name="_Toc320703955"/>
      <w:bookmarkStart w:id="137" w:name="_Toc322519881"/>
      <w:bookmarkStart w:id="138" w:name="_Toc322002730"/>
      <w:bookmarkStart w:id="139" w:name="_Toc320704079"/>
      <w:bookmarkStart w:id="140" w:name="_Toc320704366"/>
      <w:r>
        <w:rPr>
          <w:rFonts w:eastAsia="黑体" w:hint="eastAsia"/>
          <w:color w:val="000000"/>
          <w:kern w:val="0"/>
          <w:sz w:val="30"/>
        </w:rPr>
        <w:lastRenderedPageBreak/>
        <w:t>十四、基金的收益与分配</w:t>
      </w:r>
      <w:bookmarkEnd w:id="134"/>
      <w:bookmarkEnd w:id="135"/>
      <w:bookmarkEnd w:id="136"/>
      <w:bookmarkEnd w:id="137"/>
      <w:bookmarkEnd w:id="138"/>
      <w:bookmarkEnd w:id="139"/>
      <w:bookmarkEnd w:id="140"/>
    </w:p>
    <w:p w14:paraId="28BB5FE9" w14:textId="77777777" w:rsidR="00CF57A4" w:rsidRDefault="00B13D46">
      <w:pPr>
        <w:spacing w:line="360" w:lineRule="auto"/>
        <w:ind w:firstLineChars="200" w:firstLine="482"/>
        <w:rPr>
          <w:rFonts w:ascii="宋体" w:hAnsi="宋体"/>
          <w:b/>
          <w:color w:val="000000"/>
          <w:sz w:val="24"/>
        </w:rPr>
      </w:pPr>
      <w:bookmarkStart w:id="141" w:name="_Toc22006048"/>
      <w:r>
        <w:rPr>
          <w:rFonts w:ascii="宋体" w:hAnsi="宋体"/>
          <w:b/>
          <w:color w:val="000000"/>
          <w:sz w:val="24"/>
        </w:rPr>
        <w:t>(</w:t>
      </w:r>
      <w:r>
        <w:rPr>
          <w:rFonts w:ascii="宋体" w:hAnsi="宋体" w:hint="eastAsia"/>
          <w:b/>
          <w:color w:val="000000"/>
          <w:sz w:val="24"/>
        </w:rPr>
        <w:t>一</w:t>
      </w:r>
      <w:r>
        <w:rPr>
          <w:rFonts w:ascii="宋体" w:hAnsi="宋体"/>
          <w:b/>
          <w:color w:val="000000"/>
          <w:sz w:val="24"/>
        </w:rPr>
        <w:t>)</w:t>
      </w:r>
      <w:r>
        <w:rPr>
          <w:rFonts w:hint="eastAsia"/>
          <w:b/>
          <w:color w:val="000000"/>
        </w:rPr>
        <w:t xml:space="preserve"> </w:t>
      </w:r>
      <w:r>
        <w:rPr>
          <w:rFonts w:ascii="宋体" w:hAnsi="宋体" w:hint="eastAsia"/>
          <w:b/>
          <w:color w:val="000000"/>
          <w:sz w:val="24"/>
        </w:rPr>
        <w:t>基金利润的构成</w:t>
      </w:r>
    </w:p>
    <w:p w14:paraId="375B265E"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 xml:space="preserve">基金利润指基金利息收入、投资收益、公允价值变动收益和其他收入扣除相关费用后的余额；基金已实现收益指基金利润减去公允价值变动收益后的余额。       </w:t>
      </w:r>
    </w:p>
    <w:p w14:paraId="3EDBAAE2" w14:textId="77777777" w:rsidR="00CF57A4" w:rsidRDefault="00B13D46">
      <w:pPr>
        <w:spacing w:line="360" w:lineRule="auto"/>
        <w:ind w:firstLineChars="200" w:firstLine="482"/>
        <w:rPr>
          <w:rFonts w:ascii="宋体" w:hAnsi="宋体"/>
          <w:b/>
          <w:color w:val="000000"/>
          <w:sz w:val="24"/>
        </w:rPr>
      </w:pPr>
      <w:r>
        <w:rPr>
          <w:rFonts w:ascii="宋体" w:hAnsi="宋体"/>
          <w:b/>
          <w:color w:val="000000"/>
          <w:sz w:val="24"/>
        </w:rPr>
        <w:t>(</w:t>
      </w:r>
      <w:r>
        <w:rPr>
          <w:rFonts w:ascii="宋体" w:hAnsi="宋体" w:hint="eastAsia"/>
          <w:b/>
          <w:color w:val="000000"/>
          <w:sz w:val="24"/>
        </w:rPr>
        <w:t>二</w:t>
      </w:r>
      <w:r>
        <w:rPr>
          <w:rFonts w:ascii="宋体" w:hAnsi="宋体"/>
          <w:b/>
          <w:color w:val="000000"/>
          <w:sz w:val="24"/>
        </w:rPr>
        <w:t>)</w:t>
      </w:r>
      <w:r>
        <w:rPr>
          <w:rFonts w:ascii="宋体" w:hAnsi="宋体" w:hint="eastAsia"/>
          <w:b/>
          <w:color w:val="000000"/>
          <w:sz w:val="24"/>
        </w:rPr>
        <w:t>收益分配原则</w:t>
      </w:r>
    </w:p>
    <w:p w14:paraId="0C376590" w14:textId="77777777" w:rsidR="00CF57A4" w:rsidRDefault="00B13D46">
      <w:pPr>
        <w:snapToGrid w:val="0"/>
        <w:spacing w:line="360" w:lineRule="auto"/>
        <w:ind w:firstLineChars="200" w:firstLine="480"/>
        <w:rPr>
          <w:rFonts w:ascii="宋体" w:hAnsi="宋体"/>
          <w:color w:val="000000"/>
          <w:sz w:val="24"/>
        </w:rPr>
      </w:pPr>
      <w:r>
        <w:rPr>
          <w:rFonts w:ascii="宋体" w:hAnsi="宋体" w:hint="eastAsia"/>
          <w:color w:val="000000"/>
          <w:sz w:val="24"/>
        </w:rPr>
        <w:t>本基金收益分配应遵循下列原则：</w:t>
      </w:r>
    </w:p>
    <w:p w14:paraId="44400766" w14:textId="77777777" w:rsidR="00CF57A4" w:rsidRDefault="00B13D46">
      <w:pPr>
        <w:snapToGrid w:val="0"/>
        <w:spacing w:line="360" w:lineRule="auto"/>
        <w:ind w:firstLineChars="200" w:firstLine="480"/>
        <w:rPr>
          <w:rFonts w:ascii="宋体" w:hAnsi="宋体"/>
          <w:color w:val="000000"/>
          <w:sz w:val="24"/>
        </w:rPr>
      </w:pPr>
      <w:r>
        <w:rPr>
          <w:rFonts w:ascii="宋体" w:hAnsi="宋体"/>
          <w:color w:val="000000"/>
          <w:sz w:val="24"/>
        </w:rPr>
        <w:t>1</w:t>
      </w:r>
      <w:r>
        <w:rPr>
          <w:rFonts w:ascii="宋体" w:hAnsi="宋体" w:hint="eastAsia"/>
          <w:color w:val="000000"/>
          <w:sz w:val="24"/>
        </w:rPr>
        <w:t>、本基金的每份基金份额享有同等分配权；</w:t>
      </w:r>
    </w:p>
    <w:p w14:paraId="6768B5D6" w14:textId="77777777" w:rsidR="00CF57A4" w:rsidRDefault="00B13D46">
      <w:pPr>
        <w:snapToGrid w:val="0"/>
        <w:spacing w:line="360" w:lineRule="auto"/>
        <w:ind w:firstLineChars="200" w:firstLine="480"/>
        <w:rPr>
          <w:rFonts w:ascii="宋体" w:hAnsi="宋体"/>
          <w:color w:val="000000"/>
          <w:sz w:val="24"/>
          <w:szCs w:val="21"/>
        </w:rPr>
      </w:pPr>
      <w:r>
        <w:rPr>
          <w:rFonts w:ascii="宋体" w:hAnsi="宋体" w:hint="eastAsia"/>
          <w:color w:val="000000"/>
          <w:sz w:val="24"/>
          <w:szCs w:val="21"/>
        </w:rPr>
        <w:t>2、当基金净值增长率超过标的指数同期增长率达到1%以上时，可进行收益分配；</w:t>
      </w:r>
    </w:p>
    <w:p w14:paraId="3714AE28" w14:textId="77777777" w:rsidR="00CF57A4" w:rsidRDefault="00B13D46">
      <w:pPr>
        <w:snapToGrid w:val="0"/>
        <w:spacing w:line="360" w:lineRule="auto"/>
        <w:ind w:firstLineChars="200" w:firstLine="480"/>
        <w:rPr>
          <w:rFonts w:ascii="宋体" w:hAnsi="宋体"/>
          <w:color w:val="000000"/>
          <w:sz w:val="24"/>
        </w:rPr>
      </w:pPr>
      <w:r>
        <w:rPr>
          <w:rFonts w:ascii="宋体" w:hAnsi="宋体" w:hint="eastAsia"/>
          <w:color w:val="000000"/>
          <w:sz w:val="24"/>
          <w:szCs w:val="21"/>
        </w:rPr>
        <w:t>3、基于本基金的性质和特点，本基金收益分配不须以弥补浮动亏损为前提，收益分配后有可能使除息后的基金份额净值低于面值，</w:t>
      </w:r>
      <w:r>
        <w:rPr>
          <w:rStyle w:val="DeltaViewInsertion"/>
          <w:rFonts w:ascii="宋体" w:hAnsi="宋体" w:cs="宋体" w:hint="eastAsia"/>
          <w:color w:val="000000"/>
          <w:sz w:val="24"/>
          <w:u w:val="none"/>
        </w:rPr>
        <w:t>即</w:t>
      </w:r>
      <w:r>
        <w:rPr>
          <w:rStyle w:val="DeltaViewInsertion"/>
          <w:rFonts w:ascii="宋体" w:hAnsi="宋体" w:cs="宋体" w:hint="eastAsia"/>
          <w:color w:val="000000"/>
          <w:kern w:val="0"/>
          <w:sz w:val="24"/>
          <w:u w:val="none"/>
        </w:rPr>
        <w:t>基金收益分配基准日的基金份额净值减去每单位基金份额收益分配金额后可能低于面值</w:t>
      </w:r>
      <w:r>
        <w:rPr>
          <w:rFonts w:ascii="宋体" w:hAnsi="宋体" w:hint="eastAsia"/>
          <w:color w:val="000000"/>
          <w:sz w:val="24"/>
          <w:szCs w:val="21"/>
        </w:rPr>
        <w:t>；</w:t>
      </w:r>
    </w:p>
    <w:p w14:paraId="2F69FF16" w14:textId="77777777" w:rsidR="00CF57A4" w:rsidRDefault="00B13D46">
      <w:pPr>
        <w:snapToGrid w:val="0"/>
        <w:spacing w:line="360" w:lineRule="auto"/>
        <w:ind w:firstLineChars="200" w:firstLine="480"/>
        <w:rPr>
          <w:rFonts w:ascii="宋体" w:hAnsi="宋体"/>
          <w:color w:val="000000"/>
          <w:sz w:val="24"/>
          <w:szCs w:val="21"/>
        </w:rPr>
      </w:pPr>
      <w:r>
        <w:rPr>
          <w:rFonts w:ascii="宋体" w:hAnsi="宋体" w:hint="eastAsia"/>
          <w:color w:val="000000"/>
          <w:sz w:val="24"/>
        </w:rPr>
        <w:t>4、</w:t>
      </w:r>
      <w:r>
        <w:rPr>
          <w:rFonts w:ascii="宋体" w:hAnsi="宋体" w:hint="eastAsia"/>
          <w:color w:val="000000"/>
          <w:sz w:val="24"/>
          <w:szCs w:val="21"/>
        </w:rPr>
        <w:t xml:space="preserve">本基金收益每年最多分配12次，每次基金收益分配比例依据以下原则确定：使收益分配后基金份额净值增长率尽可能贴近标的指数同期增长率； </w:t>
      </w:r>
    </w:p>
    <w:p w14:paraId="106BBE92" w14:textId="77777777" w:rsidR="00CF57A4" w:rsidRDefault="00B13D46">
      <w:pPr>
        <w:snapToGrid w:val="0"/>
        <w:spacing w:line="360" w:lineRule="auto"/>
        <w:ind w:firstLineChars="200" w:firstLine="480"/>
        <w:rPr>
          <w:rFonts w:ascii="宋体" w:hAnsi="宋体"/>
          <w:color w:val="000000"/>
          <w:sz w:val="24"/>
        </w:rPr>
      </w:pPr>
      <w:r>
        <w:rPr>
          <w:rFonts w:ascii="宋体" w:hAnsi="宋体" w:hint="eastAsia"/>
          <w:color w:val="000000"/>
          <w:sz w:val="24"/>
        </w:rPr>
        <w:t>5、本基金收益分配采取现金分红方式；</w:t>
      </w:r>
    </w:p>
    <w:p w14:paraId="107A96C6" w14:textId="77777777" w:rsidR="00CF57A4" w:rsidRDefault="00B13D46">
      <w:pPr>
        <w:snapToGrid w:val="0"/>
        <w:spacing w:line="360" w:lineRule="auto"/>
        <w:ind w:firstLineChars="200" w:firstLine="480"/>
        <w:rPr>
          <w:rFonts w:ascii="宋体" w:hAnsi="宋体"/>
          <w:color w:val="000000"/>
          <w:sz w:val="24"/>
        </w:rPr>
      </w:pPr>
      <w:r>
        <w:rPr>
          <w:rFonts w:ascii="宋体" w:hAnsi="宋体" w:hint="eastAsia"/>
          <w:color w:val="000000"/>
          <w:sz w:val="24"/>
        </w:rPr>
        <w:t>6、法律法规或监管机构另有规定的从其规定。</w:t>
      </w:r>
    </w:p>
    <w:p w14:paraId="49F6D217" w14:textId="77777777" w:rsidR="00CF57A4" w:rsidRDefault="00B13D46">
      <w:pPr>
        <w:snapToGrid w:val="0"/>
        <w:spacing w:line="360" w:lineRule="auto"/>
        <w:ind w:firstLineChars="200" w:firstLine="480"/>
        <w:rPr>
          <w:rFonts w:ascii="宋体" w:hAnsi="宋体"/>
          <w:color w:val="000000"/>
          <w:sz w:val="24"/>
        </w:rPr>
      </w:pPr>
      <w:r>
        <w:rPr>
          <w:rFonts w:ascii="宋体" w:hAnsi="宋体" w:hint="eastAsia"/>
          <w:color w:val="000000"/>
          <w:sz w:val="24"/>
        </w:rPr>
        <w:t>在不影响投资者利益的情况下，基金管理人可在法律法规允许的前提下酌情调整以上基金收益分配原则，并于变更实施日前在指定媒体上公告。</w:t>
      </w:r>
    </w:p>
    <w:p w14:paraId="1CE6A3FC" w14:textId="77777777" w:rsidR="00CF57A4" w:rsidRDefault="00B13D46">
      <w:pPr>
        <w:snapToGrid w:val="0"/>
        <w:spacing w:line="360" w:lineRule="auto"/>
        <w:ind w:firstLineChars="200" w:firstLine="482"/>
        <w:rPr>
          <w:rFonts w:ascii="宋体" w:hAnsi="宋体" w:cs="宋体"/>
          <w:b/>
          <w:bCs/>
          <w:color w:val="000000"/>
          <w:sz w:val="24"/>
        </w:rPr>
      </w:pPr>
      <w:bookmarkStart w:id="142" w:name="_DV_C871"/>
      <w:r>
        <w:rPr>
          <w:rFonts w:ascii="宋体" w:hAnsi="宋体"/>
          <w:b/>
          <w:color w:val="000000"/>
          <w:sz w:val="24"/>
        </w:rPr>
        <w:t>(</w:t>
      </w:r>
      <w:r>
        <w:rPr>
          <w:rFonts w:ascii="宋体" w:hAnsi="宋体" w:hint="eastAsia"/>
          <w:b/>
          <w:color w:val="000000"/>
          <w:sz w:val="24"/>
        </w:rPr>
        <w:t>三</w:t>
      </w:r>
      <w:r>
        <w:rPr>
          <w:rFonts w:ascii="宋体" w:hAnsi="宋体"/>
          <w:b/>
          <w:color w:val="000000"/>
          <w:sz w:val="24"/>
        </w:rPr>
        <w:t>)</w:t>
      </w:r>
      <w:r>
        <w:rPr>
          <w:rFonts w:ascii="宋体" w:hAnsi="宋体" w:hint="eastAsia"/>
          <w:b/>
          <w:color w:val="000000"/>
          <w:sz w:val="24"/>
        </w:rPr>
        <w:t>基金收益分配数额的确定</w:t>
      </w:r>
      <w:bookmarkEnd w:id="142"/>
    </w:p>
    <w:p w14:paraId="572DB60A" w14:textId="77777777" w:rsidR="00CF57A4" w:rsidRDefault="00B13D46">
      <w:pPr>
        <w:snapToGrid w:val="0"/>
        <w:spacing w:line="360" w:lineRule="auto"/>
        <w:ind w:firstLineChars="200" w:firstLine="480"/>
        <w:rPr>
          <w:rFonts w:ascii="宋体" w:hAnsi="宋体" w:cs="宋体"/>
          <w:color w:val="000000"/>
          <w:sz w:val="24"/>
        </w:rPr>
      </w:pPr>
      <w:bookmarkStart w:id="143" w:name="_DV_C872"/>
      <w:r>
        <w:rPr>
          <w:rStyle w:val="DeltaViewInsertion"/>
          <w:rFonts w:ascii="宋体" w:hAnsi="宋体" w:cs="宋体"/>
          <w:color w:val="000000"/>
          <w:sz w:val="24"/>
          <w:u w:val="none"/>
        </w:rPr>
        <w:t>1</w:t>
      </w:r>
      <w:r>
        <w:rPr>
          <w:rStyle w:val="DeltaViewInsertion"/>
          <w:rFonts w:ascii="宋体" w:hAnsi="宋体" w:cs="宋体" w:hint="eastAsia"/>
          <w:color w:val="000000"/>
          <w:sz w:val="24"/>
          <w:u w:val="none"/>
        </w:rPr>
        <w:t>、在收益评价日，基金管理人计算基金净值增长率和标的指数同期增长率，并计算基金净值增长率与标的指数同期净值增长率的差额，当差额超过</w:t>
      </w:r>
      <w:r>
        <w:rPr>
          <w:rStyle w:val="DeltaViewInsertion"/>
          <w:rFonts w:ascii="宋体" w:hAnsi="宋体" w:cs="宋体"/>
          <w:color w:val="000000"/>
          <w:sz w:val="24"/>
          <w:u w:val="none"/>
        </w:rPr>
        <w:t>1%</w:t>
      </w:r>
      <w:r>
        <w:rPr>
          <w:rStyle w:val="DeltaViewInsertion"/>
          <w:rFonts w:ascii="宋体" w:hAnsi="宋体" w:cs="宋体" w:hint="eastAsia"/>
          <w:color w:val="000000"/>
          <w:sz w:val="24"/>
          <w:u w:val="none"/>
        </w:rPr>
        <w:t>时，基金管理人有权进行收益分配。</w:t>
      </w:r>
      <w:bookmarkEnd w:id="143"/>
    </w:p>
    <w:p w14:paraId="0FAD8004" w14:textId="77777777" w:rsidR="00CF57A4" w:rsidRDefault="00B13D46">
      <w:pPr>
        <w:snapToGrid w:val="0"/>
        <w:spacing w:line="360" w:lineRule="auto"/>
        <w:ind w:firstLineChars="200" w:firstLine="480"/>
        <w:rPr>
          <w:rStyle w:val="DeltaViewInsertion"/>
          <w:rFonts w:ascii="宋体" w:hAnsi="宋体" w:cs="宋体"/>
          <w:color w:val="000000"/>
          <w:sz w:val="24"/>
          <w:u w:val="none"/>
        </w:rPr>
      </w:pPr>
      <w:r>
        <w:rPr>
          <w:rStyle w:val="DeltaViewInsertion"/>
          <w:rFonts w:ascii="宋体" w:hAnsi="宋体" w:cs="宋体"/>
          <w:color w:val="000000"/>
          <w:sz w:val="24"/>
          <w:u w:val="none"/>
        </w:rPr>
        <w:t>2</w:t>
      </w:r>
      <w:bookmarkStart w:id="144" w:name="_DV_C874"/>
      <w:r>
        <w:rPr>
          <w:rStyle w:val="DeltaViewInsertion"/>
          <w:rFonts w:ascii="宋体" w:hAnsi="宋体" w:cs="宋体" w:hint="eastAsia"/>
          <w:color w:val="000000"/>
          <w:sz w:val="24"/>
          <w:u w:val="none"/>
        </w:rPr>
        <w:t>、根据前述收益分配原则确定收益评价日本基金的收益分配比例及收益分配数额。</w:t>
      </w:r>
      <w:bookmarkEnd w:id="144"/>
    </w:p>
    <w:p w14:paraId="0E14DFE4" w14:textId="77777777" w:rsidR="00CF57A4" w:rsidRDefault="00B13D46">
      <w:pPr>
        <w:snapToGrid w:val="0"/>
        <w:spacing w:line="360" w:lineRule="auto"/>
        <w:ind w:firstLineChars="200" w:firstLine="482"/>
        <w:rPr>
          <w:rFonts w:ascii="宋体" w:hAnsi="宋体"/>
          <w:b/>
          <w:color w:val="000000"/>
          <w:sz w:val="24"/>
        </w:rPr>
      </w:pPr>
      <w:r>
        <w:rPr>
          <w:rFonts w:ascii="宋体" w:hAnsi="宋体"/>
          <w:b/>
          <w:color w:val="000000"/>
          <w:sz w:val="24"/>
        </w:rPr>
        <w:t>(</w:t>
      </w:r>
      <w:r>
        <w:rPr>
          <w:rFonts w:ascii="宋体" w:hAnsi="宋体" w:hint="eastAsia"/>
          <w:b/>
          <w:color w:val="000000"/>
          <w:sz w:val="24"/>
        </w:rPr>
        <w:t>四</w:t>
      </w:r>
      <w:r>
        <w:rPr>
          <w:rFonts w:ascii="宋体" w:hAnsi="宋体"/>
          <w:b/>
          <w:color w:val="000000"/>
          <w:sz w:val="24"/>
        </w:rPr>
        <w:t>)</w:t>
      </w:r>
      <w:r>
        <w:rPr>
          <w:rFonts w:ascii="宋体" w:hAnsi="宋体" w:hint="eastAsia"/>
          <w:b/>
          <w:color w:val="000000"/>
          <w:sz w:val="24"/>
        </w:rPr>
        <w:t>收益分配方案</w:t>
      </w:r>
    </w:p>
    <w:p w14:paraId="51DDD76A" w14:textId="77777777" w:rsidR="00CF57A4" w:rsidRDefault="00B13D46">
      <w:pPr>
        <w:snapToGrid w:val="0"/>
        <w:spacing w:line="360" w:lineRule="auto"/>
        <w:ind w:firstLineChars="200" w:firstLine="480"/>
        <w:rPr>
          <w:rFonts w:ascii="宋体" w:hAnsi="宋体"/>
          <w:color w:val="000000"/>
          <w:sz w:val="24"/>
        </w:rPr>
      </w:pPr>
      <w:r>
        <w:rPr>
          <w:rFonts w:ascii="宋体" w:hAnsi="宋体" w:hint="eastAsia"/>
          <w:color w:val="000000"/>
          <w:sz w:val="24"/>
        </w:rPr>
        <w:t>基金收益分配方案中应载明基金收益分配对象、分配时间、分配数额及比例、分配方式等内容。</w:t>
      </w:r>
    </w:p>
    <w:p w14:paraId="469DD014" w14:textId="77777777" w:rsidR="00CF57A4" w:rsidRDefault="00B13D46">
      <w:pPr>
        <w:spacing w:line="360" w:lineRule="auto"/>
        <w:ind w:firstLineChars="200" w:firstLine="482"/>
        <w:rPr>
          <w:rFonts w:ascii="宋体" w:hAnsi="宋体"/>
          <w:b/>
          <w:color w:val="000000"/>
          <w:sz w:val="24"/>
        </w:rPr>
      </w:pPr>
      <w:r>
        <w:rPr>
          <w:rFonts w:ascii="宋体" w:hAnsi="宋体"/>
          <w:b/>
          <w:color w:val="000000"/>
          <w:sz w:val="24"/>
        </w:rPr>
        <w:t>(</w:t>
      </w:r>
      <w:r>
        <w:rPr>
          <w:rFonts w:ascii="宋体" w:hAnsi="宋体" w:hint="eastAsia"/>
          <w:b/>
          <w:color w:val="000000"/>
          <w:sz w:val="24"/>
        </w:rPr>
        <w:t>五</w:t>
      </w:r>
      <w:r>
        <w:rPr>
          <w:rFonts w:ascii="宋体" w:hAnsi="宋体"/>
          <w:b/>
          <w:color w:val="000000"/>
          <w:sz w:val="24"/>
        </w:rPr>
        <w:t>)</w:t>
      </w:r>
      <w:r>
        <w:rPr>
          <w:rFonts w:ascii="宋体" w:hAnsi="宋体" w:hint="eastAsia"/>
          <w:b/>
          <w:color w:val="000000"/>
          <w:sz w:val="24"/>
        </w:rPr>
        <w:t>收益分配方案的确定、公告与实施</w:t>
      </w:r>
    </w:p>
    <w:p w14:paraId="2F446F8D" w14:textId="77777777" w:rsidR="00CF57A4" w:rsidRDefault="00B13D46">
      <w:pPr>
        <w:spacing w:line="360" w:lineRule="auto"/>
        <w:ind w:firstLineChars="200" w:firstLine="480"/>
        <w:rPr>
          <w:rFonts w:ascii="宋体" w:hAnsi="宋体"/>
          <w:color w:val="000000"/>
          <w:sz w:val="24"/>
        </w:rPr>
      </w:pPr>
      <w:r>
        <w:rPr>
          <w:rFonts w:ascii="宋体" w:hAnsi="宋体"/>
          <w:color w:val="000000"/>
          <w:sz w:val="24"/>
        </w:rPr>
        <w:t>1</w:t>
      </w:r>
      <w:r>
        <w:rPr>
          <w:rFonts w:ascii="宋体" w:hAnsi="宋体" w:hint="eastAsia"/>
          <w:color w:val="000000"/>
          <w:sz w:val="24"/>
        </w:rPr>
        <w:t>、本基金收益分配方案由基金管理人拟定、由基金托管人复核，基金管理人</w:t>
      </w:r>
      <w:r>
        <w:rPr>
          <w:rFonts w:ascii="宋体" w:hAnsi="宋体" w:hint="eastAsia"/>
          <w:color w:val="000000"/>
          <w:sz w:val="24"/>
        </w:rPr>
        <w:lastRenderedPageBreak/>
        <w:t>按法律法规的规定公告并向中国证监会备案。</w:t>
      </w:r>
    </w:p>
    <w:p w14:paraId="6F78375B" w14:textId="77777777" w:rsidR="00CF57A4" w:rsidRDefault="00B13D46">
      <w:pPr>
        <w:spacing w:line="360" w:lineRule="auto"/>
        <w:ind w:firstLineChars="200" w:firstLine="480"/>
        <w:rPr>
          <w:rFonts w:ascii="宋体" w:hAnsi="宋体"/>
          <w:color w:val="000000"/>
          <w:sz w:val="24"/>
        </w:rPr>
      </w:pPr>
      <w:r>
        <w:rPr>
          <w:rFonts w:ascii="宋体" w:hAnsi="宋体"/>
          <w:color w:val="000000"/>
          <w:sz w:val="24"/>
        </w:rPr>
        <w:t>2</w:t>
      </w:r>
      <w:r>
        <w:rPr>
          <w:rFonts w:ascii="宋体" w:hAnsi="宋体" w:hint="eastAsia"/>
          <w:color w:val="000000"/>
          <w:sz w:val="24"/>
        </w:rPr>
        <w:t>、本基金收益分配的发放日距离收益分配基准日的时间不超过15个工作日。在分配方案公布后</w:t>
      </w:r>
      <w:r>
        <w:rPr>
          <w:rFonts w:ascii="宋体" w:hAnsi="宋体"/>
          <w:color w:val="000000"/>
          <w:sz w:val="24"/>
        </w:rPr>
        <w:t>(</w:t>
      </w:r>
      <w:r>
        <w:rPr>
          <w:rFonts w:ascii="宋体" w:hAnsi="宋体" w:hint="eastAsia"/>
          <w:color w:val="000000"/>
          <w:sz w:val="24"/>
        </w:rPr>
        <w:t>依据具体方案的规定</w:t>
      </w:r>
      <w:r>
        <w:rPr>
          <w:rFonts w:ascii="宋体" w:hAnsi="宋体"/>
          <w:color w:val="000000"/>
          <w:sz w:val="24"/>
        </w:rPr>
        <w:t>)</w:t>
      </w:r>
      <w:r>
        <w:rPr>
          <w:rFonts w:ascii="宋体" w:hAnsi="宋体" w:hint="eastAsia"/>
          <w:color w:val="000000"/>
          <w:sz w:val="24"/>
        </w:rPr>
        <w:t>，基金管理人就支付的现金红利向基金托管人发送划款指令，基金托管人按照基金管理人的指令及时进行分红资金的划付。</w:t>
      </w:r>
    </w:p>
    <w:p w14:paraId="71F094AB"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3、法律法规或监管机关另有规定的，从其规定。</w:t>
      </w:r>
    </w:p>
    <w:p w14:paraId="358452A4" w14:textId="77777777" w:rsidR="00CF57A4" w:rsidRDefault="00CF57A4">
      <w:pPr>
        <w:pStyle w:val="a8"/>
        <w:rPr>
          <w:color w:val="000000"/>
        </w:rPr>
      </w:pPr>
      <w:bookmarkStart w:id="145" w:name="_Toc109537393"/>
      <w:bookmarkEnd w:id="141"/>
    </w:p>
    <w:p w14:paraId="3063346C" w14:textId="77777777" w:rsidR="00CF57A4" w:rsidRDefault="00B13D46">
      <w:pPr>
        <w:pStyle w:val="af1"/>
        <w:rPr>
          <w:rFonts w:eastAsia="黑体"/>
          <w:color w:val="000000"/>
          <w:kern w:val="0"/>
          <w:sz w:val="30"/>
        </w:rPr>
      </w:pPr>
      <w:r>
        <w:rPr>
          <w:rFonts w:eastAsia="黑体"/>
          <w:color w:val="000000"/>
          <w:kern w:val="0"/>
          <w:sz w:val="30"/>
        </w:rPr>
        <w:br w:type="page"/>
      </w:r>
      <w:bookmarkStart w:id="146" w:name="_Toc320704080"/>
      <w:bookmarkStart w:id="147" w:name="_Toc320704367"/>
      <w:bookmarkStart w:id="148" w:name="_Toc322002731"/>
      <w:bookmarkStart w:id="149" w:name="_Toc322519882"/>
      <w:bookmarkStart w:id="150" w:name="_Toc320703956"/>
      <w:bookmarkStart w:id="151" w:name="_Toc320704007"/>
      <w:r>
        <w:rPr>
          <w:rFonts w:eastAsia="黑体" w:hint="eastAsia"/>
          <w:color w:val="000000"/>
          <w:kern w:val="0"/>
          <w:sz w:val="30"/>
        </w:rPr>
        <w:lastRenderedPageBreak/>
        <w:t>十五、基金的费用与税收</w:t>
      </w:r>
      <w:bookmarkEnd w:id="145"/>
      <w:bookmarkEnd w:id="146"/>
      <w:bookmarkEnd w:id="147"/>
      <w:bookmarkEnd w:id="148"/>
      <w:bookmarkEnd w:id="149"/>
      <w:bookmarkEnd w:id="150"/>
      <w:bookmarkEnd w:id="151"/>
    </w:p>
    <w:p w14:paraId="68DEDAB7" w14:textId="77777777" w:rsidR="00CF57A4" w:rsidRDefault="00B13D46">
      <w:pPr>
        <w:spacing w:line="360" w:lineRule="auto"/>
        <w:ind w:firstLineChars="200" w:firstLine="482"/>
        <w:rPr>
          <w:rFonts w:ascii="宋体" w:hAnsi="宋体"/>
          <w:b/>
          <w:color w:val="000000"/>
          <w:sz w:val="24"/>
        </w:rPr>
      </w:pPr>
      <w:r>
        <w:rPr>
          <w:rFonts w:ascii="宋体" w:hAnsi="宋体"/>
          <w:b/>
          <w:color w:val="000000"/>
          <w:sz w:val="24"/>
        </w:rPr>
        <w:t>(</w:t>
      </w:r>
      <w:r>
        <w:rPr>
          <w:rFonts w:ascii="宋体" w:hAnsi="宋体" w:hint="eastAsia"/>
          <w:b/>
          <w:color w:val="000000"/>
          <w:sz w:val="24"/>
        </w:rPr>
        <w:t>一</w:t>
      </w:r>
      <w:r>
        <w:rPr>
          <w:rFonts w:ascii="宋体" w:hAnsi="宋体"/>
          <w:b/>
          <w:color w:val="000000"/>
          <w:sz w:val="24"/>
        </w:rPr>
        <w:t>)</w:t>
      </w:r>
      <w:r>
        <w:rPr>
          <w:rFonts w:ascii="宋体" w:hAnsi="宋体" w:hint="eastAsia"/>
          <w:b/>
          <w:color w:val="000000"/>
          <w:sz w:val="24"/>
        </w:rPr>
        <w:t>基金费用的种类</w:t>
      </w:r>
    </w:p>
    <w:p w14:paraId="48798342" w14:textId="77777777" w:rsidR="00CF57A4" w:rsidRDefault="00B13D46">
      <w:pPr>
        <w:spacing w:line="360" w:lineRule="auto"/>
        <w:ind w:firstLineChars="200" w:firstLine="480"/>
        <w:rPr>
          <w:rFonts w:ascii="宋体" w:hAnsi="宋体"/>
          <w:color w:val="000000"/>
          <w:sz w:val="24"/>
        </w:rPr>
      </w:pPr>
      <w:r>
        <w:rPr>
          <w:rFonts w:ascii="宋体" w:hAnsi="宋体"/>
          <w:color w:val="000000"/>
          <w:sz w:val="24"/>
        </w:rPr>
        <w:t>1</w:t>
      </w:r>
      <w:r>
        <w:rPr>
          <w:rFonts w:ascii="宋体" w:hAnsi="宋体" w:hint="eastAsia"/>
          <w:color w:val="000000"/>
          <w:sz w:val="24"/>
        </w:rPr>
        <w:t>、基金管理人的管理费；</w:t>
      </w:r>
    </w:p>
    <w:p w14:paraId="78AD6094" w14:textId="77777777" w:rsidR="00CF57A4" w:rsidRDefault="00B13D46">
      <w:pPr>
        <w:spacing w:line="360" w:lineRule="auto"/>
        <w:ind w:firstLineChars="200" w:firstLine="480"/>
        <w:rPr>
          <w:rFonts w:ascii="宋体" w:hAnsi="宋体"/>
          <w:color w:val="000000"/>
          <w:sz w:val="24"/>
        </w:rPr>
      </w:pPr>
      <w:r>
        <w:rPr>
          <w:rFonts w:ascii="宋体" w:hAnsi="宋体"/>
          <w:color w:val="000000"/>
          <w:sz w:val="24"/>
        </w:rPr>
        <w:t>2</w:t>
      </w:r>
      <w:r>
        <w:rPr>
          <w:rFonts w:ascii="宋体" w:hAnsi="宋体" w:hint="eastAsia"/>
          <w:color w:val="000000"/>
          <w:sz w:val="24"/>
        </w:rPr>
        <w:t>、基金托管人的托管费；</w:t>
      </w:r>
    </w:p>
    <w:p w14:paraId="2E5EF34B" w14:textId="77777777" w:rsidR="00CF57A4" w:rsidRDefault="00B13D46">
      <w:pPr>
        <w:spacing w:line="360" w:lineRule="auto"/>
        <w:ind w:firstLineChars="200" w:firstLine="480"/>
        <w:rPr>
          <w:rFonts w:ascii="宋体" w:hAnsi="宋体"/>
          <w:color w:val="000000"/>
          <w:sz w:val="24"/>
        </w:rPr>
      </w:pPr>
      <w:r>
        <w:rPr>
          <w:rFonts w:ascii="宋体" w:hAnsi="宋体"/>
          <w:color w:val="000000"/>
          <w:sz w:val="24"/>
        </w:rPr>
        <w:t>3</w:t>
      </w:r>
      <w:r>
        <w:rPr>
          <w:rFonts w:ascii="宋体" w:hAnsi="宋体" w:hint="eastAsia"/>
          <w:color w:val="000000"/>
          <w:sz w:val="24"/>
        </w:rPr>
        <w:t>、基金合同生效后的信息披露费用；</w:t>
      </w:r>
    </w:p>
    <w:p w14:paraId="0BA862E2" w14:textId="77777777" w:rsidR="00CF57A4" w:rsidRDefault="00B13D46">
      <w:pPr>
        <w:spacing w:line="360" w:lineRule="auto"/>
        <w:ind w:firstLineChars="200" w:firstLine="480"/>
        <w:rPr>
          <w:rFonts w:ascii="宋体" w:hAnsi="宋体"/>
          <w:color w:val="000000"/>
          <w:sz w:val="24"/>
        </w:rPr>
      </w:pPr>
      <w:r>
        <w:rPr>
          <w:rFonts w:ascii="宋体" w:hAnsi="宋体"/>
          <w:color w:val="000000"/>
          <w:sz w:val="24"/>
        </w:rPr>
        <w:t>4</w:t>
      </w:r>
      <w:r>
        <w:rPr>
          <w:rFonts w:ascii="宋体" w:hAnsi="宋体" w:hint="eastAsia"/>
          <w:color w:val="000000"/>
          <w:sz w:val="24"/>
        </w:rPr>
        <w:t>、标的指数使用许可费；</w:t>
      </w:r>
    </w:p>
    <w:p w14:paraId="55E63B63"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5、基金上市费及年费；</w:t>
      </w:r>
    </w:p>
    <w:p w14:paraId="7C812325"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6、基金收益分配中发生的费用；</w:t>
      </w:r>
    </w:p>
    <w:p w14:paraId="012E4F03"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7、基金份额持有人大会费用；</w:t>
      </w:r>
    </w:p>
    <w:p w14:paraId="6899D046"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8、基金合同生效后与基金有关的会计师费和律师费；</w:t>
      </w:r>
    </w:p>
    <w:p w14:paraId="6FD7F162"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9、基金的证券交易费用；</w:t>
      </w:r>
    </w:p>
    <w:p w14:paraId="4A542DBE"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10、基金财产拨划支付的银行费用；</w:t>
      </w:r>
    </w:p>
    <w:p w14:paraId="1A6BB6A8"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11、按照国家有关规定可以在基金财产中列支的其他费用。</w:t>
      </w:r>
    </w:p>
    <w:p w14:paraId="314AFC56" w14:textId="77777777" w:rsidR="00CF57A4" w:rsidRDefault="00B13D46">
      <w:pPr>
        <w:spacing w:line="360" w:lineRule="auto"/>
        <w:ind w:firstLineChars="200" w:firstLine="482"/>
        <w:rPr>
          <w:rFonts w:ascii="宋体" w:hAnsi="宋体"/>
          <w:b/>
          <w:color w:val="000000"/>
          <w:sz w:val="24"/>
        </w:rPr>
      </w:pPr>
      <w:r>
        <w:rPr>
          <w:rFonts w:ascii="宋体" w:hAnsi="宋体"/>
          <w:b/>
          <w:color w:val="000000"/>
          <w:sz w:val="24"/>
        </w:rPr>
        <w:t>(</w:t>
      </w:r>
      <w:r>
        <w:rPr>
          <w:rFonts w:ascii="宋体" w:hAnsi="宋体" w:hint="eastAsia"/>
          <w:b/>
          <w:color w:val="000000"/>
          <w:sz w:val="24"/>
        </w:rPr>
        <w:t>二</w:t>
      </w:r>
      <w:r>
        <w:rPr>
          <w:rFonts w:ascii="宋体" w:hAnsi="宋体"/>
          <w:b/>
          <w:color w:val="000000"/>
          <w:sz w:val="24"/>
        </w:rPr>
        <w:t>)</w:t>
      </w:r>
      <w:r>
        <w:rPr>
          <w:rFonts w:ascii="宋体" w:hAnsi="宋体" w:hint="eastAsia"/>
          <w:b/>
          <w:color w:val="000000"/>
          <w:sz w:val="24"/>
        </w:rPr>
        <w:t>基金费用计提方法、计提标准和支付方式</w:t>
      </w:r>
    </w:p>
    <w:p w14:paraId="24BF36A7" w14:textId="77777777" w:rsidR="00CF57A4" w:rsidRDefault="00B13D46">
      <w:pPr>
        <w:spacing w:line="360" w:lineRule="auto"/>
        <w:ind w:firstLineChars="200" w:firstLine="480"/>
        <w:rPr>
          <w:rFonts w:ascii="宋体" w:hAnsi="宋体"/>
          <w:sz w:val="24"/>
        </w:rPr>
      </w:pPr>
      <w:r>
        <w:rPr>
          <w:rFonts w:ascii="宋体" w:hAnsi="宋体"/>
          <w:color w:val="000000"/>
          <w:sz w:val="24"/>
        </w:rPr>
        <w:t>1</w:t>
      </w:r>
      <w:r>
        <w:rPr>
          <w:rFonts w:ascii="宋体" w:hAnsi="宋体" w:hint="eastAsia"/>
          <w:color w:val="000000"/>
          <w:sz w:val="24"/>
        </w:rPr>
        <w:t>、</w:t>
      </w:r>
      <w:r>
        <w:rPr>
          <w:rFonts w:ascii="宋体" w:hAnsi="宋体" w:hint="eastAsia"/>
          <w:sz w:val="24"/>
        </w:rPr>
        <w:t>与基金运作有关的费用</w:t>
      </w:r>
    </w:p>
    <w:p w14:paraId="56A05C1D" w14:textId="77777777" w:rsidR="00CF57A4" w:rsidRDefault="00B13D46">
      <w:pPr>
        <w:spacing w:line="360" w:lineRule="auto"/>
        <w:ind w:firstLineChars="200" w:firstLine="480"/>
        <w:rPr>
          <w:rFonts w:ascii="宋体" w:hAnsi="宋体"/>
          <w:color w:val="000000"/>
          <w:sz w:val="24"/>
        </w:rPr>
      </w:pPr>
      <w:r>
        <w:rPr>
          <w:rFonts w:ascii="宋体" w:hAnsi="宋体" w:hint="eastAsia"/>
          <w:sz w:val="24"/>
        </w:rPr>
        <w:t>（1）</w:t>
      </w:r>
      <w:r>
        <w:rPr>
          <w:rFonts w:ascii="宋体" w:hAnsi="宋体" w:hint="eastAsia"/>
          <w:color w:val="000000"/>
          <w:sz w:val="24"/>
        </w:rPr>
        <w:t>基金管理人的管理费</w:t>
      </w:r>
    </w:p>
    <w:p w14:paraId="60FAAE42"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在通常情况下，基金管理费按前一日基金资产净值0.5%的年费率计提。计算方法如下：</w:t>
      </w:r>
    </w:p>
    <w:p w14:paraId="0BFBFF22" w14:textId="77777777" w:rsidR="00CF57A4" w:rsidRDefault="00B13D46">
      <w:pPr>
        <w:spacing w:line="360" w:lineRule="auto"/>
        <w:ind w:firstLineChars="200" w:firstLine="480"/>
        <w:rPr>
          <w:rFonts w:ascii="宋体" w:hAnsi="宋体"/>
          <w:color w:val="000000"/>
          <w:sz w:val="24"/>
        </w:rPr>
      </w:pPr>
      <w:r>
        <w:rPr>
          <w:rFonts w:ascii="宋体" w:hAnsi="宋体"/>
          <w:color w:val="000000"/>
          <w:sz w:val="24"/>
        </w:rPr>
        <w:t>H</w:t>
      </w:r>
      <w:r>
        <w:rPr>
          <w:rFonts w:ascii="宋体" w:hAnsi="宋体" w:hint="eastAsia"/>
          <w:color w:val="000000"/>
          <w:sz w:val="24"/>
        </w:rPr>
        <w:t>＝</w:t>
      </w:r>
      <w:r>
        <w:rPr>
          <w:rFonts w:ascii="宋体" w:hAnsi="宋体"/>
          <w:color w:val="000000"/>
          <w:sz w:val="24"/>
        </w:rPr>
        <w:t>E×</w:t>
      </w:r>
      <w:r>
        <w:rPr>
          <w:rFonts w:ascii="宋体" w:hAnsi="宋体" w:hint="eastAsia"/>
          <w:color w:val="000000"/>
          <w:sz w:val="24"/>
        </w:rPr>
        <w:t>年管理费率</w:t>
      </w:r>
      <w:r>
        <w:rPr>
          <w:rFonts w:ascii="宋体" w:hAnsi="宋体"/>
          <w:color w:val="000000"/>
          <w:sz w:val="24"/>
        </w:rPr>
        <w:t>÷</w:t>
      </w:r>
      <w:r>
        <w:rPr>
          <w:rFonts w:ascii="宋体" w:hAnsi="宋体" w:hint="eastAsia"/>
          <w:color w:val="000000"/>
          <w:sz w:val="24"/>
        </w:rPr>
        <w:t>当年天数，本基金年管理费率为0.5</w:t>
      </w:r>
      <w:r>
        <w:rPr>
          <w:rFonts w:ascii="宋体" w:hAnsi="宋体"/>
          <w:color w:val="000000"/>
          <w:sz w:val="24"/>
        </w:rPr>
        <w:t>%</w:t>
      </w:r>
    </w:p>
    <w:p w14:paraId="5D777711" w14:textId="77777777" w:rsidR="00CF57A4" w:rsidRDefault="00B13D46">
      <w:pPr>
        <w:spacing w:line="360" w:lineRule="auto"/>
        <w:ind w:firstLineChars="200" w:firstLine="480"/>
        <w:rPr>
          <w:rFonts w:ascii="宋体" w:hAnsi="宋体"/>
          <w:color w:val="000000"/>
          <w:sz w:val="24"/>
        </w:rPr>
      </w:pPr>
      <w:r>
        <w:rPr>
          <w:rFonts w:ascii="宋体" w:hAnsi="宋体"/>
          <w:color w:val="000000"/>
          <w:sz w:val="24"/>
        </w:rPr>
        <w:t>H</w:t>
      </w:r>
      <w:r>
        <w:rPr>
          <w:rFonts w:ascii="宋体" w:hAnsi="宋体" w:hint="eastAsia"/>
          <w:color w:val="000000"/>
          <w:sz w:val="24"/>
        </w:rPr>
        <w:t>为每日应计提的基金管理费</w:t>
      </w:r>
    </w:p>
    <w:p w14:paraId="4B1FBE76" w14:textId="77777777" w:rsidR="00CF57A4" w:rsidRDefault="00B13D46">
      <w:pPr>
        <w:spacing w:line="360" w:lineRule="auto"/>
        <w:ind w:firstLineChars="200" w:firstLine="480"/>
        <w:rPr>
          <w:rFonts w:ascii="宋体" w:hAnsi="宋体"/>
          <w:color w:val="000000"/>
          <w:sz w:val="24"/>
        </w:rPr>
      </w:pPr>
      <w:r>
        <w:rPr>
          <w:rFonts w:ascii="宋体" w:hAnsi="宋体"/>
          <w:color w:val="000000"/>
          <w:sz w:val="24"/>
        </w:rPr>
        <w:t>E</w:t>
      </w:r>
      <w:r>
        <w:rPr>
          <w:rFonts w:ascii="宋体" w:hAnsi="宋体" w:hint="eastAsia"/>
          <w:color w:val="000000"/>
          <w:sz w:val="24"/>
        </w:rPr>
        <w:t>为前一日基金资产净值</w:t>
      </w:r>
    </w:p>
    <w:p w14:paraId="1BDA954D"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基金管理费每日计提，按月支付。由基金管理人向基金托管人发送基金管理费划付指令，经基金托管人复核后于次月首日起</w:t>
      </w:r>
      <w:r>
        <w:rPr>
          <w:rFonts w:ascii="宋体" w:hAnsi="宋体"/>
          <w:color w:val="000000"/>
          <w:sz w:val="24"/>
        </w:rPr>
        <w:t>3</w:t>
      </w:r>
      <w:r>
        <w:rPr>
          <w:rFonts w:ascii="宋体" w:hAnsi="宋体" w:hint="eastAsia"/>
          <w:color w:val="000000"/>
          <w:sz w:val="24"/>
        </w:rPr>
        <w:t>个工作日内从基金财产中一次性支付给基金管理人，若遇法定节假日、休息日，支付日期顺延。</w:t>
      </w:r>
    </w:p>
    <w:p w14:paraId="2B9E7C0C"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2</w:t>
      </w:r>
      <w:r>
        <w:rPr>
          <w:rFonts w:ascii="宋体" w:hAnsi="宋体" w:hint="eastAsia"/>
          <w:color w:val="000000"/>
          <w:sz w:val="24"/>
        </w:rPr>
        <w:t>）基金托管人的托管费</w:t>
      </w:r>
    </w:p>
    <w:p w14:paraId="7A09A05D"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在通常情况下，基金托管费按前一日基金资产净值0.1%的年费率计提。计算方法如下：</w:t>
      </w:r>
    </w:p>
    <w:p w14:paraId="5E59FEFA" w14:textId="77777777" w:rsidR="00CF57A4" w:rsidRDefault="00B13D46">
      <w:pPr>
        <w:spacing w:line="360" w:lineRule="auto"/>
        <w:ind w:firstLineChars="200" w:firstLine="480"/>
        <w:rPr>
          <w:rFonts w:ascii="宋体" w:hAnsi="宋体"/>
          <w:color w:val="000000"/>
          <w:sz w:val="24"/>
        </w:rPr>
      </w:pPr>
      <w:r>
        <w:rPr>
          <w:rFonts w:ascii="宋体" w:hAnsi="宋体"/>
          <w:color w:val="000000"/>
          <w:sz w:val="24"/>
        </w:rPr>
        <w:t>H</w:t>
      </w:r>
      <w:r>
        <w:rPr>
          <w:rFonts w:ascii="宋体" w:hAnsi="宋体" w:hint="eastAsia"/>
          <w:color w:val="000000"/>
          <w:sz w:val="24"/>
        </w:rPr>
        <w:t>＝</w:t>
      </w:r>
      <w:r>
        <w:rPr>
          <w:rFonts w:ascii="宋体" w:hAnsi="宋体"/>
          <w:color w:val="000000"/>
          <w:sz w:val="24"/>
        </w:rPr>
        <w:t>E×</w:t>
      </w:r>
      <w:r>
        <w:rPr>
          <w:rFonts w:ascii="宋体" w:hAnsi="宋体" w:hint="eastAsia"/>
          <w:color w:val="000000"/>
          <w:sz w:val="24"/>
        </w:rPr>
        <w:t>年托管费率</w:t>
      </w:r>
      <w:r>
        <w:rPr>
          <w:rFonts w:ascii="宋体" w:hAnsi="宋体"/>
          <w:color w:val="000000"/>
          <w:sz w:val="24"/>
        </w:rPr>
        <w:t>÷</w:t>
      </w:r>
      <w:r>
        <w:rPr>
          <w:rFonts w:ascii="宋体" w:hAnsi="宋体" w:hint="eastAsia"/>
          <w:color w:val="000000"/>
          <w:sz w:val="24"/>
        </w:rPr>
        <w:t>当年天数，本基金年托管费率为0.1</w:t>
      </w:r>
      <w:r>
        <w:rPr>
          <w:rFonts w:ascii="宋体" w:hAnsi="宋体"/>
          <w:color w:val="000000"/>
          <w:sz w:val="24"/>
        </w:rPr>
        <w:t>%</w:t>
      </w:r>
    </w:p>
    <w:p w14:paraId="3D97ABF0" w14:textId="77777777" w:rsidR="00CF57A4" w:rsidRDefault="00B13D46">
      <w:pPr>
        <w:spacing w:line="360" w:lineRule="auto"/>
        <w:ind w:firstLineChars="200" w:firstLine="480"/>
        <w:rPr>
          <w:rFonts w:ascii="宋体" w:hAnsi="宋体"/>
          <w:color w:val="000000"/>
          <w:sz w:val="24"/>
        </w:rPr>
      </w:pPr>
      <w:r>
        <w:rPr>
          <w:rFonts w:ascii="宋体" w:hAnsi="宋体"/>
          <w:color w:val="000000"/>
          <w:sz w:val="24"/>
        </w:rPr>
        <w:t>H</w:t>
      </w:r>
      <w:r>
        <w:rPr>
          <w:rFonts w:ascii="宋体" w:hAnsi="宋体" w:hint="eastAsia"/>
          <w:color w:val="000000"/>
          <w:sz w:val="24"/>
        </w:rPr>
        <w:t>为每日应计提的基金托管费</w:t>
      </w:r>
    </w:p>
    <w:p w14:paraId="7EABFE56" w14:textId="77777777" w:rsidR="00CF57A4" w:rsidRDefault="00B13D46">
      <w:pPr>
        <w:spacing w:line="360" w:lineRule="auto"/>
        <w:ind w:firstLineChars="200" w:firstLine="480"/>
        <w:rPr>
          <w:rFonts w:ascii="宋体" w:hAnsi="宋体"/>
          <w:color w:val="000000"/>
          <w:sz w:val="24"/>
        </w:rPr>
      </w:pPr>
      <w:r>
        <w:rPr>
          <w:rFonts w:ascii="宋体" w:hAnsi="宋体"/>
          <w:color w:val="000000"/>
          <w:sz w:val="24"/>
        </w:rPr>
        <w:lastRenderedPageBreak/>
        <w:t>E</w:t>
      </w:r>
      <w:r>
        <w:rPr>
          <w:rFonts w:ascii="宋体" w:hAnsi="宋体" w:hint="eastAsia"/>
          <w:color w:val="000000"/>
          <w:sz w:val="24"/>
        </w:rPr>
        <w:t>为前一日基金资产净值</w:t>
      </w:r>
    </w:p>
    <w:p w14:paraId="27491584"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基金托管费每日计提，按月支付。由基金管理人向基金托管人发送基金托管费划付指令，经基金托管人复核后于次月首日起</w:t>
      </w:r>
      <w:r>
        <w:rPr>
          <w:rFonts w:ascii="宋体" w:hAnsi="宋体"/>
          <w:color w:val="000000"/>
          <w:sz w:val="24"/>
        </w:rPr>
        <w:t>3</w:t>
      </w:r>
      <w:r>
        <w:rPr>
          <w:rFonts w:ascii="宋体" w:hAnsi="宋体" w:hint="eastAsia"/>
          <w:color w:val="000000"/>
          <w:sz w:val="24"/>
        </w:rPr>
        <w:t>个工作日内从基金财产中一次性支付给基金托管人，若遇法定节假日、休息日，支付日期顺延。</w:t>
      </w:r>
    </w:p>
    <w:p w14:paraId="39CB2E90"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（3）标的指数使用许可费</w:t>
      </w:r>
    </w:p>
    <w:p w14:paraId="42C61A56"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在通常情况下，基金标的指数使用许可费按前一日基金资产净值0.03%的年费率计提。计算方法如下：</w:t>
      </w:r>
    </w:p>
    <w:p w14:paraId="44ED2EC8"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H＝E×标的指数使用许可费年费率÷当年天数</w:t>
      </w:r>
    </w:p>
    <w:p w14:paraId="5A288AD1"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H为每日应计提的基金标的指数使用许可费</w:t>
      </w:r>
    </w:p>
    <w:p w14:paraId="60625DCC"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E为前一日基金资产净值</w:t>
      </w:r>
    </w:p>
    <w:p w14:paraId="38B54E33"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根据基金管理人与标的指数供应商签订的相应指数许可协议的规定，本基金标的指数使用许可费年费率为0.03%。基金合同生效之日所在季度的标的指数使用许可费，按实际计提金额收取，不设下限。自基金合同生效之日所在季度的下一季度起，标的指数使用许可费收取下限为每季度5万元，不足5万元时按照5万元收取。</w:t>
      </w:r>
    </w:p>
    <w:p w14:paraId="1E85D45E"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自基金合同生效日起，基金标的指数使用许可费每日计提，逐日累计，按季支付，由基金管理人向基金托管人发送基金标的指数使用许可费划付指令，经基金托管人复核后从基金财产中一次性支付，若遇法定节假日、休息日，支付日期顺延。</w:t>
      </w:r>
    </w:p>
    <w:p w14:paraId="0F30EBD3"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如果标的指数供应商根据相应指数许可协议变更上述标的指数使用许可费费率和计费方式，本基金将采用调整后的方法或费率计算标的指数使用许可费，基金管理人必须依照有关规定最迟于新的费率和计费方式实施日前2日在指定媒体上刊登公告。</w:t>
      </w:r>
    </w:p>
    <w:p w14:paraId="62D3B0AD"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（4）上述“</w:t>
      </w:r>
      <w:r>
        <w:rPr>
          <w:rFonts w:ascii="宋体" w:hAnsi="宋体"/>
          <w:color w:val="000000"/>
          <w:sz w:val="24"/>
        </w:rPr>
        <w:t>(</w:t>
      </w:r>
      <w:r>
        <w:rPr>
          <w:rFonts w:ascii="宋体" w:hAnsi="宋体" w:hint="eastAsia"/>
          <w:color w:val="000000"/>
          <w:sz w:val="24"/>
        </w:rPr>
        <w:t>一</w:t>
      </w:r>
      <w:r>
        <w:rPr>
          <w:rFonts w:ascii="宋体" w:hAnsi="宋体"/>
          <w:color w:val="000000"/>
          <w:sz w:val="24"/>
        </w:rPr>
        <w:t>)</w:t>
      </w:r>
      <w:r>
        <w:rPr>
          <w:rFonts w:ascii="宋体" w:hAnsi="宋体" w:hint="eastAsia"/>
          <w:color w:val="000000"/>
          <w:sz w:val="24"/>
        </w:rPr>
        <w:t xml:space="preserve"> 基金费用的种类”中第3、5到11项费用由基金托管人根据其他有关法律法规及相应协议的规定，按费用支出金额支付，列入或摊入当期基金费用。</w:t>
      </w:r>
    </w:p>
    <w:p w14:paraId="6E2DD16F"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2、与基金销售有关的费用</w:t>
      </w:r>
    </w:p>
    <w:p w14:paraId="6EC88170"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（1）申购费</w:t>
      </w:r>
    </w:p>
    <w:p w14:paraId="1D1A981B"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本基金申购费的费率水平、计算公式和收取方式详见“基金份额的申购与赎</w:t>
      </w:r>
      <w:r>
        <w:rPr>
          <w:rFonts w:ascii="宋体" w:hAnsi="宋体" w:hint="eastAsia"/>
          <w:color w:val="000000"/>
          <w:sz w:val="24"/>
        </w:rPr>
        <w:lastRenderedPageBreak/>
        <w:t>回”一章。</w:t>
      </w:r>
    </w:p>
    <w:p w14:paraId="204A0560"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（2）赎回费</w:t>
      </w:r>
    </w:p>
    <w:p w14:paraId="52BCE4E1"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本基金赎回费的费率水平、计算公式和收取方式详见“基金份额的申购与赎回”一章。</w:t>
      </w:r>
    </w:p>
    <w:p w14:paraId="33A55DA3" w14:textId="77777777" w:rsidR="00CF57A4" w:rsidRDefault="00B13D46">
      <w:pPr>
        <w:spacing w:line="360" w:lineRule="auto"/>
        <w:ind w:firstLineChars="200" w:firstLine="482"/>
        <w:rPr>
          <w:rFonts w:ascii="宋体" w:hAnsi="宋体"/>
          <w:b/>
          <w:color w:val="000000"/>
          <w:sz w:val="24"/>
        </w:rPr>
      </w:pPr>
      <w:r>
        <w:rPr>
          <w:rFonts w:ascii="宋体" w:hAnsi="宋体"/>
          <w:b/>
          <w:color w:val="000000"/>
          <w:sz w:val="24"/>
        </w:rPr>
        <w:t>(</w:t>
      </w:r>
      <w:r>
        <w:rPr>
          <w:rFonts w:ascii="宋体" w:hAnsi="宋体" w:hint="eastAsia"/>
          <w:b/>
          <w:color w:val="000000"/>
          <w:sz w:val="24"/>
        </w:rPr>
        <w:t>三</w:t>
      </w:r>
      <w:r>
        <w:rPr>
          <w:rFonts w:ascii="宋体" w:hAnsi="宋体"/>
          <w:b/>
          <w:color w:val="000000"/>
          <w:sz w:val="24"/>
        </w:rPr>
        <w:t>)</w:t>
      </w:r>
      <w:r>
        <w:rPr>
          <w:rFonts w:ascii="宋体" w:hAnsi="宋体" w:hint="eastAsia"/>
          <w:b/>
          <w:color w:val="000000"/>
          <w:sz w:val="24"/>
        </w:rPr>
        <w:t>不列入基金费用的项目</w:t>
      </w:r>
    </w:p>
    <w:p w14:paraId="6A05FE25"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基金管理人和基金托管人因未履行或未完全履行义务导致的费用支出或基金财产的损失，以及处理与基金运作无关的事项发生的费用等不列入基金费用。基金募集期间所发生的信息披露费、律师费和会计师费以及其他费用不从基金财产中支付，基金收取认购费的，可以从认购费中列支。</w:t>
      </w:r>
    </w:p>
    <w:p w14:paraId="02F3B9AC" w14:textId="77777777" w:rsidR="00CF57A4" w:rsidRDefault="00B13D46">
      <w:pPr>
        <w:spacing w:line="360" w:lineRule="auto"/>
        <w:ind w:firstLineChars="200" w:firstLine="482"/>
        <w:rPr>
          <w:rFonts w:ascii="宋体" w:hAnsi="宋体"/>
          <w:b/>
          <w:color w:val="000000"/>
          <w:sz w:val="24"/>
        </w:rPr>
      </w:pPr>
      <w:r>
        <w:rPr>
          <w:rFonts w:ascii="宋体" w:hAnsi="宋体"/>
          <w:b/>
          <w:color w:val="000000"/>
          <w:sz w:val="24"/>
        </w:rPr>
        <w:t>(</w:t>
      </w:r>
      <w:r>
        <w:rPr>
          <w:rFonts w:ascii="宋体" w:hAnsi="宋体" w:hint="eastAsia"/>
          <w:b/>
          <w:color w:val="000000"/>
          <w:sz w:val="24"/>
        </w:rPr>
        <w:t>四</w:t>
      </w:r>
      <w:r>
        <w:rPr>
          <w:rFonts w:ascii="宋体" w:hAnsi="宋体"/>
          <w:b/>
          <w:color w:val="000000"/>
          <w:sz w:val="24"/>
        </w:rPr>
        <w:t>)</w:t>
      </w:r>
      <w:r>
        <w:rPr>
          <w:rFonts w:ascii="宋体" w:hAnsi="宋体" w:hint="eastAsia"/>
          <w:b/>
          <w:color w:val="000000"/>
          <w:sz w:val="24"/>
        </w:rPr>
        <w:t>基金管理人和基金托管人可根据基金发展情况调整基金管理费率和基金托管费率。降低基金管理费率和基金托管费率，无须召开基金份额持有人大会。基金管理人必须依照有关规定最迟于新的费率实施日前在指定媒体上刊登公告。</w:t>
      </w:r>
    </w:p>
    <w:p w14:paraId="5B26A1FF" w14:textId="77777777" w:rsidR="00CF57A4" w:rsidRDefault="00B13D46">
      <w:pPr>
        <w:spacing w:line="360" w:lineRule="auto"/>
        <w:ind w:firstLineChars="200" w:firstLine="482"/>
        <w:rPr>
          <w:rFonts w:ascii="宋体" w:hAnsi="宋体"/>
          <w:b/>
          <w:color w:val="000000"/>
          <w:sz w:val="24"/>
        </w:rPr>
      </w:pPr>
      <w:r>
        <w:rPr>
          <w:rFonts w:ascii="宋体" w:hAnsi="宋体"/>
          <w:b/>
          <w:color w:val="000000"/>
          <w:sz w:val="24"/>
        </w:rPr>
        <w:t>(</w:t>
      </w:r>
      <w:r>
        <w:rPr>
          <w:rFonts w:ascii="宋体" w:hAnsi="宋体" w:hint="eastAsia"/>
          <w:b/>
          <w:color w:val="000000"/>
          <w:sz w:val="24"/>
        </w:rPr>
        <w:t>五</w:t>
      </w:r>
      <w:r>
        <w:rPr>
          <w:rFonts w:ascii="宋体" w:hAnsi="宋体"/>
          <w:b/>
          <w:color w:val="000000"/>
          <w:sz w:val="24"/>
        </w:rPr>
        <w:t>)</w:t>
      </w:r>
      <w:r>
        <w:rPr>
          <w:rFonts w:ascii="宋体" w:hAnsi="宋体" w:hint="eastAsia"/>
          <w:b/>
          <w:color w:val="000000"/>
          <w:sz w:val="24"/>
        </w:rPr>
        <w:t>基金税收</w:t>
      </w:r>
    </w:p>
    <w:p w14:paraId="74219B69"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基金和基金份额持有人根据国家法律法规的规定，履行纳税义务。</w:t>
      </w:r>
    </w:p>
    <w:p w14:paraId="485411F1" w14:textId="77777777" w:rsidR="00CF57A4" w:rsidRDefault="00CF57A4">
      <w:pPr>
        <w:widowControl/>
        <w:spacing w:line="360" w:lineRule="auto"/>
        <w:rPr>
          <w:rFonts w:ascii="宋体" w:hAnsi="宋体" w:cs="宋体"/>
          <w:color w:val="000000"/>
          <w:kern w:val="0"/>
          <w:sz w:val="24"/>
        </w:rPr>
      </w:pPr>
    </w:p>
    <w:p w14:paraId="5C411BB2" w14:textId="77777777" w:rsidR="00CF57A4" w:rsidRDefault="00B13D46">
      <w:pPr>
        <w:pStyle w:val="af1"/>
        <w:rPr>
          <w:rFonts w:eastAsia="黑体"/>
          <w:color w:val="000000"/>
          <w:kern w:val="0"/>
          <w:sz w:val="30"/>
        </w:rPr>
      </w:pPr>
      <w:bookmarkStart w:id="152" w:name="_Toc109537394"/>
      <w:r>
        <w:rPr>
          <w:rFonts w:eastAsia="黑体"/>
          <w:color w:val="000000"/>
          <w:kern w:val="0"/>
          <w:sz w:val="30"/>
        </w:rPr>
        <w:br w:type="page"/>
      </w:r>
      <w:bookmarkStart w:id="153" w:name="_Toc320704081"/>
      <w:bookmarkStart w:id="154" w:name="_Toc320704368"/>
      <w:bookmarkStart w:id="155" w:name="_Toc322002732"/>
      <w:bookmarkStart w:id="156" w:name="_Toc320703957"/>
      <w:bookmarkStart w:id="157" w:name="_Toc322519883"/>
      <w:bookmarkStart w:id="158" w:name="_Toc320704008"/>
      <w:r>
        <w:rPr>
          <w:rFonts w:eastAsia="黑体" w:hint="eastAsia"/>
          <w:color w:val="000000"/>
          <w:kern w:val="0"/>
          <w:sz w:val="30"/>
        </w:rPr>
        <w:lastRenderedPageBreak/>
        <w:t>十六、基金的会计与审计</w:t>
      </w:r>
      <w:bookmarkEnd w:id="152"/>
      <w:bookmarkEnd w:id="153"/>
      <w:bookmarkEnd w:id="154"/>
      <w:bookmarkEnd w:id="155"/>
      <w:bookmarkEnd w:id="156"/>
      <w:bookmarkEnd w:id="157"/>
      <w:bookmarkEnd w:id="158"/>
    </w:p>
    <w:p w14:paraId="48D07100" w14:textId="77777777" w:rsidR="00CF57A4" w:rsidRDefault="00B13D46">
      <w:pPr>
        <w:spacing w:line="360" w:lineRule="auto"/>
        <w:ind w:firstLineChars="200" w:firstLine="482"/>
        <w:rPr>
          <w:rFonts w:ascii="宋体" w:hAnsi="宋体"/>
          <w:b/>
          <w:color w:val="000000"/>
          <w:sz w:val="24"/>
        </w:rPr>
      </w:pPr>
      <w:r>
        <w:rPr>
          <w:rFonts w:ascii="宋体" w:hAnsi="宋体"/>
          <w:b/>
          <w:color w:val="000000"/>
          <w:sz w:val="24"/>
        </w:rPr>
        <w:t>(</w:t>
      </w:r>
      <w:r>
        <w:rPr>
          <w:rFonts w:ascii="宋体" w:hAnsi="宋体" w:hint="eastAsia"/>
          <w:b/>
          <w:color w:val="000000"/>
          <w:sz w:val="24"/>
        </w:rPr>
        <w:t>一</w:t>
      </w:r>
      <w:r>
        <w:rPr>
          <w:rFonts w:ascii="宋体" w:hAnsi="宋体"/>
          <w:b/>
          <w:color w:val="000000"/>
          <w:sz w:val="24"/>
        </w:rPr>
        <w:t>)</w:t>
      </w:r>
      <w:r>
        <w:rPr>
          <w:rFonts w:ascii="宋体" w:hAnsi="宋体" w:hint="eastAsia"/>
          <w:b/>
          <w:color w:val="000000"/>
          <w:sz w:val="24"/>
        </w:rPr>
        <w:t>基金的会计政策</w:t>
      </w:r>
    </w:p>
    <w:p w14:paraId="7F8BF812" w14:textId="77777777" w:rsidR="00CF57A4" w:rsidRDefault="00B13D46">
      <w:pPr>
        <w:spacing w:line="360" w:lineRule="auto"/>
        <w:ind w:firstLineChars="200" w:firstLine="480"/>
        <w:rPr>
          <w:rFonts w:ascii="宋体" w:hAnsi="宋体"/>
          <w:color w:val="000000"/>
          <w:sz w:val="24"/>
          <w:szCs w:val="18"/>
        </w:rPr>
      </w:pPr>
      <w:r>
        <w:rPr>
          <w:rFonts w:ascii="宋体" w:hAnsi="宋体"/>
          <w:color w:val="000000"/>
          <w:sz w:val="24"/>
        </w:rPr>
        <w:t>1</w:t>
      </w:r>
      <w:r>
        <w:rPr>
          <w:rFonts w:ascii="宋体" w:hAnsi="宋体" w:hint="eastAsia"/>
          <w:color w:val="000000"/>
          <w:sz w:val="24"/>
        </w:rPr>
        <w:t>、基金管理人为本基金的会计责任方；</w:t>
      </w:r>
    </w:p>
    <w:p w14:paraId="37B8BA08" w14:textId="77777777" w:rsidR="00CF57A4" w:rsidRDefault="00B13D46">
      <w:pPr>
        <w:spacing w:line="360" w:lineRule="auto"/>
        <w:ind w:firstLineChars="200" w:firstLine="480"/>
        <w:rPr>
          <w:rFonts w:ascii="宋体" w:hAnsi="宋体"/>
          <w:color w:val="000000"/>
          <w:sz w:val="24"/>
          <w:szCs w:val="18"/>
        </w:rPr>
      </w:pPr>
      <w:r>
        <w:rPr>
          <w:rFonts w:ascii="宋体" w:hAnsi="宋体"/>
          <w:color w:val="000000"/>
          <w:sz w:val="24"/>
        </w:rPr>
        <w:t>2</w:t>
      </w:r>
      <w:r>
        <w:rPr>
          <w:rFonts w:ascii="宋体" w:hAnsi="宋体" w:hint="eastAsia"/>
          <w:color w:val="000000"/>
          <w:sz w:val="24"/>
        </w:rPr>
        <w:t>、本基金的会计年度为公历每年的</w:t>
      </w:r>
      <w:r>
        <w:rPr>
          <w:rFonts w:ascii="宋体" w:hAnsi="宋体"/>
          <w:color w:val="000000"/>
          <w:sz w:val="24"/>
        </w:rPr>
        <w:t>1</w:t>
      </w:r>
      <w:r>
        <w:rPr>
          <w:rFonts w:ascii="宋体" w:hAnsi="宋体" w:hint="eastAsia"/>
          <w:color w:val="000000"/>
          <w:sz w:val="24"/>
        </w:rPr>
        <w:t>月</w:t>
      </w:r>
      <w:r>
        <w:rPr>
          <w:rFonts w:ascii="宋体" w:hAnsi="宋体"/>
          <w:color w:val="000000"/>
          <w:sz w:val="24"/>
        </w:rPr>
        <w:t>1</w:t>
      </w:r>
      <w:r>
        <w:rPr>
          <w:rFonts w:ascii="宋体" w:hAnsi="宋体" w:hint="eastAsia"/>
          <w:color w:val="000000"/>
          <w:sz w:val="24"/>
        </w:rPr>
        <w:t>日至</w:t>
      </w:r>
      <w:r>
        <w:rPr>
          <w:rFonts w:ascii="宋体" w:hAnsi="宋体"/>
          <w:color w:val="000000"/>
          <w:sz w:val="24"/>
        </w:rPr>
        <w:t>12</w:t>
      </w:r>
      <w:r>
        <w:rPr>
          <w:rFonts w:ascii="宋体" w:hAnsi="宋体" w:hint="eastAsia"/>
          <w:color w:val="000000"/>
          <w:sz w:val="24"/>
        </w:rPr>
        <w:t>月</w:t>
      </w:r>
      <w:r>
        <w:rPr>
          <w:rFonts w:ascii="宋体" w:hAnsi="宋体"/>
          <w:color w:val="000000"/>
          <w:sz w:val="24"/>
        </w:rPr>
        <w:t>31</w:t>
      </w:r>
      <w:r>
        <w:rPr>
          <w:rFonts w:ascii="宋体" w:hAnsi="宋体" w:hint="eastAsia"/>
          <w:color w:val="000000"/>
          <w:sz w:val="24"/>
        </w:rPr>
        <w:t>日；</w:t>
      </w:r>
    </w:p>
    <w:p w14:paraId="44C5A989" w14:textId="77777777" w:rsidR="00CF57A4" w:rsidRDefault="00B13D46">
      <w:pPr>
        <w:spacing w:line="360" w:lineRule="auto"/>
        <w:ind w:firstLineChars="200" w:firstLine="480"/>
        <w:rPr>
          <w:rFonts w:ascii="宋体" w:hAnsi="宋体"/>
          <w:color w:val="000000"/>
          <w:sz w:val="24"/>
          <w:szCs w:val="18"/>
        </w:rPr>
      </w:pPr>
      <w:r>
        <w:rPr>
          <w:rFonts w:ascii="宋体" w:hAnsi="宋体"/>
          <w:color w:val="000000"/>
          <w:sz w:val="24"/>
        </w:rPr>
        <w:t>3</w:t>
      </w:r>
      <w:r>
        <w:rPr>
          <w:rFonts w:ascii="宋体" w:hAnsi="宋体" w:hint="eastAsia"/>
          <w:color w:val="000000"/>
          <w:sz w:val="24"/>
        </w:rPr>
        <w:t>、本</w:t>
      </w:r>
      <w:r>
        <w:rPr>
          <w:rFonts w:ascii="宋体" w:hAnsi="宋体" w:hint="eastAsia"/>
          <w:color w:val="000000"/>
          <w:sz w:val="24"/>
          <w:szCs w:val="21"/>
        </w:rPr>
        <w:t>基金的会计核算以人民币为记账本位币，以人民币元为记账单位；</w:t>
      </w:r>
    </w:p>
    <w:p w14:paraId="6E05C46F" w14:textId="77777777" w:rsidR="00CF57A4" w:rsidRDefault="00B13D46">
      <w:pPr>
        <w:spacing w:line="360" w:lineRule="auto"/>
        <w:ind w:firstLineChars="200" w:firstLine="480"/>
        <w:rPr>
          <w:rFonts w:ascii="宋体" w:hAnsi="宋体"/>
          <w:color w:val="000000"/>
          <w:sz w:val="24"/>
          <w:szCs w:val="18"/>
        </w:rPr>
      </w:pPr>
      <w:r>
        <w:rPr>
          <w:rFonts w:ascii="宋体" w:hAnsi="宋体"/>
          <w:color w:val="000000"/>
          <w:sz w:val="24"/>
        </w:rPr>
        <w:t>4</w:t>
      </w:r>
      <w:r>
        <w:rPr>
          <w:rFonts w:ascii="宋体" w:hAnsi="宋体" w:hint="eastAsia"/>
          <w:color w:val="000000"/>
          <w:sz w:val="24"/>
        </w:rPr>
        <w:t>、会计制度执行国家有关的会计制度；</w:t>
      </w:r>
    </w:p>
    <w:p w14:paraId="6E4DC417" w14:textId="77777777" w:rsidR="00CF57A4" w:rsidRDefault="00B13D46">
      <w:pPr>
        <w:spacing w:line="360" w:lineRule="auto"/>
        <w:ind w:firstLineChars="200" w:firstLine="480"/>
        <w:rPr>
          <w:rFonts w:ascii="宋体" w:hAnsi="宋体"/>
          <w:color w:val="000000"/>
          <w:sz w:val="24"/>
          <w:szCs w:val="18"/>
        </w:rPr>
      </w:pPr>
      <w:r>
        <w:rPr>
          <w:rFonts w:ascii="宋体" w:hAnsi="宋体"/>
          <w:color w:val="000000"/>
          <w:sz w:val="24"/>
        </w:rPr>
        <w:t>5</w:t>
      </w:r>
      <w:r>
        <w:rPr>
          <w:rFonts w:ascii="宋体" w:hAnsi="宋体" w:hint="eastAsia"/>
          <w:color w:val="000000"/>
          <w:sz w:val="24"/>
        </w:rPr>
        <w:t>、本基金独立建账、独立核算；</w:t>
      </w:r>
    </w:p>
    <w:p w14:paraId="3868AA9B" w14:textId="77777777" w:rsidR="00CF57A4" w:rsidRDefault="00B13D46">
      <w:pPr>
        <w:spacing w:line="360" w:lineRule="auto"/>
        <w:ind w:firstLineChars="200" w:firstLine="480"/>
        <w:rPr>
          <w:rFonts w:ascii="宋体" w:hAnsi="宋体"/>
          <w:color w:val="000000"/>
          <w:sz w:val="24"/>
          <w:szCs w:val="18"/>
        </w:rPr>
      </w:pPr>
      <w:r>
        <w:rPr>
          <w:rFonts w:ascii="宋体" w:hAnsi="宋体"/>
          <w:color w:val="000000"/>
          <w:sz w:val="24"/>
          <w:szCs w:val="18"/>
        </w:rPr>
        <w:t>6</w:t>
      </w:r>
      <w:r>
        <w:rPr>
          <w:rFonts w:ascii="宋体" w:hAnsi="宋体" w:hint="eastAsia"/>
          <w:color w:val="000000"/>
          <w:sz w:val="24"/>
          <w:szCs w:val="18"/>
        </w:rPr>
        <w:t>、基金管理人及基金托管人分别保留完整的会计账目、凭证并进行日常的会计核算，按照有关规定编制基金会计报表；</w:t>
      </w:r>
    </w:p>
    <w:p w14:paraId="2265C6B7" w14:textId="77777777" w:rsidR="00CF57A4" w:rsidRDefault="00B13D46">
      <w:pPr>
        <w:spacing w:line="360" w:lineRule="auto"/>
        <w:ind w:firstLineChars="200" w:firstLine="480"/>
        <w:rPr>
          <w:rFonts w:ascii="宋体" w:hAnsi="宋体"/>
          <w:color w:val="000000"/>
          <w:sz w:val="24"/>
          <w:szCs w:val="18"/>
        </w:rPr>
      </w:pPr>
      <w:r>
        <w:rPr>
          <w:rFonts w:ascii="宋体" w:hAnsi="宋体"/>
          <w:color w:val="000000"/>
          <w:sz w:val="24"/>
          <w:szCs w:val="18"/>
        </w:rPr>
        <w:t>7</w:t>
      </w:r>
      <w:r>
        <w:rPr>
          <w:rFonts w:ascii="宋体" w:hAnsi="宋体" w:hint="eastAsia"/>
          <w:color w:val="000000"/>
          <w:sz w:val="24"/>
          <w:szCs w:val="18"/>
        </w:rPr>
        <w:t>、基金托管人定期与基金管理人就基金的会计核算、报表编制等进行核对并书面确认。</w:t>
      </w:r>
    </w:p>
    <w:p w14:paraId="35851C1E" w14:textId="77777777" w:rsidR="00CF57A4" w:rsidRDefault="00B13D46">
      <w:pPr>
        <w:spacing w:line="360" w:lineRule="auto"/>
        <w:ind w:firstLineChars="200" w:firstLine="482"/>
        <w:rPr>
          <w:rFonts w:ascii="宋体" w:hAnsi="宋体"/>
          <w:b/>
          <w:color w:val="000000"/>
          <w:sz w:val="24"/>
          <w:szCs w:val="18"/>
        </w:rPr>
      </w:pPr>
      <w:r>
        <w:rPr>
          <w:rFonts w:ascii="宋体" w:hAnsi="宋体"/>
          <w:b/>
          <w:color w:val="000000"/>
          <w:sz w:val="24"/>
          <w:szCs w:val="18"/>
        </w:rPr>
        <w:t>(</w:t>
      </w:r>
      <w:r>
        <w:rPr>
          <w:rFonts w:ascii="宋体" w:hAnsi="宋体" w:hint="eastAsia"/>
          <w:b/>
          <w:color w:val="000000"/>
          <w:sz w:val="24"/>
          <w:szCs w:val="18"/>
        </w:rPr>
        <w:t>二</w:t>
      </w:r>
      <w:r>
        <w:rPr>
          <w:rFonts w:ascii="宋体" w:hAnsi="宋体"/>
          <w:b/>
          <w:color w:val="000000"/>
          <w:sz w:val="24"/>
          <w:szCs w:val="18"/>
        </w:rPr>
        <w:t>)</w:t>
      </w:r>
      <w:r>
        <w:rPr>
          <w:rFonts w:ascii="宋体" w:hAnsi="宋体" w:hint="eastAsia"/>
          <w:b/>
          <w:color w:val="000000"/>
          <w:sz w:val="24"/>
          <w:szCs w:val="18"/>
        </w:rPr>
        <w:t>基金的审计</w:t>
      </w:r>
    </w:p>
    <w:p w14:paraId="4E94893C" w14:textId="77777777" w:rsidR="00CF57A4" w:rsidRDefault="00B13D46">
      <w:pPr>
        <w:spacing w:line="360" w:lineRule="auto"/>
        <w:ind w:firstLineChars="200" w:firstLine="480"/>
        <w:rPr>
          <w:rFonts w:ascii="宋体" w:hAnsi="宋体"/>
          <w:color w:val="000000"/>
          <w:sz w:val="24"/>
          <w:szCs w:val="18"/>
        </w:rPr>
      </w:pPr>
      <w:r>
        <w:rPr>
          <w:rFonts w:ascii="宋体" w:hAnsi="宋体"/>
          <w:color w:val="000000"/>
          <w:sz w:val="24"/>
        </w:rPr>
        <w:t>1</w:t>
      </w:r>
      <w:r>
        <w:rPr>
          <w:rFonts w:ascii="宋体" w:hAnsi="宋体" w:hint="eastAsia"/>
          <w:color w:val="000000"/>
          <w:sz w:val="24"/>
        </w:rPr>
        <w:t>、基金管理人聘请具有从事证券相关业务资格的会计师事务所及其注册会计师对本基金年度财务报表</w:t>
      </w:r>
      <w:r>
        <w:rPr>
          <w:rFonts w:ascii="宋体" w:hAnsi="宋体" w:hint="eastAsia"/>
          <w:color w:val="000000"/>
          <w:sz w:val="24"/>
          <w:szCs w:val="18"/>
        </w:rPr>
        <w:t>及其他规定事项</w:t>
      </w:r>
      <w:r>
        <w:rPr>
          <w:rFonts w:ascii="宋体" w:hAnsi="宋体" w:hint="eastAsia"/>
          <w:color w:val="000000"/>
          <w:sz w:val="24"/>
        </w:rPr>
        <w:t>进行审计。会计师事务所及其注册会计师与基金管理人、基金托管人相互独立。</w:t>
      </w:r>
    </w:p>
    <w:p w14:paraId="33619093" w14:textId="77777777" w:rsidR="00CF57A4" w:rsidRDefault="00B13D46">
      <w:pPr>
        <w:spacing w:line="360" w:lineRule="auto"/>
        <w:ind w:firstLineChars="200" w:firstLine="480"/>
        <w:rPr>
          <w:rFonts w:ascii="宋体" w:hAnsi="宋体"/>
          <w:color w:val="000000"/>
          <w:sz w:val="24"/>
          <w:szCs w:val="18"/>
        </w:rPr>
      </w:pPr>
      <w:r>
        <w:rPr>
          <w:rFonts w:ascii="宋体" w:hAnsi="宋体"/>
          <w:color w:val="000000"/>
          <w:sz w:val="24"/>
          <w:szCs w:val="21"/>
        </w:rPr>
        <w:t>2</w:t>
      </w:r>
      <w:r>
        <w:rPr>
          <w:rFonts w:ascii="宋体" w:hAnsi="宋体" w:hint="eastAsia"/>
          <w:color w:val="000000"/>
          <w:sz w:val="24"/>
          <w:szCs w:val="21"/>
        </w:rPr>
        <w:t>、会计师事务所更换经办注册会计师</w:t>
      </w:r>
      <w:r>
        <w:rPr>
          <w:rFonts w:ascii="宋体" w:hAnsi="宋体" w:hint="eastAsia"/>
          <w:color w:val="000000"/>
          <w:sz w:val="24"/>
        </w:rPr>
        <w:t>时</w:t>
      </w:r>
      <w:r>
        <w:rPr>
          <w:rFonts w:ascii="宋体" w:hAnsi="宋体" w:hint="eastAsia"/>
          <w:color w:val="000000"/>
          <w:sz w:val="24"/>
          <w:szCs w:val="21"/>
        </w:rPr>
        <w:t>，应事先征得基金管理人同意。</w:t>
      </w:r>
    </w:p>
    <w:p w14:paraId="40F41FB5" w14:textId="77777777" w:rsidR="00CF57A4" w:rsidRDefault="00B13D46">
      <w:pPr>
        <w:spacing w:line="360" w:lineRule="auto"/>
        <w:ind w:firstLineChars="200" w:firstLine="480"/>
        <w:rPr>
          <w:rFonts w:ascii="宋体" w:hAnsi="宋体"/>
          <w:color w:val="000000"/>
          <w:sz w:val="24"/>
          <w:szCs w:val="18"/>
        </w:rPr>
      </w:pPr>
      <w:r>
        <w:rPr>
          <w:rFonts w:ascii="宋体" w:hAnsi="宋体"/>
          <w:color w:val="000000"/>
          <w:sz w:val="24"/>
        </w:rPr>
        <w:t>3</w:t>
      </w:r>
      <w:r>
        <w:rPr>
          <w:rFonts w:ascii="宋体" w:hAnsi="宋体" w:hint="eastAsia"/>
          <w:color w:val="000000"/>
          <w:sz w:val="24"/>
        </w:rPr>
        <w:t>、基金管理人认为有充足理由更换会计师事务所，经通报基金托管人并报中国证监会备案后可以更换。基金管理人应当依据有关规定在指定媒体上公告。</w:t>
      </w:r>
    </w:p>
    <w:p w14:paraId="70714774" w14:textId="77777777" w:rsidR="00CF57A4" w:rsidRDefault="00B13D46">
      <w:pPr>
        <w:pStyle w:val="af1"/>
        <w:rPr>
          <w:rFonts w:eastAsia="黑体"/>
          <w:color w:val="000000"/>
          <w:kern w:val="0"/>
          <w:sz w:val="30"/>
        </w:rPr>
      </w:pPr>
      <w:bookmarkStart w:id="159" w:name="_Toc109537395"/>
      <w:r>
        <w:rPr>
          <w:rFonts w:eastAsia="黑体"/>
          <w:color w:val="000000"/>
          <w:kern w:val="0"/>
          <w:sz w:val="30"/>
        </w:rPr>
        <w:br w:type="page"/>
      </w:r>
      <w:bookmarkStart w:id="160" w:name="_Toc322519884"/>
      <w:bookmarkStart w:id="161" w:name="_Toc320703958"/>
      <w:bookmarkStart w:id="162" w:name="_Toc320704009"/>
      <w:bookmarkStart w:id="163" w:name="_Toc320704082"/>
      <w:bookmarkStart w:id="164" w:name="_Toc320704369"/>
      <w:bookmarkStart w:id="165" w:name="_Toc322002733"/>
      <w:r>
        <w:rPr>
          <w:rFonts w:eastAsia="黑体" w:hint="eastAsia"/>
          <w:color w:val="000000"/>
          <w:kern w:val="0"/>
          <w:sz w:val="30"/>
        </w:rPr>
        <w:lastRenderedPageBreak/>
        <w:t>十七、基金的信息披露</w:t>
      </w:r>
      <w:bookmarkEnd w:id="159"/>
      <w:bookmarkEnd w:id="160"/>
      <w:bookmarkEnd w:id="161"/>
      <w:bookmarkEnd w:id="162"/>
      <w:bookmarkEnd w:id="163"/>
      <w:bookmarkEnd w:id="164"/>
      <w:bookmarkEnd w:id="165"/>
    </w:p>
    <w:p w14:paraId="44CF3223" w14:textId="2FA8F543" w:rsidR="00CF57A4" w:rsidRDefault="00B13D46">
      <w:pPr>
        <w:spacing w:line="360" w:lineRule="auto"/>
        <w:ind w:firstLineChars="200" w:firstLine="482"/>
        <w:rPr>
          <w:rFonts w:ascii="宋体" w:hAnsi="宋体"/>
          <w:b/>
          <w:bCs/>
          <w:color w:val="000000"/>
          <w:sz w:val="24"/>
        </w:rPr>
      </w:pPr>
      <w:bookmarkStart w:id="166" w:name="_Toc109537396"/>
      <w:r>
        <w:rPr>
          <w:rFonts w:ascii="宋体" w:hAnsi="宋体"/>
          <w:b/>
          <w:bCs/>
          <w:color w:val="000000"/>
          <w:sz w:val="24"/>
        </w:rPr>
        <w:t>(</w:t>
      </w:r>
      <w:r>
        <w:rPr>
          <w:rFonts w:ascii="宋体" w:hAnsi="宋体" w:hint="eastAsia"/>
          <w:b/>
          <w:bCs/>
          <w:color w:val="000000"/>
          <w:sz w:val="24"/>
        </w:rPr>
        <w:t>一</w:t>
      </w:r>
      <w:r>
        <w:rPr>
          <w:rFonts w:ascii="宋体" w:hAnsi="宋体"/>
          <w:b/>
          <w:bCs/>
          <w:color w:val="000000"/>
          <w:sz w:val="24"/>
        </w:rPr>
        <w:t>)</w:t>
      </w:r>
      <w:r>
        <w:rPr>
          <w:rFonts w:ascii="宋体" w:hAnsi="宋体" w:hint="eastAsia"/>
          <w:b/>
          <w:bCs/>
          <w:color w:val="000000"/>
          <w:sz w:val="24"/>
        </w:rPr>
        <w:t>本基金的信息披露应符合《基金法》、《运作办法》、《信息披露办法》、</w:t>
      </w:r>
      <w:r w:rsidR="00631996" w:rsidRPr="00631996">
        <w:rPr>
          <w:rFonts w:ascii="宋体" w:hAnsi="宋体" w:hint="eastAsia"/>
          <w:b/>
          <w:bCs/>
          <w:color w:val="000000"/>
          <w:sz w:val="24"/>
        </w:rPr>
        <w:t>《流动性规定》、</w:t>
      </w:r>
      <w:r>
        <w:rPr>
          <w:rFonts w:ascii="宋体" w:hAnsi="宋体" w:hint="eastAsia"/>
          <w:b/>
          <w:bCs/>
          <w:color w:val="000000"/>
          <w:sz w:val="24"/>
        </w:rPr>
        <w:t>基金合同及其他有关规定。</w:t>
      </w:r>
    </w:p>
    <w:p w14:paraId="5BC35270" w14:textId="77777777" w:rsidR="00CF57A4" w:rsidRDefault="00B13D46">
      <w:pPr>
        <w:spacing w:line="360" w:lineRule="auto"/>
        <w:ind w:firstLineChars="200" w:firstLine="482"/>
        <w:rPr>
          <w:rFonts w:ascii="宋体" w:hAnsi="宋体"/>
          <w:b/>
          <w:bCs/>
          <w:color w:val="000000"/>
          <w:sz w:val="24"/>
        </w:rPr>
      </w:pPr>
      <w:r>
        <w:rPr>
          <w:rFonts w:ascii="宋体" w:hAnsi="宋体"/>
          <w:b/>
          <w:bCs/>
          <w:color w:val="000000"/>
          <w:sz w:val="24"/>
        </w:rPr>
        <w:t>(</w:t>
      </w:r>
      <w:r>
        <w:rPr>
          <w:rFonts w:ascii="宋体" w:hAnsi="宋体" w:hint="eastAsia"/>
          <w:b/>
          <w:bCs/>
          <w:color w:val="000000"/>
          <w:sz w:val="24"/>
        </w:rPr>
        <w:t>二</w:t>
      </w:r>
      <w:r>
        <w:rPr>
          <w:rFonts w:ascii="宋体" w:hAnsi="宋体"/>
          <w:b/>
          <w:bCs/>
          <w:color w:val="000000"/>
          <w:sz w:val="24"/>
        </w:rPr>
        <w:t>)</w:t>
      </w:r>
      <w:r>
        <w:rPr>
          <w:rFonts w:ascii="宋体" w:hAnsi="宋体" w:hint="eastAsia"/>
          <w:b/>
          <w:bCs/>
          <w:color w:val="000000"/>
          <w:sz w:val="24"/>
        </w:rPr>
        <w:t>信息披露义务人</w:t>
      </w:r>
    </w:p>
    <w:p w14:paraId="6F3E77D7" w14:textId="77777777" w:rsidR="00CF57A4" w:rsidRDefault="00B13D46">
      <w:pPr>
        <w:spacing w:line="360" w:lineRule="auto"/>
        <w:ind w:firstLineChars="200" w:firstLine="480"/>
        <w:rPr>
          <w:rFonts w:ascii="宋体" w:hAnsi="宋体"/>
          <w:b/>
          <w:bCs/>
          <w:color w:val="000000"/>
          <w:sz w:val="24"/>
        </w:rPr>
      </w:pPr>
      <w:r>
        <w:rPr>
          <w:rFonts w:ascii="宋体" w:hAnsi="宋体" w:hint="eastAsia"/>
          <w:color w:val="000000"/>
          <w:sz w:val="24"/>
        </w:rPr>
        <w:t>本基金信息披露义务人包括基金管理人、基金托管人、召集基金份额持有人大会的基金份额持有人等法律法规和中国证监会规定的自然人、法人和其他组织。</w:t>
      </w:r>
    </w:p>
    <w:p w14:paraId="4A885530"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本基金信息披露义务人按照法律法规和中国证监会的规定披露基金信息，并保证所披露信息的真实性、准确性和完整性。</w:t>
      </w:r>
    </w:p>
    <w:p w14:paraId="6B38E36F"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本基金信息披露义务人应当在中国证监会规定时间内，将应予披露的基金信息通过中国证监会指定的全国性报刊（以下简称“指定报刊”）和基金管理人、基金托管人的互联网网站（以下简称“网站”）等媒介披露，并保证基金投资者能够按照基金合同约定的时间和方式查阅或者复制公开披露的信息资料。</w:t>
      </w:r>
    </w:p>
    <w:p w14:paraId="007A00BB" w14:textId="77777777" w:rsidR="00CF57A4" w:rsidRDefault="00B13D46">
      <w:pPr>
        <w:spacing w:line="360" w:lineRule="auto"/>
        <w:ind w:firstLineChars="200" w:firstLine="482"/>
        <w:rPr>
          <w:rFonts w:ascii="宋体" w:hAnsi="宋体"/>
          <w:b/>
          <w:bCs/>
          <w:color w:val="000000"/>
          <w:sz w:val="24"/>
        </w:rPr>
      </w:pPr>
      <w:r>
        <w:rPr>
          <w:rFonts w:ascii="宋体" w:hAnsi="宋体"/>
          <w:b/>
          <w:bCs/>
          <w:color w:val="000000"/>
          <w:sz w:val="24"/>
        </w:rPr>
        <w:t>(</w:t>
      </w:r>
      <w:r>
        <w:rPr>
          <w:rFonts w:ascii="宋体" w:hAnsi="宋体" w:hint="eastAsia"/>
          <w:b/>
          <w:bCs/>
          <w:color w:val="000000"/>
          <w:sz w:val="24"/>
        </w:rPr>
        <w:t>三</w:t>
      </w:r>
      <w:r>
        <w:rPr>
          <w:rFonts w:ascii="宋体" w:hAnsi="宋体"/>
          <w:b/>
          <w:bCs/>
          <w:color w:val="000000"/>
          <w:sz w:val="24"/>
        </w:rPr>
        <w:t>)</w:t>
      </w:r>
      <w:r>
        <w:rPr>
          <w:rFonts w:ascii="宋体" w:hAnsi="宋体" w:hint="eastAsia"/>
          <w:b/>
          <w:bCs/>
          <w:color w:val="000000"/>
          <w:sz w:val="24"/>
        </w:rPr>
        <w:t>本基金信息披露义务人在承诺公开披露的基金信息时，不得有下列行为：</w:t>
      </w:r>
    </w:p>
    <w:p w14:paraId="637AAC85" w14:textId="77777777" w:rsidR="00CF57A4" w:rsidRDefault="00B13D46">
      <w:pPr>
        <w:spacing w:line="360" w:lineRule="auto"/>
        <w:ind w:firstLineChars="200" w:firstLine="480"/>
        <w:rPr>
          <w:rFonts w:ascii="宋体" w:hAnsi="宋体"/>
          <w:color w:val="000000"/>
          <w:sz w:val="24"/>
        </w:rPr>
      </w:pPr>
      <w:r>
        <w:rPr>
          <w:rFonts w:ascii="宋体" w:hAnsi="宋体"/>
          <w:color w:val="000000"/>
          <w:sz w:val="24"/>
        </w:rPr>
        <w:t>1</w:t>
      </w:r>
      <w:r>
        <w:rPr>
          <w:rFonts w:ascii="宋体" w:hAnsi="宋体" w:hint="eastAsia"/>
          <w:color w:val="000000"/>
          <w:sz w:val="24"/>
        </w:rPr>
        <w:t>、虚假记载、误导性陈述或者重大遗漏；</w:t>
      </w:r>
    </w:p>
    <w:p w14:paraId="7439590F" w14:textId="77777777" w:rsidR="00CF57A4" w:rsidRDefault="00B13D46">
      <w:pPr>
        <w:spacing w:line="360" w:lineRule="auto"/>
        <w:ind w:firstLineChars="200" w:firstLine="480"/>
        <w:rPr>
          <w:rFonts w:ascii="宋体" w:hAnsi="宋体"/>
          <w:color w:val="000000"/>
          <w:sz w:val="24"/>
        </w:rPr>
      </w:pPr>
      <w:r>
        <w:rPr>
          <w:rFonts w:ascii="宋体" w:hAnsi="宋体"/>
          <w:color w:val="000000"/>
          <w:sz w:val="24"/>
        </w:rPr>
        <w:t>2</w:t>
      </w:r>
      <w:r>
        <w:rPr>
          <w:rFonts w:ascii="宋体" w:hAnsi="宋体" w:hint="eastAsia"/>
          <w:color w:val="000000"/>
          <w:sz w:val="24"/>
        </w:rPr>
        <w:t>、对证券投资业绩进行预测；</w:t>
      </w:r>
    </w:p>
    <w:p w14:paraId="571A8B96" w14:textId="77777777" w:rsidR="00CF57A4" w:rsidRDefault="00B13D46">
      <w:pPr>
        <w:spacing w:line="360" w:lineRule="auto"/>
        <w:ind w:firstLineChars="200" w:firstLine="480"/>
        <w:rPr>
          <w:rFonts w:ascii="宋体" w:hAnsi="宋体"/>
          <w:color w:val="000000"/>
          <w:sz w:val="24"/>
        </w:rPr>
      </w:pPr>
      <w:r>
        <w:rPr>
          <w:rFonts w:ascii="宋体" w:hAnsi="宋体"/>
          <w:color w:val="000000"/>
          <w:sz w:val="24"/>
        </w:rPr>
        <w:t>3</w:t>
      </w:r>
      <w:r>
        <w:rPr>
          <w:rFonts w:ascii="宋体" w:hAnsi="宋体" w:hint="eastAsia"/>
          <w:color w:val="000000"/>
          <w:sz w:val="24"/>
        </w:rPr>
        <w:t>、违规承诺收益或者承担损失；</w:t>
      </w:r>
    </w:p>
    <w:p w14:paraId="3069CC24" w14:textId="77777777" w:rsidR="00CF57A4" w:rsidRDefault="00B13D46">
      <w:pPr>
        <w:spacing w:line="360" w:lineRule="auto"/>
        <w:ind w:firstLineChars="200" w:firstLine="480"/>
        <w:rPr>
          <w:rFonts w:ascii="宋体" w:hAnsi="宋体"/>
          <w:color w:val="000000"/>
          <w:sz w:val="24"/>
        </w:rPr>
      </w:pPr>
      <w:r>
        <w:rPr>
          <w:rFonts w:ascii="宋体" w:hAnsi="宋体"/>
          <w:color w:val="000000"/>
          <w:sz w:val="24"/>
        </w:rPr>
        <w:t>4</w:t>
      </w:r>
      <w:r>
        <w:rPr>
          <w:rFonts w:ascii="宋体" w:hAnsi="宋体" w:hint="eastAsia"/>
          <w:color w:val="000000"/>
          <w:sz w:val="24"/>
        </w:rPr>
        <w:t>、诋毁其他基金管理人、基金托管人或者基金份额销售机构；</w:t>
      </w:r>
    </w:p>
    <w:p w14:paraId="65C941F7" w14:textId="77777777" w:rsidR="00CF57A4" w:rsidRDefault="00B13D46">
      <w:pPr>
        <w:spacing w:line="360" w:lineRule="auto"/>
        <w:ind w:firstLineChars="200" w:firstLine="480"/>
        <w:rPr>
          <w:rFonts w:ascii="宋体" w:hAnsi="宋体"/>
          <w:color w:val="000000"/>
          <w:sz w:val="24"/>
        </w:rPr>
      </w:pPr>
      <w:r>
        <w:rPr>
          <w:rFonts w:ascii="宋体" w:hAnsi="宋体"/>
          <w:color w:val="000000"/>
          <w:sz w:val="24"/>
        </w:rPr>
        <w:t>5</w:t>
      </w:r>
      <w:r>
        <w:rPr>
          <w:rFonts w:ascii="宋体" w:hAnsi="宋体" w:hint="eastAsia"/>
          <w:color w:val="000000"/>
          <w:sz w:val="24"/>
        </w:rPr>
        <w:t>、登载任何自然人、法人或者其他组织的祝贺性、恭维性或推荐性的文字；</w:t>
      </w:r>
    </w:p>
    <w:p w14:paraId="74F4861B" w14:textId="77777777" w:rsidR="00CF57A4" w:rsidRDefault="00B13D46">
      <w:pPr>
        <w:spacing w:line="360" w:lineRule="auto"/>
        <w:ind w:firstLineChars="200" w:firstLine="480"/>
        <w:rPr>
          <w:rFonts w:ascii="宋体" w:hAnsi="宋体"/>
          <w:color w:val="000000"/>
          <w:sz w:val="24"/>
        </w:rPr>
      </w:pPr>
      <w:r>
        <w:rPr>
          <w:rFonts w:ascii="宋体" w:hAnsi="宋体"/>
          <w:color w:val="000000"/>
          <w:sz w:val="24"/>
        </w:rPr>
        <w:t>6</w:t>
      </w:r>
      <w:r>
        <w:rPr>
          <w:rFonts w:ascii="宋体" w:hAnsi="宋体" w:hint="eastAsia"/>
          <w:color w:val="000000"/>
          <w:sz w:val="24"/>
        </w:rPr>
        <w:t>、中国证监会禁止的其他行为。</w:t>
      </w:r>
    </w:p>
    <w:p w14:paraId="63C9B0CB" w14:textId="77777777" w:rsidR="00CF57A4" w:rsidRDefault="00B13D46">
      <w:pPr>
        <w:spacing w:line="360" w:lineRule="auto"/>
        <w:ind w:firstLineChars="200" w:firstLine="482"/>
        <w:rPr>
          <w:rFonts w:ascii="宋体" w:hAnsi="宋体"/>
          <w:b/>
          <w:bCs/>
          <w:color w:val="000000"/>
          <w:sz w:val="24"/>
        </w:rPr>
      </w:pPr>
      <w:r>
        <w:rPr>
          <w:rFonts w:ascii="宋体" w:hAnsi="宋体"/>
          <w:b/>
          <w:bCs/>
          <w:color w:val="000000"/>
          <w:sz w:val="24"/>
        </w:rPr>
        <w:t>(</w:t>
      </w:r>
      <w:r>
        <w:rPr>
          <w:rFonts w:ascii="宋体" w:hAnsi="宋体" w:hint="eastAsia"/>
          <w:b/>
          <w:bCs/>
          <w:color w:val="000000"/>
          <w:sz w:val="24"/>
        </w:rPr>
        <w:t>四</w:t>
      </w:r>
      <w:r>
        <w:rPr>
          <w:rFonts w:ascii="宋体" w:hAnsi="宋体"/>
          <w:b/>
          <w:bCs/>
          <w:color w:val="000000"/>
          <w:sz w:val="24"/>
        </w:rPr>
        <w:t>)</w:t>
      </w:r>
      <w:r>
        <w:rPr>
          <w:rFonts w:ascii="宋体" w:hAnsi="宋体" w:hint="eastAsia"/>
          <w:b/>
          <w:bCs/>
          <w:color w:val="000000"/>
          <w:sz w:val="24"/>
        </w:rPr>
        <w:t>本基金公开披露的信息应采用中文文本。如同时采用外文文本的，基金信息披露义务人应保证两种文本的内容一致。两种文本发生歧义的，以中文文本为准。</w:t>
      </w:r>
    </w:p>
    <w:p w14:paraId="4B9046AB" w14:textId="77777777" w:rsidR="00CF57A4" w:rsidRDefault="00B13D46">
      <w:pPr>
        <w:spacing w:line="360" w:lineRule="auto"/>
        <w:ind w:firstLineChars="200" w:firstLine="480"/>
        <w:rPr>
          <w:rFonts w:ascii="宋体" w:hAnsi="宋体"/>
          <w:bCs/>
          <w:color w:val="000000"/>
          <w:sz w:val="24"/>
        </w:rPr>
      </w:pPr>
      <w:r>
        <w:rPr>
          <w:rFonts w:ascii="宋体" w:hAnsi="宋体" w:hint="eastAsia"/>
          <w:bCs/>
          <w:color w:val="000000"/>
          <w:sz w:val="24"/>
        </w:rPr>
        <w:t>本基金公开披露的信息采用阿拉伯数字；除特别说明外，货币单位为人民币元。</w:t>
      </w:r>
    </w:p>
    <w:p w14:paraId="78F3EFAD" w14:textId="77777777" w:rsidR="00CF57A4" w:rsidRDefault="00B13D46">
      <w:pPr>
        <w:spacing w:line="360" w:lineRule="auto"/>
        <w:ind w:firstLineChars="200" w:firstLine="482"/>
        <w:rPr>
          <w:rFonts w:ascii="宋体" w:hAnsi="宋体"/>
          <w:b/>
          <w:bCs/>
          <w:color w:val="000000"/>
          <w:sz w:val="24"/>
          <w:szCs w:val="21"/>
        </w:rPr>
      </w:pPr>
      <w:r>
        <w:rPr>
          <w:rFonts w:ascii="宋体" w:hAnsi="宋体"/>
          <w:b/>
          <w:bCs/>
          <w:color w:val="000000"/>
          <w:sz w:val="24"/>
          <w:szCs w:val="21"/>
        </w:rPr>
        <w:t>(</w:t>
      </w:r>
      <w:r>
        <w:rPr>
          <w:rFonts w:ascii="宋体" w:hAnsi="宋体" w:hint="eastAsia"/>
          <w:b/>
          <w:bCs/>
          <w:color w:val="000000"/>
          <w:sz w:val="24"/>
          <w:szCs w:val="21"/>
        </w:rPr>
        <w:t>五</w:t>
      </w:r>
      <w:r>
        <w:rPr>
          <w:rFonts w:ascii="宋体" w:hAnsi="宋体"/>
          <w:b/>
          <w:bCs/>
          <w:color w:val="000000"/>
          <w:sz w:val="24"/>
          <w:szCs w:val="21"/>
        </w:rPr>
        <w:t>)</w:t>
      </w:r>
      <w:r>
        <w:rPr>
          <w:rFonts w:ascii="宋体" w:hAnsi="宋体" w:hint="eastAsia"/>
          <w:b/>
          <w:bCs/>
          <w:color w:val="000000"/>
          <w:sz w:val="24"/>
          <w:szCs w:val="21"/>
        </w:rPr>
        <w:t>公开披露的基金信息</w:t>
      </w:r>
    </w:p>
    <w:p w14:paraId="413EACB8"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公开披露的基金信息包括：</w:t>
      </w:r>
    </w:p>
    <w:p w14:paraId="1C74E5D7" w14:textId="77777777" w:rsidR="00CF57A4" w:rsidRDefault="00B13D46">
      <w:pPr>
        <w:spacing w:line="360" w:lineRule="auto"/>
        <w:ind w:firstLineChars="200" w:firstLine="480"/>
        <w:rPr>
          <w:rFonts w:ascii="宋体" w:hAnsi="宋体"/>
          <w:color w:val="000000"/>
          <w:sz w:val="24"/>
        </w:rPr>
      </w:pPr>
      <w:r>
        <w:rPr>
          <w:rFonts w:ascii="宋体" w:hAnsi="宋体"/>
          <w:color w:val="000000"/>
          <w:sz w:val="24"/>
        </w:rPr>
        <w:t>1</w:t>
      </w:r>
      <w:r>
        <w:rPr>
          <w:rFonts w:ascii="宋体" w:hAnsi="宋体" w:hint="eastAsia"/>
          <w:color w:val="000000"/>
          <w:sz w:val="24"/>
        </w:rPr>
        <w:t>、招募说明书、基金合同、托管协议</w:t>
      </w:r>
    </w:p>
    <w:p w14:paraId="4BA21829"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基金募集申请经中国证监会核准后，基金管理人在基金份额发售</w:t>
      </w:r>
      <w:r>
        <w:rPr>
          <w:rFonts w:ascii="宋体" w:hAnsi="宋体"/>
          <w:color w:val="000000"/>
          <w:sz w:val="24"/>
        </w:rPr>
        <w:t>3</w:t>
      </w:r>
      <w:r>
        <w:rPr>
          <w:rFonts w:ascii="宋体" w:hAnsi="宋体" w:hint="eastAsia"/>
          <w:color w:val="000000"/>
          <w:sz w:val="24"/>
        </w:rPr>
        <w:t>日前，将招募说明书、基金合同摘要登载在指定报刊和网站上；基金管理人、基金托管人</w:t>
      </w:r>
      <w:r>
        <w:rPr>
          <w:rFonts w:ascii="宋体" w:hAnsi="宋体" w:hint="eastAsia"/>
          <w:color w:val="000000"/>
          <w:sz w:val="24"/>
        </w:rPr>
        <w:lastRenderedPageBreak/>
        <w:t>应当将基金合同、托管协议登载在网站上。</w:t>
      </w:r>
    </w:p>
    <w:p w14:paraId="2485B96F" w14:textId="77777777" w:rsidR="00CF57A4" w:rsidRDefault="00B13D46">
      <w:pPr>
        <w:spacing w:line="360" w:lineRule="auto"/>
        <w:ind w:firstLineChars="200" w:firstLine="480"/>
        <w:rPr>
          <w:rFonts w:ascii="宋体" w:hAnsi="宋体"/>
          <w:color w:val="000000"/>
          <w:sz w:val="24"/>
        </w:rPr>
      </w:pPr>
      <w:r>
        <w:rPr>
          <w:rFonts w:ascii="宋体" w:hAnsi="宋体"/>
          <w:color w:val="000000"/>
          <w:sz w:val="24"/>
        </w:rPr>
        <w:t>(1)</w:t>
      </w:r>
      <w:r>
        <w:rPr>
          <w:rFonts w:ascii="宋体" w:hAnsi="宋体" w:hint="eastAsia"/>
          <w:color w:val="000000"/>
          <w:sz w:val="24"/>
        </w:rPr>
        <w:t>招募说明书应当最大限度地披露影响基金投资者决策的全部事项，说明基金认购、申购和赎回安排、基金投资、基金产品特性、风险揭示、信息披露及基金份额持有人服务等内容。本基金合同生效后，基金管理人在每</w:t>
      </w:r>
      <w:r>
        <w:rPr>
          <w:rFonts w:ascii="宋体" w:hAnsi="宋体"/>
          <w:color w:val="000000"/>
          <w:sz w:val="24"/>
        </w:rPr>
        <w:t>6</w:t>
      </w:r>
      <w:r>
        <w:rPr>
          <w:rFonts w:ascii="宋体" w:hAnsi="宋体" w:hint="eastAsia"/>
          <w:color w:val="000000"/>
          <w:sz w:val="24"/>
        </w:rPr>
        <w:t>个月结束之日起</w:t>
      </w:r>
      <w:r>
        <w:rPr>
          <w:rFonts w:ascii="宋体" w:hAnsi="宋体"/>
          <w:color w:val="000000"/>
          <w:sz w:val="24"/>
        </w:rPr>
        <w:t>45</w:t>
      </w:r>
      <w:r>
        <w:rPr>
          <w:rFonts w:ascii="宋体" w:hAnsi="宋体" w:hint="eastAsia"/>
          <w:color w:val="000000"/>
          <w:sz w:val="24"/>
        </w:rPr>
        <w:t>日内，更新招募说明书并登载在网站上，将更新后的招募说明书摘要登载在指定报刊上；基金管理人在公告的</w:t>
      </w:r>
      <w:r>
        <w:rPr>
          <w:rFonts w:ascii="宋体" w:hAnsi="宋体"/>
          <w:color w:val="000000"/>
          <w:sz w:val="24"/>
        </w:rPr>
        <w:t>15</w:t>
      </w:r>
      <w:r>
        <w:rPr>
          <w:rFonts w:ascii="宋体" w:hAnsi="宋体" w:hint="eastAsia"/>
          <w:color w:val="000000"/>
          <w:sz w:val="24"/>
        </w:rPr>
        <w:t>日前向中国证监会报送更新的招募说明书，并就有关更新内容提供书面说明。</w:t>
      </w:r>
    </w:p>
    <w:p w14:paraId="39279750" w14:textId="77777777" w:rsidR="00CF57A4" w:rsidRDefault="00B13D46">
      <w:pPr>
        <w:spacing w:line="360" w:lineRule="auto"/>
        <w:ind w:firstLineChars="200" w:firstLine="480"/>
        <w:rPr>
          <w:rFonts w:ascii="宋体" w:hAnsi="宋体"/>
          <w:color w:val="000000"/>
          <w:sz w:val="24"/>
        </w:rPr>
      </w:pPr>
      <w:r>
        <w:rPr>
          <w:rFonts w:ascii="宋体" w:hAnsi="宋体"/>
          <w:color w:val="000000"/>
          <w:sz w:val="24"/>
        </w:rPr>
        <w:t>(2)</w:t>
      </w:r>
      <w:r>
        <w:rPr>
          <w:rFonts w:ascii="宋体" w:hAnsi="宋体" w:hint="eastAsia"/>
          <w:color w:val="000000"/>
          <w:sz w:val="24"/>
        </w:rPr>
        <w:t>基金合同是界定基金合同当事人的各项权利、义务关系，明确基金份额持有人大会召开的规则及具体程序，说明基金产品的特性等涉及基金投资者重大利益的事项的法律文件。</w:t>
      </w:r>
    </w:p>
    <w:p w14:paraId="3EE4B68C" w14:textId="77777777" w:rsidR="00CF57A4" w:rsidRDefault="00B13D46">
      <w:pPr>
        <w:spacing w:line="360" w:lineRule="auto"/>
        <w:ind w:firstLineChars="200" w:firstLine="480"/>
        <w:rPr>
          <w:rFonts w:ascii="宋体" w:hAnsi="宋体"/>
          <w:color w:val="000000"/>
          <w:sz w:val="24"/>
        </w:rPr>
      </w:pPr>
      <w:r>
        <w:rPr>
          <w:rFonts w:ascii="宋体" w:hAnsi="宋体"/>
          <w:color w:val="000000"/>
          <w:sz w:val="24"/>
        </w:rPr>
        <w:t>(3)</w:t>
      </w:r>
      <w:r>
        <w:rPr>
          <w:rFonts w:ascii="宋体" w:hAnsi="宋体" w:hint="eastAsia"/>
          <w:color w:val="000000"/>
          <w:sz w:val="24"/>
        </w:rPr>
        <w:t>托管协议是界定基金托管人和基金管理人在基金财产保管及基金运作监督等活动中的权利、义务关系的法律文件。</w:t>
      </w:r>
    </w:p>
    <w:p w14:paraId="673BF492" w14:textId="77777777" w:rsidR="00CF57A4" w:rsidRDefault="00B13D46">
      <w:pPr>
        <w:spacing w:line="360" w:lineRule="auto"/>
        <w:ind w:firstLineChars="200" w:firstLine="480"/>
        <w:rPr>
          <w:rFonts w:ascii="宋体" w:hAnsi="宋体"/>
          <w:color w:val="000000"/>
          <w:sz w:val="24"/>
        </w:rPr>
      </w:pPr>
      <w:r>
        <w:rPr>
          <w:rFonts w:ascii="宋体" w:hAnsi="宋体"/>
          <w:color w:val="000000"/>
          <w:sz w:val="24"/>
        </w:rPr>
        <w:t>2</w:t>
      </w:r>
      <w:r>
        <w:rPr>
          <w:rFonts w:ascii="宋体" w:hAnsi="宋体" w:hint="eastAsia"/>
          <w:color w:val="000000"/>
          <w:sz w:val="24"/>
        </w:rPr>
        <w:t>、基金份额发售公告</w:t>
      </w:r>
    </w:p>
    <w:p w14:paraId="02226B78"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基金管理人应当就基金份额发售的具体事宜编制基金份额发售公告，并在披露招募说明书的当日登载于指定报刊和网站上。</w:t>
      </w:r>
    </w:p>
    <w:p w14:paraId="7D8199AE" w14:textId="77777777" w:rsidR="00CF57A4" w:rsidRDefault="00B13D46">
      <w:pPr>
        <w:spacing w:line="360" w:lineRule="auto"/>
        <w:ind w:firstLineChars="200" w:firstLine="480"/>
        <w:rPr>
          <w:rFonts w:ascii="宋体" w:hAnsi="宋体"/>
          <w:color w:val="000000"/>
          <w:sz w:val="24"/>
        </w:rPr>
      </w:pPr>
      <w:r>
        <w:rPr>
          <w:rFonts w:ascii="宋体" w:hAnsi="宋体"/>
          <w:color w:val="000000"/>
          <w:sz w:val="24"/>
        </w:rPr>
        <w:t>3</w:t>
      </w:r>
      <w:r>
        <w:rPr>
          <w:rFonts w:ascii="宋体" w:hAnsi="宋体" w:hint="eastAsia"/>
          <w:color w:val="000000"/>
          <w:sz w:val="24"/>
        </w:rPr>
        <w:t>、基金合同生效公告</w:t>
      </w:r>
    </w:p>
    <w:p w14:paraId="6FF1A62A"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基金管理人应当在本基金合同生效的次日在指定报刊和网站上登载基金合同生效公告。</w:t>
      </w:r>
    </w:p>
    <w:p w14:paraId="24809710" w14:textId="77777777" w:rsidR="00CF57A4" w:rsidRDefault="00B13D46">
      <w:pPr>
        <w:spacing w:line="360" w:lineRule="auto"/>
        <w:ind w:firstLineChars="200" w:firstLine="480"/>
        <w:rPr>
          <w:rFonts w:ascii="宋体" w:hAnsi="宋体"/>
          <w:color w:val="000000"/>
          <w:sz w:val="24"/>
        </w:rPr>
      </w:pPr>
      <w:r>
        <w:rPr>
          <w:rFonts w:ascii="宋体" w:hAnsi="宋体"/>
          <w:color w:val="000000"/>
          <w:sz w:val="24"/>
        </w:rPr>
        <w:t>4</w:t>
      </w:r>
      <w:r>
        <w:rPr>
          <w:rFonts w:ascii="宋体" w:hAnsi="宋体" w:hint="eastAsia"/>
          <w:color w:val="000000"/>
          <w:sz w:val="24"/>
        </w:rPr>
        <w:t xml:space="preserve">、基金份额折算公告 </w:t>
      </w:r>
    </w:p>
    <w:p w14:paraId="743019C0"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 xml:space="preserve">基金管理人确定基金份额折算日，并至少提前3个工作日将基金份额折算日公告登载于指定报刊和网站上。 </w:t>
      </w:r>
    </w:p>
    <w:p w14:paraId="7458CBE4"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基金份额进行折算并由注册登记机构完成基金份额的变更登记后，基金管理人将在3个工作日内将基金份额折算结果公告登载于指定报刊和网站上。</w:t>
      </w:r>
    </w:p>
    <w:p w14:paraId="0D92CE76"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5、基金开始申购、赎回公告</w:t>
      </w:r>
    </w:p>
    <w:p w14:paraId="5407363E"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基金管理人应于申购开始日、赎回开始日前在指定报刊和网站上公告。</w:t>
      </w:r>
    </w:p>
    <w:p w14:paraId="33B8DD43"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6、基金份额上市交易公告书</w:t>
      </w:r>
    </w:p>
    <w:p w14:paraId="560D2D07"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基金份额获准在证券交易所上市交易的，基金管理人应当在基金份额上市交易3个工作日前，将基金份额上市交易公告书登载在指定报刊和网站上。</w:t>
      </w:r>
    </w:p>
    <w:p w14:paraId="52854FA4"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7、基金资产净值、基金份额净值和基金份额累计净值公告</w:t>
      </w:r>
    </w:p>
    <w:p w14:paraId="5F4D2835"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lastRenderedPageBreak/>
        <w:t>本基金合同生效后，在开始办理基金份额申购或者赎回前，基金管理人应当至少每周公告一次基金资产净值和基金份额净值。</w:t>
      </w:r>
    </w:p>
    <w:p w14:paraId="2E0C6D18"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在开始办理基金份额申购或者赎回后，基金管理人应当在每个开放日的次日，通过网站、申购赎回代理机构以及其他媒介，披露开放日的基金份额净值和基金份额累计净值。</w:t>
      </w:r>
    </w:p>
    <w:p w14:paraId="2DC20484"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基金管理人应当公告半年度和年度最后一个市场交易日基金资产净值和基金份额净值。基金管理人应当在前款规定的最后一个市场交易日的次日，将基金资产净值、基金份额净值和基金份额累计净值登载在指定报刊和网站上。</w:t>
      </w:r>
    </w:p>
    <w:p w14:paraId="07340AC8"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8、申购赎回清单</w:t>
      </w:r>
    </w:p>
    <w:p w14:paraId="728E516D"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在开始办理基金份额申购或者赎回之后，基金管理人应当在每个开放日，通过网站、申购赎回代理机构以及其他媒介公告当日的申购赎回清单。</w:t>
      </w:r>
    </w:p>
    <w:p w14:paraId="58D6BA55"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9、基金定期报告，包括基金年度报告、基金半年度报告和基金季度报告</w:t>
      </w:r>
    </w:p>
    <w:p w14:paraId="40B732E9"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基金管理人应当在每年结束之日起</w:t>
      </w:r>
      <w:r>
        <w:rPr>
          <w:rFonts w:ascii="宋体" w:hAnsi="宋体"/>
          <w:color w:val="000000"/>
          <w:sz w:val="24"/>
        </w:rPr>
        <w:t>90</w:t>
      </w:r>
      <w:r>
        <w:rPr>
          <w:rFonts w:ascii="宋体" w:hAnsi="宋体" w:hint="eastAsia"/>
          <w:color w:val="000000"/>
          <w:sz w:val="24"/>
        </w:rPr>
        <w:t>日内，编制完成基金年度报告，并将年度报告正文登载于网站上，将年度报告摘要登载在指定报刊上。基金年度报告的财务会计报告应当经过审计。</w:t>
      </w:r>
    </w:p>
    <w:p w14:paraId="4F28DAED"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基金管理人应当在上半年结束之日起</w:t>
      </w:r>
      <w:r>
        <w:rPr>
          <w:rFonts w:ascii="宋体" w:hAnsi="宋体"/>
          <w:color w:val="000000"/>
          <w:sz w:val="24"/>
        </w:rPr>
        <w:t>60</w:t>
      </w:r>
      <w:r>
        <w:rPr>
          <w:rFonts w:ascii="宋体" w:hAnsi="宋体" w:hint="eastAsia"/>
          <w:color w:val="000000"/>
          <w:sz w:val="24"/>
        </w:rPr>
        <w:t>日内，编制完成基金半年度报告，并将半年度报告正文登载在网站上，将半年度报告摘要登载在指定报刊上。</w:t>
      </w:r>
    </w:p>
    <w:p w14:paraId="6D639E78"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基金管理人应当在每个季度结束之日起</w:t>
      </w:r>
      <w:r>
        <w:rPr>
          <w:rFonts w:ascii="宋体" w:hAnsi="宋体"/>
          <w:color w:val="000000"/>
          <w:sz w:val="24"/>
        </w:rPr>
        <w:t>15</w:t>
      </w:r>
      <w:r>
        <w:rPr>
          <w:rFonts w:ascii="宋体" w:hAnsi="宋体" w:hint="eastAsia"/>
          <w:color w:val="000000"/>
          <w:sz w:val="24"/>
        </w:rPr>
        <w:t>个工作日内，编制完成基金季度报告，并将季度报告登载在指定报刊和网站上。</w:t>
      </w:r>
    </w:p>
    <w:p w14:paraId="21C362C6"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基金合同生效不足</w:t>
      </w:r>
      <w:r>
        <w:rPr>
          <w:rFonts w:ascii="宋体" w:hAnsi="宋体"/>
          <w:color w:val="000000"/>
          <w:sz w:val="24"/>
        </w:rPr>
        <w:t>2</w:t>
      </w:r>
      <w:r>
        <w:rPr>
          <w:rFonts w:ascii="宋体" w:hAnsi="宋体" w:hint="eastAsia"/>
          <w:color w:val="000000"/>
          <w:sz w:val="24"/>
        </w:rPr>
        <w:t>个月的，基金管理人可以不编制当期季度报告、半年度报告或者年度报告。</w:t>
      </w:r>
    </w:p>
    <w:p w14:paraId="5FB0FF19"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基金定期报告在公开披露的第</w:t>
      </w:r>
      <w:r>
        <w:rPr>
          <w:rFonts w:ascii="宋体" w:hAnsi="宋体"/>
          <w:color w:val="000000"/>
          <w:sz w:val="24"/>
        </w:rPr>
        <w:t>2</w:t>
      </w:r>
      <w:r>
        <w:rPr>
          <w:rFonts w:ascii="宋体" w:hAnsi="宋体" w:hint="eastAsia"/>
          <w:color w:val="000000"/>
          <w:sz w:val="24"/>
        </w:rPr>
        <w:t>个工作日，分别报中国证监会和基金管理人主要办公场所所在地中国证监会派出机构备案。</w:t>
      </w:r>
    </w:p>
    <w:p w14:paraId="41B45F18" w14:textId="77777777" w:rsidR="00631996" w:rsidRPr="00631996" w:rsidRDefault="00631996" w:rsidP="00631996">
      <w:pPr>
        <w:spacing w:line="360" w:lineRule="auto"/>
        <w:ind w:firstLineChars="200" w:firstLine="480"/>
        <w:rPr>
          <w:rFonts w:ascii="宋体" w:hAnsi="宋体"/>
          <w:color w:val="000000"/>
          <w:sz w:val="24"/>
        </w:rPr>
      </w:pPr>
      <w:r w:rsidRPr="00631996">
        <w:rPr>
          <w:rFonts w:ascii="宋体" w:hAnsi="宋体" w:hint="eastAsia"/>
          <w:color w:val="000000"/>
          <w:sz w:val="24"/>
        </w:rPr>
        <w:t>如报告期内出现单一投资者持有基金份额达到或超过基金总份额20%的情形，为保障其他投资者的权益，基金管理人至少应当在定期报告“影响投资者决策的其他重要信息”项下披露该投资者的类别、报告期末持有份额及占比、报告期内持有份额变化情况及本基金的特有风险，中国证监会认定的特殊情形除外。</w:t>
      </w:r>
    </w:p>
    <w:p w14:paraId="7FD5DD62" w14:textId="3FB1018C" w:rsidR="00631996" w:rsidRDefault="00631996" w:rsidP="00631996">
      <w:pPr>
        <w:spacing w:line="360" w:lineRule="auto"/>
        <w:ind w:firstLineChars="200" w:firstLine="480"/>
        <w:rPr>
          <w:rFonts w:ascii="宋体" w:hAnsi="宋体"/>
          <w:color w:val="000000"/>
          <w:sz w:val="24"/>
        </w:rPr>
      </w:pPr>
      <w:r w:rsidRPr="00631996">
        <w:rPr>
          <w:rFonts w:ascii="宋体" w:hAnsi="宋体" w:hint="eastAsia"/>
          <w:color w:val="000000"/>
          <w:sz w:val="24"/>
        </w:rPr>
        <w:t>基金管理人应当在基金年度报告和半年度报告中披露基金组合资产情况及其流动性风险分析等。</w:t>
      </w:r>
    </w:p>
    <w:p w14:paraId="243752A0"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lastRenderedPageBreak/>
        <w:t>10、临时报告</w:t>
      </w:r>
    </w:p>
    <w:p w14:paraId="79699738"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本基金发生重大事件，有关信息披露义务人应当在</w:t>
      </w:r>
      <w:r>
        <w:rPr>
          <w:rFonts w:ascii="宋体" w:hAnsi="宋体"/>
          <w:color w:val="000000"/>
          <w:sz w:val="24"/>
        </w:rPr>
        <w:t>2</w:t>
      </w:r>
      <w:r>
        <w:rPr>
          <w:rFonts w:ascii="宋体" w:hAnsi="宋体" w:hint="eastAsia"/>
          <w:color w:val="000000"/>
          <w:sz w:val="24"/>
        </w:rPr>
        <w:t>日内编制临时报告书，予以公告，并在公开披露日分别报中国证监会和基金管理人主要办公场所所在地中国证监会派出机构备案。</w:t>
      </w:r>
    </w:p>
    <w:p w14:paraId="62DB2A0A"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前款所称重大事件，是指可能对基金份额持有人权益或者基金份额的价格产生重大影响的下列事件：</w:t>
      </w:r>
    </w:p>
    <w:p w14:paraId="0CE8B4A7" w14:textId="77777777" w:rsidR="00CF57A4" w:rsidRDefault="00B13D46">
      <w:pPr>
        <w:spacing w:line="360" w:lineRule="auto"/>
        <w:ind w:firstLineChars="200" w:firstLine="480"/>
        <w:rPr>
          <w:rFonts w:ascii="宋体" w:hAnsi="宋体"/>
          <w:color w:val="000000"/>
          <w:sz w:val="24"/>
        </w:rPr>
      </w:pPr>
      <w:r>
        <w:rPr>
          <w:rFonts w:ascii="宋体" w:hAnsi="宋体"/>
          <w:color w:val="000000"/>
          <w:sz w:val="24"/>
        </w:rPr>
        <w:t>(1)</w:t>
      </w:r>
      <w:r>
        <w:rPr>
          <w:rFonts w:ascii="宋体" w:hAnsi="宋体" w:hint="eastAsia"/>
          <w:color w:val="000000"/>
          <w:sz w:val="24"/>
        </w:rPr>
        <w:t>基金份额持有人大会的召开；</w:t>
      </w:r>
    </w:p>
    <w:p w14:paraId="5667172D" w14:textId="77777777" w:rsidR="00CF57A4" w:rsidRDefault="00B13D46">
      <w:pPr>
        <w:spacing w:line="360" w:lineRule="auto"/>
        <w:ind w:firstLineChars="200" w:firstLine="480"/>
        <w:rPr>
          <w:rFonts w:ascii="宋体" w:hAnsi="宋体"/>
          <w:color w:val="000000"/>
          <w:sz w:val="24"/>
        </w:rPr>
      </w:pPr>
      <w:r>
        <w:rPr>
          <w:rFonts w:ascii="宋体" w:hAnsi="宋体"/>
          <w:color w:val="000000"/>
          <w:sz w:val="24"/>
        </w:rPr>
        <w:t>(2)</w:t>
      </w:r>
      <w:r>
        <w:rPr>
          <w:rFonts w:ascii="宋体" w:hAnsi="宋体" w:hint="eastAsia"/>
          <w:color w:val="000000"/>
          <w:sz w:val="24"/>
        </w:rPr>
        <w:t>终止基金合同；</w:t>
      </w:r>
    </w:p>
    <w:p w14:paraId="4BF0EF24" w14:textId="77777777" w:rsidR="00CF57A4" w:rsidRDefault="00B13D46">
      <w:pPr>
        <w:spacing w:line="360" w:lineRule="auto"/>
        <w:ind w:firstLineChars="200" w:firstLine="480"/>
        <w:rPr>
          <w:rFonts w:ascii="宋体" w:hAnsi="宋体"/>
          <w:color w:val="000000"/>
          <w:sz w:val="24"/>
        </w:rPr>
      </w:pPr>
      <w:r>
        <w:rPr>
          <w:rFonts w:ascii="宋体" w:hAnsi="宋体"/>
          <w:color w:val="000000"/>
          <w:sz w:val="24"/>
        </w:rPr>
        <w:t>(3)</w:t>
      </w:r>
      <w:r>
        <w:rPr>
          <w:rFonts w:ascii="宋体" w:hAnsi="宋体" w:hint="eastAsia"/>
          <w:color w:val="000000"/>
          <w:sz w:val="24"/>
        </w:rPr>
        <w:t>转换基金运作方式；</w:t>
      </w:r>
    </w:p>
    <w:p w14:paraId="75131117" w14:textId="77777777" w:rsidR="00CF57A4" w:rsidRDefault="00B13D46">
      <w:pPr>
        <w:spacing w:line="360" w:lineRule="auto"/>
        <w:ind w:firstLineChars="200" w:firstLine="480"/>
        <w:rPr>
          <w:rFonts w:ascii="宋体" w:hAnsi="宋体"/>
          <w:color w:val="000000"/>
          <w:sz w:val="24"/>
        </w:rPr>
      </w:pPr>
      <w:r>
        <w:rPr>
          <w:rFonts w:ascii="宋体" w:hAnsi="宋体"/>
          <w:color w:val="000000"/>
          <w:sz w:val="24"/>
        </w:rPr>
        <w:t>(4)</w:t>
      </w:r>
      <w:r>
        <w:rPr>
          <w:rFonts w:ascii="宋体" w:hAnsi="宋体" w:hint="eastAsia"/>
          <w:color w:val="000000"/>
          <w:sz w:val="24"/>
        </w:rPr>
        <w:t>更换基金管理人、基金托管人；</w:t>
      </w:r>
    </w:p>
    <w:p w14:paraId="77839776" w14:textId="77777777" w:rsidR="00CF57A4" w:rsidRDefault="00B13D46">
      <w:pPr>
        <w:spacing w:line="360" w:lineRule="auto"/>
        <w:ind w:firstLineChars="200" w:firstLine="480"/>
        <w:rPr>
          <w:rFonts w:ascii="宋体" w:hAnsi="宋体"/>
          <w:color w:val="000000"/>
          <w:sz w:val="24"/>
        </w:rPr>
      </w:pPr>
      <w:r>
        <w:rPr>
          <w:rFonts w:ascii="宋体" w:hAnsi="宋体"/>
          <w:color w:val="000000"/>
          <w:sz w:val="24"/>
        </w:rPr>
        <w:t>(5)</w:t>
      </w:r>
      <w:r>
        <w:rPr>
          <w:rFonts w:ascii="宋体" w:hAnsi="宋体" w:hint="eastAsia"/>
          <w:color w:val="000000"/>
          <w:sz w:val="24"/>
        </w:rPr>
        <w:t>基金管理人、基金托管人的法定名称、住所发生变更；</w:t>
      </w:r>
    </w:p>
    <w:p w14:paraId="0E5690AB" w14:textId="77777777" w:rsidR="00CF57A4" w:rsidRDefault="00B13D46">
      <w:pPr>
        <w:spacing w:line="360" w:lineRule="auto"/>
        <w:ind w:firstLineChars="200" w:firstLine="480"/>
        <w:rPr>
          <w:rFonts w:ascii="宋体" w:hAnsi="宋体"/>
          <w:color w:val="000000"/>
          <w:sz w:val="24"/>
        </w:rPr>
      </w:pPr>
      <w:r>
        <w:rPr>
          <w:rFonts w:ascii="宋体" w:hAnsi="宋体"/>
          <w:color w:val="000000"/>
          <w:sz w:val="24"/>
        </w:rPr>
        <w:t>(6)</w:t>
      </w:r>
      <w:r>
        <w:rPr>
          <w:rFonts w:ascii="宋体" w:hAnsi="宋体" w:hint="eastAsia"/>
          <w:color w:val="000000"/>
          <w:sz w:val="24"/>
        </w:rPr>
        <w:t>基金管理人股东及其出资比例发生变更；</w:t>
      </w:r>
    </w:p>
    <w:p w14:paraId="29F89AE8" w14:textId="77777777" w:rsidR="00CF57A4" w:rsidRDefault="00B13D46">
      <w:pPr>
        <w:spacing w:line="360" w:lineRule="auto"/>
        <w:ind w:firstLineChars="200" w:firstLine="480"/>
        <w:rPr>
          <w:rFonts w:ascii="宋体" w:hAnsi="宋体"/>
          <w:color w:val="000000"/>
          <w:sz w:val="24"/>
        </w:rPr>
      </w:pPr>
      <w:r>
        <w:rPr>
          <w:rFonts w:ascii="宋体" w:hAnsi="宋体"/>
          <w:color w:val="000000"/>
          <w:sz w:val="24"/>
        </w:rPr>
        <w:t>(7)</w:t>
      </w:r>
      <w:r>
        <w:rPr>
          <w:rFonts w:ascii="宋体" w:hAnsi="宋体" w:hint="eastAsia"/>
          <w:color w:val="000000"/>
          <w:sz w:val="24"/>
        </w:rPr>
        <w:t>基金募集期延长；</w:t>
      </w:r>
    </w:p>
    <w:p w14:paraId="415B8542" w14:textId="77777777" w:rsidR="00CF57A4" w:rsidRDefault="00B13D46">
      <w:pPr>
        <w:spacing w:line="360" w:lineRule="auto"/>
        <w:ind w:firstLineChars="200" w:firstLine="480"/>
        <w:rPr>
          <w:rFonts w:ascii="宋体" w:hAnsi="宋体"/>
          <w:color w:val="000000"/>
          <w:sz w:val="24"/>
        </w:rPr>
      </w:pPr>
      <w:r>
        <w:rPr>
          <w:rFonts w:ascii="宋体" w:hAnsi="宋体"/>
          <w:color w:val="000000"/>
          <w:sz w:val="24"/>
        </w:rPr>
        <w:t>(8)</w:t>
      </w:r>
      <w:r>
        <w:rPr>
          <w:rFonts w:ascii="宋体" w:hAnsi="宋体" w:hint="eastAsia"/>
          <w:color w:val="000000"/>
          <w:sz w:val="24"/>
        </w:rPr>
        <w:t>基金管理人的董事长、总经理及其他高级管理人员、基金经理和基金托管人基金托管部门负责人发生变动；</w:t>
      </w:r>
    </w:p>
    <w:p w14:paraId="6F13F9AF" w14:textId="77777777" w:rsidR="00CF57A4" w:rsidRDefault="00B13D46">
      <w:pPr>
        <w:spacing w:line="360" w:lineRule="auto"/>
        <w:ind w:firstLineChars="200" w:firstLine="480"/>
        <w:rPr>
          <w:rFonts w:ascii="宋体" w:hAnsi="宋体"/>
          <w:color w:val="000000"/>
          <w:sz w:val="24"/>
        </w:rPr>
      </w:pPr>
      <w:r>
        <w:rPr>
          <w:rFonts w:ascii="宋体" w:hAnsi="宋体"/>
          <w:color w:val="000000"/>
          <w:sz w:val="24"/>
        </w:rPr>
        <w:t>(9)</w:t>
      </w:r>
      <w:r>
        <w:rPr>
          <w:rFonts w:ascii="宋体" w:hAnsi="宋体" w:hint="eastAsia"/>
          <w:color w:val="000000"/>
          <w:sz w:val="24"/>
        </w:rPr>
        <w:t>基金管理人的董事在一年内变更超过</w:t>
      </w:r>
      <w:r>
        <w:rPr>
          <w:rFonts w:ascii="宋体" w:hAnsi="宋体"/>
          <w:color w:val="000000"/>
          <w:sz w:val="24"/>
        </w:rPr>
        <w:t>50%</w:t>
      </w:r>
      <w:r>
        <w:rPr>
          <w:rFonts w:ascii="宋体" w:hAnsi="宋体" w:hint="eastAsia"/>
          <w:color w:val="000000"/>
          <w:sz w:val="24"/>
        </w:rPr>
        <w:t>；</w:t>
      </w:r>
    </w:p>
    <w:p w14:paraId="6C5E9E11" w14:textId="77777777" w:rsidR="00CF57A4" w:rsidRDefault="00B13D46">
      <w:pPr>
        <w:spacing w:line="360" w:lineRule="auto"/>
        <w:ind w:firstLineChars="200" w:firstLine="480"/>
        <w:rPr>
          <w:rFonts w:ascii="宋体" w:hAnsi="宋体"/>
          <w:color w:val="000000"/>
          <w:sz w:val="24"/>
        </w:rPr>
      </w:pPr>
      <w:r>
        <w:rPr>
          <w:rFonts w:ascii="宋体" w:hAnsi="宋体"/>
          <w:color w:val="000000"/>
          <w:sz w:val="24"/>
        </w:rPr>
        <w:t>(10)</w:t>
      </w:r>
      <w:r>
        <w:rPr>
          <w:rFonts w:ascii="宋体" w:hAnsi="宋体" w:hint="eastAsia"/>
          <w:color w:val="000000"/>
          <w:sz w:val="24"/>
        </w:rPr>
        <w:t>基金管理人、基金托管人基金托管部门的主要业务人员在一年内变动超过</w:t>
      </w:r>
      <w:r>
        <w:rPr>
          <w:rFonts w:ascii="宋体" w:hAnsi="宋体"/>
          <w:color w:val="000000"/>
          <w:sz w:val="24"/>
        </w:rPr>
        <w:t>30%</w:t>
      </w:r>
      <w:r>
        <w:rPr>
          <w:rFonts w:ascii="宋体" w:hAnsi="宋体" w:hint="eastAsia"/>
          <w:color w:val="000000"/>
          <w:sz w:val="24"/>
        </w:rPr>
        <w:t>；</w:t>
      </w:r>
    </w:p>
    <w:p w14:paraId="04E2D6CF" w14:textId="77777777" w:rsidR="00CF57A4" w:rsidRDefault="00B13D46">
      <w:pPr>
        <w:spacing w:line="360" w:lineRule="auto"/>
        <w:ind w:firstLineChars="200" w:firstLine="480"/>
        <w:rPr>
          <w:rFonts w:ascii="宋体" w:hAnsi="宋体"/>
          <w:color w:val="000000"/>
          <w:sz w:val="24"/>
        </w:rPr>
      </w:pPr>
      <w:r>
        <w:rPr>
          <w:rFonts w:ascii="宋体" w:hAnsi="宋体"/>
          <w:color w:val="000000"/>
          <w:sz w:val="24"/>
        </w:rPr>
        <w:t>(11)</w:t>
      </w:r>
      <w:r>
        <w:rPr>
          <w:rFonts w:ascii="宋体" w:hAnsi="宋体" w:hint="eastAsia"/>
          <w:color w:val="000000"/>
          <w:sz w:val="24"/>
        </w:rPr>
        <w:t>涉及基金管理人、基金财产、基金托管业务的诉讼；</w:t>
      </w:r>
    </w:p>
    <w:p w14:paraId="0D577495" w14:textId="77777777" w:rsidR="00CF57A4" w:rsidRDefault="00B13D46">
      <w:pPr>
        <w:spacing w:line="360" w:lineRule="auto"/>
        <w:ind w:firstLineChars="200" w:firstLine="480"/>
        <w:rPr>
          <w:rFonts w:ascii="宋体" w:hAnsi="宋体"/>
          <w:color w:val="000000"/>
          <w:sz w:val="24"/>
        </w:rPr>
      </w:pPr>
      <w:r>
        <w:rPr>
          <w:rFonts w:ascii="宋体" w:hAnsi="宋体"/>
          <w:color w:val="000000"/>
          <w:sz w:val="24"/>
        </w:rPr>
        <w:t>(12)</w:t>
      </w:r>
      <w:r>
        <w:rPr>
          <w:rFonts w:ascii="宋体" w:hAnsi="宋体" w:hint="eastAsia"/>
          <w:color w:val="000000"/>
          <w:sz w:val="24"/>
        </w:rPr>
        <w:t>基金管理人、基金托管人受到监管部门的调查；</w:t>
      </w:r>
    </w:p>
    <w:p w14:paraId="6F202023" w14:textId="77777777" w:rsidR="00CF57A4" w:rsidRDefault="00B13D46">
      <w:pPr>
        <w:spacing w:line="360" w:lineRule="auto"/>
        <w:ind w:firstLineChars="200" w:firstLine="480"/>
        <w:rPr>
          <w:rFonts w:ascii="宋体" w:hAnsi="宋体"/>
          <w:color w:val="000000"/>
          <w:sz w:val="24"/>
        </w:rPr>
      </w:pPr>
      <w:r>
        <w:rPr>
          <w:rFonts w:ascii="宋体" w:hAnsi="宋体"/>
          <w:color w:val="000000"/>
          <w:sz w:val="24"/>
        </w:rPr>
        <w:t>(13)</w:t>
      </w:r>
      <w:r>
        <w:rPr>
          <w:rFonts w:ascii="宋体" w:hAnsi="宋体" w:hint="eastAsia"/>
          <w:color w:val="000000"/>
          <w:sz w:val="24"/>
        </w:rPr>
        <w:t>基金管理人及其董事、总经理及其他高级管理人员、基金经理受到严重行政处罚，基金托管人及其基金托管部门负责人受到严重行政处罚；</w:t>
      </w:r>
    </w:p>
    <w:p w14:paraId="3E7DDEC5" w14:textId="77777777" w:rsidR="00CF57A4" w:rsidRDefault="00B13D46">
      <w:pPr>
        <w:spacing w:line="360" w:lineRule="auto"/>
        <w:ind w:firstLineChars="200" w:firstLine="480"/>
        <w:rPr>
          <w:rFonts w:ascii="宋体" w:hAnsi="宋体"/>
          <w:color w:val="000000"/>
          <w:sz w:val="24"/>
        </w:rPr>
      </w:pPr>
      <w:r>
        <w:rPr>
          <w:rFonts w:ascii="宋体" w:hAnsi="宋体"/>
          <w:color w:val="000000"/>
          <w:sz w:val="24"/>
        </w:rPr>
        <w:t>(14)</w:t>
      </w:r>
      <w:r>
        <w:rPr>
          <w:rFonts w:ascii="宋体" w:hAnsi="宋体" w:hint="eastAsia"/>
          <w:color w:val="000000"/>
          <w:sz w:val="24"/>
        </w:rPr>
        <w:t>重大关联交易事项；</w:t>
      </w:r>
    </w:p>
    <w:p w14:paraId="7DD7EF60" w14:textId="77777777" w:rsidR="00CF57A4" w:rsidRDefault="00B13D46">
      <w:pPr>
        <w:spacing w:line="360" w:lineRule="auto"/>
        <w:ind w:firstLineChars="200" w:firstLine="480"/>
        <w:rPr>
          <w:rFonts w:ascii="宋体" w:hAnsi="宋体"/>
          <w:color w:val="000000"/>
          <w:sz w:val="24"/>
        </w:rPr>
      </w:pPr>
      <w:r>
        <w:rPr>
          <w:rFonts w:ascii="宋体" w:hAnsi="宋体"/>
          <w:color w:val="000000"/>
          <w:sz w:val="24"/>
        </w:rPr>
        <w:t>(15)</w:t>
      </w:r>
      <w:r>
        <w:rPr>
          <w:rFonts w:ascii="宋体" w:hAnsi="宋体" w:hint="eastAsia"/>
          <w:color w:val="000000"/>
          <w:sz w:val="24"/>
        </w:rPr>
        <w:t>基金收益分配事项；</w:t>
      </w:r>
    </w:p>
    <w:p w14:paraId="60071E79" w14:textId="77777777" w:rsidR="00CF57A4" w:rsidRDefault="00B13D46">
      <w:pPr>
        <w:spacing w:line="360" w:lineRule="auto"/>
        <w:ind w:firstLineChars="200" w:firstLine="480"/>
        <w:rPr>
          <w:rFonts w:ascii="宋体" w:hAnsi="宋体"/>
          <w:color w:val="000000"/>
          <w:sz w:val="24"/>
        </w:rPr>
      </w:pPr>
      <w:r>
        <w:rPr>
          <w:rFonts w:ascii="宋体" w:hAnsi="宋体"/>
          <w:color w:val="000000"/>
          <w:sz w:val="24"/>
        </w:rPr>
        <w:t>(16)</w:t>
      </w:r>
      <w:r>
        <w:rPr>
          <w:rFonts w:ascii="宋体" w:hAnsi="宋体" w:hint="eastAsia"/>
          <w:color w:val="000000"/>
          <w:sz w:val="24"/>
        </w:rPr>
        <w:t>管理费、托管费等费用计提标准、计提方式和费率发生变更；</w:t>
      </w:r>
    </w:p>
    <w:p w14:paraId="0C28F7AE" w14:textId="77777777" w:rsidR="00CF57A4" w:rsidRDefault="00B13D46">
      <w:pPr>
        <w:spacing w:line="360" w:lineRule="auto"/>
        <w:ind w:firstLineChars="200" w:firstLine="480"/>
        <w:rPr>
          <w:rFonts w:ascii="宋体" w:hAnsi="宋体"/>
          <w:color w:val="000000"/>
          <w:sz w:val="24"/>
        </w:rPr>
      </w:pPr>
      <w:r>
        <w:rPr>
          <w:rFonts w:ascii="宋体" w:hAnsi="宋体"/>
          <w:color w:val="000000"/>
          <w:sz w:val="24"/>
        </w:rPr>
        <w:t>(17)</w:t>
      </w:r>
      <w:r>
        <w:rPr>
          <w:rFonts w:ascii="宋体" w:hAnsi="宋体" w:hint="eastAsia"/>
          <w:color w:val="000000"/>
          <w:sz w:val="24"/>
        </w:rPr>
        <w:t>基金份额净值计价错误达基金份额净值</w:t>
      </w:r>
      <w:r>
        <w:rPr>
          <w:rFonts w:ascii="宋体" w:hAnsi="宋体"/>
          <w:color w:val="000000"/>
          <w:sz w:val="24"/>
        </w:rPr>
        <w:t>0.5%</w:t>
      </w:r>
      <w:r>
        <w:rPr>
          <w:rFonts w:ascii="宋体" w:hAnsi="宋体" w:hint="eastAsia"/>
          <w:color w:val="000000"/>
          <w:sz w:val="24"/>
        </w:rPr>
        <w:t>；</w:t>
      </w:r>
    </w:p>
    <w:p w14:paraId="1AB27B05" w14:textId="77777777" w:rsidR="00CF57A4" w:rsidRDefault="00B13D46">
      <w:pPr>
        <w:spacing w:line="360" w:lineRule="auto"/>
        <w:ind w:firstLineChars="200" w:firstLine="480"/>
        <w:rPr>
          <w:rFonts w:ascii="宋体" w:hAnsi="宋体"/>
          <w:color w:val="000000"/>
          <w:sz w:val="24"/>
        </w:rPr>
      </w:pPr>
      <w:r>
        <w:rPr>
          <w:rFonts w:ascii="宋体" w:hAnsi="宋体"/>
          <w:color w:val="000000"/>
          <w:sz w:val="24"/>
        </w:rPr>
        <w:t>(18)</w:t>
      </w:r>
      <w:r>
        <w:rPr>
          <w:rFonts w:ascii="宋体" w:hAnsi="宋体" w:hint="eastAsia"/>
          <w:color w:val="000000"/>
          <w:sz w:val="24"/>
        </w:rPr>
        <w:t>基金改聘会计师事务所；</w:t>
      </w:r>
    </w:p>
    <w:p w14:paraId="4C263A1E" w14:textId="77777777" w:rsidR="00CF57A4" w:rsidRDefault="00B13D46">
      <w:pPr>
        <w:spacing w:line="360" w:lineRule="auto"/>
        <w:ind w:firstLineChars="200" w:firstLine="480"/>
        <w:rPr>
          <w:rFonts w:ascii="宋体" w:hAnsi="宋体"/>
          <w:color w:val="000000"/>
          <w:sz w:val="24"/>
        </w:rPr>
      </w:pPr>
      <w:r>
        <w:rPr>
          <w:rFonts w:ascii="宋体" w:hAnsi="宋体"/>
          <w:color w:val="000000"/>
          <w:sz w:val="24"/>
        </w:rPr>
        <w:t>(19)</w:t>
      </w:r>
      <w:r>
        <w:rPr>
          <w:rFonts w:ascii="宋体" w:hAnsi="宋体" w:hint="eastAsia"/>
          <w:color w:val="000000"/>
          <w:sz w:val="24"/>
        </w:rPr>
        <w:t>基金变更、增加或减少代销机构；</w:t>
      </w:r>
    </w:p>
    <w:p w14:paraId="71907FCA" w14:textId="77777777" w:rsidR="00CF57A4" w:rsidRDefault="00B13D46">
      <w:pPr>
        <w:spacing w:line="360" w:lineRule="auto"/>
        <w:ind w:firstLineChars="200" w:firstLine="480"/>
        <w:rPr>
          <w:rFonts w:ascii="宋体" w:hAnsi="宋体"/>
          <w:color w:val="000000"/>
          <w:sz w:val="24"/>
        </w:rPr>
      </w:pPr>
      <w:r>
        <w:rPr>
          <w:rFonts w:ascii="宋体" w:hAnsi="宋体"/>
          <w:color w:val="000000"/>
          <w:sz w:val="24"/>
        </w:rPr>
        <w:t>(20)</w:t>
      </w:r>
      <w:r>
        <w:rPr>
          <w:rFonts w:ascii="宋体" w:hAnsi="宋体" w:hint="eastAsia"/>
          <w:color w:val="000000"/>
          <w:sz w:val="24"/>
        </w:rPr>
        <w:t>基金更换注册登记机构；</w:t>
      </w:r>
    </w:p>
    <w:p w14:paraId="4F8361FE" w14:textId="77777777" w:rsidR="00CF57A4" w:rsidRDefault="00B13D46">
      <w:pPr>
        <w:spacing w:line="360" w:lineRule="auto"/>
        <w:ind w:firstLineChars="200" w:firstLine="480"/>
        <w:rPr>
          <w:rFonts w:ascii="宋体" w:hAnsi="宋体"/>
          <w:color w:val="000000"/>
          <w:sz w:val="24"/>
        </w:rPr>
      </w:pPr>
      <w:r>
        <w:rPr>
          <w:rFonts w:ascii="宋体" w:hAnsi="宋体"/>
          <w:color w:val="000000"/>
          <w:sz w:val="24"/>
        </w:rPr>
        <w:lastRenderedPageBreak/>
        <w:t>(21)</w:t>
      </w:r>
      <w:r>
        <w:rPr>
          <w:rFonts w:ascii="宋体" w:hAnsi="宋体" w:hint="eastAsia"/>
          <w:color w:val="000000"/>
          <w:sz w:val="24"/>
        </w:rPr>
        <w:t>本基金开始办理申购、赎回；</w:t>
      </w:r>
    </w:p>
    <w:p w14:paraId="7E531F9E" w14:textId="77777777" w:rsidR="00CF57A4" w:rsidRDefault="00B13D46">
      <w:pPr>
        <w:spacing w:line="360" w:lineRule="auto"/>
        <w:ind w:firstLineChars="200" w:firstLine="480"/>
        <w:rPr>
          <w:rFonts w:ascii="宋体" w:hAnsi="宋体"/>
          <w:color w:val="000000"/>
          <w:sz w:val="24"/>
        </w:rPr>
      </w:pPr>
      <w:r>
        <w:rPr>
          <w:rFonts w:ascii="宋体" w:hAnsi="宋体"/>
          <w:color w:val="000000"/>
          <w:sz w:val="24"/>
        </w:rPr>
        <w:t>(22)</w:t>
      </w:r>
      <w:r>
        <w:rPr>
          <w:rFonts w:ascii="宋体" w:hAnsi="宋体" w:hint="eastAsia"/>
          <w:color w:val="000000"/>
          <w:sz w:val="24"/>
        </w:rPr>
        <w:t>本基金申购、赎回费率及其收费方式发生变更；</w:t>
      </w:r>
    </w:p>
    <w:p w14:paraId="55F0E223"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(23</w:t>
      </w:r>
      <w:r>
        <w:rPr>
          <w:rFonts w:ascii="宋体" w:hAnsi="宋体"/>
          <w:color w:val="000000"/>
          <w:sz w:val="24"/>
        </w:rPr>
        <w:t>)</w:t>
      </w:r>
      <w:r>
        <w:rPr>
          <w:rFonts w:ascii="宋体" w:hAnsi="宋体" w:hint="eastAsia"/>
          <w:color w:val="000000"/>
          <w:sz w:val="24"/>
        </w:rPr>
        <w:t>本基金暂停接受申购、赎回申请；</w:t>
      </w:r>
    </w:p>
    <w:p w14:paraId="15204EBB" w14:textId="77777777" w:rsidR="00CF57A4" w:rsidRDefault="00B13D46">
      <w:pPr>
        <w:spacing w:line="360" w:lineRule="auto"/>
        <w:ind w:firstLineChars="200" w:firstLine="480"/>
        <w:rPr>
          <w:rFonts w:ascii="宋体" w:hAnsi="宋体"/>
          <w:color w:val="000000"/>
          <w:sz w:val="24"/>
        </w:rPr>
      </w:pPr>
      <w:r>
        <w:rPr>
          <w:rFonts w:ascii="宋体" w:hAnsi="宋体"/>
          <w:color w:val="000000"/>
          <w:sz w:val="24"/>
        </w:rPr>
        <w:t>(2</w:t>
      </w:r>
      <w:r>
        <w:rPr>
          <w:rFonts w:ascii="宋体" w:hAnsi="宋体" w:hint="eastAsia"/>
          <w:color w:val="000000"/>
          <w:sz w:val="24"/>
        </w:rPr>
        <w:t>4</w:t>
      </w:r>
      <w:r>
        <w:rPr>
          <w:rFonts w:ascii="宋体" w:hAnsi="宋体"/>
          <w:color w:val="000000"/>
          <w:sz w:val="24"/>
        </w:rPr>
        <w:t>)</w:t>
      </w:r>
      <w:r>
        <w:rPr>
          <w:rFonts w:ascii="宋体" w:hAnsi="宋体" w:hint="eastAsia"/>
          <w:color w:val="000000"/>
          <w:sz w:val="24"/>
        </w:rPr>
        <w:t>本基金暂停接受申购、赎回申请后重新接受申购、赎回申请；</w:t>
      </w:r>
    </w:p>
    <w:p w14:paraId="137912A2" w14:textId="77777777" w:rsidR="00CF57A4" w:rsidRDefault="00B13D46">
      <w:pPr>
        <w:spacing w:line="360" w:lineRule="auto"/>
        <w:ind w:firstLineChars="200" w:firstLine="480"/>
        <w:rPr>
          <w:rFonts w:ascii="宋体" w:hAnsi="宋体"/>
          <w:color w:val="000000"/>
          <w:sz w:val="24"/>
        </w:rPr>
      </w:pPr>
      <w:r>
        <w:rPr>
          <w:rFonts w:ascii="宋体" w:hAnsi="宋体"/>
          <w:color w:val="000000"/>
          <w:sz w:val="24"/>
        </w:rPr>
        <w:t>(2</w:t>
      </w:r>
      <w:r>
        <w:rPr>
          <w:rFonts w:ascii="宋体" w:hAnsi="宋体" w:hint="eastAsia"/>
          <w:color w:val="000000"/>
          <w:sz w:val="24"/>
        </w:rPr>
        <w:t>5</w:t>
      </w:r>
      <w:r>
        <w:rPr>
          <w:rFonts w:ascii="宋体" w:hAnsi="宋体"/>
          <w:color w:val="000000"/>
          <w:sz w:val="24"/>
        </w:rPr>
        <w:t>)</w:t>
      </w:r>
      <w:r>
        <w:rPr>
          <w:rFonts w:ascii="宋体" w:hAnsi="宋体" w:hint="eastAsia"/>
          <w:color w:val="000000"/>
          <w:sz w:val="24"/>
        </w:rPr>
        <w:t>基金变更标的指数；</w:t>
      </w:r>
    </w:p>
    <w:p w14:paraId="26CC9B42"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(26)基金暂停上市、恢复上市或终止上市；</w:t>
      </w:r>
    </w:p>
    <w:p w14:paraId="69C31BA8" w14:textId="286C946E" w:rsidR="00631996" w:rsidRDefault="00490A55">
      <w:pPr>
        <w:spacing w:line="360" w:lineRule="auto"/>
        <w:ind w:firstLineChars="200" w:firstLine="480"/>
        <w:rPr>
          <w:rFonts w:ascii="宋体" w:hAnsi="宋体"/>
          <w:color w:val="000000"/>
          <w:sz w:val="24"/>
        </w:rPr>
      </w:pPr>
      <w:r>
        <w:rPr>
          <w:rFonts w:ascii="宋体" w:hAnsi="宋体"/>
          <w:color w:val="000000"/>
          <w:sz w:val="24"/>
        </w:rPr>
        <w:t>(</w:t>
      </w:r>
      <w:r w:rsidR="00631996" w:rsidRPr="00631996">
        <w:rPr>
          <w:rFonts w:ascii="宋体" w:hAnsi="宋体" w:hint="eastAsia"/>
          <w:color w:val="000000"/>
          <w:sz w:val="24"/>
        </w:rPr>
        <w:t>27</w:t>
      </w:r>
      <w:r>
        <w:rPr>
          <w:rFonts w:ascii="宋体" w:hAnsi="宋体" w:hint="eastAsia"/>
          <w:color w:val="000000"/>
          <w:sz w:val="24"/>
        </w:rPr>
        <w:t>)</w:t>
      </w:r>
      <w:r w:rsidR="00631996" w:rsidRPr="00631996">
        <w:rPr>
          <w:rFonts w:ascii="宋体" w:hAnsi="宋体" w:hint="eastAsia"/>
          <w:color w:val="000000"/>
          <w:sz w:val="24"/>
        </w:rPr>
        <w:t>发生涉及基金申购、赎回事项调整或潜在影响投资者赎回等重大事项时；</w:t>
      </w:r>
    </w:p>
    <w:p w14:paraId="126CF49E" w14:textId="370C01C5" w:rsidR="00CF57A4" w:rsidRDefault="00B13D46">
      <w:pPr>
        <w:spacing w:line="360" w:lineRule="auto"/>
        <w:ind w:firstLineChars="200" w:firstLine="480"/>
        <w:rPr>
          <w:rFonts w:ascii="宋体" w:hAnsi="宋体"/>
          <w:color w:val="000000"/>
          <w:sz w:val="24"/>
        </w:rPr>
      </w:pPr>
      <w:r>
        <w:rPr>
          <w:rFonts w:ascii="宋体" w:hAnsi="宋体"/>
          <w:color w:val="000000"/>
          <w:sz w:val="24"/>
        </w:rPr>
        <w:t>(</w:t>
      </w:r>
      <w:r w:rsidR="00490A55">
        <w:rPr>
          <w:rFonts w:ascii="宋体" w:hAnsi="宋体"/>
          <w:color w:val="000000"/>
          <w:sz w:val="24"/>
        </w:rPr>
        <w:t>28</w:t>
      </w:r>
      <w:r>
        <w:rPr>
          <w:rFonts w:ascii="宋体" w:hAnsi="宋体"/>
          <w:color w:val="000000"/>
          <w:sz w:val="24"/>
        </w:rPr>
        <w:t>)</w:t>
      </w:r>
      <w:r>
        <w:rPr>
          <w:rFonts w:ascii="宋体" w:hAnsi="宋体" w:hint="eastAsia"/>
          <w:color w:val="000000"/>
          <w:sz w:val="24"/>
        </w:rPr>
        <w:t>基金推出新业务或服务；</w:t>
      </w:r>
    </w:p>
    <w:p w14:paraId="78F1095E" w14:textId="16B95F7C" w:rsidR="00CF57A4" w:rsidRDefault="00B13D46">
      <w:pPr>
        <w:spacing w:line="360" w:lineRule="auto"/>
        <w:ind w:firstLineChars="200" w:firstLine="480"/>
        <w:rPr>
          <w:rFonts w:ascii="宋体" w:hAnsi="宋体"/>
          <w:color w:val="000000"/>
          <w:sz w:val="24"/>
        </w:rPr>
      </w:pPr>
      <w:r>
        <w:rPr>
          <w:rFonts w:ascii="宋体" w:hAnsi="宋体"/>
          <w:color w:val="000000"/>
          <w:sz w:val="24"/>
        </w:rPr>
        <w:t>(</w:t>
      </w:r>
      <w:r w:rsidR="00490A55">
        <w:rPr>
          <w:rFonts w:ascii="宋体" w:hAnsi="宋体"/>
          <w:color w:val="000000"/>
          <w:sz w:val="24"/>
        </w:rPr>
        <w:t>29</w:t>
      </w:r>
      <w:r>
        <w:rPr>
          <w:rFonts w:ascii="宋体" w:hAnsi="宋体"/>
          <w:color w:val="000000"/>
          <w:sz w:val="24"/>
        </w:rPr>
        <w:t>)</w:t>
      </w:r>
      <w:r>
        <w:rPr>
          <w:rFonts w:ascii="宋体" w:hAnsi="宋体" w:hint="eastAsia"/>
          <w:color w:val="000000"/>
          <w:sz w:val="24"/>
        </w:rPr>
        <w:t>中国证监会规定的其他事项。</w:t>
      </w:r>
    </w:p>
    <w:p w14:paraId="52014F49"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11、澄清公告</w:t>
      </w:r>
    </w:p>
    <w:p w14:paraId="174B9257"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在本基金合同存续期限内，任何公共媒体中出现的或者在市场上流传的消息可能对基金份额价格产生误导性影响或者引起较大波动的，相关信息披露义务人知悉后应当立即对该消息进行公开澄清，并将有关情况立即报告中国证监会。</w:t>
      </w:r>
    </w:p>
    <w:p w14:paraId="4939DFE2"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12、基金份额持有人大会决议</w:t>
      </w:r>
    </w:p>
    <w:p w14:paraId="4C4EB77E" w14:textId="77777777" w:rsidR="00CF57A4" w:rsidRDefault="00B13D46">
      <w:pPr>
        <w:spacing w:line="360" w:lineRule="auto"/>
        <w:ind w:firstLineChars="200" w:firstLine="480"/>
        <w:rPr>
          <w:rFonts w:ascii="宋体" w:hAnsi="宋体"/>
          <w:color w:val="000000"/>
          <w:sz w:val="24"/>
        </w:rPr>
      </w:pPr>
      <w:r>
        <w:rPr>
          <w:rFonts w:ascii="宋体" w:hAnsi="宋体"/>
          <w:color w:val="000000"/>
          <w:sz w:val="24"/>
        </w:rPr>
        <w:t>1</w:t>
      </w:r>
      <w:r>
        <w:rPr>
          <w:rFonts w:ascii="宋体" w:hAnsi="宋体" w:hint="eastAsia"/>
          <w:color w:val="000000"/>
          <w:sz w:val="24"/>
        </w:rPr>
        <w:t>3、中国证监会规定的其他信息</w:t>
      </w:r>
    </w:p>
    <w:p w14:paraId="02E2472D" w14:textId="77777777" w:rsidR="00CF57A4" w:rsidRDefault="00B13D46">
      <w:pPr>
        <w:spacing w:line="360" w:lineRule="auto"/>
        <w:ind w:firstLineChars="200" w:firstLine="482"/>
        <w:rPr>
          <w:rFonts w:ascii="宋体" w:hAnsi="宋体"/>
          <w:b/>
          <w:bCs/>
          <w:color w:val="000000"/>
          <w:sz w:val="24"/>
          <w:szCs w:val="21"/>
        </w:rPr>
      </w:pPr>
      <w:r>
        <w:rPr>
          <w:rFonts w:ascii="宋体" w:hAnsi="宋体"/>
          <w:b/>
          <w:bCs/>
          <w:color w:val="000000"/>
          <w:sz w:val="24"/>
          <w:szCs w:val="21"/>
        </w:rPr>
        <w:t>(</w:t>
      </w:r>
      <w:r>
        <w:rPr>
          <w:rFonts w:ascii="宋体" w:hAnsi="宋体" w:hint="eastAsia"/>
          <w:b/>
          <w:bCs/>
          <w:color w:val="000000"/>
          <w:sz w:val="24"/>
          <w:szCs w:val="21"/>
        </w:rPr>
        <w:t>六</w:t>
      </w:r>
      <w:r>
        <w:rPr>
          <w:rFonts w:ascii="宋体" w:hAnsi="宋体"/>
          <w:b/>
          <w:bCs/>
          <w:color w:val="000000"/>
          <w:sz w:val="24"/>
          <w:szCs w:val="21"/>
        </w:rPr>
        <w:t>)</w:t>
      </w:r>
      <w:r>
        <w:rPr>
          <w:rFonts w:ascii="宋体" w:hAnsi="宋体" w:hint="eastAsia"/>
          <w:b/>
          <w:bCs/>
          <w:color w:val="000000"/>
          <w:sz w:val="24"/>
          <w:szCs w:val="21"/>
        </w:rPr>
        <w:t>信息披露文件的存放与查阅</w:t>
      </w:r>
    </w:p>
    <w:p w14:paraId="3DD13A20"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基金合同、托管协议、招募说明书或更新后的招募说明书、年度报告、半年度报告、季度报告和基金份额净值公告等文本文件在编制完成后，应当分别置备于基金管理人所在地和基金托管人所在地，供公众查阅，投资者在支付工本费后，可在合理时间内取得上述文件复制件或复印件。</w:t>
      </w:r>
    </w:p>
    <w:p w14:paraId="1EAFC0FC"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本基金的信息披露将严格按照法律法规和基金合同的规定进行</w:t>
      </w:r>
      <w:r>
        <w:rPr>
          <w:rFonts w:ascii="宋体" w:hAnsi="宋体" w:cs="宋体" w:hint="eastAsia"/>
          <w:color w:val="000000"/>
          <w:sz w:val="24"/>
        </w:rPr>
        <w:t>。</w:t>
      </w:r>
    </w:p>
    <w:p w14:paraId="578B487B" w14:textId="77777777" w:rsidR="00CF57A4" w:rsidRDefault="00CF57A4">
      <w:pPr>
        <w:spacing w:line="360" w:lineRule="auto"/>
        <w:ind w:firstLineChars="200" w:firstLine="480"/>
        <w:rPr>
          <w:rFonts w:ascii="宋体" w:hAnsi="宋体"/>
          <w:color w:val="000000"/>
          <w:sz w:val="24"/>
          <w:szCs w:val="21"/>
        </w:rPr>
      </w:pPr>
    </w:p>
    <w:p w14:paraId="156874B9" w14:textId="77777777" w:rsidR="00CF57A4" w:rsidRDefault="00B13D46">
      <w:pPr>
        <w:pStyle w:val="af1"/>
        <w:rPr>
          <w:rFonts w:eastAsia="黑体"/>
          <w:color w:val="000000"/>
          <w:kern w:val="0"/>
          <w:sz w:val="30"/>
        </w:rPr>
      </w:pPr>
      <w:r>
        <w:rPr>
          <w:rFonts w:eastAsia="黑体"/>
          <w:color w:val="000000"/>
          <w:kern w:val="0"/>
          <w:sz w:val="30"/>
        </w:rPr>
        <w:br w:type="page"/>
      </w:r>
      <w:bookmarkStart w:id="167" w:name="_Toc322519885"/>
      <w:bookmarkStart w:id="168" w:name="_Toc320703959"/>
      <w:bookmarkStart w:id="169" w:name="_Toc320704010"/>
      <w:bookmarkStart w:id="170" w:name="_Toc320704083"/>
      <w:bookmarkStart w:id="171" w:name="_Toc320704370"/>
      <w:bookmarkStart w:id="172" w:name="_Toc322002734"/>
      <w:r>
        <w:rPr>
          <w:rFonts w:eastAsia="黑体" w:hint="eastAsia"/>
          <w:color w:val="000000"/>
          <w:kern w:val="0"/>
          <w:sz w:val="30"/>
        </w:rPr>
        <w:lastRenderedPageBreak/>
        <w:t>十八、风险揭示</w:t>
      </w:r>
      <w:bookmarkEnd w:id="166"/>
      <w:bookmarkEnd w:id="167"/>
      <w:bookmarkEnd w:id="168"/>
      <w:bookmarkEnd w:id="169"/>
      <w:bookmarkEnd w:id="170"/>
      <w:bookmarkEnd w:id="171"/>
      <w:bookmarkEnd w:id="172"/>
    </w:p>
    <w:p w14:paraId="63528F1C" w14:textId="77777777" w:rsidR="00CF57A4" w:rsidRDefault="00B13D46">
      <w:pPr>
        <w:spacing w:before="50" w:after="50" w:line="360" w:lineRule="auto"/>
        <w:ind w:firstLineChars="200" w:firstLine="480"/>
        <w:rPr>
          <w:rFonts w:ascii="宋体" w:hAnsi="宋体"/>
          <w:color w:val="000000"/>
          <w:sz w:val="24"/>
        </w:rPr>
      </w:pPr>
      <w:r>
        <w:rPr>
          <w:rFonts w:ascii="宋体" w:hAnsi="宋体" w:hint="eastAsia"/>
          <w:color w:val="000000"/>
          <w:sz w:val="24"/>
        </w:rPr>
        <w:t>证券投资基金（以下简称“基金”）是一种长期投资工具，其主要功能是分散投资，降低投资单一证券所带来的个别风险。基金不同于银行储蓄和债券等能够提供固定收益预期的金融工具，投资者购买基金，既可能按其持有份额分享基金投资所产生的收益，也可能承担基金投资所带来的损失。</w:t>
      </w:r>
    </w:p>
    <w:p w14:paraId="7148FDF6" w14:textId="77777777" w:rsidR="00CF57A4" w:rsidRDefault="00B13D46">
      <w:pPr>
        <w:spacing w:before="50" w:after="50" w:line="360" w:lineRule="auto"/>
        <w:ind w:firstLineChars="200" w:firstLine="480"/>
        <w:rPr>
          <w:rFonts w:ascii="宋体" w:hAnsi="宋体"/>
          <w:color w:val="000000"/>
          <w:sz w:val="24"/>
        </w:rPr>
      </w:pPr>
      <w:r>
        <w:rPr>
          <w:rFonts w:ascii="宋体" w:hAnsi="宋体" w:hint="eastAsia"/>
          <w:color w:val="000000"/>
          <w:sz w:val="24"/>
        </w:rPr>
        <w:t>基金在投资运作过程中可能面临各种风险，既包括市场风险，也包括基金自身的管理风险、技术风险和合规风险等。</w:t>
      </w:r>
    </w:p>
    <w:p w14:paraId="1843A993" w14:textId="77777777" w:rsidR="00CF57A4" w:rsidRDefault="00B13D46">
      <w:pPr>
        <w:spacing w:before="50" w:after="50" w:line="360" w:lineRule="auto"/>
        <w:ind w:firstLineChars="200" w:firstLine="480"/>
        <w:rPr>
          <w:rFonts w:ascii="宋体" w:hAnsi="宋体"/>
          <w:color w:val="000000"/>
          <w:sz w:val="24"/>
        </w:rPr>
      </w:pPr>
      <w:r>
        <w:rPr>
          <w:rFonts w:ascii="宋体" w:hAnsi="宋体" w:hint="eastAsia"/>
          <w:color w:val="000000"/>
          <w:sz w:val="24"/>
        </w:rPr>
        <w:t>基金分为股票基金、混合基金、债券基金、货币市场基金等不同类型，投资者投资不同类型的基金将获得不同的收益预期，也将承担不同程度的风险。一般来说，基金的收益预期越高，投资者承担的风险也越大。</w:t>
      </w:r>
    </w:p>
    <w:p w14:paraId="76CD32C2" w14:textId="77777777" w:rsidR="00CF57A4" w:rsidRDefault="00B13D46">
      <w:pPr>
        <w:spacing w:before="50" w:after="50" w:line="360" w:lineRule="auto"/>
        <w:ind w:firstLineChars="200" w:firstLine="480"/>
        <w:rPr>
          <w:rFonts w:ascii="宋体" w:hAnsi="宋体"/>
          <w:color w:val="000000"/>
          <w:sz w:val="24"/>
        </w:rPr>
      </w:pPr>
      <w:r>
        <w:rPr>
          <w:rFonts w:ascii="宋体" w:hAnsi="宋体" w:hint="eastAsia"/>
          <w:color w:val="000000"/>
          <w:sz w:val="24"/>
        </w:rPr>
        <w:t>投资者应当认真阅读基金合同、招募说明书等基金法律文件，了解基金的风险收益特征，并根据自身的投资目的、投资期限、投资经验、资产状况等判断基金是否和投资者的风险承受能力相适应。</w:t>
      </w:r>
    </w:p>
    <w:p w14:paraId="39212BD2" w14:textId="77777777" w:rsidR="00CF57A4" w:rsidRDefault="00B13D46">
      <w:pPr>
        <w:spacing w:before="50" w:after="50" w:line="360" w:lineRule="auto"/>
        <w:ind w:firstLineChars="200" w:firstLine="480"/>
        <w:rPr>
          <w:rFonts w:ascii="宋体" w:hAnsi="宋体"/>
          <w:color w:val="000000"/>
          <w:sz w:val="24"/>
        </w:rPr>
      </w:pPr>
      <w:r>
        <w:rPr>
          <w:rFonts w:ascii="宋体" w:hAnsi="宋体" w:hint="eastAsia"/>
          <w:color w:val="000000"/>
          <w:sz w:val="24"/>
        </w:rPr>
        <w:t>投资者应当充分了解基金定期定额投资和零存整取等储蓄方式的区别。定期定额投资是引导投资者进行长期投资、平均投资成本的一种简单易行的投资方式。但是定期定额投资并不能规避基金投资所固有的风险，不能保证投资者获得收益，也不是替代储蓄的等效理财方式。</w:t>
      </w:r>
    </w:p>
    <w:p w14:paraId="489AEE21" w14:textId="77777777" w:rsidR="00CF57A4" w:rsidRDefault="00B13D46">
      <w:pPr>
        <w:spacing w:before="50" w:after="50" w:line="360" w:lineRule="auto"/>
        <w:ind w:firstLineChars="200" w:firstLine="480"/>
        <w:rPr>
          <w:rFonts w:ascii="宋体" w:hAnsi="宋体"/>
          <w:color w:val="000000"/>
          <w:sz w:val="24"/>
        </w:rPr>
      </w:pPr>
      <w:r>
        <w:rPr>
          <w:rFonts w:ascii="宋体" w:hAnsi="宋体" w:hint="eastAsia"/>
          <w:color w:val="000000"/>
          <w:sz w:val="24"/>
        </w:rPr>
        <w:t>因拆分、封转开、分红等行为导致基金份额净值变化，不会改变基金的风险收益特征，不会降低基金投资风险或提高基金投资收益。以</w:t>
      </w:r>
      <w:r>
        <w:rPr>
          <w:rFonts w:ascii="宋体" w:hAnsi="宋体"/>
          <w:color w:val="000000"/>
          <w:sz w:val="24"/>
        </w:rPr>
        <w:t>1</w:t>
      </w:r>
      <w:r>
        <w:rPr>
          <w:rFonts w:ascii="宋体" w:hAnsi="宋体" w:hint="eastAsia"/>
          <w:color w:val="000000"/>
          <w:sz w:val="24"/>
        </w:rPr>
        <w:t>元初始面值开展基金募集或因拆分、封转开、分红等行为导致基金份额净值调整至</w:t>
      </w:r>
      <w:r>
        <w:rPr>
          <w:rFonts w:ascii="宋体" w:hAnsi="宋体"/>
          <w:color w:val="000000"/>
          <w:sz w:val="24"/>
        </w:rPr>
        <w:t>1</w:t>
      </w:r>
      <w:r>
        <w:rPr>
          <w:rFonts w:ascii="宋体" w:hAnsi="宋体" w:hint="eastAsia"/>
          <w:color w:val="000000"/>
          <w:sz w:val="24"/>
        </w:rPr>
        <w:t>元初始面值或</w:t>
      </w:r>
      <w:r>
        <w:rPr>
          <w:rFonts w:ascii="宋体" w:hAnsi="宋体"/>
          <w:color w:val="000000"/>
          <w:sz w:val="24"/>
        </w:rPr>
        <w:t>1</w:t>
      </w:r>
      <w:r>
        <w:rPr>
          <w:rFonts w:ascii="宋体" w:hAnsi="宋体" w:hint="eastAsia"/>
          <w:color w:val="000000"/>
          <w:sz w:val="24"/>
        </w:rPr>
        <w:t>元附近，在市场波动等因素的影响下，基金投资仍有可能出现亏损或基金净值仍有可能低于初始面值。</w:t>
      </w:r>
    </w:p>
    <w:p w14:paraId="7AAE55D4" w14:textId="77777777" w:rsidR="00CF57A4" w:rsidRDefault="00B13D46">
      <w:pPr>
        <w:widowControl/>
        <w:spacing w:line="360" w:lineRule="auto"/>
        <w:ind w:firstLineChars="200" w:firstLine="480"/>
        <w:rPr>
          <w:rFonts w:ascii="宋体" w:hAnsi="宋体"/>
          <w:color w:val="000000"/>
          <w:sz w:val="24"/>
        </w:rPr>
      </w:pPr>
      <w:r>
        <w:rPr>
          <w:rFonts w:ascii="宋体" w:hAnsi="宋体" w:hint="eastAsia"/>
          <w:color w:val="000000"/>
          <w:sz w:val="24"/>
        </w:rPr>
        <w:t>基金管理人承诺以诚实信用、勤勉尽责的原则管理和运用基金资产，但不保证本基金一定盈利，也不保证最低收益。基金管理人管理的其他基金的业绩不构成对本基金业绩表现的保证。基金管理人提醒投资者基金投资的“买者自负”原则，在做出投资决策后，基金运营状况与基金净值变化引致的投资风险，由投资者自行负担。</w:t>
      </w:r>
    </w:p>
    <w:p w14:paraId="0D1FB129" w14:textId="77777777" w:rsidR="00CF57A4" w:rsidRDefault="00B13D46">
      <w:pPr>
        <w:widowControl/>
        <w:spacing w:line="360" w:lineRule="auto"/>
        <w:ind w:firstLineChars="200" w:firstLine="480"/>
        <w:rPr>
          <w:rFonts w:cs="宋体"/>
          <w:color w:val="000000"/>
          <w:kern w:val="0"/>
          <w:sz w:val="24"/>
        </w:rPr>
      </w:pPr>
      <w:r>
        <w:rPr>
          <w:rFonts w:cs="宋体" w:hint="eastAsia"/>
          <w:color w:val="000000"/>
          <w:kern w:val="0"/>
          <w:sz w:val="24"/>
        </w:rPr>
        <w:t>基金份额持有人须了解并承受以下风险：</w:t>
      </w:r>
    </w:p>
    <w:p w14:paraId="13DC3136" w14:textId="77777777" w:rsidR="00CF57A4" w:rsidRDefault="00B13D46">
      <w:pPr>
        <w:widowControl/>
        <w:spacing w:line="360" w:lineRule="auto"/>
        <w:ind w:firstLineChars="200" w:firstLine="482"/>
        <w:outlineLvl w:val="1"/>
        <w:rPr>
          <w:rFonts w:ascii="宋体" w:hAnsi="宋体" w:cs="宋体"/>
          <w:b/>
          <w:color w:val="000000"/>
          <w:kern w:val="0"/>
          <w:sz w:val="24"/>
        </w:rPr>
      </w:pPr>
      <w:r>
        <w:rPr>
          <w:rFonts w:ascii="宋体" w:hAnsi="宋体" w:cs="宋体"/>
          <w:b/>
          <w:color w:val="000000"/>
          <w:kern w:val="0"/>
          <w:sz w:val="24"/>
        </w:rPr>
        <w:lastRenderedPageBreak/>
        <w:t xml:space="preserve">（一）市场风险 </w:t>
      </w:r>
    </w:p>
    <w:p w14:paraId="0158AAC1" w14:textId="77777777" w:rsidR="00CF57A4" w:rsidRDefault="00B13D46">
      <w:pPr>
        <w:widowControl/>
        <w:spacing w:line="360" w:lineRule="auto"/>
        <w:ind w:firstLineChars="200" w:firstLine="480"/>
        <w:rPr>
          <w:rFonts w:ascii="宋体" w:hAnsi="宋体" w:cs="宋体"/>
          <w:color w:val="000000"/>
          <w:kern w:val="0"/>
          <w:sz w:val="24"/>
        </w:rPr>
      </w:pPr>
      <w:r>
        <w:rPr>
          <w:rFonts w:ascii="宋体" w:hAnsi="宋体" w:cs="宋体"/>
          <w:color w:val="000000"/>
          <w:kern w:val="0"/>
          <w:sz w:val="24"/>
        </w:rPr>
        <w:t>证券市场价格</w:t>
      </w:r>
      <w:r>
        <w:rPr>
          <w:rFonts w:ascii="宋体" w:hAnsi="宋体" w:cs="宋体" w:hint="eastAsia"/>
          <w:color w:val="000000"/>
          <w:kern w:val="0"/>
          <w:sz w:val="24"/>
        </w:rPr>
        <w:t>因</w:t>
      </w:r>
      <w:r>
        <w:rPr>
          <w:rFonts w:ascii="宋体" w:hAnsi="宋体" w:cs="宋体"/>
          <w:color w:val="000000"/>
          <w:kern w:val="0"/>
          <w:sz w:val="24"/>
        </w:rPr>
        <w:t>受到经济因素、政治因素、投资心理和交易制度等各种因素的影响</w:t>
      </w:r>
      <w:r>
        <w:rPr>
          <w:rFonts w:ascii="宋体" w:hAnsi="宋体" w:cs="宋体" w:hint="eastAsia"/>
          <w:color w:val="000000"/>
          <w:kern w:val="0"/>
          <w:sz w:val="24"/>
        </w:rPr>
        <w:t>而引起的波动</w:t>
      </w:r>
      <w:r>
        <w:rPr>
          <w:rFonts w:ascii="宋体" w:hAnsi="宋体" w:cs="宋体"/>
          <w:color w:val="000000"/>
          <w:kern w:val="0"/>
          <w:sz w:val="24"/>
        </w:rPr>
        <w:t>，</w:t>
      </w:r>
      <w:r>
        <w:rPr>
          <w:rFonts w:ascii="宋体" w:hAnsi="宋体" w:cs="宋体" w:hint="eastAsia"/>
          <w:color w:val="000000"/>
          <w:kern w:val="0"/>
          <w:sz w:val="24"/>
        </w:rPr>
        <w:t>将对</w:t>
      </w:r>
      <w:r>
        <w:rPr>
          <w:rFonts w:ascii="宋体" w:hAnsi="宋体" w:cs="宋体"/>
          <w:color w:val="000000"/>
          <w:kern w:val="0"/>
          <w:sz w:val="24"/>
        </w:rPr>
        <w:t>基金收益水平产生</w:t>
      </w:r>
      <w:r>
        <w:rPr>
          <w:rFonts w:ascii="宋体" w:hAnsi="宋体" w:cs="宋体" w:hint="eastAsia"/>
          <w:color w:val="000000"/>
          <w:kern w:val="0"/>
          <w:sz w:val="24"/>
        </w:rPr>
        <w:t>潜在</w:t>
      </w:r>
      <w:r>
        <w:rPr>
          <w:rFonts w:ascii="宋体" w:hAnsi="宋体" w:cs="宋体"/>
          <w:color w:val="000000"/>
          <w:kern w:val="0"/>
          <w:sz w:val="24"/>
        </w:rPr>
        <w:t>风险</w:t>
      </w:r>
      <w:r>
        <w:rPr>
          <w:rFonts w:ascii="宋体" w:hAnsi="宋体" w:cs="宋体" w:hint="eastAsia"/>
          <w:color w:val="000000"/>
          <w:kern w:val="0"/>
          <w:sz w:val="24"/>
        </w:rPr>
        <w:t>，</w:t>
      </w:r>
      <w:r>
        <w:rPr>
          <w:rFonts w:ascii="宋体" w:hAnsi="宋体" w:cs="宋体"/>
          <w:color w:val="000000"/>
          <w:kern w:val="0"/>
          <w:sz w:val="24"/>
        </w:rPr>
        <w:t xml:space="preserve">主要包括： </w:t>
      </w:r>
    </w:p>
    <w:p w14:paraId="419B6230" w14:textId="77777777" w:rsidR="00CF57A4" w:rsidRDefault="00B13D46">
      <w:pPr>
        <w:widowControl/>
        <w:spacing w:line="360" w:lineRule="auto"/>
        <w:ind w:firstLineChars="200" w:firstLine="480"/>
        <w:rPr>
          <w:rFonts w:ascii="宋体" w:hAnsi="宋体" w:cs="宋体"/>
          <w:color w:val="000000"/>
          <w:kern w:val="0"/>
          <w:sz w:val="24"/>
        </w:rPr>
      </w:pPr>
      <w:r>
        <w:rPr>
          <w:rFonts w:ascii="宋体" w:hAnsi="宋体" w:cs="宋体"/>
          <w:color w:val="000000"/>
          <w:kern w:val="0"/>
          <w:sz w:val="24"/>
        </w:rPr>
        <w:t>1、政策风险。因国家宏观政策（如货币政策、财政政策、行业政策、地区发展政策等）</w:t>
      </w:r>
      <w:r>
        <w:rPr>
          <w:rFonts w:ascii="宋体" w:hAnsi="宋体" w:cs="宋体" w:hint="eastAsia"/>
          <w:color w:val="000000"/>
          <w:kern w:val="0"/>
          <w:sz w:val="24"/>
        </w:rPr>
        <w:t>和证券市场监管政策</w:t>
      </w:r>
      <w:r>
        <w:rPr>
          <w:rFonts w:ascii="宋体" w:hAnsi="宋体" w:cs="宋体"/>
          <w:color w:val="000000"/>
          <w:kern w:val="0"/>
          <w:sz w:val="24"/>
        </w:rPr>
        <w:t xml:space="preserve">发生变化，导致市场价格波动而产生风险。 </w:t>
      </w:r>
    </w:p>
    <w:p w14:paraId="0112AE7F" w14:textId="77777777" w:rsidR="00CF57A4" w:rsidRDefault="00B13D46">
      <w:pPr>
        <w:widowControl/>
        <w:spacing w:line="360" w:lineRule="auto"/>
        <w:ind w:firstLineChars="200" w:firstLine="480"/>
        <w:rPr>
          <w:rFonts w:ascii="宋体" w:hAnsi="宋体" w:cs="宋体"/>
          <w:color w:val="000000"/>
          <w:kern w:val="0"/>
          <w:sz w:val="24"/>
        </w:rPr>
      </w:pPr>
      <w:r>
        <w:rPr>
          <w:rFonts w:ascii="宋体" w:hAnsi="宋体" w:cs="宋体"/>
          <w:color w:val="000000"/>
          <w:kern w:val="0"/>
          <w:sz w:val="24"/>
        </w:rPr>
        <w:t>2、经济周期风险。</w:t>
      </w:r>
      <w:r>
        <w:rPr>
          <w:rFonts w:ascii="宋体" w:hAnsi="宋体" w:cs="宋体" w:hint="eastAsia"/>
          <w:color w:val="000000"/>
          <w:kern w:val="0"/>
          <w:sz w:val="24"/>
        </w:rPr>
        <w:t>证券市场受宏观经济运行的影响，而经济运行具有周期性的特点，而宏观经济运行状况将对证券市场的收益水平产生影响，从而对基金收益造成影响</w:t>
      </w:r>
      <w:r>
        <w:rPr>
          <w:rFonts w:ascii="宋体" w:hAnsi="宋体" w:cs="宋体"/>
          <w:color w:val="000000"/>
          <w:kern w:val="0"/>
          <w:sz w:val="24"/>
        </w:rPr>
        <w:t>。</w:t>
      </w:r>
    </w:p>
    <w:p w14:paraId="44BD0206" w14:textId="77777777" w:rsidR="00CF57A4" w:rsidRDefault="00B13D46">
      <w:pPr>
        <w:widowControl/>
        <w:spacing w:line="360" w:lineRule="auto"/>
        <w:ind w:firstLineChars="200" w:firstLine="480"/>
        <w:rPr>
          <w:rFonts w:ascii="宋体" w:hAnsi="宋体" w:cs="宋体"/>
          <w:color w:val="000000"/>
          <w:kern w:val="0"/>
          <w:sz w:val="24"/>
        </w:rPr>
      </w:pPr>
      <w:r>
        <w:rPr>
          <w:rFonts w:ascii="宋体" w:hAnsi="宋体" w:cs="宋体"/>
          <w:color w:val="000000"/>
          <w:kern w:val="0"/>
          <w:sz w:val="24"/>
        </w:rPr>
        <w:t>3、利率风险。金融市场利率的波动会导致证券市场价格和收益率的变动。利率直接影响着</w:t>
      </w:r>
      <w:r>
        <w:rPr>
          <w:rFonts w:ascii="宋体" w:hAnsi="宋体" w:cs="宋体" w:hint="eastAsia"/>
          <w:color w:val="000000"/>
          <w:kern w:val="0"/>
          <w:sz w:val="24"/>
        </w:rPr>
        <w:t>债券</w:t>
      </w:r>
      <w:r>
        <w:rPr>
          <w:rFonts w:ascii="宋体" w:hAnsi="宋体" w:cs="宋体"/>
          <w:color w:val="000000"/>
          <w:kern w:val="0"/>
          <w:sz w:val="24"/>
        </w:rPr>
        <w:t>的价格和收益率，影响着企业的融资成本和利润。基金投资于</w:t>
      </w:r>
      <w:r>
        <w:rPr>
          <w:rFonts w:ascii="宋体" w:hAnsi="宋体" w:cs="宋体" w:hint="eastAsia"/>
          <w:color w:val="000000"/>
          <w:kern w:val="0"/>
          <w:sz w:val="24"/>
        </w:rPr>
        <w:t>债券</w:t>
      </w:r>
      <w:r>
        <w:rPr>
          <w:rFonts w:ascii="宋体" w:hAnsi="宋体" w:cs="宋体"/>
          <w:color w:val="000000"/>
          <w:kern w:val="0"/>
          <w:sz w:val="24"/>
        </w:rPr>
        <w:t>和</w:t>
      </w:r>
      <w:r>
        <w:rPr>
          <w:rFonts w:ascii="宋体" w:hAnsi="宋体" w:cs="宋体" w:hint="eastAsia"/>
          <w:color w:val="000000"/>
          <w:kern w:val="0"/>
          <w:sz w:val="24"/>
        </w:rPr>
        <w:t>债券回购</w:t>
      </w:r>
      <w:r>
        <w:rPr>
          <w:rFonts w:ascii="宋体" w:hAnsi="宋体" w:cs="宋体"/>
          <w:color w:val="000000"/>
          <w:kern w:val="0"/>
          <w:sz w:val="24"/>
        </w:rPr>
        <w:t>，其收益水平会受到利率变化</w:t>
      </w:r>
      <w:r>
        <w:rPr>
          <w:rFonts w:ascii="宋体" w:hAnsi="宋体" w:cs="宋体" w:hint="eastAsia"/>
          <w:color w:val="000000"/>
          <w:kern w:val="0"/>
          <w:sz w:val="24"/>
        </w:rPr>
        <w:t>和货币市场供求状况</w:t>
      </w:r>
      <w:r>
        <w:rPr>
          <w:rFonts w:ascii="宋体" w:hAnsi="宋体" w:cs="宋体"/>
          <w:color w:val="000000"/>
          <w:kern w:val="0"/>
          <w:sz w:val="24"/>
        </w:rPr>
        <w:t xml:space="preserve">的影响。 </w:t>
      </w:r>
    </w:p>
    <w:p w14:paraId="22036963" w14:textId="77777777" w:rsidR="00CF57A4" w:rsidRDefault="00B13D46">
      <w:pPr>
        <w:widowControl/>
        <w:spacing w:line="360" w:lineRule="auto"/>
        <w:ind w:firstLineChars="200" w:firstLine="480"/>
        <w:rPr>
          <w:rFonts w:ascii="宋体" w:hAnsi="宋体" w:cs="宋体"/>
          <w:color w:val="000000"/>
          <w:kern w:val="0"/>
          <w:sz w:val="24"/>
        </w:rPr>
      </w:pPr>
      <w:r>
        <w:rPr>
          <w:rFonts w:ascii="宋体" w:hAnsi="宋体" w:cs="宋体"/>
          <w:color w:val="000000"/>
          <w:kern w:val="0"/>
          <w:sz w:val="24"/>
        </w:rPr>
        <w:t>4、上市公司经营风险。上市公司的经营</w:t>
      </w:r>
      <w:r>
        <w:rPr>
          <w:rFonts w:ascii="宋体" w:hAnsi="宋体" w:cs="宋体" w:hint="eastAsia"/>
          <w:color w:val="000000"/>
          <w:kern w:val="0"/>
          <w:sz w:val="24"/>
        </w:rPr>
        <w:t>状况</w:t>
      </w:r>
      <w:r>
        <w:rPr>
          <w:rFonts w:ascii="宋体" w:hAnsi="宋体" w:cs="宋体"/>
          <w:color w:val="000000"/>
          <w:kern w:val="0"/>
          <w:sz w:val="24"/>
        </w:rPr>
        <w:t xml:space="preserve">受多种因素影响，如管理能力、财务状况、市场前景、行业竞争、人员素质等，这些都会导致企业的盈利发生变化。如果基金所投资的上市公司经营不善，其股票价格可能下跌，或者能够用于分配的利润减少，使基金投资收益下降。虽然基金可以通过投资多样化来分散这种非系统风险，但不能完全规避。 </w:t>
      </w:r>
    </w:p>
    <w:p w14:paraId="77EECBA9" w14:textId="77777777" w:rsidR="00CF57A4" w:rsidRDefault="00B13D46">
      <w:pPr>
        <w:widowControl/>
        <w:spacing w:line="360" w:lineRule="auto"/>
        <w:ind w:firstLineChars="200" w:firstLine="480"/>
        <w:outlineLvl w:val="1"/>
        <w:rPr>
          <w:rFonts w:ascii="宋体" w:hAnsi="宋体" w:cs="宋体"/>
          <w:color w:val="000000"/>
          <w:kern w:val="0"/>
          <w:sz w:val="24"/>
        </w:rPr>
      </w:pPr>
      <w:r>
        <w:rPr>
          <w:rFonts w:ascii="宋体" w:hAnsi="宋体" w:cs="宋体"/>
          <w:color w:val="000000"/>
          <w:kern w:val="0"/>
          <w:sz w:val="24"/>
        </w:rPr>
        <w:t>5、购买力风险。基金投资的目的是基金资产的保值增值，如果发生通货膨胀，基金投资于证券所获得的收益可能会被通货膨胀抵消，从而使基金的实际收益下降</w:t>
      </w:r>
      <w:r>
        <w:rPr>
          <w:rFonts w:ascii="宋体" w:hAnsi="宋体" w:cs="宋体" w:hint="eastAsia"/>
          <w:color w:val="000000"/>
          <w:kern w:val="0"/>
          <w:sz w:val="24"/>
        </w:rPr>
        <w:t>，</w:t>
      </w:r>
      <w:r>
        <w:rPr>
          <w:rFonts w:ascii="宋体" w:hAnsi="宋体" w:cs="宋体"/>
          <w:color w:val="000000"/>
          <w:kern w:val="0"/>
          <w:sz w:val="24"/>
        </w:rPr>
        <w:t>影响基金资产的保值增值。</w:t>
      </w:r>
    </w:p>
    <w:p w14:paraId="1F08044A" w14:textId="77777777" w:rsidR="00CF57A4" w:rsidRDefault="00B13D46">
      <w:pPr>
        <w:widowControl/>
        <w:spacing w:line="360" w:lineRule="auto"/>
        <w:ind w:firstLineChars="200" w:firstLine="482"/>
        <w:outlineLvl w:val="1"/>
        <w:rPr>
          <w:rFonts w:ascii="宋体" w:hAnsi="宋体" w:cs="宋体"/>
          <w:b/>
          <w:color w:val="000000"/>
          <w:kern w:val="0"/>
          <w:sz w:val="24"/>
        </w:rPr>
      </w:pPr>
      <w:r>
        <w:rPr>
          <w:rFonts w:ascii="宋体" w:hAnsi="宋体" w:cs="宋体" w:hint="eastAsia"/>
          <w:b/>
          <w:color w:val="000000"/>
          <w:kern w:val="0"/>
          <w:sz w:val="24"/>
        </w:rPr>
        <w:t>（二）投资本基金的特有风险</w:t>
      </w:r>
      <w:r>
        <w:rPr>
          <w:rFonts w:ascii="宋体" w:hAnsi="宋体" w:cs="宋体"/>
          <w:b/>
          <w:color w:val="000000"/>
          <w:kern w:val="0"/>
          <w:sz w:val="24"/>
        </w:rPr>
        <w:t xml:space="preserve"> </w:t>
      </w:r>
    </w:p>
    <w:p w14:paraId="119941F5" w14:textId="77777777" w:rsidR="00CF57A4" w:rsidRDefault="00B13D46">
      <w:pPr>
        <w:widowControl/>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t>1、标的指数回报与股票市场平均回报偏离的风险</w:t>
      </w:r>
    </w:p>
    <w:p w14:paraId="3F841AE3" w14:textId="77777777" w:rsidR="00CF57A4" w:rsidRDefault="00B13D46">
      <w:pPr>
        <w:widowControl/>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t>标的指数并不能完全代表整个股票市场。标的指数成份股的平均回报率与整个股票市场的平均回报率可能存在偏离。</w:t>
      </w:r>
    </w:p>
    <w:p w14:paraId="4A0849DC" w14:textId="77777777" w:rsidR="00CF57A4" w:rsidRDefault="00B13D46">
      <w:pPr>
        <w:widowControl/>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t>2、标的指数波动的风险</w:t>
      </w:r>
    </w:p>
    <w:p w14:paraId="3B065D21" w14:textId="77777777" w:rsidR="00CF57A4" w:rsidRDefault="00B13D46">
      <w:pPr>
        <w:widowControl/>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t>标的指数成份股的价格可能受到政治因素、经济因素、上市公司经营状况、投资者心理和交易制度等各种因素的影响而波动，导致指数波动，从而使基金收益水平发生变化，产生风险。</w:t>
      </w:r>
    </w:p>
    <w:p w14:paraId="7E2F9D84" w14:textId="77777777" w:rsidR="00CF57A4" w:rsidRDefault="00B13D46">
      <w:pPr>
        <w:widowControl/>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t>3、基金投资组合回报与标的指数回报偏离的风险</w:t>
      </w:r>
    </w:p>
    <w:p w14:paraId="03BACBB1" w14:textId="77777777" w:rsidR="00CF57A4" w:rsidRDefault="00B13D46">
      <w:pPr>
        <w:widowControl/>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t>以下因素可能使基金投资组合的收益率与标的指数的收益率发生偏离：</w:t>
      </w:r>
    </w:p>
    <w:p w14:paraId="3024E6CC" w14:textId="77777777" w:rsidR="00CF57A4" w:rsidRDefault="00B13D46">
      <w:pPr>
        <w:widowControl/>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lastRenderedPageBreak/>
        <w:t>1)由于标的指数调整成份股或变更编制方法，使本基金在相应的组合调整中产生跟踪偏离度与跟踪误差。</w:t>
      </w:r>
    </w:p>
    <w:p w14:paraId="12B6DB02" w14:textId="77777777" w:rsidR="00CF57A4" w:rsidRDefault="00B13D46">
      <w:pPr>
        <w:widowControl/>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t>2)由于标的指数成份股发生配股、增发等行为导致成份股在标的指数中的权重发生变化，使本基金在相应的组合调整中产生跟踪偏离度和跟踪误差。</w:t>
      </w:r>
    </w:p>
    <w:p w14:paraId="0BFC865D" w14:textId="77777777" w:rsidR="00CF57A4" w:rsidRDefault="00B13D46">
      <w:pPr>
        <w:widowControl/>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t>3)标的指数成份股派发现金红利、新股市值配售收益将导致基金收益率超过标的指数收益率，产生正的跟踪偏离度。</w:t>
      </w:r>
    </w:p>
    <w:p w14:paraId="71BB5ED2" w14:textId="77777777" w:rsidR="00CF57A4" w:rsidRDefault="00B13D46">
      <w:pPr>
        <w:widowControl/>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t>4)由于标的指数成份股停牌、摘牌或流动性差等原因使本基金无法及时调整投资组合或承担冲击成本而产生跟踪偏离度和跟踪误差。</w:t>
      </w:r>
    </w:p>
    <w:p w14:paraId="3C31919B" w14:textId="77777777" w:rsidR="00CF57A4" w:rsidRDefault="00B13D46">
      <w:pPr>
        <w:widowControl/>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t>5)因法律法规的限制或其他限制，本基金可能不能投资于部分标的指数成分股。在使用替代方法，如投资同行业中相关性较高的股票以替代上述投资受限股票时，会产生一定的跟踪偏离度和跟踪误差。</w:t>
      </w:r>
    </w:p>
    <w:p w14:paraId="54ABAFC3" w14:textId="77777777" w:rsidR="00CF57A4" w:rsidRDefault="00B13D46">
      <w:pPr>
        <w:widowControl/>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t>6）基金有投资成本、各种费用及税收，而指数编制不考虑费用和税收，这将导致基金收益率落后于标的指数收益率，产生负的跟踪偏离度。</w:t>
      </w:r>
    </w:p>
    <w:p w14:paraId="5982BE7B" w14:textId="77777777" w:rsidR="00CF57A4" w:rsidRDefault="00B13D46">
      <w:pPr>
        <w:widowControl/>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t>7)在本基金指数化投资过程中，基金管理人的管理能力，例如跟踪指数的水平、技术手段、买入卖出的时机选择等，都会对本基金的收益产生影响，从而影响本基金对标的指数的跟踪程度。</w:t>
      </w:r>
    </w:p>
    <w:p w14:paraId="07D24B14" w14:textId="77777777" w:rsidR="00CF57A4" w:rsidRDefault="00B13D46">
      <w:pPr>
        <w:widowControl/>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t>8)其他因素产生的偏离。如因受到最低买入股数的限制，基金投资组合中个别股票的持有比例与标的指数中该股票的权重可能不完全相同；因缺乏卖空、对冲机制及其他工具造成的指数跟踪成本较大；因基金申购与赎回带来的现金变动；因指数发布机构指数编制错误等，由此产生跟踪偏离度与跟踪误差。</w:t>
      </w:r>
    </w:p>
    <w:p w14:paraId="2997024D" w14:textId="77777777" w:rsidR="00CF57A4" w:rsidRDefault="00B13D46">
      <w:pPr>
        <w:widowControl/>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t>4、标的指数变更的风险</w:t>
      </w:r>
    </w:p>
    <w:p w14:paraId="21401B1E" w14:textId="77777777" w:rsidR="00CF57A4" w:rsidRDefault="00B13D46">
      <w:pPr>
        <w:widowControl/>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t>尽管可能性很小，但根据基金合同规定，如出现变更标的指数的情形，本基金将变更标的指数。基于原标的指数的投资政策将会改变，投资组合将随之调整，基金的收益风险特征将与新的标的指数保持一致，投资者须承担此项调整带来的风险与成本。</w:t>
      </w:r>
    </w:p>
    <w:p w14:paraId="335D0AE4" w14:textId="77777777" w:rsidR="00CF57A4" w:rsidRDefault="00B13D46">
      <w:pPr>
        <w:widowControl/>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t>5、基金份额二级市场交易价格折溢价的风险</w:t>
      </w:r>
    </w:p>
    <w:p w14:paraId="1377A120" w14:textId="77777777" w:rsidR="00CF57A4" w:rsidRDefault="00B13D46">
      <w:pPr>
        <w:widowControl/>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t>尽管本基金将通过有效的套利机制使基金份额二级市场交易价格的折溢价控制在一定范围内，但基金份额在证券交易所的交易价格受诸多因素影响，存在不同于基金份额净值的情形，即存在价格折溢价的风险。</w:t>
      </w:r>
    </w:p>
    <w:p w14:paraId="6F6D095C" w14:textId="77777777" w:rsidR="00CF57A4" w:rsidRDefault="00B13D46">
      <w:pPr>
        <w:widowControl/>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lastRenderedPageBreak/>
        <w:t>6、参考IOPV决策和IOPV计算错误的风险</w:t>
      </w:r>
    </w:p>
    <w:p w14:paraId="450D0C3A" w14:textId="77777777" w:rsidR="00CF57A4" w:rsidRDefault="00B13D46">
      <w:pPr>
        <w:widowControl/>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t>证券交易所在开市后根据申购赎回清单和组合证券内各只证券的实时成交数据，计算并发布基金份额参考净值(IOPV)，供投资者交易、申购、赎回基金份额时参考。IOPV与实时的基金份额净值可能存在差异，IOPV计算可能出现错误，投资者若参考IOPV进行投资决策可能导致损失，需投资者自行承担。</w:t>
      </w:r>
    </w:p>
    <w:p w14:paraId="209AE603" w14:textId="77777777" w:rsidR="00CF57A4" w:rsidRDefault="00B13D46">
      <w:pPr>
        <w:widowControl/>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t>7、退市风险</w:t>
      </w:r>
    </w:p>
    <w:p w14:paraId="7176CBDE" w14:textId="77777777" w:rsidR="00CF57A4" w:rsidRDefault="00B13D46">
      <w:pPr>
        <w:widowControl/>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t>因本基金不再符合证券交易所上市条件被终止上市，或被基金份额持有人大会决议提前终止上市，导致基金份额不能继续进行二级市场交易的风险。</w:t>
      </w:r>
    </w:p>
    <w:p w14:paraId="7577E820" w14:textId="77777777" w:rsidR="00CF57A4" w:rsidRDefault="00B13D46">
      <w:pPr>
        <w:widowControl/>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t>8、投资者申购失败的风险</w:t>
      </w:r>
    </w:p>
    <w:p w14:paraId="141103CC" w14:textId="77777777" w:rsidR="00CF57A4" w:rsidRDefault="00B13D46">
      <w:pPr>
        <w:widowControl/>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t>本基金的申购赎回清单中，可能仅允许对部分成份股使用现金替代，且设置现金替代比例上限，因此，投资者在进行申购时，可能存在因个别成份股涨停、临时停牌等原因而无法买入申购所需的足够的成份股，导致申购失败的风险。</w:t>
      </w:r>
    </w:p>
    <w:p w14:paraId="6BCB5970" w14:textId="77777777" w:rsidR="00CF57A4" w:rsidRDefault="00B13D46">
      <w:pPr>
        <w:widowControl/>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t>9、投资者赎回失败的风险</w:t>
      </w:r>
    </w:p>
    <w:p w14:paraId="7332FD98" w14:textId="77777777" w:rsidR="00CF57A4" w:rsidRDefault="00B13D46">
      <w:pPr>
        <w:widowControl/>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t>投资者在提出赎回申请时，如基金组合中不具备足额的符合条件的赎回对价，可能导致赎回失败的情形。</w:t>
      </w:r>
    </w:p>
    <w:p w14:paraId="06379D3E" w14:textId="77777777" w:rsidR="00CF57A4" w:rsidRDefault="00B13D46">
      <w:pPr>
        <w:widowControl/>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t>基金管理人可能根据成份股市值规模变化等因素调整最小申购赎回单位，由此可能导致投资者按原最小申购赎回单位申购并持有的基金份额，可能无法按照新的最小申购赎回单位全部赎回，而只能在二级市场卖出全部或部分基金份额。</w:t>
      </w:r>
    </w:p>
    <w:p w14:paraId="1E981217" w14:textId="77777777" w:rsidR="00CF57A4" w:rsidRDefault="00B13D46">
      <w:pPr>
        <w:widowControl/>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t>10、基金份额赎回对价的变现风险</w:t>
      </w:r>
    </w:p>
    <w:p w14:paraId="4AFAC988" w14:textId="77777777" w:rsidR="00CF57A4" w:rsidRDefault="00B13D46">
      <w:pPr>
        <w:widowControl/>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t>本基金赎回对价主要为组合证券，在组合证券变现过程中，由于市场变化、部分成份股流动性差等因素，导致投资者变现后的价值与赎回时赎回对价的价值有差异，存在变现风险。</w:t>
      </w:r>
    </w:p>
    <w:p w14:paraId="0EFE4A3B" w14:textId="1AF2C693" w:rsidR="0076668C" w:rsidRDefault="0076668C" w:rsidP="009C5B8C">
      <w:pPr>
        <w:widowControl/>
        <w:spacing w:line="360" w:lineRule="auto"/>
        <w:ind w:firstLineChars="200" w:firstLine="482"/>
        <w:outlineLvl w:val="1"/>
        <w:rPr>
          <w:rFonts w:ascii="宋体" w:hAnsi="宋体" w:cs="宋体"/>
          <w:b/>
          <w:color w:val="000000"/>
          <w:kern w:val="0"/>
          <w:sz w:val="24"/>
        </w:rPr>
      </w:pPr>
      <w:r w:rsidRPr="009C5B8C">
        <w:rPr>
          <w:rFonts w:ascii="宋体" w:hAnsi="宋体" w:cs="宋体" w:hint="eastAsia"/>
          <w:b/>
          <w:color w:val="000000"/>
          <w:kern w:val="0"/>
          <w:sz w:val="24"/>
        </w:rPr>
        <w:t>（</w:t>
      </w:r>
      <w:r w:rsidRPr="009C5B8C">
        <w:rPr>
          <w:rFonts w:ascii="宋体" w:hAnsi="宋体" w:cs="宋体"/>
          <w:b/>
          <w:color w:val="000000"/>
          <w:kern w:val="0"/>
          <w:sz w:val="24"/>
        </w:rPr>
        <w:t>三）流动性风险</w:t>
      </w:r>
    </w:p>
    <w:p w14:paraId="7C48D474" w14:textId="77777777" w:rsidR="00A750FC" w:rsidRPr="009C5B8C" w:rsidRDefault="00A750FC" w:rsidP="009C5B8C">
      <w:pPr>
        <w:widowControl/>
        <w:spacing w:line="360" w:lineRule="auto"/>
        <w:ind w:firstLineChars="200" w:firstLine="480"/>
        <w:rPr>
          <w:rFonts w:ascii="宋体" w:hAnsi="宋体" w:cs="宋体"/>
          <w:color w:val="000000"/>
          <w:kern w:val="0"/>
          <w:sz w:val="24"/>
        </w:rPr>
      </w:pPr>
      <w:r w:rsidRPr="009C5B8C">
        <w:rPr>
          <w:rFonts w:ascii="宋体" w:hAnsi="宋体" w:cs="宋体"/>
          <w:color w:val="000000"/>
          <w:kern w:val="0"/>
          <w:sz w:val="24"/>
        </w:rPr>
        <w:t>1、本基金的申购、赎回安排</w:t>
      </w:r>
    </w:p>
    <w:p w14:paraId="110B5A82" w14:textId="77777777" w:rsidR="00A750FC" w:rsidRPr="009C5B8C" w:rsidRDefault="00A750FC" w:rsidP="009C5B8C">
      <w:pPr>
        <w:widowControl/>
        <w:spacing w:line="360" w:lineRule="auto"/>
        <w:ind w:firstLineChars="200" w:firstLine="480"/>
        <w:rPr>
          <w:rFonts w:ascii="宋体" w:hAnsi="宋体" w:cs="宋体"/>
          <w:color w:val="000000"/>
          <w:kern w:val="0"/>
          <w:sz w:val="24"/>
        </w:rPr>
      </w:pPr>
      <w:r w:rsidRPr="009C5B8C">
        <w:rPr>
          <w:rFonts w:ascii="宋体" w:hAnsi="宋体" w:cs="宋体" w:hint="eastAsia"/>
          <w:color w:val="000000"/>
          <w:kern w:val="0"/>
          <w:sz w:val="24"/>
        </w:rPr>
        <w:t>本基金采用开放方式运作，基金管理人在开放日办理基金份额的申购和赎回，具体办理时间为上海证券交易所、深圳证券交易所的正常交易日的交易时间，但基金管理人根据法律法规、中国证监会的要求或基金合同的规定公告暂停申购、赎回时除外。</w:t>
      </w:r>
    </w:p>
    <w:p w14:paraId="7B9BE425" w14:textId="77777777" w:rsidR="00A750FC" w:rsidRPr="009C5B8C" w:rsidRDefault="00A750FC" w:rsidP="009C5B8C">
      <w:pPr>
        <w:widowControl/>
        <w:spacing w:line="360" w:lineRule="auto"/>
        <w:ind w:firstLineChars="200" w:firstLine="480"/>
        <w:rPr>
          <w:rFonts w:ascii="宋体" w:hAnsi="宋体" w:cs="宋体"/>
          <w:color w:val="000000"/>
          <w:kern w:val="0"/>
          <w:sz w:val="24"/>
        </w:rPr>
      </w:pPr>
      <w:r w:rsidRPr="009C5B8C">
        <w:rPr>
          <w:rFonts w:ascii="宋体" w:hAnsi="宋体" w:cs="宋体"/>
          <w:color w:val="000000"/>
          <w:kern w:val="0"/>
          <w:sz w:val="24"/>
        </w:rPr>
        <w:t>2、投资市场、行业及资产的流动性风险评估</w:t>
      </w:r>
    </w:p>
    <w:p w14:paraId="268C651E" w14:textId="3AE0CE9E" w:rsidR="00A750FC" w:rsidRPr="009C5B8C" w:rsidRDefault="00A750FC" w:rsidP="009C5B8C">
      <w:pPr>
        <w:widowControl/>
        <w:spacing w:line="360" w:lineRule="auto"/>
        <w:ind w:firstLineChars="200" w:firstLine="480"/>
        <w:rPr>
          <w:rFonts w:ascii="宋体" w:hAnsi="宋体" w:cs="宋体"/>
          <w:color w:val="000000"/>
          <w:kern w:val="0"/>
          <w:sz w:val="24"/>
        </w:rPr>
      </w:pPr>
      <w:r w:rsidRPr="009C5B8C">
        <w:rPr>
          <w:rFonts w:ascii="宋体" w:hAnsi="宋体" w:cs="宋体" w:hint="eastAsia"/>
          <w:color w:val="000000"/>
          <w:kern w:val="0"/>
          <w:sz w:val="24"/>
        </w:rPr>
        <w:lastRenderedPageBreak/>
        <w:t>本基金的投资市场主要为证券交易所、全国银行间债券市场等流动性较好的规范型交易场所，主要投资对象为具有良好流动性的金融工具，同时本基金基于分散投资的原则在行业和个</w:t>
      </w:r>
      <w:proofErr w:type="gramStart"/>
      <w:r w:rsidRPr="009C5B8C">
        <w:rPr>
          <w:rFonts w:ascii="宋体" w:hAnsi="宋体" w:cs="宋体" w:hint="eastAsia"/>
          <w:color w:val="000000"/>
          <w:kern w:val="0"/>
          <w:sz w:val="24"/>
        </w:rPr>
        <w:t>券</w:t>
      </w:r>
      <w:proofErr w:type="gramEnd"/>
      <w:r w:rsidRPr="009C5B8C">
        <w:rPr>
          <w:rFonts w:ascii="宋体" w:hAnsi="宋体" w:cs="宋体" w:hint="eastAsia"/>
          <w:color w:val="000000"/>
          <w:kern w:val="0"/>
          <w:sz w:val="24"/>
        </w:rPr>
        <w:t>方面未有高集中度的特征，综合评估在正常市场环境下本基金的流动性风险适中。</w:t>
      </w:r>
    </w:p>
    <w:p w14:paraId="5BAD303F" w14:textId="1FC85B5B" w:rsidR="00A750FC" w:rsidRPr="009C5B8C" w:rsidRDefault="00A750FC" w:rsidP="009C5B8C">
      <w:pPr>
        <w:widowControl/>
        <w:spacing w:line="360" w:lineRule="auto"/>
        <w:ind w:firstLineChars="200" w:firstLine="480"/>
        <w:rPr>
          <w:rFonts w:ascii="宋体" w:hAnsi="宋体" w:cs="宋体"/>
          <w:color w:val="000000"/>
          <w:kern w:val="0"/>
          <w:sz w:val="24"/>
        </w:rPr>
      </w:pPr>
      <w:r w:rsidRPr="009C5B8C">
        <w:rPr>
          <w:rFonts w:ascii="宋体" w:hAnsi="宋体" w:cs="宋体"/>
          <w:color w:val="000000"/>
          <w:kern w:val="0"/>
          <w:sz w:val="24"/>
        </w:rPr>
        <w:t>3、实施备用的流动性风险管理工具的情形、程序及对投资者的潜在影响</w:t>
      </w:r>
    </w:p>
    <w:p w14:paraId="1E20CF42" w14:textId="77777777" w:rsidR="00A750FC" w:rsidRPr="009C5B8C" w:rsidRDefault="00A750FC" w:rsidP="009C5B8C">
      <w:pPr>
        <w:widowControl/>
        <w:spacing w:line="360" w:lineRule="auto"/>
        <w:ind w:firstLineChars="200" w:firstLine="480"/>
        <w:rPr>
          <w:rFonts w:ascii="宋体" w:hAnsi="宋体" w:cs="宋体"/>
          <w:color w:val="000000"/>
          <w:kern w:val="0"/>
          <w:sz w:val="24"/>
        </w:rPr>
      </w:pPr>
      <w:r w:rsidRPr="009C5B8C">
        <w:rPr>
          <w:rFonts w:ascii="宋体" w:hAnsi="宋体" w:cs="宋体" w:hint="eastAsia"/>
          <w:color w:val="000000"/>
          <w:kern w:val="0"/>
          <w:sz w:val="24"/>
        </w:rPr>
        <w:t>本基金在面临大规模赎回的情况下有可能因为无法变现造成流动性风险。</w:t>
      </w:r>
    </w:p>
    <w:p w14:paraId="27861AF2" w14:textId="5D635046" w:rsidR="0076668C" w:rsidRPr="00A750FC" w:rsidRDefault="00A750FC" w:rsidP="009C5B8C">
      <w:pPr>
        <w:widowControl/>
        <w:spacing w:line="360" w:lineRule="auto"/>
        <w:ind w:firstLineChars="200" w:firstLine="480"/>
        <w:rPr>
          <w:rFonts w:ascii="宋体" w:hAnsi="宋体" w:cs="宋体"/>
          <w:color w:val="000000"/>
          <w:kern w:val="0"/>
          <w:sz w:val="24"/>
        </w:rPr>
      </w:pPr>
      <w:r w:rsidRPr="009C5B8C">
        <w:rPr>
          <w:rFonts w:ascii="宋体" w:hAnsi="宋体" w:cs="宋体" w:hint="eastAsia"/>
          <w:color w:val="000000"/>
          <w:kern w:val="0"/>
          <w:sz w:val="24"/>
        </w:rPr>
        <w:t>如果出现流动性风险，基金管理人经与基金托管人协商，在确保投资者得到公平对待的前提下，可实施备用的流动性风险管理工具，包括但不限于暂停接受赎回申请、延缓支付赎回款项、暂停基金估值等，作为特定情形下基金管理人流动性风险管理的辅助措施，同时基金管理人应时刻防范可能产生的流动性风险，对流动性风险进行日常监控，保护持有人的利益。当实施备用的流动性风险管理工具时，有可能无法按合同约定的时限支付赎回款项。</w:t>
      </w:r>
    </w:p>
    <w:p w14:paraId="121243B2" w14:textId="6090CAB2" w:rsidR="00CF57A4" w:rsidRDefault="00B13D46">
      <w:pPr>
        <w:widowControl/>
        <w:spacing w:line="360" w:lineRule="auto"/>
        <w:ind w:firstLineChars="200" w:firstLine="482"/>
        <w:outlineLvl w:val="1"/>
        <w:rPr>
          <w:rFonts w:ascii="宋体" w:hAnsi="宋体" w:cs="宋体"/>
          <w:b/>
          <w:color w:val="000000"/>
          <w:kern w:val="0"/>
          <w:sz w:val="24"/>
        </w:rPr>
      </w:pPr>
      <w:r>
        <w:rPr>
          <w:rFonts w:ascii="宋体" w:hAnsi="宋体" w:cs="宋体" w:hint="eastAsia"/>
          <w:b/>
          <w:color w:val="000000"/>
          <w:kern w:val="0"/>
          <w:sz w:val="24"/>
        </w:rPr>
        <w:t>（</w:t>
      </w:r>
      <w:r w:rsidR="0076668C">
        <w:rPr>
          <w:rFonts w:ascii="宋体" w:hAnsi="宋体" w:cs="宋体" w:hint="eastAsia"/>
          <w:b/>
          <w:color w:val="000000"/>
          <w:kern w:val="0"/>
          <w:sz w:val="24"/>
        </w:rPr>
        <w:t>四</w:t>
      </w:r>
      <w:r>
        <w:rPr>
          <w:rFonts w:ascii="宋体" w:hAnsi="宋体" w:cs="宋体" w:hint="eastAsia"/>
          <w:b/>
          <w:color w:val="000000"/>
          <w:kern w:val="0"/>
          <w:sz w:val="24"/>
        </w:rPr>
        <w:t>）</w:t>
      </w:r>
      <w:r>
        <w:rPr>
          <w:rFonts w:ascii="宋体" w:hAnsi="宋体" w:cs="宋体"/>
          <w:b/>
          <w:color w:val="000000"/>
          <w:kern w:val="0"/>
          <w:sz w:val="24"/>
        </w:rPr>
        <w:t xml:space="preserve">其他风险 </w:t>
      </w:r>
    </w:p>
    <w:p w14:paraId="61BBBC9C" w14:textId="77777777" w:rsidR="00CF57A4" w:rsidRDefault="00B13D46">
      <w:pPr>
        <w:widowControl/>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t>1、第三方机构服务的风险</w:t>
      </w:r>
    </w:p>
    <w:p w14:paraId="7A3F884E" w14:textId="77777777" w:rsidR="00CF57A4" w:rsidRDefault="00B13D46">
      <w:pPr>
        <w:widowControl/>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t>本基金的多项服务委托第三方机构办理，存在以下风险：</w:t>
      </w:r>
    </w:p>
    <w:p w14:paraId="725D1E28" w14:textId="77777777" w:rsidR="00CF57A4" w:rsidRDefault="00B13D46">
      <w:pPr>
        <w:widowControl/>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t>1)申购赎回代理券商因多种原因，导致代理申购、赎回业务受到限制、暂停或终止，由此影响对投资者申购赎回服务的风险。</w:t>
      </w:r>
    </w:p>
    <w:p w14:paraId="795ACE40" w14:textId="77777777" w:rsidR="00CF57A4" w:rsidRDefault="00B13D46">
      <w:pPr>
        <w:widowControl/>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t>2)注册登记机构可能调整结算制度，对投资者基金份额、组合证券及资金的结算方式发生变化，制度调整可能给投资者带来理解偏差的风险。同样的风险还可能来自于证券交易所及其他代理机构。</w:t>
      </w:r>
    </w:p>
    <w:p w14:paraId="2BA778D8" w14:textId="77777777" w:rsidR="00CF57A4" w:rsidRDefault="00B13D46">
      <w:pPr>
        <w:widowControl/>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t>3)证券交易所、注册登记机构、基金托管人及其他代理机构可能违约，导致基金或投资者利益受损的风险。</w:t>
      </w:r>
    </w:p>
    <w:p w14:paraId="52D3B93B" w14:textId="77777777" w:rsidR="00CF57A4" w:rsidRDefault="00B13D46">
      <w:pPr>
        <w:widowControl/>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t>2、管理风险与操作风险</w:t>
      </w:r>
    </w:p>
    <w:p w14:paraId="1F75E035" w14:textId="77777777" w:rsidR="00CF57A4" w:rsidRDefault="00B13D46">
      <w:pPr>
        <w:widowControl/>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t>基金管理人、基金托管人等相关当事人的业务发展状况、人员配备、管理水平与内部控制等对基金收益水平存在影响。因业务扩张过快、行业内过度竞争、对主要业务人员过度依赖等可能会产生影响投资者利益的风险。</w:t>
      </w:r>
    </w:p>
    <w:p w14:paraId="08270795" w14:textId="77777777" w:rsidR="00CF57A4" w:rsidRDefault="00B13D46">
      <w:pPr>
        <w:widowControl/>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t>相关当事人在业务各环节操作过程中，可能因内部控制存在缺陷或者人为因素造成操作失误或违反操作规程等引致风险，例如，申购赎回清单编制错误、越权违规交易、欺诈行为及交易错误等风险。</w:t>
      </w:r>
    </w:p>
    <w:p w14:paraId="5C5A86B1" w14:textId="77777777" w:rsidR="00CF57A4" w:rsidRDefault="00B13D46">
      <w:pPr>
        <w:widowControl/>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lastRenderedPageBreak/>
        <w:t>3、技术风险</w:t>
      </w:r>
    </w:p>
    <w:p w14:paraId="17EE0A8C" w14:textId="77777777" w:rsidR="00CF57A4" w:rsidRDefault="00B13D46">
      <w:pPr>
        <w:widowControl/>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t>在本基金的投资、交易、服务与后台运作等业务过程中，可能因为技术系统的故障或差错导致投资者的利益受到影响。这种技术风险可能来自基金管理人、基金托管人、证券交易所、注册登记机构及代销机构等。</w:t>
      </w:r>
    </w:p>
    <w:p w14:paraId="221752F6" w14:textId="77777777" w:rsidR="00CF57A4" w:rsidRDefault="00B13D46">
      <w:pPr>
        <w:widowControl/>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t>4</w:t>
      </w:r>
      <w:r>
        <w:rPr>
          <w:rFonts w:ascii="宋体" w:hAnsi="宋体" w:cs="宋体"/>
          <w:color w:val="000000"/>
          <w:kern w:val="0"/>
          <w:sz w:val="24"/>
        </w:rPr>
        <w:t>、不可抗力</w:t>
      </w:r>
    </w:p>
    <w:p w14:paraId="73D66063" w14:textId="77777777" w:rsidR="00CF57A4" w:rsidRDefault="00B13D46">
      <w:pPr>
        <w:widowControl/>
        <w:spacing w:line="360" w:lineRule="auto"/>
        <w:ind w:firstLineChars="200" w:firstLine="480"/>
        <w:rPr>
          <w:rFonts w:ascii="宋体" w:hAnsi="宋体" w:cs="宋体"/>
          <w:color w:val="000000"/>
          <w:kern w:val="0"/>
          <w:sz w:val="24"/>
        </w:rPr>
      </w:pPr>
      <w:r>
        <w:rPr>
          <w:rFonts w:ascii="宋体" w:hAnsi="宋体" w:cs="宋体"/>
          <w:color w:val="000000"/>
          <w:kern w:val="0"/>
          <w:sz w:val="24"/>
        </w:rPr>
        <w:t>战争、自然灾害等不可抗力可能导致基金资产有遭受损失的风险。基金管理人、基金托管人、证券交易所、注册登记机构和代销机构等可能因不可抗力无法正常工作</w:t>
      </w:r>
      <w:r>
        <w:rPr>
          <w:rFonts w:ascii="宋体" w:hAnsi="宋体" w:cs="宋体" w:hint="eastAsia"/>
          <w:color w:val="000000"/>
          <w:kern w:val="0"/>
          <w:sz w:val="24"/>
        </w:rPr>
        <w:t>，</w:t>
      </w:r>
      <w:r>
        <w:rPr>
          <w:rFonts w:ascii="宋体" w:hAnsi="宋体" w:cs="宋体"/>
          <w:color w:val="000000"/>
          <w:kern w:val="0"/>
          <w:sz w:val="24"/>
        </w:rPr>
        <w:t>从而影响基金的各项业务按正常时限完成。</w:t>
      </w:r>
    </w:p>
    <w:p w14:paraId="023C9893" w14:textId="77777777" w:rsidR="00CF57A4" w:rsidRDefault="00B13D46">
      <w:pPr>
        <w:pStyle w:val="af1"/>
        <w:rPr>
          <w:rFonts w:eastAsia="黑体"/>
          <w:color w:val="000000"/>
          <w:kern w:val="0"/>
          <w:sz w:val="30"/>
        </w:rPr>
      </w:pPr>
      <w:bookmarkStart w:id="173" w:name="_Toc109537397"/>
      <w:r>
        <w:rPr>
          <w:rFonts w:eastAsia="黑体"/>
          <w:color w:val="000000"/>
          <w:kern w:val="0"/>
          <w:sz w:val="30"/>
        </w:rPr>
        <w:br w:type="page"/>
      </w:r>
      <w:bookmarkStart w:id="174" w:name="_Toc320704011"/>
      <w:bookmarkStart w:id="175" w:name="_Toc320704084"/>
      <w:bookmarkStart w:id="176" w:name="_Toc320704371"/>
      <w:bookmarkStart w:id="177" w:name="_Toc322002735"/>
      <w:bookmarkStart w:id="178" w:name="_Toc322519886"/>
      <w:bookmarkStart w:id="179" w:name="_Toc320703960"/>
      <w:r>
        <w:rPr>
          <w:rFonts w:eastAsia="黑体" w:hint="eastAsia"/>
          <w:color w:val="000000"/>
          <w:kern w:val="0"/>
          <w:sz w:val="30"/>
        </w:rPr>
        <w:lastRenderedPageBreak/>
        <w:t>十九、</w:t>
      </w:r>
      <w:bookmarkEnd w:id="173"/>
      <w:r>
        <w:rPr>
          <w:rFonts w:eastAsia="黑体" w:hint="eastAsia"/>
          <w:color w:val="000000"/>
          <w:kern w:val="0"/>
          <w:sz w:val="30"/>
        </w:rPr>
        <w:t>基金合同的终止与基金财产的清算</w:t>
      </w:r>
      <w:bookmarkEnd w:id="174"/>
      <w:bookmarkEnd w:id="175"/>
      <w:bookmarkEnd w:id="176"/>
      <w:bookmarkEnd w:id="177"/>
      <w:bookmarkEnd w:id="178"/>
      <w:bookmarkEnd w:id="179"/>
    </w:p>
    <w:p w14:paraId="69B5F460" w14:textId="77777777" w:rsidR="00CF57A4" w:rsidRDefault="00B13D46">
      <w:pPr>
        <w:spacing w:line="360" w:lineRule="auto"/>
        <w:ind w:firstLineChars="200" w:firstLine="482"/>
        <w:rPr>
          <w:rFonts w:ascii="宋体" w:hAnsi="宋体"/>
          <w:b/>
          <w:color w:val="000000"/>
          <w:sz w:val="24"/>
        </w:rPr>
      </w:pPr>
      <w:r>
        <w:rPr>
          <w:rFonts w:ascii="宋体" w:hAnsi="宋体"/>
          <w:b/>
          <w:color w:val="000000"/>
          <w:sz w:val="24"/>
        </w:rPr>
        <w:t>(</w:t>
      </w:r>
      <w:r>
        <w:rPr>
          <w:rFonts w:ascii="宋体" w:hAnsi="宋体" w:hint="eastAsia"/>
          <w:b/>
          <w:color w:val="000000"/>
          <w:sz w:val="24"/>
        </w:rPr>
        <w:t>一</w:t>
      </w:r>
      <w:r>
        <w:rPr>
          <w:rFonts w:ascii="宋体" w:hAnsi="宋体"/>
          <w:b/>
          <w:color w:val="000000"/>
          <w:sz w:val="24"/>
        </w:rPr>
        <w:t>)</w:t>
      </w:r>
      <w:r>
        <w:rPr>
          <w:rFonts w:ascii="宋体" w:hAnsi="宋体" w:hint="eastAsia"/>
          <w:b/>
          <w:color w:val="000000"/>
          <w:sz w:val="24"/>
        </w:rPr>
        <w:t>基金合同的终止</w:t>
      </w:r>
    </w:p>
    <w:p w14:paraId="046CF0D4"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有下列情形之一的，基金合同经中国证监会核准后将终止：</w:t>
      </w:r>
    </w:p>
    <w:p w14:paraId="625FB959" w14:textId="77777777" w:rsidR="00CF57A4" w:rsidRDefault="00B13D46">
      <w:pPr>
        <w:spacing w:line="360" w:lineRule="auto"/>
        <w:ind w:firstLineChars="200" w:firstLine="480"/>
        <w:rPr>
          <w:rFonts w:ascii="宋体" w:hAnsi="宋体"/>
          <w:color w:val="000000"/>
          <w:sz w:val="24"/>
        </w:rPr>
      </w:pPr>
      <w:r>
        <w:rPr>
          <w:rFonts w:ascii="宋体" w:hAnsi="宋体"/>
          <w:color w:val="000000"/>
          <w:sz w:val="24"/>
        </w:rPr>
        <w:t>1</w:t>
      </w:r>
      <w:r>
        <w:rPr>
          <w:rFonts w:ascii="宋体" w:hAnsi="宋体" w:hint="eastAsia"/>
          <w:color w:val="000000"/>
          <w:sz w:val="24"/>
        </w:rPr>
        <w:t>、基金份额持有人大会决定终止的；</w:t>
      </w:r>
    </w:p>
    <w:p w14:paraId="0D567E5A" w14:textId="77777777" w:rsidR="00CF57A4" w:rsidRDefault="00B13D46">
      <w:pPr>
        <w:spacing w:line="360" w:lineRule="auto"/>
        <w:ind w:firstLineChars="200" w:firstLine="480"/>
        <w:rPr>
          <w:rFonts w:ascii="宋体" w:hAnsi="宋体"/>
          <w:color w:val="000000"/>
          <w:sz w:val="24"/>
        </w:rPr>
      </w:pPr>
      <w:r>
        <w:rPr>
          <w:rFonts w:ascii="宋体" w:hAnsi="宋体"/>
          <w:color w:val="000000"/>
          <w:sz w:val="24"/>
        </w:rPr>
        <w:t>2</w:t>
      </w:r>
      <w:r>
        <w:rPr>
          <w:rFonts w:ascii="宋体" w:hAnsi="宋体" w:hint="eastAsia"/>
          <w:color w:val="000000"/>
          <w:sz w:val="24"/>
        </w:rPr>
        <w:t>、基金管理人职责终止，而在</w:t>
      </w:r>
      <w:r>
        <w:rPr>
          <w:rFonts w:ascii="宋体" w:hAnsi="宋体"/>
          <w:color w:val="000000"/>
          <w:sz w:val="24"/>
        </w:rPr>
        <w:t>6</w:t>
      </w:r>
      <w:r>
        <w:rPr>
          <w:rFonts w:ascii="宋体" w:hAnsi="宋体" w:hint="eastAsia"/>
          <w:color w:val="000000"/>
          <w:sz w:val="24"/>
        </w:rPr>
        <w:t>个月内没有新的基金管理人承接的；</w:t>
      </w:r>
    </w:p>
    <w:p w14:paraId="4A39EF34" w14:textId="77777777" w:rsidR="00CF57A4" w:rsidRDefault="00B13D46">
      <w:pPr>
        <w:spacing w:line="360" w:lineRule="auto"/>
        <w:ind w:firstLineChars="200" w:firstLine="480"/>
        <w:rPr>
          <w:rFonts w:ascii="宋体" w:hAnsi="宋体"/>
          <w:color w:val="000000"/>
          <w:sz w:val="24"/>
        </w:rPr>
      </w:pPr>
      <w:r>
        <w:rPr>
          <w:rFonts w:ascii="宋体" w:hAnsi="宋体"/>
          <w:color w:val="000000"/>
          <w:sz w:val="24"/>
        </w:rPr>
        <w:t>3</w:t>
      </w:r>
      <w:r>
        <w:rPr>
          <w:rFonts w:ascii="宋体" w:hAnsi="宋体" w:hint="eastAsia"/>
          <w:color w:val="000000"/>
          <w:sz w:val="24"/>
        </w:rPr>
        <w:t>、基金托管人职责终止，而在</w:t>
      </w:r>
      <w:r>
        <w:rPr>
          <w:rFonts w:ascii="宋体" w:hAnsi="宋体"/>
          <w:color w:val="000000"/>
          <w:sz w:val="24"/>
        </w:rPr>
        <w:t>6</w:t>
      </w:r>
      <w:r>
        <w:rPr>
          <w:rFonts w:ascii="宋体" w:hAnsi="宋体" w:hint="eastAsia"/>
          <w:color w:val="000000"/>
          <w:sz w:val="24"/>
        </w:rPr>
        <w:t>个月内没有新的基金托管人承接的；</w:t>
      </w:r>
    </w:p>
    <w:p w14:paraId="2B9A73AF" w14:textId="77777777" w:rsidR="00CF57A4" w:rsidRDefault="00B13D46">
      <w:pPr>
        <w:spacing w:line="360" w:lineRule="auto"/>
        <w:ind w:firstLineChars="200" w:firstLine="480"/>
        <w:rPr>
          <w:rFonts w:ascii="宋体" w:hAnsi="宋体"/>
          <w:color w:val="000000"/>
          <w:sz w:val="24"/>
        </w:rPr>
      </w:pPr>
      <w:r>
        <w:rPr>
          <w:rFonts w:ascii="宋体" w:hAnsi="宋体"/>
          <w:color w:val="000000"/>
          <w:sz w:val="24"/>
        </w:rPr>
        <w:t>4</w:t>
      </w:r>
      <w:r>
        <w:rPr>
          <w:rFonts w:ascii="宋体" w:hAnsi="宋体" w:hint="eastAsia"/>
          <w:color w:val="000000"/>
          <w:sz w:val="24"/>
        </w:rPr>
        <w:t>、相关法律法规和中国证监会规定的其他情况。</w:t>
      </w:r>
    </w:p>
    <w:p w14:paraId="5F54D996" w14:textId="77777777" w:rsidR="00CF57A4" w:rsidRDefault="00B13D46">
      <w:pPr>
        <w:spacing w:line="360" w:lineRule="auto"/>
        <w:ind w:firstLineChars="200" w:firstLine="482"/>
        <w:rPr>
          <w:rFonts w:ascii="宋体" w:hAnsi="宋体"/>
          <w:b/>
          <w:color w:val="000000"/>
          <w:sz w:val="24"/>
        </w:rPr>
      </w:pPr>
      <w:r>
        <w:rPr>
          <w:rFonts w:ascii="宋体" w:hAnsi="宋体"/>
          <w:b/>
          <w:color w:val="000000"/>
          <w:sz w:val="24"/>
        </w:rPr>
        <w:t>(</w:t>
      </w:r>
      <w:r>
        <w:rPr>
          <w:rFonts w:ascii="宋体" w:hAnsi="宋体" w:hint="eastAsia"/>
          <w:b/>
          <w:color w:val="000000"/>
          <w:sz w:val="24"/>
        </w:rPr>
        <w:t>二</w:t>
      </w:r>
      <w:r>
        <w:rPr>
          <w:rFonts w:ascii="宋体" w:hAnsi="宋体"/>
          <w:b/>
          <w:color w:val="000000"/>
          <w:sz w:val="24"/>
        </w:rPr>
        <w:t>)</w:t>
      </w:r>
      <w:r>
        <w:rPr>
          <w:rFonts w:ascii="宋体" w:hAnsi="宋体" w:hint="eastAsia"/>
          <w:b/>
          <w:color w:val="000000"/>
          <w:sz w:val="24"/>
        </w:rPr>
        <w:t>基金财产的清算</w:t>
      </w:r>
    </w:p>
    <w:p w14:paraId="552C479A" w14:textId="77777777" w:rsidR="00CF57A4" w:rsidRDefault="00B13D46">
      <w:pPr>
        <w:spacing w:line="360" w:lineRule="auto"/>
        <w:ind w:firstLineChars="200" w:firstLine="480"/>
        <w:rPr>
          <w:rFonts w:ascii="宋体" w:hAnsi="宋体"/>
          <w:color w:val="000000"/>
          <w:sz w:val="24"/>
        </w:rPr>
      </w:pPr>
      <w:r>
        <w:rPr>
          <w:rFonts w:ascii="宋体" w:hAnsi="宋体"/>
          <w:color w:val="000000"/>
          <w:sz w:val="24"/>
        </w:rPr>
        <w:t>1</w:t>
      </w:r>
      <w:r>
        <w:rPr>
          <w:rFonts w:ascii="宋体" w:hAnsi="宋体" w:hint="eastAsia"/>
          <w:color w:val="000000"/>
          <w:sz w:val="24"/>
        </w:rPr>
        <w:t>、基金财产清算小组</w:t>
      </w:r>
    </w:p>
    <w:p w14:paraId="1EC3BF4E" w14:textId="77777777" w:rsidR="00CF57A4" w:rsidRDefault="00B13D46">
      <w:pPr>
        <w:spacing w:line="360" w:lineRule="auto"/>
        <w:ind w:firstLineChars="200" w:firstLine="480"/>
        <w:rPr>
          <w:rFonts w:ascii="宋体" w:hAnsi="宋体"/>
          <w:color w:val="000000"/>
          <w:sz w:val="24"/>
        </w:rPr>
      </w:pPr>
      <w:r>
        <w:rPr>
          <w:rFonts w:ascii="宋体" w:hAnsi="宋体"/>
          <w:color w:val="000000"/>
          <w:sz w:val="24"/>
        </w:rPr>
        <w:t>(1)</w:t>
      </w:r>
      <w:r>
        <w:rPr>
          <w:rFonts w:ascii="宋体" w:hAnsi="宋体" w:hint="eastAsia"/>
          <w:color w:val="000000"/>
          <w:sz w:val="24"/>
        </w:rPr>
        <w:t>基金合同终止后，成立基金清算小组，基金清算小组在中国证监会的监督下进行基金清算。</w:t>
      </w:r>
    </w:p>
    <w:p w14:paraId="568EDD70" w14:textId="77777777" w:rsidR="00CF57A4" w:rsidRDefault="00B13D46">
      <w:pPr>
        <w:spacing w:line="360" w:lineRule="auto"/>
        <w:ind w:firstLineChars="200" w:firstLine="480"/>
        <w:rPr>
          <w:rFonts w:ascii="宋体" w:hAnsi="宋体"/>
          <w:color w:val="000000"/>
          <w:sz w:val="24"/>
        </w:rPr>
      </w:pPr>
      <w:r>
        <w:rPr>
          <w:rFonts w:ascii="宋体" w:hAnsi="宋体"/>
          <w:color w:val="000000"/>
          <w:sz w:val="24"/>
        </w:rPr>
        <w:t>(2)</w:t>
      </w:r>
      <w:r>
        <w:rPr>
          <w:rFonts w:ascii="宋体" w:hAnsi="宋体" w:hint="eastAsia"/>
          <w:color w:val="000000"/>
          <w:sz w:val="24"/>
        </w:rPr>
        <w:t>基金清算小组成员由基金管理人、基金托管人、具有从事证券相关业务资格的注册会计师、律师以及中国证监会指定的人员组成。基金清算小组可以聘用必要的工作人员。</w:t>
      </w:r>
    </w:p>
    <w:p w14:paraId="41D2042E" w14:textId="77777777" w:rsidR="00CF57A4" w:rsidRDefault="00B13D46">
      <w:pPr>
        <w:spacing w:line="360" w:lineRule="auto"/>
        <w:ind w:firstLineChars="200" w:firstLine="480"/>
        <w:rPr>
          <w:rFonts w:ascii="宋体" w:hAnsi="宋体"/>
          <w:color w:val="000000"/>
          <w:sz w:val="24"/>
        </w:rPr>
      </w:pPr>
      <w:r>
        <w:rPr>
          <w:rFonts w:ascii="宋体" w:hAnsi="宋体"/>
          <w:color w:val="000000"/>
          <w:sz w:val="24"/>
        </w:rPr>
        <w:t>(3)</w:t>
      </w:r>
      <w:r>
        <w:rPr>
          <w:rFonts w:ascii="宋体" w:hAnsi="宋体" w:hint="eastAsia"/>
          <w:color w:val="000000"/>
          <w:sz w:val="24"/>
        </w:rPr>
        <w:t>基金清算小组负责基金财产的保管、清理、估价、变现和分配。基金清算小组可以依法进行必要的民事活动。</w:t>
      </w:r>
    </w:p>
    <w:p w14:paraId="30F7212B" w14:textId="77777777" w:rsidR="00CF57A4" w:rsidRDefault="00B13D46">
      <w:pPr>
        <w:spacing w:line="360" w:lineRule="auto"/>
        <w:ind w:firstLineChars="200" w:firstLine="480"/>
        <w:rPr>
          <w:rFonts w:ascii="宋体" w:hAnsi="宋体"/>
          <w:color w:val="000000"/>
          <w:sz w:val="24"/>
        </w:rPr>
      </w:pPr>
      <w:r>
        <w:rPr>
          <w:rFonts w:ascii="宋体" w:hAnsi="宋体"/>
          <w:color w:val="000000"/>
          <w:sz w:val="24"/>
        </w:rPr>
        <w:t>2</w:t>
      </w:r>
      <w:r>
        <w:rPr>
          <w:rFonts w:ascii="宋体" w:hAnsi="宋体" w:hint="eastAsia"/>
          <w:color w:val="000000"/>
          <w:sz w:val="24"/>
        </w:rPr>
        <w:t>、基金财产清算程序</w:t>
      </w:r>
    </w:p>
    <w:p w14:paraId="13C03AE7" w14:textId="77777777" w:rsidR="00CF57A4" w:rsidRDefault="00B13D46">
      <w:pPr>
        <w:spacing w:line="360" w:lineRule="auto"/>
        <w:ind w:firstLineChars="200" w:firstLine="480"/>
        <w:rPr>
          <w:rFonts w:ascii="宋体" w:hAnsi="宋体"/>
          <w:color w:val="000000"/>
          <w:sz w:val="24"/>
        </w:rPr>
      </w:pPr>
      <w:r>
        <w:rPr>
          <w:rFonts w:ascii="宋体" w:hAnsi="宋体"/>
          <w:color w:val="000000"/>
          <w:sz w:val="24"/>
        </w:rPr>
        <w:t>(1)</w:t>
      </w:r>
      <w:r>
        <w:rPr>
          <w:rFonts w:ascii="宋体" w:hAnsi="宋体" w:hint="eastAsia"/>
          <w:color w:val="000000"/>
          <w:sz w:val="24"/>
        </w:rPr>
        <w:t>基金合同终止时，由基金清算小组统一接管基金财产；</w:t>
      </w:r>
    </w:p>
    <w:p w14:paraId="50A05FF2" w14:textId="77777777" w:rsidR="00CF57A4" w:rsidRDefault="00B13D46">
      <w:pPr>
        <w:spacing w:line="360" w:lineRule="auto"/>
        <w:ind w:firstLineChars="200" w:firstLine="480"/>
        <w:rPr>
          <w:rFonts w:ascii="宋体" w:hAnsi="宋体"/>
          <w:color w:val="000000"/>
          <w:sz w:val="24"/>
        </w:rPr>
      </w:pPr>
      <w:r>
        <w:rPr>
          <w:rFonts w:ascii="宋体" w:hAnsi="宋体"/>
          <w:color w:val="000000"/>
          <w:sz w:val="24"/>
        </w:rPr>
        <w:t>(2)</w:t>
      </w:r>
      <w:r>
        <w:rPr>
          <w:rFonts w:ascii="宋体" w:hAnsi="宋体" w:hint="eastAsia"/>
          <w:color w:val="000000"/>
          <w:sz w:val="24"/>
        </w:rPr>
        <w:t>对基金财产进行清理和确认；</w:t>
      </w:r>
    </w:p>
    <w:p w14:paraId="338DB150" w14:textId="77777777" w:rsidR="00CF57A4" w:rsidRDefault="00B13D46">
      <w:pPr>
        <w:spacing w:line="360" w:lineRule="auto"/>
        <w:ind w:firstLineChars="200" w:firstLine="480"/>
        <w:rPr>
          <w:rFonts w:ascii="宋体" w:hAnsi="宋体"/>
          <w:color w:val="000000"/>
          <w:sz w:val="24"/>
        </w:rPr>
      </w:pPr>
      <w:r>
        <w:rPr>
          <w:rFonts w:ascii="宋体" w:hAnsi="宋体"/>
          <w:color w:val="000000"/>
          <w:sz w:val="24"/>
        </w:rPr>
        <w:t>(3)</w:t>
      </w:r>
      <w:r>
        <w:rPr>
          <w:rFonts w:ascii="宋体" w:hAnsi="宋体" w:hint="eastAsia"/>
          <w:color w:val="000000"/>
          <w:sz w:val="24"/>
        </w:rPr>
        <w:t>对基金财产进行估价和变现；</w:t>
      </w:r>
    </w:p>
    <w:p w14:paraId="5DD82134" w14:textId="77777777" w:rsidR="00CF57A4" w:rsidRDefault="00B13D46">
      <w:pPr>
        <w:spacing w:line="360" w:lineRule="auto"/>
        <w:ind w:firstLineChars="200" w:firstLine="480"/>
        <w:rPr>
          <w:rFonts w:ascii="宋体" w:hAnsi="宋体"/>
          <w:color w:val="000000"/>
          <w:sz w:val="24"/>
        </w:rPr>
      </w:pPr>
      <w:r>
        <w:rPr>
          <w:rFonts w:ascii="宋体" w:hAnsi="宋体"/>
          <w:color w:val="000000"/>
          <w:sz w:val="24"/>
        </w:rPr>
        <w:t>(4)</w:t>
      </w:r>
      <w:r>
        <w:rPr>
          <w:rFonts w:ascii="宋体" w:hAnsi="宋体" w:hint="eastAsia"/>
          <w:color w:val="000000"/>
          <w:sz w:val="24"/>
        </w:rPr>
        <w:t>制作清算报告；</w:t>
      </w:r>
    </w:p>
    <w:p w14:paraId="477EAB3F"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(5</w:t>
      </w:r>
      <w:r>
        <w:rPr>
          <w:rFonts w:ascii="宋体" w:hAnsi="宋体"/>
          <w:color w:val="000000"/>
          <w:sz w:val="24"/>
        </w:rPr>
        <w:t>)</w:t>
      </w:r>
      <w:r>
        <w:rPr>
          <w:rFonts w:ascii="宋体" w:hAnsi="宋体" w:hint="eastAsia"/>
          <w:color w:val="000000"/>
          <w:sz w:val="24"/>
        </w:rPr>
        <w:t>聘请会计师事务所对清算报告进行审计；</w:t>
      </w:r>
    </w:p>
    <w:p w14:paraId="617C642E" w14:textId="77777777" w:rsidR="00CF57A4" w:rsidRDefault="00B13D46">
      <w:pPr>
        <w:spacing w:line="360" w:lineRule="auto"/>
        <w:ind w:firstLineChars="200" w:firstLine="480"/>
        <w:rPr>
          <w:rFonts w:ascii="宋体" w:hAnsi="宋体"/>
          <w:color w:val="000000"/>
          <w:sz w:val="24"/>
        </w:rPr>
      </w:pPr>
      <w:r>
        <w:rPr>
          <w:rFonts w:ascii="宋体" w:hAnsi="宋体"/>
          <w:color w:val="000000"/>
          <w:sz w:val="24"/>
        </w:rPr>
        <w:t>(</w:t>
      </w:r>
      <w:r>
        <w:rPr>
          <w:rFonts w:ascii="宋体" w:hAnsi="宋体" w:hint="eastAsia"/>
          <w:color w:val="000000"/>
          <w:sz w:val="24"/>
        </w:rPr>
        <w:t>6</w:t>
      </w:r>
      <w:r>
        <w:rPr>
          <w:rFonts w:ascii="宋体" w:hAnsi="宋体"/>
          <w:color w:val="000000"/>
          <w:sz w:val="24"/>
        </w:rPr>
        <w:t>)</w:t>
      </w:r>
      <w:r>
        <w:rPr>
          <w:rFonts w:ascii="宋体" w:hAnsi="宋体" w:hint="eastAsia"/>
          <w:color w:val="000000"/>
          <w:sz w:val="24"/>
        </w:rPr>
        <w:t>聘请律师事务所对清算报告出具法律意见书；</w:t>
      </w:r>
    </w:p>
    <w:p w14:paraId="7C1C1FCF" w14:textId="77777777" w:rsidR="00CF57A4" w:rsidRDefault="00B13D46">
      <w:pPr>
        <w:spacing w:line="360" w:lineRule="auto"/>
        <w:ind w:firstLineChars="200" w:firstLine="480"/>
        <w:rPr>
          <w:rFonts w:ascii="宋体" w:hAnsi="宋体"/>
          <w:color w:val="000000"/>
          <w:sz w:val="24"/>
        </w:rPr>
      </w:pPr>
      <w:r>
        <w:rPr>
          <w:rFonts w:ascii="宋体" w:hAnsi="宋体"/>
          <w:color w:val="000000"/>
          <w:sz w:val="24"/>
        </w:rPr>
        <w:t>(7)</w:t>
      </w:r>
      <w:r>
        <w:rPr>
          <w:rFonts w:ascii="宋体" w:hAnsi="宋体" w:hint="eastAsia"/>
          <w:color w:val="000000"/>
          <w:sz w:val="24"/>
        </w:rPr>
        <w:t>将基金清算结果报告中国证监会；</w:t>
      </w:r>
    </w:p>
    <w:p w14:paraId="5DFD4601" w14:textId="77777777" w:rsidR="00CF57A4" w:rsidRDefault="00B13D46">
      <w:pPr>
        <w:spacing w:line="360" w:lineRule="auto"/>
        <w:ind w:firstLineChars="200" w:firstLine="480"/>
        <w:rPr>
          <w:rFonts w:ascii="宋体" w:hAnsi="宋体"/>
          <w:color w:val="000000"/>
          <w:sz w:val="24"/>
        </w:rPr>
      </w:pPr>
      <w:r>
        <w:rPr>
          <w:rFonts w:ascii="宋体" w:hAnsi="宋体"/>
          <w:color w:val="000000"/>
          <w:sz w:val="24"/>
        </w:rPr>
        <w:t>(8)</w:t>
      </w:r>
      <w:r>
        <w:rPr>
          <w:rFonts w:ascii="宋体" w:hAnsi="宋体" w:hint="eastAsia"/>
          <w:color w:val="000000"/>
          <w:sz w:val="24"/>
        </w:rPr>
        <w:t>公布基金清算报告；</w:t>
      </w:r>
    </w:p>
    <w:p w14:paraId="58736D4D" w14:textId="77777777" w:rsidR="00CF57A4" w:rsidRDefault="00B13D46">
      <w:pPr>
        <w:spacing w:line="360" w:lineRule="auto"/>
        <w:ind w:firstLineChars="200" w:firstLine="480"/>
        <w:rPr>
          <w:rFonts w:ascii="宋体" w:hAnsi="宋体"/>
          <w:color w:val="000000"/>
          <w:sz w:val="24"/>
        </w:rPr>
      </w:pPr>
      <w:r>
        <w:rPr>
          <w:rFonts w:ascii="宋体" w:hAnsi="宋体"/>
          <w:color w:val="000000"/>
          <w:sz w:val="24"/>
        </w:rPr>
        <w:t>(9)</w:t>
      </w:r>
      <w:r>
        <w:rPr>
          <w:rFonts w:ascii="宋体" w:hAnsi="宋体" w:hint="eastAsia"/>
          <w:color w:val="000000"/>
          <w:sz w:val="24"/>
        </w:rPr>
        <w:t>对基金剩余财产进行分配。</w:t>
      </w:r>
    </w:p>
    <w:p w14:paraId="5F35141D" w14:textId="77777777" w:rsidR="00CF57A4" w:rsidRDefault="00B13D46">
      <w:pPr>
        <w:spacing w:line="360" w:lineRule="auto"/>
        <w:ind w:firstLineChars="200" w:firstLine="480"/>
        <w:rPr>
          <w:rFonts w:ascii="宋体" w:hAnsi="宋体"/>
          <w:color w:val="000000"/>
          <w:sz w:val="24"/>
        </w:rPr>
      </w:pPr>
      <w:r>
        <w:rPr>
          <w:rFonts w:ascii="宋体" w:hAnsi="宋体"/>
          <w:color w:val="000000"/>
          <w:sz w:val="24"/>
        </w:rPr>
        <w:t>3</w:t>
      </w:r>
      <w:r>
        <w:rPr>
          <w:rFonts w:ascii="宋体" w:hAnsi="宋体" w:hint="eastAsia"/>
          <w:color w:val="000000"/>
          <w:sz w:val="24"/>
        </w:rPr>
        <w:t>、清算费用</w:t>
      </w:r>
    </w:p>
    <w:p w14:paraId="12518104"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清算费用是指基金清算小组在进行基金清算过程中发生的所有合理费用，清算费用由基金清算小组优先从基金财产中支付。</w:t>
      </w:r>
    </w:p>
    <w:p w14:paraId="5BCF402E" w14:textId="77777777" w:rsidR="00CF57A4" w:rsidRDefault="00B13D46">
      <w:pPr>
        <w:spacing w:line="360" w:lineRule="auto"/>
        <w:ind w:firstLineChars="200" w:firstLine="480"/>
        <w:rPr>
          <w:rFonts w:ascii="宋体" w:hAnsi="宋体"/>
          <w:color w:val="000000"/>
          <w:sz w:val="24"/>
        </w:rPr>
      </w:pPr>
      <w:r>
        <w:rPr>
          <w:rFonts w:ascii="宋体" w:hAnsi="宋体"/>
          <w:color w:val="000000"/>
          <w:sz w:val="24"/>
        </w:rPr>
        <w:lastRenderedPageBreak/>
        <w:t>4</w:t>
      </w:r>
      <w:r>
        <w:rPr>
          <w:rFonts w:ascii="宋体" w:hAnsi="宋体" w:hint="eastAsia"/>
          <w:color w:val="000000"/>
          <w:sz w:val="24"/>
        </w:rPr>
        <w:t>、基金财产按下列顺序清偿：</w:t>
      </w:r>
    </w:p>
    <w:p w14:paraId="38DE1AB9" w14:textId="77777777" w:rsidR="00CF57A4" w:rsidRDefault="00B13D46">
      <w:pPr>
        <w:spacing w:line="360" w:lineRule="auto"/>
        <w:ind w:firstLineChars="200" w:firstLine="480"/>
        <w:rPr>
          <w:rFonts w:ascii="宋体" w:hAnsi="宋体"/>
          <w:color w:val="000000"/>
          <w:sz w:val="24"/>
        </w:rPr>
      </w:pPr>
      <w:r>
        <w:rPr>
          <w:rFonts w:ascii="宋体" w:hAnsi="宋体"/>
          <w:color w:val="000000"/>
          <w:sz w:val="24"/>
        </w:rPr>
        <w:t>(1)</w:t>
      </w:r>
      <w:r>
        <w:rPr>
          <w:rFonts w:ascii="宋体" w:hAnsi="宋体" w:hint="eastAsia"/>
          <w:color w:val="000000"/>
          <w:sz w:val="24"/>
        </w:rPr>
        <w:t>支付清算费用；</w:t>
      </w:r>
    </w:p>
    <w:p w14:paraId="3BB40845" w14:textId="77777777" w:rsidR="00CF57A4" w:rsidRDefault="00B13D46">
      <w:pPr>
        <w:spacing w:line="360" w:lineRule="auto"/>
        <w:ind w:firstLineChars="200" w:firstLine="480"/>
        <w:rPr>
          <w:rFonts w:ascii="宋体" w:hAnsi="宋体"/>
          <w:color w:val="000000"/>
          <w:sz w:val="24"/>
        </w:rPr>
      </w:pPr>
      <w:r>
        <w:rPr>
          <w:rFonts w:ascii="宋体" w:hAnsi="宋体"/>
          <w:color w:val="000000"/>
          <w:sz w:val="24"/>
        </w:rPr>
        <w:t>(2)</w:t>
      </w:r>
      <w:r>
        <w:rPr>
          <w:rFonts w:ascii="宋体" w:hAnsi="宋体" w:hint="eastAsia"/>
          <w:color w:val="000000"/>
          <w:sz w:val="24"/>
        </w:rPr>
        <w:t>交纳所欠税款；</w:t>
      </w:r>
    </w:p>
    <w:p w14:paraId="04AE0979" w14:textId="77777777" w:rsidR="00CF57A4" w:rsidRDefault="00B13D46">
      <w:pPr>
        <w:spacing w:line="360" w:lineRule="auto"/>
        <w:ind w:firstLineChars="200" w:firstLine="480"/>
        <w:rPr>
          <w:rFonts w:ascii="宋体" w:hAnsi="宋体"/>
          <w:color w:val="000000"/>
          <w:sz w:val="24"/>
        </w:rPr>
      </w:pPr>
      <w:r>
        <w:rPr>
          <w:rFonts w:ascii="宋体" w:hAnsi="宋体"/>
          <w:color w:val="000000"/>
          <w:sz w:val="24"/>
        </w:rPr>
        <w:t>(3)</w:t>
      </w:r>
      <w:r>
        <w:rPr>
          <w:rFonts w:ascii="宋体" w:hAnsi="宋体" w:hint="eastAsia"/>
          <w:color w:val="000000"/>
          <w:sz w:val="24"/>
        </w:rPr>
        <w:t>清偿基金债务；</w:t>
      </w:r>
    </w:p>
    <w:p w14:paraId="23AE2899" w14:textId="77777777" w:rsidR="00CF57A4" w:rsidRDefault="00B13D46">
      <w:pPr>
        <w:spacing w:line="360" w:lineRule="auto"/>
        <w:ind w:firstLineChars="200" w:firstLine="480"/>
        <w:rPr>
          <w:rFonts w:ascii="宋体" w:hAnsi="宋体"/>
          <w:color w:val="000000"/>
          <w:sz w:val="24"/>
        </w:rPr>
      </w:pPr>
      <w:r>
        <w:rPr>
          <w:rFonts w:ascii="宋体" w:hAnsi="宋体"/>
          <w:color w:val="000000"/>
          <w:sz w:val="24"/>
        </w:rPr>
        <w:t>(4)</w:t>
      </w:r>
      <w:r>
        <w:rPr>
          <w:rFonts w:ascii="宋体" w:hAnsi="宋体" w:hint="eastAsia"/>
          <w:color w:val="000000"/>
          <w:sz w:val="24"/>
        </w:rPr>
        <w:t>按基金份额持有人持有的基金份额比例进行分配。</w:t>
      </w:r>
    </w:p>
    <w:p w14:paraId="6B582D8D"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基金财产未按前款</w:t>
      </w:r>
      <w:r>
        <w:rPr>
          <w:rFonts w:ascii="宋体" w:hAnsi="宋体"/>
          <w:color w:val="000000"/>
          <w:sz w:val="24"/>
        </w:rPr>
        <w:t>(1)</w:t>
      </w:r>
      <w:r>
        <w:rPr>
          <w:rFonts w:ascii="宋体" w:hAnsi="宋体" w:hint="eastAsia"/>
          <w:color w:val="000000"/>
          <w:sz w:val="24"/>
        </w:rPr>
        <w:t>－</w:t>
      </w:r>
      <w:r>
        <w:rPr>
          <w:rFonts w:ascii="宋体" w:hAnsi="宋体"/>
          <w:color w:val="000000"/>
          <w:sz w:val="24"/>
        </w:rPr>
        <w:t>(3)</w:t>
      </w:r>
      <w:r>
        <w:rPr>
          <w:rFonts w:ascii="宋体" w:hAnsi="宋体" w:hint="eastAsia"/>
          <w:color w:val="000000"/>
          <w:sz w:val="24"/>
        </w:rPr>
        <w:t>项规定清偿前，不分配给基金份额持有人。</w:t>
      </w:r>
    </w:p>
    <w:p w14:paraId="30D86E5D" w14:textId="77777777" w:rsidR="00CF57A4" w:rsidRDefault="00B13D46">
      <w:pPr>
        <w:spacing w:line="360" w:lineRule="auto"/>
        <w:ind w:firstLineChars="200" w:firstLine="480"/>
        <w:rPr>
          <w:rFonts w:ascii="宋体" w:hAnsi="宋体"/>
          <w:color w:val="000000"/>
          <w:sz w:val="24"/>
        </w:rPr>
      </w:pPr>
      <w:r>
        <w:rPr>
          <w:rFonts w:ascii="宋体" w:hAnsi="宋体"/>
          <w:color w:val="000000"/>
          <w:sz w:val="24"/>
        </w:rPr>
        <w:t>5</w:t>
      </w:r>
      <w:r>
        <w:rPr>
          <w:rFonts w:ascii="宋体" w:hAnsi="宋体" w:hint="eastAsia"/>
          <w:color w:val="000000"/>
          <w:sz w:val="24"/>
        </w:rPr>
        <w:t>、基金财产清算的公告</w:t>
      </w:r>
    </w:p>
    <w:p w14:paraId="7A0EAE3D"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基金财产清算公告于基金合同终止并报中国证监会备案后</w:t>
      </w:r>
      <w:r>
        <w:rPr>
          <w:rFonts w:ascii="宋体" w:hAnsi="宋体"/>
          <w:color w:val="000000"/>
          <w:sz w:val="24"/>
        </w:rPr>
        <w:t>5</w:t>
      </w:r>
      <w:r>
        <w:rPr>
          <w:rFonts w:ascii="宋体" w:hAnsi="宋体" w:hint="eastAsia"/>
          <w:color w:val="000000"/>
          <w:sz w:val="24"/>
        </w:rPr>
        <w:t>个工作日内由基金清算小组公告；清算过程中的有关重大事项须及时公告；</w:t>
      </w:r>
      <w:r>
        <w:rPr>
          <w:rFonts w:ascii="宋体" w:hAnsi="宋体" w:cs="宋体" w:hint="eastAsia"/>
          <w:color w:val="000000"/>
          <w:kern w:val="0"/>
          <w:sz w:val="24"/>
        </w:rPr>
        <w:t>基金财产清算结果经会计师事务所审计，律师事务所出具法律意见书后，由基金财产清算小组报中国证监会备案并公告。</w:t>
      </w:r>
    </w:p>
    <w:p w14:paraId="203F4CCD" w14:textId="77777777" w:rsidR="00CF57A4" w:rsidRDefault="00B13D46">
      <w:pPr>
        <w:spacing w:line="360" w:lineRule="auto"/>
        <w:ind w:firstLineChars="200" w:firstLine="480"/>
        <w:rPr>
          <w:rFonts w:ascii="宋体" w:hAnsi="宋体"/>
          <w:color w:val="000000"/>
          <w:sz w:val="24"/>
        </w:rPr>
      </w:pPr>
      <w:r>
        <w:rPr>
          <w:rFonts w:ascii="宋体" w:hAnsi="宋体"/>
          <w:color w:val="000000"/>
          <w:sz w:val="24"/>
        </w:rPr>
        <w:t>6</w:t>
      </w:r>
      <w:r>
        <w:rPr>
          <w:rFonts w:ascii="宋体" w:hAnsi="宋体" w:hint="eastAsia"/>
          <w:color w:val="000000"/>
          <w:sz w:val="24"/>
        </w:rPr>
        <w:t>、基金财产清算账册及文件的保存</w:t>
      </w:r>
    </w:p>
    <w:p w14:paraId="37722B04"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基金财产清算账册及有关文件由基金托管人保存</w:t>
      </w:r>
      <w:r>
        <w:rPr>
          <w:rFonts w:ascii="宋体" w:hAnsi="宋体"/>
          <w:color w:val="000000"/>
          <w:sz w:val="24"/>
        </w:rPr>
        <w:t>15</w:t>
      </w:r>
      <w:r>
        <w:rPr>
          <w:rFonts w:ascii="宋体" w:hAnsi="宋体" w:hint="eastAsia"/>
          <w:color w:val="000000"/>
          <w:sz w:val="24"/>
        </w:rPr>
        <w:t>年以上。</w:t>
      </w:r>
    </w:p>
    <w:p w14:paraId="31E90A6D" w14:textId="77777777" w:rsidR="00CF57A4" w:rsidRDefault="00B13D46">
      <w:pPr>
        <w:pStyle w:val="af1"/>
        <w:rPr>
          <w:rFonts w:eastAsia="黑体"/>
          <w:color w:val="000000"/>
          <w:kern w:val="0"/>
          <w:sz w:val="30"/>
        </w:rPr>
      </w:pPr>
      <w:bookmarkStart w:id="180" w:name="_Toc109537398"/>
      <w:r>
        <w:rPr>
          <w:rFonts w:eastAsia="黑体"/>
          <w:color w:val="000000"/>
          <w:kern w:val="0"/>
          <w:sz w:val="30"/>
        </w:rPr>
        <w:br w:type="page"/>
      </w:r>
      <w:bookmarkStart w:id="181" w:name="_Toc320704012"/>
      <w:bookmarkStart w:id="182" w:name="_Toc320704085"/>
      <w:bookmarkStart w:id="183" w:name="_Toc320704372"/>
      <w:bookmarkStart w:id="184" w:name="_Toc322002736"/>
      <w:bookmarkStart w:id="185" w:name="_Toc322519887"/>
      <w:bookmarkStart w:id="186" w:name="_Toc320703961"/>
      <w:r>
        <w:rPr>
          <w:rFonts w:eastAsia="黑体" w:hint="eastAsia"/>
          <w:color w:val="000000"/>
          <w:kern w:val="0"/>
          <w:sz w:val="30"/>
        </w:rPr>
        <w:lastRenderedPageBreak/>
        <w:t>二十、基金合同内容摘要</w:t>
      </w:r>
      <w:bookmarkEnd w:id="180"/>
      <w:bookmarkEnd w:id="181"/>
      <w:bookmarkEnd w:id="182"/>
      <w:bookmarkEnd w:id="183"/>
      <w:bookmarkEnd w:id="184"/>
      <w:bookmarkEnd w:id="185"/>
      <w:bookmarkEnd w:id="186"/>
    </w:p>
    <w:p w14:paraId="5441C67F" w14:textId="77777777" w:rsidR="00CF57A4" w:rsidRDefault="00B13D46">
      <w:pPr>
        <w:widowControl/>
        <w:spacing w:line="360" w:lineRule="auto"/>
        <w:ind w:firstLineChars="200" w:firstLine="482"/>
        <w:outlineLvl w:val="1"/>
        <w:rPr>
          <w:rFonts w:ascii="宋体" w:hAnsi="宋体" w:cs="宋体"/>
          <w:b/>
          <w:color w:val="000000"/>
          <w:kern w:val="0"/>
          <w:sz w:val="24"/>
        </w:rPr>
      </w:pPr>
      <w:r>
        <w:rPr>
          <w:rFonts w:ascii="宋体" w:hAnsi="宋体" w:cs="宋体" w:hint="eastAsia"/>
          <w:b/>
          <w:color w:val="000000"/>
          <w:kern w:val="0"/>
          <w:sz w:val="24"/>
        </w:rPr>
        <w:t>（一）</w:t>
      </w:r>
      <w:r>
        <w:rPr>
          <w:rFonts w:ascii="宋体" w:hAnsi="宋体" w:cs="宋体"/>
          <w:b/>
          <w:color w:val="000000"/>
          <w:kern w:val="0"/>
          <w:sz w:val="24"/>
        </w:rPr>
        <w:t>基金合同当事人的权利与义务</w:t>
      </w:r>
    </w:p>
    <w:p w14:paraId="7A68DA3D" w14:textId="77777777" w:rsidR="00CF57A4" w:rsidRDefault="00B13D46">
      <w:pPr>
        <w:widowControl/>
        <w:spacing w:line="360" w:lineRule="auto"/>
        <w:ind w:firstLineChars="200" w:firstLine="480"/>
        <w:outlineLvl w:val="8"/>
        <w:rPr>
          <w:rFonts w:ascii="宋体" w:hAnsi="宋体" w:cs="宋体"/>
          <w:color w:val="000000"/>
          <w:kern w:val="0"/>
          <w:sz w:val="24"/>
        </w:rPr>
      </w:pPr>
      <w:r>
        <w:rPr>
          <w:rFonts w:ascii="宋体" w:hAnsi="宋体" w:cs="宋体"/>
          <w:color w:val="000000"/>
          <w:kern w:val="0"/>
          <w:sz w:val="24"/>
        </w:rPr>
        <w:t>1</w:t>
      </w:r>
      <w:r>
        <w:rPr>
          <w:rFonts w:ascii="宋体" w:hAnsi="宋体" w:cs="宋体" w:hint="eastAsia"/>
          <w:color w:val="000000"/>
          <w:kern w:val="0"/>
          <w:sz w:val="24"/>
        </w:rPr>
        <w:t>、</w:t>
      </w:r>
      <w:r>
        <w:rPr>
          <w:rFonts w:ascii="宋体" w:hAnsi="宋体" w:cs="宋体"/>
          <w:color w:val="000000"/>
          <w:kern w:val="0"/>
          <w:sz w:val="24"/>
        </w:rPr>
        <w:t>基金管理人的权利与义务</w:t>
      </w:r>
    </w:p>
    <w:p w14:paraId="238949C7" w14:textId="77777777" w:rsidR="00CF57A4" w:rsidRDefault="00B13D46">
      <w:pPr>
        <w:widowControl/>
        <w:spacing w:line="360" w:lineRule="auto"/>
        <w:ind w:firstLineChars="200" w:firstLine="480"/>
        <w:outlineLvl w:val="8"/>
        <w:rPr>
          <w:rFonts w:ascii="宋体" w:hAnsi="宋体" w:cs="宋体"/>
          <w:color w:val="000000"/>
          <w:kern w:val="0"/>
          <w:sz w:val="24"/>
        </w:rPr>
      </w:pPr>
      <w:r>
        <w:rPr>
          <w:rFonts w:ascii="宋体" w:hAnsi="宋体" w:cs="宋体" w:hint="eastAsia"/>
          <w:color w:val="000000"/>
          <w:kern w:val="0"/>
          <w:sz w:val="24"/>
        </w:rPr>
        <w:t>根据《基金法》及其他有关法律法规，基金管理人的权利为：</w:t>
      </w:r>
    </w:p>
    <w:p w14:paraId="64E01542"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1</w:t>
      </w:r>
      <w:r>
        <w:rPr>
          <w:rFonts w:ascii="宋体" w:hAnsi="宋体" w:hint="eastAsia"/>
          <w:color w:val="000000"/>
          <w:sz w:val="24"/>
        </w:rPr>
        <w:t>）自本基金合同生效之日起，依照有关法律法规和本基金合同的规定独立运用基金财产；</w:t>
      </w:r>
    </w:p>
    <w:p w14:paraId="039C6723"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2</w:t>
      </w:r>
      <w:r>
        <w:rPr>
          <w:rFonts w:ascii="宋体" w:hAnsi="宋体" w:hint="eastAsia"/>
          <w:color w:val="000000"/>
          <w:sz w:val="24"/>
        </w:rPr>
        <w:t>）依照本基金合同获得基金管理费以及法律法规规定或中国证监会批准的其他收入；</w:t>
      </w:r>
    </w:p>
    <w:p w14:paraId="222D5B3F"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3</w:t>
      </w:r>
      <w:r>
        <w:rPr>
          <w:rFonts w:ascii="宋体" w:hAnsi="宋体" w:hint="eastAsia"/>
          <w:color w:val="000000"/>
          <w:sz w:val="24"/>
        </w:rPr>
        <w:t>）根据法律法规和基金合同之规定销售基金份额；</w:t>
      </w:r>
    </w:p>
    <w:p w14:paraId="411235D6"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（4）根据法律法规和基金合同的规定制定基金收益分配方案；</w:t>
      </w:r>
    </w:p>
    <w:p w14:paraId="72A82430"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（5）依照有关规定为基金的利益行使因基金财产投资于证券所产生的权利；</w:t>
      </w:r>
    </w:p>
    <w:p w14:paraId="37813049"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（6）在符合有关法律法规、交易所及注册登记结构相关业务规则和本基金合同的前提下，决定基金的除调高托管费和管理费之外的费率结构和收费方式；</w:t>
      </w:r>
    </w:p>
    <w:p w14:paraId="72263B41"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7）根据本基金合同及有关规定监督基金托管人，对于基金托管人违反了本基金合同或有关法律法规规定的行为，对基金财产、其他基金当事人的利益造成重大损失的情形，应及时呈报中国证监会和中国银监会，并采取必要措施保护基金及相关基金当事人的利益；</w:t>
      </w:r>
    </w:p>
    <w:p w14:paraId="3FBC2B8B"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（8）在基金合同约定的范围内，拒绝或暂停受理申购、赎回申请；</w:t>
      </w:r>
    </w:p>
    <w:p w14:paraId="30DF41F3"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（9）自行担任基金注册登记机构或选择、更换注册登记机构，并对注册登记机构的代理行为进行必要的监督和检查；</w:t>
      </w:r>
    </w:p>
    <w:p w14:paraId="7FF1C191"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（10）选择、更换代销机构，并依据销售代理协议和有关法律法规，对其行为进行必要的监督和检查；</w:t>
      </w:r>
    </w:p>
    <w:p w14:paraId="789BE403"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（11）</w:t>
      </w:r>
      <w:r>
        <w:rPr>
          <w:rFonts w:ascii="宋体" w:hAnsi="宋体" w:hint="eastAsia"/>
          <w:color w:val="000000"/>
          <w:sz w:val="24"/>
          <w:szCs w:val="21"/>
        </w:rPr>
        <w:t>在</w:t>
      </w:r>
      <w:r>
        <w:rPr>
          <w:rFonts w:ascii="宋体" w:hAnsi="宋体" w:hint="eastAsia"/>
          <w:color w:val="000000"/>
          <w:sz w:val="24"/>
        </w:rPr>
        <w:t>基金托管</w:t>
      </w:r>
      <w:r>
        <w:rPr>
          <w:rFonts w:ascii="宋体" w:hAnsi="宋体" w:hint="eastAsia"/>
          <w:color w:val="000000"/>
          <w:sz w:val="24"/>
          <w:szCs w:val="21"/>
        </w:rPr>
        <w:t>人更换时，</w:t>
      </w:r>
      <w:r>
        <w:rPr>
          <w:rFonts w:ascii="宋体" w:hAnsi="宋体" w:hint="eastAsia"/>
          <w:color w:val="000000"/>
          <w:sz w:val="24"/>
        </w:rPr>
        <w:t>提名新的基金托管人；</w:t>
      </w:r>
    </w:p>
    <w:p w14:paraId="0F874F8A"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1</w:t>
      </w:r>
      <w:r>
        <w:rPr>
          <w:rFonts w:ascii="宋体" w:hAnsi="宋体" w:hint="eastAsia"/>
          <w:color w:val="000000"/>
          <w:sz w:val="24"/>
        </w:rPr>
        <w:t>2）依法召集基金份额持有人大会；</w:t>
      </w:r>
    </w:p>
    <w:p w14:paraId="55030BC4"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1</w:t>
      </w:r>
      <w:r>
        <w:rPr>
          <w:rFonts w:ascii="宋体" w:hAnsi="宋体" w:hint="eastAsia"/>
          <w:color w:val="000000"/>
          <w:sz w:val="24"/>
        </w:rPr>
        <w:t>3）以基金管理人名义代表基金份额持有人利益行使诉讼权利或者实施其他法律行为；</w:t>
      </w:r>
    </w:p>
    <w:p w14:paraId="70E7459A"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（14）选择、更换律师事务所、会计师事务所、证券经纪商或其他为基金提供服务的外部机构；</w:t>
      </w:r>
    </w:p>
    <w:p w14:paraId="73661842"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1</w:t>
      </w:r>
      <w:r>
        <w:rPr>
          <w:rFonts w:ascii="宋体" w:hAnsi="宋体" w:hint="eastAsia"/>
          <w:color w:val="000000"/>
          <w:sz w:val="24"/>
        </w:rPr>
        <w:t>5）根据国家有关规定，在法律法规允许的前提下，以基金的名义依法为基</w:t>
      </w:r>
      <w:r>
        <w:rPr>
          <w:rFonts w:ascii="宋体" w:hAnsi="宋体" w:hint="eastAsia"/>
          <w:color w:val="000000"/>
          <w:sz w:val="24"/>
        </w:rPr>
        <w:lastRenderedPageBreak/>
        <w:t>金融资、融券；</w:t>
      </w:r>
    </w:p>
    <w:p w14:paraId="2EBD8ACC"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1</w:t>
      </w:r>
      <w:r>
        <w:rPr>
          <w:rFonts w:ascii="宋体" w:hAnsi="宋体" w:hint="eastAsia"/>
          <w:color w:val="000000"/>
          <w:sz w:val="24"/>
        </w:rPr>
        <w:t>6）法律法规、基金合同以及依据基金合同制定的其它法律文件规定的其他权利。</w:t>
      </w:r>
    </w:p>
    <w:p w14:paraId="38828076" w14:textId="77777777" w:rsidR="00CF57A4" w:rsidRDefault="00B13D46">
      <w:pPr>
        <w:widowControl/>
        <w:spacing w:line="360" w:lineRule="auto"/>
        <w:ind w:firstLineChars="200" w:firstLine="480"/>
        <w:outlineLvl w:val="8"/>
        <w:rPr>
          <w:rFonts w:ascii="宋体" w:hAnsi="宋体" w:cs="宋体"/>
          <w:color w:val="000000"/>
          <w:kern w:val="0"/>
          <w:sz w:val="24"/>
        </w:rPr>
      </w:pPr>
      <w:r>
        <w:rPr>
          <w:rFonts w:ascii="宋体" w:hAnsi="宋体" w:cs="宋体" w:hint="eastAsia"/>
          <w:color w:val="000000"/>
          <w:kern w:val="0"/>
          <w:sz w:val="24"/>
        </w:rPr>
        <w:t>根据《基金法》及其他有关法律法规，基金管理人的义务为：</w:t>
      </w:r>
    </w:p>
    <w:p w14:paraId="01870C3B"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1</w:t>
      </w:r>
      <w:r>
        <w:rPr>
          <w:rFonts w:ascii="宋体" w:hAnsi="宋体" w:hint="eastAsia"/>
          <w:color w:val="000000"/>
          <w:sz w:val="24"/>
        </w:rPr>
        <w:t>）依法募集基金，办理或者委托经由中国证监会认定的其他机构代为办理基金份额的发售、申购、赎回和注册登记事宜；</w:t>
      </w:r>
    </w:p>
    <w:p w14:paraId="34ECF359"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2</w:t>
      </w:r>
      <w:r>
        <w:rPr>
          <w:rFonts w:ascii="宋体" w:hAnsi="宋体" w:hint="eastAsia"/>
          <w:color w:val="000000"/>
          <w:sz w:val="24"/>
        </w:rPr>
        <w:t>）办理基金备案手续；</w:t>
      </w:r>
    </w:p>
    <w:p w14:paraId="014074DB"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3</w:t>
      </w:r>
      <w:r>
        <w:rPr>
          <w:rFonts w:ascii="宋体" w:hAnsi="宋体" w:hint="eastAsia"/>
          <w:color w:val="000000"/>
          <w:sz w:val="24"/>
        </w:rPr>
        <w:t>）自基金合同生效之日起，以诚实信用、勤勉尽责的原则管理和运用基金财产；</w:t>
      </w:r>
    </w:p>
    <w:p w14:paraId="20CF942B"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4</w:t>
      </w:r>
      <w:r>
        <w:rPr>
          <w:rFonts w:ascii="宋体" w:hAnsi="宋体" w:hint="eastAsia"/>
          <w:color w:val="000000"/>
          <w:sz w:val="24"/>
        </w:rPr>
        <w:t>）配备足够的具有专业资格的人员进行基金投资分析、决策，以专业化的经营方式管理和运作基金财产；</w:t>
      </w:r>
    </w:p>
    <w:p w14:paraId="567403F5"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5</w:t>
      </w:r>
      <w:r>
        <w:rPr>
          <w:rFonts w:ascii="宋体" w:hAnsi="宋体" w:hint="eastAsia"/>
          <w:color w:val="000000"/>
          <w:sz w:val="24"/>
        </w:rPr>
        <w:t>）建立健全内部风险控制、监察与稽核、财务管理及人事管理等制度，保证所管理的基金财产和基金管理人的财产相互独立，对所管理的不同基金财产分别管理，分别记账，进行证券投资；</w:t>
      </w:r>
    </w:p>
    <w:p w14:paraId="3BC8C2E5"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6</w:t>
      </w:r>
      <w:r>
        <w:rPr>
          <w:rFonts w:ascii="宋体" w:hAnsi="宋体" w:hint="eastAsia"/>
          <w:color w:val="000000"/>
          <w:sz w:val="24"/>
        </w:rPr>
        <w:t>）除依据《基金法》、基金合同及其他有关规定外，不得为自己及任何第三人谋取利益，不得委托第三人运作基金财产；</w:t>
      </w:r>
    </w:p>
    <w:p w14:paraId="1FE98C75"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7</w:t>
      </w:r>
      <w:r>
        <w:rPr>
          <w:rFonts w:ascii="宋体" w:hAnsi="宋体" w:hint="eastAsia"/>
          <w:color w:val="000000"/>
          <w:sz w:val="24"/>
        </w:rPr>
        <w:t>）依法接受基金托管人的监督；</w:t>
      </w:r>
    </w:p>
    <w:p w14:paraId="5DBE1FFF"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8</w:t>
      </w:r>
      <w:r>
        <w:rPr>
          <w:rFonts w:ascii="宋体" w:hAnsi="宋体" w:hint="eastAsia"/>
          <w:color w:val="000000"/>
          <w:sz w:val="24"/>
        </w:rPr>
        <w:t>）计算并公告基金资产净值，确定基金份额申购赎回清单；</w:t>
      </w:r>
    </w:p>
    <w:p w14:paraId="61DE5C04"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9</w:t>
      </w:r>
      <w:r>
        <w:rPr>
          <w:rFonts w:ascii="宋体" w:hAnsi="宋体" w:hint="eastAsia"/>
          <w:color w:val="000000"/>
          <w:sz w:val="24"/>
        </w:rPr>
        <w:t>）采取适当合理的措施使计算基金份额认购价格以及申购、赎回对价的方法符合基金合同等法律文件的规定；</w:t>
      </w:r>
    </w:p>
    <w:p w14:paraId="2A7CF240"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10</w:t>
      </w:r>
      <w:r>
        <w:rPr>
          <w:rFonts w:ascii="宋体" w:hAnsi="宋体" w:hint="eastAsia"/>
          <w:color w:val="000000"/>
          <w:sz w:val="24"/>
        </w:rPr>
        <w:t>）按规定受理基金份额的申购和赎回申请，及时、足额支付申购的应付基金份额和现金及赎回之对价；</w:t>
      </w:r>
    </w:p>
    <w:p w14:paraId="16665134"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11</w:t>
      </w:r>
      <w:r>
        <w:rPr>
          <w:rFonts w:ascii="宋体" w:hAnsi="宋体" w:hint="eastAsia"/>
          <w:color w:val="000000"/>
          <w:sz w:val="24"/>
        </w:rPr>
        <w:t>）进行基金会计核算并编制基金财务会计报告；</w:t>
      </w:r>
    </w:p>
    <w:p w14:paraId="6E45E419"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12</w:t>
      </w:r>
      <w:r>
        <w:rPr>
          <w:rFonts w:ascii="宋体" w:hAnsi="宋体" w:hint="eastAsia"/>
          <w:color w:val="000000"/>
          <w:sz w:val="24"/>
        </w:rPr>
        <w:t>）编制季度、半年度和年度基金报告；</w:t>
      </w:r>
    </w:p>
    <w:p w14:paraId="0A4C735E"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13</w:t>
      </w:r>
      <w:r>
        <w:rPr>
          <w:rFonts w:ascii="宋体" w:hAnsi="宋体" w:hint="eastAsia"/>
          <w:color w:val="000000"/>
          <w:sz w:val="24"/>
        </w:rPr>
        <w:t>）严格按照《基金法》、基金合同及其他有关规定，履行信息披露及报告义务；</w:t>
      </w:r>
    </w:p>
    <w:p w14:paraId="31F2A05C"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14</w:t>
      </w:r>
      <w:r>
        <w:rPr>
          <w:rFonts w:ascii="宋体" w:hAnsi="宋体" w:hint="eastAsia"/>
          <w:color w:val="000000"/>
          <w:sz w:val="24"/>
        </w:rPr>
        <w:t>）保守基金商业秘密，不得泄露基金投资计划、投资意向等。除《基金法》、基金合同及其他有关规定另有规定外，在基金信息公开披露前应予保密，不得向他人泄露；</w:t>
      </w:r>
    </w:p>
    <w:p w14:paraId="43FEC0A3"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lastRenderedPageBreak/>
        <w:t>（</w:t>
      </w:r>
      <w:r>
        <w:rPr>
          <w:rFonts w:ascii="宋体" w:hAnsi="宋体"/>
          <w:color w:val="000000"/>
          <w:sz w:val="24"/>
        </w:rPr>
        <w:t>15</w:t>
      </w:r>
      <w:r>
        <w:rPr>
          <w:rFonts w:ascii="宋体" w:hAnsi="宋体" w:hint="eastAsia"/>
          <w:color w:val="000000"/>
          <w:sz w:val="24"/>
        </w:rPr>
        <w:t>）按照基金合同的约定确定基金收益分配方案，及时向基金份额持有人分配收益；</w:t>
      </w:r>
    </w:p>
    <w:p w14:paraId="1F31178A"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16</w:t>
      </w:r>
      <w:r>
        <w:rPr>
          <w:rFonts w:ascii="宋体" w:hAnsi="宋体" w:hint="eastAsia"/>
          <w:color w:val="000000"/>
          <w:sz w:val="24"/>
        </w:rPr>
        <w:t>）依据《基金法》、基金合同及其他有关规定召集基金份额持有人大会或配合基金托管人、基金份额持有人依法召集基金份额持有人大会；</w:t>
      </w:r>
    </w:p>
    <w:p w14:paraId="3960D94F"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17</w:t>
      </w:r>
      <w:r>
        <w:rPr>
          <w:rFonts w:ascii="宋体" w:hAnsi="宋体" w:hint="eastAsia"/>
          <w:color w:val="000000"/>
          <w:sz w:val="24"/>
        </w:rPr>
        <w:t>）保存基金财产管理业务活动的记录、账册、报表和其他相关资料；</w:t>
      </w:r>
    </w:p>
    <w:p w14:paraId="537D6CD0"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18</w:t>
      </w:r>
      <w:r>
        <w:rPr>
          <w:rFonts w:ascii="宋体" w:hAnsi="宋体" w:hint="eastAsia"/>
          <w:color w:val="000000"/>
          <w:sz w:val="24"/>
        </w:rPr>
        <w:t>）以基金管理人名义，代表基金份额持有人利益行使诉讼权利或者实施其他法律行为；</w:t>
      </w:r>
    </w:p>
    <w:p w14:paraId="0DC43B7C"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19</w:t>
      </w:r>
      <w:r>
        <w:rPr>
          <w:rFonts w:ascii="宋体" w:hAnsi="宋体" w:hint="eastAsia"/>
          <w:color w:val="000000"/>
          <w:sz w:val="24"/>
        </w:rPr>
        <w:t>）组织并参加基金财产清算小组，参与基金财产的保管、清理、估价、变现和分配；</w:t>
      </w:r>
    </w:p>
    <w:p w14:paraId="3C2AC84F"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20</w:t>
      </w:r>
      <w:r>
        <w:rPr>
          <w:rFonts w:ascii="宋体" w:hAnsi="宋体" w:hint="eastAsia"/>
          <w:color w:val="000000"/>
          <w:sz w:val="24"/>
        </w:rPr>
        <w:t>）因违反基金合同导致基金财产的损失或损害基金份额持有人合法权益，应当承担赔偿责任，其赔偿责任不因其退任而免除；</w:t>
      </w:r>
    </w:p>
    <w:p w14:paraId="50534462"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21</w:t>
      </w:r>
      <w:r>
        <w:rPr>
          <w:rFonts w:ascii="宋体" w:hAnsi="宋体" w:hint="eastAsia"/>
          <w:color w:val="000000"/>
          <w:sz w:val="24"/>
        </w:rPr>
        <w:t>）基金托管人违反基金合同造成基金财产损失时，应为基金份额持有人利益向基金托管人追偿；</w:t>
      </w:r>
    </w:p>
    <w:p w14:paraId="25733A98"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22</w:t>
      </w:r>
      <w:r>
        <w:rPr>
          <w:rFonts w:ascii="宋体" w:hAnsi="宋体" w:hint="eastAsia"/>
          <w:color w:val="000000"/>
          <w:sz w:val="24"/>
        </w:rPr>
        <w:t>）按规定向基金托管人提供基金份额持有人名册资料；</w:t>
      </w:r>
    </w:p>
    <w:p w14:paraId="509BAEA3"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23</w:t>
      </w:r>
      <w:r>
        <w:rPr>
          <w:rFonts w:ascii="宋体" w:hAnsi="宋体" w:hint="eastAsia"/>
          <w:color w:val="000000"/>
          <w:sz w:val="24"/>
        </w:rPr>
        <w:t>）建立并保存基金份额持有人名册；</w:t>
      </w:r>
    </w:p>
    <w:p w14:paraId="7F877FBF"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24</w:t>
      </w:r>
      <w:r>
        <w:rPr>
          <w:rFonts w:ascii="宋体" w:hAnsi="宋体" w:hint="eastAsia"/>
          <w:color w:val="000000"/>
          <w:sz w:val="24"/>
        </w:rPr>
        <w:t>）面临解散、依法被撤销或者被依法宣告破产时，及时报告中国证监会并通知基金托管人；</w:t>
      </w:r>
    </w:p>
    <w:p w14:paraId="0C3CCF1B"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25</w:t>
      </w:r>
      <w:r>
        <w:rPr>
          <w:rFonts w:ascii="宋体" w:hAnsi="宋体" w:hint="eastAsia"/>
          <w:color w:val="000000"/>
          <w:sz w:val="24"/>
        </w:rPr>
        <w:t>）执行生效的基金份额持有人大会的决定；</w:t>
      </w:r>
    </w:p>
    <w:p w14:paraId="13E1F715"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26</w:t>
      </w:r>
      <w:r>
        <w:rPr>
          <w:rFonts w:ascii="宋体" w:hAnsi="宋体" w:hint="eastAsia"/>
          <w:color w:val="000000"/>
          <w:sz w:val="24"/>
        </w:rPr>
        <w:t>）不从事任何有损基金及其他基金合同当事人合法权益的活动；</w:t>
      </w:r>
    </w:p>
    <w:p w14:paraId="5ED0A3EA"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27</w:t>
      </w:r>
      <w:r>
        <w:rPr>
          <w:rFonts w:ascii="宋体" w:hAnsi="宋体" w:hint="eastAsia"/>
          <w:color w:val="000000"/>
          <w:sz w:val="24"/>
        </w:rPr>
        <w:t>）依照法律法规为基金的利益对被投资公司行使股东权利，为基金的利益行使因基金财产投资于证券所产生的权利，不谋求对上市公司的控股和直接管理；</w:t>
      </w:r>
    </w:p>
    <w:p w14:paraId="052D2632"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28</w:t>
      </w:r>
      <w:r>
        <w:rPr>
          <w:rFonts w:ascii="宋体" w:hAnsi="宋体" w:hint="eastAsia"/>
          <w:color w:val="000000"/>
          <w:sz w:val="24"/>
        </w:rPr>
        <w:t>）法律法规、基金合同规定的以及中国证监会要求的其他义务。</w:t>
      </w:r>
    </w:p>
    <w:p w14:paraId="301F0C01" w14:textId="77777777" w:rsidR="00CF57A4" w:rsidRDefault="00B13D46">
      <w:pPr>
        <w:widowControl/>
        <w:spacing w:line="360" w:lineRule="auto"/>
        <w:ind w:firstLineChars="200" w:firstLine="480"/>
        <w:outlineLvl w:val="8"/>
        <w:rPr>
          <w:rFonts w:ascii="宋体" w:hAnsi="宋体" w:cs="宋体"/>
          <w:color w:val="000000"/>
          <w:kern w:val="0"/>
          <w:sz w:val="24"/>
        </w:rPr>
      </w:pPr>
      <w:r>
        <w:rPr>
          <w:rFonts w:ascii="宋体" w:hAnsi="宋体" w:cs="宋体"/>
          <w:color w:val="000000"/>
          <w:kern w:val="0"/>
          <w:sz w:val="24"/>
        </w:rPr>
        <w:t>2</w:t>
      </w:r>
      <w:r>
        <w:rPr>
          <w:rFonts w:ascii="宋体" w:hAnsi="宋体" w:cs="宋体" w:hint="eastAsia"/>
          <w:color w:val="000000"/>
          <w:kern w:val="0"/>
          <w:sz w:val="24"/>
        </w:rPr>
        <w:t>、</w:t>
      </w:r>
      <w:r>
        <w:rPr>
          <w:rFonts w:ascii="宋体" w:hAnsi="宋体" w:cs="宋体"/>
          <w:color w:val="000000"/>
          <w:kern w:val="0"/>
          <w:sz w:val="24"/>
        </w:rPr>
        <w:t xml:space="preserve">基金托管人的权利与义务 </w:t>
      </w:r>
    </w:p>
    <w:p w14:paraId="321C52EA" w14:textId="77777777" w:rsidR="00CF57A4" w:rsidRDefault="00B13D46">
      <w:pPr>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t>根据《基金法》及其他有关法律法规，基金托管人的权利为：</w:t>
      </w:r>
    </w:p>
    <w:p w14:paraId="03A5989A"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1</w:t>
      </w:r>
      <w:r>
        <w:rPr>
          <w:rFonts w:ascii="宋体" w:hAnsi="宋体" w:hint="eastAsia"/>
          <w:color w:val="000000"/>
          <w:sz w:val="24"/>
        </w:rPr>
        <w:t>）依照基金合同的约定获得基金托管费；</w:t>
      </w:r>
    </w:p>
    <w:p w14:paraId="02DC0B44"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2</w:t>
      </w:r>
      <w:r>
        <w:rPr>
          <w:rFonts w:ascii="宋体" w:hAnsi="宋体" w:hint="eastAsia"/>
          <w:color w:val="000000"/>
          <w:sz w:val="24"/>
        </w:rPr>
        <w:t>）监督基金管理人对本基金的投资运作；</w:t>
      </w:r>
    </w:p>
    <w:p w14:paraId="4EA8CF79"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3</w:t>
      </w:r>
      <w:r>
        <w:rPr>
          <w:rFonts w:ascii="宋体" w:hAnsi="宋体" w:hint="eastAsia"/>
          <w:color w:val="000000"/>
          <w:sz w:val="24"/>
        </w:rPr>
        <w:t>）自本基金合同生效之日起，依照法律法规和基金合同、托管协议的规定保管基金财产；</w:t>
      </w:r>
    </w:p>
    <w:p w14:paraId="3D2C2F66"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lastRenderedPageBreak/>
        <w:t>（</w:t>
      </w:r>
      <w:r>
        <w:rPr>
          <w:rFonts w:ascii="宋体" w:hAnsi="宋体"/>
          <w:color w:val="000000"/>
          <w:sz w:val="24"/>
        </w:rPr>
        <w:t>4</w:t>
      </w:r>
      <w:r>
        <w:rPr>
          <w:rFonts w:ascii="宋体" w:hAnsi="宋体" w:hint="eastAsia"/>
          <w:color w:val="000000"/>
          <w:sz w:val="24"/>
        </w:rPr>
        <w:t>）在基金管理人更换时，提名新任基金管理人；</w:t>
      </w:r>
    </w:p>
    <w:p w14:paraId="63232FBF"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5</w:t>
      </w:r>
      <w:r>
        <w:rPr>
          <w:rFonts w:ascii="宋体" w:hAnsi="宋体" w:hint="eastAsia"/>
          <w:color w:val="000000"/>
          <w:sz w:val="24"/>
        </w:rPr>
        <w:t>）根据本基金合同及有关规定监督基金管理人，对于基金管理人违反本基金合同或有关法律法规规定的行为，对基金财产、其他基金合同当事人的利益造成重大损失的情形，应及时呈报中国证监会，并采取必要措施保护基金及相关基金合同当事人的利益；</w:t>
      </w:r>
    </w:p>
    <w:p w14:paraId="57EBAE78"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6</w:t>
      </w:r>
      <w:r>
        <w:rPr>
          <w:rFonts w:ascii="宋体" w:hAnsi="宋体" w:hint="eastAsia"/>
          <w:color w:val="000000"/>
          <w:sz w:val="24"/>
        </w:rPr>
        <w:t>）依法提议召开或召集基金份额持有人大会；</w:t>
      </w:r>
    </w:p>
    <w:p w14:paraId="079103A5"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7</w:t>
      </w:r>
      <w:r>
        <w:rPr>
          <w:rFonts w:ascii="宋体" w:hAnsi="宋体" w:hint="eastAsia"/>
          <w:color w:val="000000"/>
          <w:sz w:val="24"/>
        </w:rPr>
        <w:t>）按规定取得基金份额持有人名册；</w:t>
      </w:r>
    </w:p>
    <w:p w14:paraId="61458072"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8</w:t>
      </w:r>
      <w:r>
        <w:rPr>
          <w:rFonts w:ascii="宋体" w:hAnsi="宋体" w:hint="eastAsia"/>
          <w:color w:val="000000"/>
          <w:sz w:val="24"/>
        </w:rPr>
        <w:t>）法律法规规定的其他权利。</w:t>
      </w:r>
    </w:p>
    <w:p w14:paraId="425D7566" w14:textId="77777777" w:rsidR="00CF57A4" w:rsidRDefault="00B13D46">
      <w:pPr>
        <w:widowControl/>
        <w:spacing w:line="360" w:lineRule="auto"/>
        <w:ind w:firstLineChars="200" w:firstLine="480"/>
        <w:outlineLvl w:val="8"/>
        <w:rPr>
          <w:rFonts w:ascii="宋体" w:hAnsi="宋体" w:cs="宋体"/>
          <w:color w:val="000000"/>
          <w:kern w:val="0"/>
          <w:sz w:val="24"/>
        </w:rPr>
      </w:pPr>
      <w:r>
        <w:rPr>
          <w:rFonts w:ascii="宋体" w:hAnsi="宋体" w:cs="宋体" w:hint="eastAsia"/>
          <w:color w:val="000000"/>
          <w:kern w:val="0"/>
          <w:sz w:val="24"/>
        </w:rPr>
        <w:t>根据《基金法》及其他有关法律法规，基金托管人的义务为：</w:t>
      </w:r>
    </w:p>
    <w:p w14:paraId="166D97AF"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1</w:t>
      </w:r>
      <w:r>
        <w:rPr>
          <w:rFonts w:ascii="宋体" w:hAnsi="宋体" w:hint="eastAsia"/>
          <w:color w:val="000000"/>
          <w:sz w:val="24"/>
        </w:rPr>
        <w:t>）以诚实信用、勤勉尽责的原则持有并安全保管基金财产；</w:t>
      </w:r>
    </w:p>
    <w:p w14:paraId="0560CEF2"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2</w:t>
      </w:r>
      <w:r>
        <w:rPr>
          <w:rFonts w:ascii="宋体" w:hAnsi="宋体" w:hint="eastAsia"/>
          <w:color w:val="000000"/>
          <w:sz w:val="24"/>
        </w:rPr>
        <w:t>）设立专门的基金托管部，具有符合要求的营业场所，配备足够的、合格的熟悉基金托管业务的专职人员，负责基金财产托管事宜；</w:t>
      </w:r>
    </w:p>
    <w:p w14:paraId="6DEFE07E"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3</w:t>
      </w:r>
      <w:r>
        <w:rPr>
          <w:rFonts w:ascii="宋体" w:hAnsi="宋体" w:hint="eastAsia"/>
          <w:color w:val="000000"/>
          <w:sz w:val="24"/>
        </w:rPr>
        <w:t>）建立健全内部风险控制、监察与稽核、财务管理及人事管理等制度，确保基金财产的安全，保证其托管的基金财产与基金托管人自有财产以及不同的基金财产相互独立；对所托管的不同基金财产分别设置账户，独立核算，分账管理，保证不同基金之间在名册登记、账户设置、资金划拨、账册记录等方面相互独立；</w:t>
      </w:r>
    </w:p>
    <w:p w14:paraId="26844606"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4</w:t>
      </w:r>
      <w:r>
        <w:rPr>
          <w:rFonts w:ascii="宋体" w:hAnsi="宋体" w:hint="eastAsia"/>
          <w:color w:val="000000"/>
          <w:sz w:val="24"/>
        </w:rPr>
        <w:t>）除依据《基金法》、基金合同及其他有关规定外，不得为自己及任何第三人谋取利益，不得委托第三人托管基金财产；</w:t>
      </w:r>
    </w:p>
    <w:p w14:paraId="3B7F1E96"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5</w:t>
      </w:r>
      <w:r>
        <w:rPr>
          <w:rFonts w:ascii="宋体" w:hAnsi="宋体" w:hint="eastAsia"/>
          <w:color w:val="000000"/>
          <w:sz w:val="24"/>
        </w:rPr>
        <w:t>）保管由基金管理人代表基金签订的与基金有关的重大合同及有关凭证；</w:t>
      </w:r>
    </w:p>
    <w:p w14:paraId="16C52222"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6</w:t>
      </w:r>
      <w:r>
        <w:rPr>
          <w:rFonts w:ascii="宋体" w:hAnsi="宋体" w:hint="eastAsia"/>
          <w:color w:val="000000"/>
          <w:sz w:val="24"/>
        </w:rPr>
        <w:t>）按规定开设基金财产的资金账户和证券账户；</w:t>
      </w:r>
    </w:p>
    <w:p w14:paraId="23BB2A53"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7</w:t>
      </w:r>
      <w:r>
        <w:rPr>
          <w:rFonts w:ascii="宋体" w:hAnsi="宋体" w:hint="eastAsia"/>
          <w:color w:val="000000"/>
          <w:sz w:val="24"/>
        </w:rPr>
        <w:t>）保守基金商业秘密。除《基金法》、基金合同及其他有关规定另有规定外，在基金信息公开披露前应予保密，不得向他人泄露；</w:t>
      </w:r>
    </w:p>
    <w:p w14:paraId="5E537FED"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8</w:t>
      </w:r>
      <w:r>
        <w:rPr>
          <w:rFonts w:ascii="宋体" w:hAnsi="宋体" w:hint="eastAsia"/>
          <w:color w:val="000000"/>
          <w:sz w:val="24"/>
        </w:rPr>
        <w:t>）对基金财务会计报告、</w:t>
      </w:r>
      <w:r>
        <w:rPr>
          <w:rFonts w:hAnsi="宋体" w:hint="eastAsia"/>
          <w:color w:val="000000"/>
          <w:sz w:val="24"/>
        </w:rPr>
        <w:t>季度、半年度和</w:t>
      </w:r>
      <w:r>
        <w:rPr>
          <w:rFonts w:ascii="宋体" w:hAnsi="宋体" w:hint="eastAsia"/>
          <w:color w:val="000000"/>
          <w:sz w:val="24"/>
        </w:rPr>
        <w:t>年度基金报告出具意见，说明基金管理人在各重要方面的运作是否严格按照基金合同的规定进行；如果基金管理人有未执行基金合同规定的行为，还应当说明基金托管人是否采取了适当的措施；</w:t>
      </w:r>
    </w:p>
    <w:p w14:paraId="445F95C4"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9</w:t>
      </w:r>
      <w:r>
        <w:rPr>
          <w:rFonts w:ascii="宋体" w:hAnsi="宋体" w:hint="eastAsia"/>
          <w:color w:val="000000"/>
          <w:sz w:val="24"/>
        </w:rPr>
        <w:t>）保存基金托管业务活动的记录、账册、报表和其他相关资料不少于</w:t>
      </w:r>
      <w:r>
        <w:rPr>
          <w:rFonts w:ascii="宋体" w:hAnsi="宋体"/>
          <w:color w:val="000000"/>
          <w:sz w:val="24"/>
        </w:rPr>
        <w:t>15</w:t>
      </w:r>
      <w:r>
        <w:rPr>
          <w:rFonts w:ascii="宋体" w:hAnsi="宋体" w:hint="eastAsia"/>
          <w:color w:val="000000"/>
          <w:sz w:val="24"/>
        </w:rPr>
        <w:t>年；</w:t>
      </w:r>
    </w:p>
    <w:p w14:paraId="220164E9"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10</w:t>
      </w:r>
      <w:r>
        <w:rPr>
          <w:rFonts w:ascii="宋体" w:hAnsi="宋体" w:hint="eastAsia"/>
          <w:color w:val="000000"/>
          <w:sz w:val="24"/>
        </w:rPr>
        <w:t>）按照基金合同的约定，根据基金管理人的投资指令，及时办理清算、交割事宜；</w:t>
      </w:r>
    </w:p>
    <w:p w14:paraId="2A88F6EB"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11</w:t>
      </w:r>
      <w:r>
        <w:rPr>
          <w:rFonts w:ascii="宋体" w:hAnsi="宋体" w:hint="eastAsia"/>
          <w:color w:val="000000"/>
          <w:sz w:val="24"/>
        </w:rPr>
        <w:t>）办理与基金托管业务活动有关的信息披露事项；</w:t>
      </w:r>
    </w:p>
    <w:p w14:paraId="637558A8"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lastRenderedPageBreak/>
        <w:t>（</w:t>
      </w:r>
      <w:r>
        <w:rPr>
          <w:rFonts w:ascii="宋体" w:hAnsi="宋体"/>
          <w:color w:val="000000"/>
          <w:sz w:val="24"/>
        </w:rPr>
        <w:t>12</w:t>
      </w:r>
      <w:r>
        <w:rPr>
          <w:rFonts w:ascii="宋体" w:hAnsi="宋体" w:hint="eastAsia"/>
          <w:color w:val="000000"/>
          <w:sz w:val="24"/>
        </w:rPr>
        <w:t>）复核、审查基金管理人计算的基金资产净值和基金份额申购、赎回对价；</w:t>
      </w:r>
    </w:p>
    <w:p w14:paraId="27D70338"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13</w:t>
      </w:r>
      <w:r>
        <w:rPr>
          <w:rFonts w:ascii="宋体" w:hAnsi="宋体" w:hint="eastAsia"/>
          <w:color w:val="000000"/>
          <w:sz w:val="24"/>
        </w:rPr>
        <w:t>）按照规定监督基金管理人的投资运作；</w:t>
      </w:r>
    </w:p>
    <w:p w14:paraId="7EA33B2E"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14</w:t>
      </w:r>
      <w:r>
        <w:rPr>
          <w:rFonts w:ascii="宋体" w:hAnsi="宋体" w:hint="eastAsia"/>
          <w:color w:val="000000"/>
          <w:sz w:val="24"/>
        </w:rPr>
        <w:t>）按规定制作相关账册并与基金管理人核对；</w:t>
      </w:r>
    </w:p>
    <w:p w14:paraId="57224A9F"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15</w:t>
      </w:r>
      <w:r>
        <w:rPr>
          <w:rFonts w:ascii="宋体" w:hAnsi="宋体" w:hint="eastAsia"/>
          <w:color w:val="000000"/>
          <w:sz w:val="24"/>
        </w:rPr>
        <w:t>）依据基金管理人的指令或有关规定向基金份额持有人支付基金收益和交付赎回对价；</w:t>
      </w:r>
    </w:p>
    <w:p w14:paraId="599599CA"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16</w:t>
      </w:r>
      <w:r>
        <w:rPr>
          <w:rFonts w:ascii="宋体" w:hAnsi="宋体" w:hint="eastAsia"/>
          <w:color w:val="000000"/>
          <w:sz w:val="24"/>
        </w:rPr>
        <w:t>）按照规定召集基金份额持有人大会或配合基金管理人、基金份额持有人依法自行召集基金份额持有人大会；</w:t>
      </w:r>
    </w:p>
    <w:p w14:paraId="5B39C707"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17</w:t>
      </w:r>
      <w:r>
        <w:rPr>
          <w:rFonts w:ascii="宋体" w:hAnsi="宋体" w:hint="eastAsia"/>
          <w:color w:val="000000"/>
          <w:sz w:val="24"/>
        </w:rPr>
        <w:t>）因违反基金合同导致基金财产损失，应承担赔偿责任，其赔偿责任不因其退任而免除；</w:t>
      </w:r>
    </w:p>
    <w:p w14:paraId="52953FEB"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18</w:t>
      </w:r>
      <w:r>
        <w:rPr>
          <w:rFonts w:ascii="宋体" w:hAnsi="宋体" w:hint="eastAsia"/>
          <w:color w:val="000000"/>
          <w:sz w:val="24"/>
        </w:rPr>
        <w:t>）按规定监督基金管理人按照法律法规规定和基金合同履行其义务，基金管理人因违反基金合同造成基金财产损失时，应为基金向基金管理人追偿；</w:t>
      </w:r>
    </w:p>
    <w:p w14:paraId="42C1F52F"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19</w:t>
      </w:r>
      <w:r>
        <w:rPr>
          <w:rFonts w:ascii="宋体" w:hAnsi="宋体" w:hint="eastAsia"/>
          <w:color w:val="000000"/>
          <w:sz w:val="24"/>
        </w:rPr>
        <w:t>）根据本基金合同和托管协议规定建立并保存基金份额持有人名册；</w:t>
      </w:r>
    </w:p>
    <w:p w14:paraId="25E7EB9C"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20</w:t>
      </w:r>
      <w:r>
        <w:rPr>
          <w:rFonts w:ascii="宋体" w:hAnsi="宋体" w:hint="eastAsia"/>
          <w:color w:val="000000"/>
          <w:sz w:val="24"/>
        </w:rPr>
        <w:t>）参加基金财产清算组，参与基金财产的保管、清理、估价、变现和分配；</w:t>
      </w:r>
    </w:p>
    <w:p w14:paraId="4D4689DA"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21</w:t>
      </w:r>
      <w:r>
        <w:rPr>
          <w:rFonts w:ascii="宋体" w:hAnsi="宋体" w:hint="eastAsia"/>
          <w:color w:val="000000"/>
          <w:sz w:val="24"/>
        </w:rPr>
        <w:t>）面临解散、依法被撤销、破产或者由接管人接管其资产时，及时报告中国证监会和中国银监会，并通知基金管理人；</w:t>
      </w:r>
    </w:p>
    <w:p w14:paraId="2623434B"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22</w:t>
      </w:r>
      <w:r>
        <w:rPr>
          <w:rFonts w:ascii="宋体" w:hAnsi="宋体" w:hint="eastAsia"/>
          <w:color w:val="000000"/>
          <w:sz w:val="24"/>
        </w:rPr>
        <w:t>）执行生效的基金份额持有人大会的决定；</w:t>
      </w:r>
    </w:p>
    <w:p w14:paraId="31D95895"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23</w:t>
      </w:r>
      <w:r>
        <w:rPr>
          <w:rFonts w:ascii="宋体" w:hAnsi="宋体" w:hint="eastAsia"/>
          <w:color w:val="000000"/>
          <w:sz w:val="24"/>
        </w:rPr>
        <w:t>）法律法规、基金合同规定的以及中国证监会要求的其他义务。</w:t>
      </w:r>
    </w:p>
    <w:p w14:paraId="7A2818C7" w14:textId="77777777" w:rsidR="00CF57A4" w:rsidRDefault="00B13D46">
      <w:pPr>
        <w:widowControl/>
        <w:spacing w:line="360" w:lineRule="auto"/>
        <w:ind w:firstLineChars="200" w:firstLine="480"/>
        <w:outlineLvl w:val="8"/>
        <w:rPr>
          <w:rFonts w:ascii="宋体" w:hAnsi="宋体" w:cs="宋体"/>
          <w:color w:val="000000"/>
          <w:kern w:val="0"/>
          <w:sz w:val="24"/>
        </w:rPr>
      </w:pPr>
      <w:r>
        <w:rPr>
          <w:rFonts w:ascii="宋体" w:hAnsi="宋体" w:cs="宋体"/>
          <w:color w:val="000000"/>
          <w:kern w:val="0"/>
          <w:sz w:val="24"/>
        </w:rPr>
        <w:t>3</w:t>
      </w:r>
      <w:r>
        <w:rPr>
          <w:rFonts w:ascii="宋体" w:hAnsi="宋体" w:cs="宋体" w:hint="eastAsia"/>
          <w:color w:val="000000"/>
          <w:kern w:val="0"/>
          <w:sz w:val="24"/>
        </w:rPr>
        <w:t>、</w:t>
      </w:r>
      <w:r>
        <w:rPr>
          <w:rFonts w:ascii="宋体" w:hAnsi="宋体" w:cs="宋体"/>
          <w:color w:val="000000"/>
          <w:kern w:val="0"/>
          <w:sz w:val="24"/>
        </w:rPr>
        <w:t xml:space="preserve">基金份额持有人的权利与义务 </w:t>
      </w:r>
    </w:p>
    <w:p w14:paraId="6F4B8386"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投资者自依招募说明书、基金合同取得基金份额即成为基金份额持有人和基金合同当事人，直</w:t>
      </w:r>
      <w:r>
        <w:rPr>
          <w:rFonts w:ascii="宋体" w:hAnsi="宋体" w:hint="eastAsia"/>
          <w:color w:val="000000"/>
          <w:sz w:val="24"/>
          <w:szCs w:val="21"/>
        </w:rPr>
        <w:t>至其不再持有本基金的基金份额，</w:t>
      </w:r>
      <w:r>
        <w:rPr>
          <w:rFonts w:ascii="宋体" w:hAnsi="宋体" w:hint="eastAsia"/>
          <w:color w:val="000000"/>
          <w:sz w:val="24"/>
        </w:rPr>
        <w:t>其持有基金份额的行为本身即表明其对基金合同的完全承认和接受。基金份额持有人作为基金合同当事人并不以在基金合同上书面签章或签字为必要条件。</w:t>
      </w:r>
    </w:p>
    <w:p w14:paraId="3F01A7FC" w14:textId="77777777" w:rsidR="00CF57A4" w:rsidRDefault="00B13D46">
      <w:pPr>
        <w:widowControl/>
        <w:spacing w:line="360" w:lineRule="auto"/>
        <w:ind w:firstLineChars="200" w:firstLine="480"/>
        <w:outlineLvl w:val="8"/>
        <w:rPr>
          <w:rFonts w:ascii="宋体" w:hAnsi="宋体"/>
          <w:color w:val="000000"/>
          <w:sz w:val="24"/>
        </w:rPr>
      </w:pPr>
      <w:r>
        <w:rPr>
          <w:rFonts w:ascii="宋体" w:hAnsi="宋体" w:hint="eastAsia"/>
          <w:color w:val="000000"/>
          <w:sz w:val="24"/>
        </w:rPr>
        <w:t>每份基金份额具有同等的合法权益。</w:t>
      </w:r>
    </w:p>
    <w:p w14:paraId="3D965593" w14:textId="77777777" w:rsidR="00CF57A4" w:rsidRDefault="00B13D46">
      <w:pPr>
        <w:widowControl/>
        <w:spacing w:line="360" w:lineRule="auto"/>
        <w:ind w:firstLineChars="200" w:firstLine="480"/>
        <w:outlineLvl w:val="8"/>
        <w:rPr>
          <w:rFonts w:ascii="宋体" w:hAnsi="宋体" w:cs="宋体"/>
          <w:color w:val="000000"/>
          <w:kern w:val="0"/>
          <w:sz w:val="24"/>
        </w:rPr>
      </w:pPr>
      <w:r>
        <w:rPr>
          <w:rFonts w:ascii="宋体" w:hAnsi="宋体" w:cs="宋体" w:hint="eastAsia"/>
          <w:color w:val="000000"/>
          <w:kern w:val="0"/>
          <w:sz w:val="24"/>
        </w:rPr>
        <w:t>根据《基金法》</w:t>
      </w:r>
      <w:r>
        <w:rPr>
          <w:rFonts w:ascii="宋体" w:hAnsi="宋体" w:hint="eastAsia"/>
          <w:color w:val="000000"/>
          <w:sz w:val="24"/>
          <w:szCs w:val="18"/>
        </w:rPr>
        <w:t>、《运作办法》</w:t>
      </w:r>
      <w:r>
        <w:rPr>
          <w:rFonts w:ascii="宋体" w:hAnsi="宋体" w:cs="宋体" w:hint="eastAsia"/>
          <w:color w:val="000000"/>
          <w:kern w:val="0"/>
          <w:sz w:val="24"/>
        </w:rPr>
        <w:t>及其他有关法律法规，基金份额持有人的权利</w:t>
      </w:r>
      <w:r>
        <w:rPr>
          <w:rFonts w:ascii="宋体" w:hAnsi="宋体" w:hint="eastAsia"/>
          <w:color w:val="000000"/>
          <w:sz w:val="24"/>
          <w:szCs w:val="18"/>
        </w:rPr>
        <w:t>包括但不限于</w:t>
      </w:r>
      <w:r>
        <w:rPr>
          <w:rFonts w:ascii="宋体" w:hAnsi="宋体" w:cs="宋体" w:hint="eastAsia"/>
          <w:color w:val="000000"/>
          <w:kern w:val="0"/>
          <w:sz w:val="24"/>
        </w:rPr>
        <w:t>：</w:t>
      </w:r>
    </w:p>
    <w:p w14:paraId="4B5DB8E0" w14:textId="77777777" w:rsidR="00CF57A4" w:rsidRDefault="00B13D46">
      <w:pPr>
        <w:spacing w:line="360" w:lineRule="auto"/>
        <w:ind w:firstLineChars="200" w:firstLine="480"/>
        <w:rPr>
          <w:rFonts w:ascii="宋体" w:hAnsi="宋体"/>
          <w:color w:val="000000"/>
          <w:sz w:val="24"/>
          <w:szCs w:val="18"/>
        </w:rPr>
      </w:pPr>
      <w:r>
        <w:rPr>
          <w:rFonts w:ascii="宋体" w:hAnsi="宋体" w:hint="eastAsia"/>
          <w:color w:val="000000"/>
          <w:sz w:val="24"/>
          <w:szCs w:val="18"/>
        </w:rPr>
        <w:t>（</w:t>
      </w:r>
      <w:r>
        <w:rPr>
          <w:rFonts w:ascii="宋体" w:hAnsi="宋体"/>
          <w:color w:val="000000"/>
          <w:sz w:val="24"/>
          <w:szCs w:val="18"/>
        </w:rPr>
        <w:t>1</w:t>
      </w:r>
      <w:r>
        <w:rPr>
          <w:rFonts w:ascii="宋体" w:hAnsi="宋体" w:hint="eastAsia"/>
          <w:color w:val="000000"/>
          <w:sz w:val="24"/>
          <w:szCs w:val="18"/>
        </w:rPr>
        <w:t>）分享基金财产收益；</w:t>
      </w:r>
    </w:p>
    <w:p w14:paraId="658A465C" w14:textId="77777777" w:rsidR="00CF57A4" w:rsidRDefault="00B13D46">
      <w:pPr>
        <w:spacing w:line="360" w:lineRule="auto"/>
        <w:ind w:firstLineChars="200" w:firstLine="480"/>
        <w:rPr>
          <w:rFonts w:ascii="宋体" w:hAnsi="宋体"/>
          <w:color w:val="000000"/>
          <w:sz w:val="24"/>
          <w:szCs w:val="18"/>
        </w:rPr>
      </w:pPr>
      <w:r>
        <w:rPr>
          <w:rFonts w:ascii="宋体" w:hAnsi="宋体" w:hint="eastAsia"/>
          <w:color w:val="000000"/>
          <w:sz w:val="24"/>
          <w:szCs w:val="18"/>
        </w:rPr>
        <w:t>（</w:t>
      </w:r>
      <w:r>
        <w:rPr>
          <w:rFonts w:ascii="宋体" w:hAnsi="宋体"/>
          <w:color w:val="000000"/>
          <w:sz w:val="24"/>
          <w:szCs w:val="18"/>
        </w:rPr>
        <w:t>2</w:t>
      </w:r>
      <w:r>
        <w:rPr>
          <w:rFonts w:ascii="宋体" w:hAnsi="宋体" w:hint="eastAsia"/>
          <w:color w:val="000000"/>
          <w:sz w:val="24"/>
          <w:szCs w:val="18"/>
        </w:rPr>
        <w:t>）参与分配清算后的剩余基金财产；</w:t>
      </w:r>
    </w:p>
    <w:p w14:paraId="04BA2139" w14:textId="77777777" w:rsidR="00CF57A4" w:rsidRDefault="00B13D46">
      <w:pPr>
        <w:spacing w:line="360" w:lineRule="auto"/>
        <w:ind w:firstLineChars="200" w:firstLine="480"/>
        <w:rPr>
          <w:rFonts w:ascii="宋体" w:hAnsi="宋体"/>
          <w:color w:val="000000"/>
          <w:sz w:val="24"/>
          <w:szCs w:val="18"/>
        </w:rPr>
      </w:pPr>
      <w:r>
        <w:rPr>
          <w:rFonts w:ascii="宋体" w:hAnsi="宋体" w:hint="eastAsia"/>
          <w:color w:val="000000"/>
          <w:sz w:val="24"/>
          <w:szCs w:val="18"/>
        </w:rPr>
        <w:t>（</w:t>
      </w:r>
      <w:r>
        <w:rPr>
          <w:rFonts w:ascii="宋体" w:hAnsi="宋体"/>
          <w:color w:val="000000"/>
          <w:sz w:val="24"/>
          <w:szCs w:val="18"/>
        </w:rPr>
        <w:t>3</w:t>
      </w:r>
      <w:r>
        <w:rPr>
          <w:rFonts w:ascii="宋体" w:hAnsi="宋体" w:hint="eastAsia"/>
          <w:color w:val="000000"/>
          <w:sz w:val="24"/>
          <w:szCs w:val="18"/>
        </w:rPr>
        <w:t>）依法转让或者申请赎回其持有的基金份额；</w:t>
      </w:r>
    </w:p>
    <w:p w14:paraId="73994D76" w14:textId="77777777" w:rsidR="00CF57A4" w:rsidRDefault="00B13D46">
      <w:pPr>
        <w:spacing w:line="360" w:lineRule="auto"/>
        <w:ind w:firstLineChars="200" w:firstLine="480"/>
        <w:rPr>
          <w:rFonts w:ascii="宋体" w:hAnsi="宋体"/>
          <w:color w:val="000000"/>
          <w:sz w:val="24"/>
          <w:szCs w:val="18"/>
        </w:rPr>
      </w:pPr>
      <w:r>
        <w:rPr>
          <w:rFonts w:ascii="宋体" w:hAnsi="宋体" w:hint="eastAsia"/>
          <w:color w:val="000000"/>
          <w:sz w:val="24"/>
          <w:szCs w:val="18"/>
        </w:rPr>
        <w:lastRenderedPageBreak/>
        <w:t>（</w:t>
      </w:r>
      <w:r>
        <w:rPr>
          <w:rFonts w:ascii="宋体" w:hAnsi="宋体"/>
          <w:color w:val="000000"/>
          <w:sz w:val="24"/>
          <w:szCs w:val="18"/>
        </w:rPr>
        <w:t>4</w:t>
      </w:r>
      <w:r>
        <w:rPr>
          <w:rFonts w:ascii="宋体" w:hAnsi="宋体" w:hint="eastAsia"/>
          <w:color w:val="000000"/>
          <w:sz w:val="24"/>
          <w:szCs w:val="18"/>
        </w:rPr>
        <w:t>）按照规定要求召开基金份额持有人大会；</w:t>
      </w:r>
    </w:p>
    <w:p w14:paraId="5B3DAC30" w14:textId="77777777" w:rsidR="00CF57A4" w:rsidRDefault="00B13D46">
      <w:pPr>
        <w:spacing w:line="360" w:lineRule="auto"/>
        <w:ind w:firstLineChars="200" w:firstLine="480"/>
        <w:rPr>
          <w:rFonts w:ascii="宋体" w:hAnsi="宋体"/>
          <w:color w:val="000000"/>
          <w:sz w:val="24"/>
          <w:szCs w:val="18"/>
        </w:rPr>
      </w:pPr>
      <w:r>
        <w:rPr>
          <w:rFonts w:ascii="宋体" w:hAnsi="宋体" w:hint="eastAsia"/>
          <w:color w:val="000000"/>
          <w:sz w:val="24"/>
          <w:szCs w:val="18"/>
        </w:rPr>
        <w:t>（</w:t>
      </w:r>
      <w:r>
        <w:rPr>
          <w:rFonts w:ascii="宋体" w:hAnsi="宋体"/>
          <w:color w:val="000000"/>
          <w:sz w:val="24"/>
          <w:szCs w:val="18"/>
        </w:rPr>
        <w:t>5</w:t>
      </w:r>
      <w:r>
        <w:rPr>
          <w:rFonts w:ascii="宋体" w:hAnsi="宋体" w:hint="eastAsia"/>
          <w:color w:val="000000"/>
          <w:sz w:val="24"/>
          <w:szCs w:val="18"/>
        </w:rPr>
        <w:t>）出席或者委派代表出席基金份额持有人大会，对基金份额持有人大会审议事项行使表决权；</w:t>
      </w:r>
    </w:p>
    <w:p w14:paraId="6803A53F" w14:textId="77777777" w:rsidR="00CF57A4" w:rsidRDefault="00B13D46">
      <w:pPr>
        <w:spacing w:line="360" w:lineRule="auto"/>
        <w:ind w:firstLineChars="200" w:firstLine="480"/>
        <w:rPr>
          <w:rFonts w:ascii="宋体" w:hAnsi="宋体"/>
          <w:color w:val="000000"/>
          <w:sz w:val="24"/>
          <w:szCs w:val="18"/>
        </w:rPr>
      </w:pPr>
      <w:r>
        <w:rPr>
          <w:rFonts w:ascii="宋体" w:hAnsi="宋体" w:hint="eastAsia"/>
          <w:color w:val="000000"/>
          <w:sz w:val="24"/>
          <w:szCs w:val="18"/>
        </w:rPr>
        <w:t>（</w:t>
      </w:r>
      <w:r>
        <w:rPr>
          <w:rFonts w:ascii="宋体" w:hAnsi="宋体"/>
          <w:color w:val="000000"/>
          <w:sz w:val="24"/>
          <w:szCs w:val="18"/>
        </w:rPr>
        <w:t>6</w:t>
      </w:r>
      <w:r>
        <w:rPr>
          <w:rFonts w:ascii="宋体" w:hAnsi="宋体" w:hint="eastAsia"/>
          <w:color w:val="000000"/>
          <w:sz w:val="24"/>
          <w:szCs w:val="18"/>
        </w:rPr>
        <w:t>）查阅或者复制公开披露的基金信息资料；</w:t>
      </w:r>
    </w:p>
    <w:p w14:paraId="6EE74CBB" w14:textId="77777777" w:rsidR="00CF57A4" w:rsidRDefault="00B13D46">
      <w:pPr>
        <w:spacing w:line="360" w:lineRule="auto"/>
        <w:ind w:firstLineChars="200" w:firstLine="480"/>
        <w:rPr>
          <w:rFonts w:ascii="宋体" w:hAnsi="宋体"/>
          <w:color w:val="000000"/>
          <w:sz w:val="24"/>
          <w:szCs w:val="18"/>
        </w:rPr>
      </w:pPr>
      <w:r>
        <w:rPr>
          <w:rFonts w:ascii="宋体" w:hAnsi="宋体" w:hint="eastAsia"/>
          <w:color w:val="000000"/>
          <w:sz w:val="24"/>
          <w:szCs w:val="18"/>
        </w:rPr>
        <w:t>（</w:t>
      </w:r>
      <w:r>
        <w:rPr>
          <w:rFonts w:ascii="宋体" w:hAnsi="宋体"/>
          <w:color w:val="000000"/>
          <w:sz w:val="24"/>
          <w:szCs w:val="18"/>
        </w:rPr>
        <w:t>7</w:t>
      </w:r>
      <w:r>
        <w:rPr>
          <w:rFonts w:ascii="宋体" w:hAnsi="宋体" w:hint="eastAsia"/>
          <w:color w:val="000000"/>
          <w:sz w:val="24"/>
          <w:szCs w:val="18"/>
        </w:rPr>
        <w:t>）监督基金管理人的投资运作；</w:t>
      </w:r>
    </w:p>
    <w:p w14:paraId="3A77A2E3" w14:textId="77777777" w:rsidR="00CF57A4" w:rsidRDefault="00B13D46">
      <w:pPr>
        <w:spacing w:line="360" w:lineRule="auto"/>
        <w:ind w:firstLineChars="200" w:firstLine="480"/>
        <w:rPr>
          <w:rFonts w:ascii="宋体" w:hAnsi="宋体"/>
          <w:color w:val="000000"/>
          <w:sz w:val="24"/>
          <w:szCs w:val="18"/>
        </w:rPr>
      </w:pPr>
      <w:r>
        <w:rPr>
          <w:rFonts w:ascii="宋体" w:hAnsi="宋体" w:hint="eastAsia"/>
          <w:color w:val="000000"/>
          <w:sz w:val="24"/>
          <w:szCs w:val="18"/>
        </w:rPr>
        <w:t>（</w:t>
      </w:r>
      <w:r>
        <w:rPr>
          <w:rFonts w:ascii="宋体" w:hAnsi="宋体"/>
          <w:color w:val="000000"/>
          <w:sz w:val="24"/>
          <w:szCs w:val="18"/>
        </w:rPr>
        <w:t>8</w:t>
      </w:r>
      <w:r>
        <w:rPr>
          <w:rFonts w:ascii="宋体" w:hAnsi="宋体" w:hint="eastAsia"/>
          <w:color w:val="000000"/>
          <w:sz w:val="24"/>
          <w:szCs w:val="18"/>
        </w:rPr>
        <w:t>）对基金管理人、基金托管人、基金份额代销机构损害其合法权益的行为依法提起诉讼；</w:t>
      </w:r>
    </w:p>
    <w:p w14:paraId="1AB0A92C"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szCs w:val="18"/>
        </w:rPr>
        <w:t>（</w:t>
      </w:r>
      <w:r>
        <w:rPr>
          <w:rFonts w:ascii="宋体" w:hAnsi="宋体"/>
          <w:color w:val="000000"/>
          <w:sz w:val="24"/>
          <w:szCs w:val="18"/>
        </w:rPr>
        <w:t>9</w:t>
      </w:r>
      <w:r>
        <w:rPr>
          <w:rFonts w:ascii="宋体" w:hAnsi="宋体" w:hint="eastAsia"/>
          <w:color w:val="000000"/>
          <w:sz w:val="24"/>
          <w:szCs w:val="18"/>
        </w:rPr>
        <w:t>）法律法规和基金合同规定的其他权利。</w:t>
      </w:r>
    </w:p>
    <w:p w14:paraId="0656B423" w14:textId="77777777" w:rsidR="00CF57A4" w:rsidRDefault="00B13D46">
      <w:pPr>
        <w:widowControl/>
        <w:spacing w:line="360" w:lineRule="auto"/>
        <w:ind w:firstLineChars="200" w:firstLine="480"/>
        <w:outlineLvl w:val="8"/>
        <w:rPr>
          <w:rFonts w:ascii="宋体" w:hAnsi="宋体" w:cs="宋体"/>
          <w:color w:val="000000"/>
          <w:kern w:val="0"/>
          <w:sz w:val="24"/>
        </w:rPr>
      </w:pPr>
      <w:r>
        <w:rPr>
          <w:rFonts w:ascii="宋体" w:hAnsi="宋体" w:cs="宋体" w:hint="eastAsia"/>
          <w:color w:val="000000"/>
          <w:kern w:val="0"/>
          <w:sz w:val="24"/>
        </w:rPr>
        <w:t>根据《基金法》</w:t>
      </w:r>
      <w:r>
        <w:rPr>
          <w:rFonts w:ascii="宋体" w:hAnsi="宋体" w:hint="eastAsia"/>
          <w:color w:val="000000"/>
          <w:sz w:val="24"/>
          <w:szCs w:val="18"/>
        </w:rPr>
        <w:t>、《运作办法》</w:t>
      </w:r>
      <w:r>
        <w:rPr>
          <w:rFonts w:ascii="宋体" w:hAnsi="宋体" w:cs="宋体" w:hint="eastAsia"/>
          <w:color w:val="000000"/>
          <w:kern w:val="0"/>
          <w:sz w:val="24"/>
        </w:rPr>
        <w:t>及其他有关法律法规，基金份额持有人的义务</w:t>
      </w:r>
      <w:r>
        <w:rPr>
          <w:rFonts w:ascii="宋体" w:hAnsi="宋体" w:hint="eastAsia"/>
          <w:color w:val="000000"/>
          <w:sz w:val="24"/>
          <w:szCs w:val="18"/>
        </w:rPr>
        <w:t>包括但不限于</w:t>
      </w:r>
      <w:r>
        <w:rPr>
          <w:rFonts w:ascii="宋体" w:hAnsi="宋体" w:cs="宋体" w:hint="eastAsia"/>
          <w:color w:val="000000"/>
          <w:kern w:val="0"/>
          <w:sz w:val="24"/>
        </w:rPr>
        <w:t>：</w:t>
      </w:r>
    </w:p>
    <w:p w14:paraId="47494A34" w14:textId="77777777" w:rsidR="00CF57A4" w:rsidRDefault="00B13D46">
      <w:pPr>
        <w:spacing w:line="360" w:lineRule="auto"/>
        <w:ind w:firstLineChars="200" w:firstLine="480"/>
        <w:rPr>
          <w:rFonts w:ascii="宋体" w:hAnsi="宋体"/>
          <w:color w:val="000000"/>
          <w:sz w:val="24"/>
          <w:szCs w:val="18"/>
        </w:rPr>
      </w:pPr>
      <w:r>
        <w:rPr>
          <w:rFonts w:ascii="宋体" w:hAnsi="宋体" w:hint="eastAsia"/>
          <w:color w:val="000000"/>
          <w:sz w:val="24"/>
          <w:szCs w:val="18"/>
        </w:rPr>
        <w:t>（</w:t>
      </w:r>
      <w:r>
        <w:rPr>
          <w:rFonts w:ascii="宋体" w:hAnsi="宋体"/>
          <w:color w:val="000000"/>
          <w:sz w:val="24"/>
          <w:szCs w:val="18"/>
        </w:rPr>
        <w:t>1</w:t>
      </w:r>
      <w:r>
        <w:rPr>
          <w:rFonts w:ascii="宋体" w:hAnsi="宋体" w:hint="eastAsia"/>
          <w:color w:val="000000"/>
          <w:sz w:val="24"/>
          <w:szCs w:val="18"/>
        </w:rPr>
        <w:t>）遵守法律法规、基金合同及其他有关规定；</w:t>
      </w:r>
    </w:p>
    <w:p w14:paraId="61B07C2A" w14:textId="77777777" w:rsidR="00CF57A4" w:rsidRDefault="00B13D46">
      <w:pPr>
        <w:spacing w:line="360" w:lineRule="auto"/>
        <w:ind w:firstLineChars="200" w:firstLine="480"/>
        <w:rPr>
          <w:rFonts w:ascii="宋体" w:hAnsi="宋体"/>
          <w:color w:val="000000"/>
          <w:sz w:val="24"/>
          <w:szCs w:val="18"/>
        </w:rPr>
      </w:pPr>
      <w:r>
        <w:rPr>
          <w:rFonts w:ascii="宋体" w:hAnsi="宋体" w:hint="eastAsia"/>
          <w:color w:val="000000"/>
          <w:sz w:val="24"/>
          <w:szCs w:val="18"/>
        </w:rPr>
        <w:t>（</w:t>
      </w:r>
      <w:r>
        <w:rPr>
          <w:rFonts w:ascii="宋体" w:hAnsi="宋体"/>
          <w:color w:val="000000"/>
          <w:sz w:val="24"/>
          <w:szCs w:val="18"/>
        </w:rPr>
        <w:t>2</w:t>
      </w:r>
      <w:r>
        <w:rPr>
          <w:rFonts w:ascii="宋体" w:hAnsi="宋体" w:hint="eastAsia"/>
          <w:color w:val="000000"/>
          <w:sz w:val="24"/>
          <w:szCs w:val="18"/>
        </w:rPr>
        <w:t>）缴纳基金认购款项和认购股票、应付申购对价和赎回对价及缴纳法律法规、基金合同和招募说明书规定的费用；</w:t>
      </w:r>
    </w:p>
    <w:p w14:paraId="4A9837D7" w14:textId="77777777" w:rsidR="00CF57A4" w:rsidRDefault="00B13D46">
      <w:pPr>
        <w:spacing w:line="360" w:lineRule="auto"/>
        <w:ind w:firstLineChars="200" w:firstLine="480"/>
        <w:rPr>
          <w:rFonts w:ascii="宋体" w:hAnsi="宋体"/>
          <w:color w:val="000000"/>
          <w:sz w:val="24"/>
          <w:szCs w:val="18"/>
        </w:rPr>
      </w:pPr>
      <w:r>
        <w:rPr>
          <w:rFonts w:ascii="宋体" w:hAnsi="宋体" w:hint="eastAsia"/>
          <w:color w:val="000000"/>
          <w:sz w:val="24"/>
          <w:szCs w:val="18"/>
        </w:rPr>
        <w:t>（</w:t>
      </w:r>
      <w:r>
        <w:rPr>
          <w:rFonts w:ascii="宋体" w:hAnsi="宋体"/>
          <w:color w:val="000000"/>
          <w:sz w:val="24"/>
          <w:szCs w:val="18"/>
        </w:rPr>
        <w:t>3</w:t>
      </w:r>
      <w:r>
        <w:rPr>
          <w:rFonts w:ascii="宋体" w:hAnsi="宋体" w:hint="eastAsia"/>
          <w:color w:val="000000"/>
          <w:sz w:val="24"/>
          <w:szCs w:val="18"/>
        </w:rPr>
        <w:t>）在持有的基金份额范围内，承担基金亏损或者基金合同终止的有限责任；</w:t>
      </w:r>
    </w:p>
    <w:p w14:paraId="4CA3121D" w14:textId="77777777" w:rsidR="00CF57A4" w:rsidRDefault="00B13D46">
      <w:pPr>
        <w:spacing w:line="360" w:lineRule="auto"/>
        <w:ind w:firstLineChars="200" w:firstLine="480"/>
        <w:rPr>
          <w:rFonts w:ascii="宋体" w:hAnsi="宋体"/>
          <w:color w:val="000000"/>
          <w:sz w:val="24"/>
          <w:szCs w:val="18"/>
        </w:rPr>
      </w:pPr>
      <w:r>
        <w:rPr>
          <w:rFonts w:ascii="宋体" w:hAnsi="宋体" w:hint="eastAsia"/>
          <w:color w:val="000000"/>
          <w:sz w:val="24"/>
          <w:szCs w:val="18"/>
        </w:rPr>
        <w:t>（</w:t>
      </w:r>
      <w:r>
        <w:rPr>
          <w:rFonts w:ascii="宋体" w:hAnsi="宋体"/>
          <w:color w:val="000000"/>
          <w:sz w:val="24"/>
          <w:szCs w:val="18"/>
        </w:rPr>
        <w:t>4</w:t>
      </w:r>
      <w:r>
        <w:rPr>
          <w:rFonts w:ascii="宋体" w:hAnsi="宋体" w:hint="eastAsia"/>
          <w:color w:val="000000"/>
          <w:sz w:val="24"/>
          <w:szCs w:val="18"/>
        </w:rPr>
        <w:t>）不从事任何有损基金及其他基金份额持有人合法权益的活动；</w:t>
      </w:r>
    </w:p>
    <w:p w14:paraId="26FAC8AA"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5</w:t>
      </w:r>
      <w:r>
        <w:rPr>
          <w:rFonts w:ascii="宋体" w:hAnsi="宋体" w:hint="eastAsia"/>
          <w:color w:val="000000"/>
          <w:sz w:val="24"/>
        </w:rPr>
        <w:t>）执行生效的基金份额持有人大会决议；</w:t>
      </w:r>
    </w:p>
    <w:p w14:paraId="7DF0EB55" w14:textId="77777777" w:rsidR="00CF57A4" w:rsidRDefault="00B13D46">
      <w:pPr>
        <w:spacing w:line="360" w:lineRule="auto"/>
        <w:ind w:firstLineChars="200" w:firstLine="480"/>
        <w:rPr>
          <w:rFonts w:ascii="宋体" w:hAnsi="宋体"/>
          <w:color w:val="000000"/>
          <w:sz w:val="24"/>
          <w:szCs w:val="18"/>
        </w:rPr>
      </w:pPr>
      <w:r>
        <w:rPr>
          <w:rFonts w:ascii="宋体" w:hAnsi="宋体" w:hint="eastAsia"/>
          <w:color w:val="000000"/>
          <w:sz w:val="24"/>
        </w:rPr>
        <w:t>（6）遵守基金管理人、基金托管人及销售机构和注册登记机构的相关交易及业务规则；</w:t>
      </w:r>
    </w:p>
    <w:p w14:paraId="1E812A52"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szCs w:val="21"/>
        </w:rPr>
        <w:t>（7）返还在基金交易过程中因任何原因，自基金管理人、基金托管人、代销机构以及其他基金份额持有人</w:t>
      </w:r>
      <w:r>
        <w:rPr>
          <w:rFonts w:ascii="宋体" w:hAnsi="宋体" w:hint="eastAsia"/>
          <w:color w:val="000000"/>
          <w:sz w:val="24"/>
        </w:rPr>
        <w:t>处获得的不当得利；</w:t>
      </w:r>
    </w:p>
    <w:p w14:paraId="5C414ACD"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（8）法律法规和基金合同规定的其他义务。</w:t>
      </w:r>
    </w:p>
    <w:p w14:paraId="4FDF9175" w14:textId="77777777" w:rsidR="00CF57A4" w:rsidRDefault="00B13D46">
      <w:pPr>
        <w:widowControl/>
        <w:spacing w:line="360" w:lineRule="auto"/>
        <w:ind w:firstLineChars="200" w:firstLine="480"/>
        <w:outlineLvl w:val="8"/>
        <w:rPr>
          <w:rFonts w:ascii="宋体" w:hAnsi="宋体" w:cs="宋体"/>
          <w:color w:val="000000"/>
          <w:kern w:val="0"/>
          <w:sz w:val="24"/>
        </w:rPr>
      </w:pPr>
      <w:r>
        <w:rPr>
          <w:rFonts w:ascii="宋体" w:hAnsi="宋体" w:cs="宋体" w:hint="eastAsia"/>
          <w:color w:val="000000"/>
          <w:kern w:val="0"/>
          <w:sz w:val="24"/>
        </w:rPr>
        <w:t>4、本基金合同当事人各方的权利义务以本基金合同为依据，不因基金财产账户名称而有所改变。</w:t>
      </w:r>
    </w:p>
    <w:p w14:paraId="4EDC206D" w14:textId="77777777" w:rsidR="00CF57A4" w:rsidRDefault="00B13D46">
      <w:pPr>
        <w:widowControl/>
        <w:spacing w:line="360" w:lineRule="auto"/>
        <w:ind w:firstLineChars="200" w:firstLine="482"/>
        <w:outlineLvl w:val="1"/>
        <w:rPr>
          <w:rFonts w:ascii="宋体" w:hAnsi="宋体" w:cs="宋体"/>
          <w:b/>
          <w:color w:val="000000"/>
          <w:kern w:val="0"/>
          <w:sz w:val="24"/>
        </w:rPr>
      </w:pPr>
      <w:r>
        <w:rPr>
          <w:rFonts w:ascii="宋体" w:hAnsi="宋体" w:cs="宋体" w:hint="eastAsia"/>
          <w:b/>
          <w:color w:val="000000"/>
          <w:kern w:val="0"/>
          <w:sz w:val="24"/>
        </w:rPr>
        <w:t>（二）</w:t>
      </w:r>
      <w:r>
        <w:rPr>
          <w:rFonts w:ascii="宋体" w:hAnsi="宋体" w:cs="宋体"/>
          <w:b/>
          <w:color w:val="000000"/>
          <w:kern w:val="0"/>
          <w:sz w:val="24"/>
        </w:rPr>
        <w:t xml:space="preserve">基金份额持有人大会 </w:t>
      </w:r>
    </w:p>
    <w:p w14:paraId="6DD4D727" w14:textId="77777777" w:rsidR="00CF57A4" w:rsidRDefault="00B13D46">
      <w:pPr>
        <w:spacing w:line="360" w:lineRule="auto"/>
        <w:ind w:firstLineChars="200" w:firstLine="480"/>
        <w:rPr>
          <w:rFonts w:ascii="宋体" w:hAnsi="宋体"/>
          <w:color w:val="000000"/>
          <w:sz w:val="24"/>
        </w:rPr>
      </w:pPr>
      <w:bookmarkStart w:id="187" w:name="_Hlt94543071"/>
      <w:bookmarkEnd w:id="187"/>
      <w:r>
        <w:rPr>
          <w:rFonts w:ascii="宋体" w:hAnsi="宋体" w:hint="eastAsia"/>
          <w:color w:val="000000"/>
          <w:sz w:val="24"/>
        </w:rPr>
        <w:t>1、基金份额持有人大会的组成</w:t>
      </w:r>
    </w:p>
    <w:p w14:paraId="194EE00B" w14:textId="77777777" w:rsidR="00CF57A4" w:rsidRDefault="00B13D46">
      <w:pPr>
        <w:spacing w:line="360" w:lineRule="auto"/>
        <w:ind w:firstLineChars="200" w:firstLine="480"/>
        <w:rPr>
          <w:rFonts w:ascii="宋体" w:hAnsi="宋体"/>
          <w:color w:val="000000"/>
          <w:sz w:val="24"/>
          <w:szCs w:val="21"/>
        </w:rPr>
      </w:pPr>
      <w:r>
        <w:rPr>
          <w:rFonts w:ascii="宋体" w:hAnsi="宋体" w:hint="eastAsia"/>
          <w:color w:val="000000"/>
          <w:sz w:val="24"/>
        </w:rPr>
        <w:t>（1）基金份额持有人大会由基金份额持有人组成，基金份额持有人的合法授权代表有权代表基金份额持有人出席会议并表决。</w:t>
      </w:r>
      <w:r>
        <w:rPr>
          <w:rFonts w:ascii="宋体" w:hAnsi="宋体" w:hint="eastAsia"/>
          <w:color w:val="000000"/>
          <w:sz w:val="24"/>
          <w:szCs w:val="21"/>
        </w:rPr>
        <w:t>基金份额持有人持有的每一基金份额拥有平等的投票权。</w:t>
      </w:r>
    </w:p>
    <w:p w14:paraId="01F5B6A1"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（2）鉴于本基金和本基金的联接基金（即“交银施罗德深证300价值交易型</w:t>
      </w:r>
      <w:r>
        <w:rPr>
          <w:rFonts w:ascii="宋体" w:hAnsi="宋体" w:hint="eastAsia"/>
          <w:color w:val="000000"/>
          <w:sz w:val="24"/>
        </w:rPr>
        <w:lastRenderedPageBreak/>
        <w:t>开放式指数证券投资基金联接基金”，以下简称“联接基金”）的相关性，本基金联接基金的基金份额持有人可以凭所持有的联接基金份额出席或者委派代表出席本基金的份额持有人大会并参与表决。</w:t>
      </w:r>
      <w:r>
        <w:rPr>
          <w:rStyle w:val="DeltaViewInsertion"/>
          <w:rFonts w:ascii="宋体" w:hAnsi="宋体" w:cs="宋体" w:hint="eastAsia"/>
          <w:color w:val="000000"/>
          <w:sz w:val="24"/>
          <w:u w:val="none"/>
        </w:rPr>
        <w:t>在计算参会份额和计票时，</w:t>
      </w:r>
      <w:r>
        <w:rPr>
          <w:rFonts w:ascii="宋体" w:hAnsi="宋体" w:hint="eastAsia"/>
          <w:color w:val="000000"/>
          <w:sz w:val="24"/>
        </w:rPr>
        <w:t>联接基金持有人持有的享有表决权的基金份额数和表决票数为，在本基金基金份额持有人大会的权益登记日，联接基金持有本基金份额的总数乘以该持有人所持有的联接基金份额占联接基金总份额的比例，计算结果按照四舍五入的方法，保留到整数位。</w:t>
      </w:r>
    </w:p>
    <w:p w14:paraId="4A6BED8B"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联接基金的基金管理人不应以联接基金的名义代表联接基金的全体基金份额持有人以本基金的基金份额持有人的身份行使表决权，但可接受联接基金的特定基金份额持有人的委托以联接基金的基金份额持有人代理人的身份出席本基金的基金份额持有人大会并参与表决。</w:t>
      </w:r>
    </w:p>
    <w:p w14:paraId="2984CA09"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联接基金的基金管理人代表联接基金的基金份额持有人提议召开或召集本基金份额持有人大会的，须先遵照联接基金基金合同的约定召开联接基金的基金份额持有人大会，联接基金的基金份额持有人大会决定提议召开或召集本基金份额持有人大会的，由联接基金的基金管理人代表联接基金的基金份额持有人提议召开或召集本基金份额持有人大会。</w:t>
      </w:r>
    </w:p>
    <w:p w14:paraId="66479242"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2、召开事由</w:t>
      </w:r>
    </w:p>
    <w:p w14:paraId="62C2E9C2"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1）当出现或需要决定下列事由之一的，经基金管理人、基金托管人或持有基金份额10%以上(“以上”含本数，下同)的基金份额持有人(以基金管理人收到提议当日的基金份额计算，下同)提议时，应当召开基金份额持有人大会：</w:t>
      </w:r>
    </w:p>
    <w:p w14:paraId="6A8E9403" w14:textId="77777777" w:rsidR="00CF57A4" w:rsidRDefault="00B13D46">
      <w:pPr>
        <w:spacing w:line="360" w:lineRule="auto"/>
        <w:ind w:firstLineChars="200" w:firstLine="480"/>
        <w:rPr>
          <w:rFonts w:ascii="宋体" w:hAnsi="宋体"/>
          <w:color w:val="000000"/>
          <w:sz w:val="24"/>
        </w:rPr>
      </w:pPr>
      <w:r>
        <w:rPr>
          <w:rFonts w:ascii="宋体" w:hAnsi="宋体"/>
          <w:color w:val="000000"/>
          <w:sz w:val="24"/>
        </w:rPr>
        <w:t>1)</w:t>
      </w:r>
      <w:r>
        <w:rPr>
          <w:rFonts w:ascii="宋体" w:hAnsi="宋体" w:hint="eastAsia"/>
          <w:color w:val="000000"/>
          <w:sz w:val="24"/>
        </w:rPr>
        <w:t>终止基金合同；</w:t>
      </w:r>
    </w:p>
    <w:p w14:paraId="7AD11D70" w14:textId="77777777" w:rsidR="00CF57A4" w:rsidRDefault="00B13D46">
      <w:pPr>
        <w:spacing w:line="360" w:lineRule="auto"/>
        <w:ind w:firstLineChars="200" w:firstLine="480"/>
        <w:rPr>
          <w:rFonts w:ascii="宋体" w:hAnsi="宋体"/>
          <w:color w:val="000000"/>
          <w:sz w:val="24"/>
        </w:rPr>
      </w:pPr>
      <w:r>
        <w:rPr>
          <w:rFonts w:ascii="宋体" w:hAnsi="宋体"/>
          <w:color w:val="000000"/>
          <w:sz w:val="24"/>
        </w:rPr>
        <w:t>2)</w:t>
      </w:r>
      <w:r>
        <w:rPr>
          <w:rFonts w:ascii="宋体" w:hAnsi="宋体" w:hint="eastAsia"/>
          <w:color w:val="000000"/>
          <w:sz w:val="24"/>
        </w:rPr>
        <w:t>转换基金运作方式；</w:t>
      </w:r>
    </w:p>
    <w:p w14:paraId="43635689" w14:textId="77777777" w:rsidR="00CF57A4" w:rsidRDefault="00B13D46">
      <w:pPr>
        <w:spacing w:line="360" w:lineRule="auto"/>
        <w:ind w:firstLineChars="200" w:firstLine="480"/>
        <w:rPr>
          <w:rFonts w:ascii="宋体" w:hAnsi="宋体"/>
          <w:color w:val="000000"/>
          <w:sz w:val="24"/>
        </w:rPr>
      </w:pPr>
      <w:r>
        <w:rPr>
          <w:rFonts w:ascii="宋体" w:hAnsi="宋体"/>
          <w:color w:val="000000"/>
          <w:sz w:val="24"/>
        </w:rPr>
        <w:t>3)</w:t>
      </w:r>
      <w:r>
        <w:rPr>
          <w:rFonts w:ascii="宋体" w:hAnsi="宋体" w:hint="eastAsia"/>
          <w:color w:val="000000"/>
          <w:sz w:val="24"/>
        </w:rPr>
        <w:t>变更基金类别；</w:t>
      </w:r>
    </w:p>
    <w:p w14:paraId="54FBA18E" w14:textId="77777777" w:rsidR="00CF57A4" w:rsidRDefault="00B13D46">
      <w:pPr>
        <w:spacing w:line="360" w:lineRule="auto"/>
        <w:ind w:firstLineChars="200" w:firstLine="480"/>
        <w:rPr>
          <w:rFonts w:ascii="宋体" w:hAnsi="宋体"/>
          <w:color w:val="000000"/>
          <w:sz w:val="24"/>
        </w:rPr>
      </w:pPr>
      <w:r>
        <w:rPr>
          <w:rFonts w:ascii="宋体" w:hAnsi="宋体"/>
          <w:color w:val="000000"/>
          <w:sz w:val="24"/>
        </w:rPr>
        <w:t>4)</w:t>
      </w:r>
      <w:r>
        <w:rPr>
          <w:rFonts w:ascii="宋体" w:hAnsi="宋体" w:hint="eastAsia"/>
          <w:color w:val="000000"/>
          <w:sz w:val="24"/>
        </w:rPr>
        <w:t>变更基金投资目标、投资范围或投资策略</w:t>
      </w:r>
      <w:r>
        <w:rPr>
          <w:rFonts w:hint="eastAsia"/>
          <w:color w:val="000000"/>
          <w:sz w:val="24"/>
        </w:rPr>
        <w:t>（法律法规和中国证监会另有规定的除外）</w:t>
      </w:r>
      <w:r>
        <w:rPr>
          <w:rFonts w:ascii="宋体" w:hAnsi="宋体" w:hint="eastAsia"/>
          <w:color w:val="000000"/>
          <w:sz w:val="24"/>
        </w:rPr>
        <w:t>；</w:t>
      </w:r>
    </w:p>
    <w:p w14:paraId="5471B1FB" w14:textId="77777777" w:rsidR="00CF57A4" w:rsidRDefault="00B13D46">
      <w:pPr>
        <w:spacing w:line="360" w:lineRule="auto"/>
        <w:ind w:firstLineChars="200" w:firstLine="480"/>
        <w:rPr>
          <w:rFonts w:ascii="宋体" w:hAnsi="宋体"/>
          <w:color w:val="000000"/>
          <w:sz w:val="24"/>
        </w:rPr>
      </w:pPr>
      <w:r>
        <w:rPr>
          <w:rFonts w:ascii="宋体" w:hAnsi="宋体"/>
          <w:color w:val="000000"/>
          <w:sz w:val="24"/>
        </w:rPr>
        <w:t>5)</w:t>
      </w:r>
      <w:r>
        <w:rPr>
          <w:rFonts w:ascii="宋体" w:hAnsi="宋体" w:hint="eastAsia"/>
          <w:color w:val="000000"/>
          <w:sz w:val="24"/>
        </w:rPr>
        <w:t>变更基金份额持有人大会议事程序；</w:t>
      </w:r>
    </w:p>
    <w:p w14:paraId="28C5CB84" w14:textId="77777777" w:rsidR="00CF57A4" w:rsidRDefault="00B13D46">
      <w:pPr>
        <w:spacing w:line="360" w:lineRule="auto"/>
        <w:ind w:firstLineChars="200" w:firstLine="480"/>
        <w:rPr>
          <w:rFonts w:ascii="宋体" w:hAnsi="宋体"/>
          <w:color w:val="000000"/>
          <w:sz w:val="24"/>
        </w:rPr>
      </w:pPr>
      <w:r>
        <w:rPr>
          <w:rFonts w:ascii="宋体" w:hAnsi="宋体"/>
          <w:color w:val="000000"/>
          <w:sz w:val="24"/>
        </w:rPr>
        <w:t>6)</w:t>
      </w:r>
      <w:r>
        <w:rPr>
          <w:rFonts w:ascii="宋体" w:hAnsi="宋体" w:hint="eastAsia"/>
          <w:color w:val="000000"/>
          <w:sz w:val="24"/>
        </w:rPr>
        <w:t>更换基金管理人、基金托管人；</w:t>
      </w:r>
    </w:p>
    <w:p w14:paraId="471D5EEB" w14:textId="77777777" w:rsidR="00CF57A4" w:rsidRDefault="00B13D46">
      <w:pPr>
        <w:spacing w:line="360" w:lineRule="auto"/>
        <w:ind w:firstLineChars="200" w:firstLine="480"/>
        <w:rPr>
          <w:rFonts w:ascii="宋体" w:hAnsi="宋体"/>
          <w:color w:val="000000"/>
          <w:sz w:val="24"/>
        </w:rPr>
      </w:pPr>
      <w:r>
        <w:rPr>
          <w:rFonts w:ascii="宋体" w:hAnsi="宋体"/>
          <w:color w:val="000000"/>
          <w:sz w:val="24"/>
        </w:rPr>
        <w:t>7)</w:t>
      </w:r>
      <w:r>
        <w:rPr>
          <w:rFonts w:ascii="宋体" w:hAnsi="宋体" w:hint="eastAsia"/>
          <w:color w:val="000000"/>
          <w:sz w:val="24"/>
        </w:rPr>
        <w:t>提高基金管理人、基金托管人的报酬标准。但根据法律法规的要求提高该等报酬标准的除外；</w:t>
      </w:r>
    </w:p>
    <w:p w14:paraId="4CCF40A7" w14:textId="77777777" w:rsidR="00CF57A4" w:rsidRDefault="00B13D46">
      <w:pPr>
        <w:snapToGrid w:val="0"/>
        <w:spacing w:line="360" w:lineRule="auto"/>
        <w:ind w:firstLineChars="200" w:firstLine="480"/>
        <w:rPr>
          <w:rFonts w:ascii="宋体" w:hAnsi="宋体"/>
          <w:color w:val="000000"/>
          <w:sz w:val="24"/>
        </w:rPr>
      </w:pPr>
      <w:r>
        <w:rPr>
          <w:rFonts w:ascii="宋体" w:hAnsi="宋体"/>
          <w:color w:val="000000"/>
          <w:sz w:val="24"/>
        </w:rPr>
        <w:t>8)</w:t>
      </w:r>
      <w:r>
        <w:rPr>
          <w:rFonts w:ascii="宋体" w:hAnsi="宋体" w:hint="eastAsia"/>
          <w:color w:val="000000"/>
          <w:sz w:val="24"/>
        </w:rPr>
        <w:t>本基金与其他基金的合并；</w:t>
      </w:r>
    </w:p>
    <w:p w14:paraId="45F013FE" w14:textId="77777777" w:rsidR="00CF57A4" w:rsidRDefault="00B13D46">
      <w:pPr>
        <w:snapToGrid w:val="0"/>
        <w:spacing w:line="360" w:lineRule="auto"/>
        <w:ind w:firstLineChars="200" w:firstLine="480"/>
        <w:rPr>
          <w:rFonts w:ascii="宋体" w:hAnsi="宋体"/>
          <w:color w:val="000000"/>
          <w:sz w:val="24"/>
        </w:rPr>
      </w:pPr>
      <w:r>
        <w:rPr>
          <w:rFonts w:ascii="宋体" w:hAnsi="宋体" w:hint="eastAsia"/>
          <w:color w:val="000000"/>
          <w:sz w:val="24"/>
        </w:rPr>
        <w:lastRenderedPageBreak/>
        <w:t>9) 终止基金上市，但因基金不再具备上市条件而被深圳证券交易所终止上市的除外；</w:t>
      </w:r>
    </w:p>
    <w:p w14:paraId="263BE27F" w14:textId="77777777" w:rsidR="00CF57A4" w:rsidRDefault="00B13D46">
      <w:pPr>
        <w:snapToGrid w:val="0"/>
        <w:spacing w:line="360" w:lineRule="auto"/>
        <w:ind w:firstLineChars="200" w:firstLine="480"/>
        <w:rPr>
          <w:rFonts w:ascii="宋体" w:hAnsi="宋体"/>
          <w:color w:val="000000"/>
          <w:sz w:val="24"/>
        </w:rPr>
      </w:pPr>
      <w:r>
        <w:rPr>
          <w:rFonts w:ascii="宋体" w:hAnsi="宋体" w:hint="eastAsia"/>
          <w:color w:val="000000"/>
          <w:sz w:val="24"/>
        </w:rPr>
        <w:t>10</w:t>
      </w:r>
      <w:r>
        <w:rPr>
          <w:rFonts w:ascii="宋体" w:hAnsi="宋体"/>
          <w:color w:val="000000"/>
          <w:sz w:val="24"/>
        </w:rPr>
        <w:t>)</w:t>
      </w:r>
      <w:r>
        <w:rPr>
          <w:rFonts w:ascii="宋体" w:hAnsi="宋体" w:hint="eastAsia"/>
          <w:color w:val="000000"/>
          <w:sz w:val="24"/>
        </w:rPr>
        <w:t>对基金合同当事人权利、义务产生重大影响，需召开基金份额持有人大会的变更基金合同等其他事项；</w:t>
      </w:r>
    </w:p>
    <w:p w14:paraId="626CF934" w14:textId="77777777" w:rsidR="00CF57A4" w:rsidRDefault="00B13D46">
      <w:pPr>
        <w:snapToGrid w:val="0"/>
        <w:spacing w:line="360" w:lineRule="auto"/>
        <w:ind w:firstLineChars="200" w:firstLine="480"/>
        <w:rPr>
          <w:rFonts w:ascii="宋体" w:hAnsi="宋体"/>
          <w:color w:val="000000"/>
          <w:sz w:val="24"/>
        </w:rPr>
      </w:pPr>
      <w:r>
        <w:rPr>
          <w:rFonts w:ascii="宋体" w:hAnsi="宋体"/>
          <w:color w:val="000000"/>
          <w:sz w:val="24"/>
        </w:rPr>
        <w:t>1</w:t>
      </w:r>
      <w:r>
        <w:rPr>
          <w:rFonts w:ascii="宋体" w:hAnsi="宋体" w:hint="eastAsia"/>
          <w:color w:val="000000"/>
          <w:sz w:val="24"/>
        </w:rPr>
        <w:t>1</w:t>
      </w:r>
      <w:r>
        <w:rPr>
          <w:rFonts w:ascii="宋体" w:hAnsi="宋体"/>
          <w:color w:val="000000"/>
          <w:sz w:val="24"/>
        </w:rPr>
        <w:t>)</w:t>
      </w:r>
      <w:r>
        <w:rPr>
          <w:rFonts w:ascii="宋体" w:hAnsi="宋体" w:hint="eastAsia"/>
          <w:color w:val="000000"/>
          <w:sz w:val="24"/>
        </w:rPr>
        <w:t>法律法规、基金合同或中国证监会规定的其他情形。</w:t>
      </w:r>
    </w:p>
    <w:p w14:paraId="09A11C48" w14:textId="77777777" w:rsidR="00CF57A4" w:rsidRDefault="00B13D46">
      <w:pPr>
        <w:snapToGrid w:val="0"/>
        <w:spacing w:line="360" w:lineRule="auto"/>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2</w:t>
      </w:r>
      <w:r>
        <w:rPr>
          <w:rFonts w:ascii="宋体" w:hAnsi="宋体" w:hint="eastAsia"/>
          <w:color w:val="000000"/>
          <w:sz w:val="24"/>
        </w:rPr>
        <w:t>）出现以下情形之一的，可由基金管理人和基金托管人协商后修改，不需召开基金份额持有人大会：</w:t>
      </w:r>
    </w:p>
    <w:p w14:paraId="04C6A836" w14:textId="77777777" w:rsidR="00CF57A4" w:rsidRDefault="00B13D46">
      <w:pPr>
        <w:snapToGrid w:val="0"/>
        <w:spacing w:line="360" w:lineRule="auto"/>
        <w:ind w:firstLineChars="200" w:firstLine="480"/>
        <w:rPr>
          <w:rFonts w:ascii="宋体" w:hAnsi="宋体"/>
          <w:color w:val="000000"/>
          <w:sz w:val="24"/>
        </w:rPr>
      </w:pPr>
      <w:r>
        <w:rPr>
          <w:rFonts w:ascii="宋体" w:hAnsi="宋体" w:hint="eastAsia"/>
          <w:color w:val="000000"/>
          <w:sz w:val="24"/>
        </w:rPr>
        <w:t>1)调低基金管理费、基金托管费等其他应由基金或基金份额持有人承担的费用；</w:t>
      </w:r>
    </w:p>
    <w:p w14:paraId="542FDFFB" w14:textId="77777777" w:rsidR="00CF57A4" w:rsidRDefault="00B13D46">
      <w:pPr>
        <w:snapToGrid w:val="0"/>
        <w:spacing w:line="360" w:lineRule="auto"/>
        <w:ind w:firstLineChars="200" w:firstLine="480"/>
        <w:rPr>
          <w:rFonts w:ascii="宋体" w:hAnsi="宋体"/>
          <w:color w:val="000000"/>
          <w:sz w:val="24"/>
        </w:rPr>
      </w:pPr>
      <w:r>
        <w:rPr>
          <w:rFonts w:ascii="宋体" w:hAnsi="宋体" w:hint="eastAsia"/>
          <w:color w:val="000000"/>
          <w:sz w:val="24"/>
        </w:rPr>
        <w:t>2)法律法规要求增加的基金费用的收取；</w:t>
      </w:r>
    </w:p>
    <w:p w14:paraId="4BB07B25" w14:textId="77777777" w:rsidR="00CF57A4" w:rsidRDefault="00B13D46">
      <w:pPr>
        <w:snapToGrid w:val="0"/>
        <w:spacing w:line="360" w:lineRule="auto"/>
        <w:ind w:firstLineChars="200" w:firstLine="480"/>
        <w:rPr>
          <w:rFonts w:ascii="宋体" w:hAnsi="宋体"/>
          <w:color w:val="000000"/>
          <w:sz w:val="24"/>
        </w:rPr>
      </w:pPr>
      <w:r>
        <w:rPr>
          <w:rFonts w:ascii="宋体" w:hAnsi="宋体" w:hint="eastAsia"/>
          <w:color w:val="000000"/>
          <w:sz w:val="24"/>
        </w:rPr>
        <w:t>3</w:t>
      </w:r>
      <w:r>
        <w:rPr>
          <w:rFonts w:ascii="宋体" w:hAnsi="宋体"/>
          <w:color w:val="000000"/>
          <w:sz w:val="24"/>
        </w:rPr>
        <w:t>)</w:t>
      </w:r>
      <w:r>
        <w:rPr>
          <w:rFonts w:ascii="宋体" w:hAnsi="宋体" w:hint="eastAsia"/>
          <w:color w:val="000000"/>
          <w:sz w:val="24"/>
        </w:rPr>
        <w:t>在法律法规和本基金合同规定的范围内调整基金的申购费率、调低赎回费率、变更或增加收费方式；</w:t>
      </w:r>
    </w:p>
    <w:p w14:paraId="4C7127E9" w14:textId="77777777" w:rsidR="00CF57A4" w:rsidRDefault="00B13D46">
      <w:pPr>
        <w:snapToGrid w:val="0"/>
        <w:spacing w:line="360" w:lineRule="auto"/>
        <w:ind w:firstLineChars="200" w:firstLine="480"/>
        <w:rPr>
          <w:rFonts w:ascii="宋体" w:hAnsi="宋体"/>
          <w:color w:val="000000"/>
          <w:sz w:val="24"/>
        </w:rPr>
      </w:pPr>
      <w:r>
        <w:rPr>
          <w:rFonts w:ascii="宋体" w:hAnsi="宋体" w:hint="eastAsia"/>
          <w:color w:val="000000"/>
          <w:sz w:val="24"/>
        </w:rPr>
        <w:t>4</w:t>
      </w:r>
      <w:r>
        <w:rPr>
          <w:rFonts w:ascii="宋体" w:hAnsi="宋体"/>
          <w:color w:val="000000"/>
          <w:sz w:val="24"/>
        </w:rPr>
        <w:t>)</w:t>
      </w:r>
      <w:r>
        <w:rPr>
          <w:rFonts w:ascii="宋体" w:hAnsi="宋体" w:hint="eastAsia"/>
          <w:color w:val="000000"/>
          <w:sz w:val="24"/>
        </w:rPr>
        <w:t>因相应的法律法规、深圳</w:t>
      </w:r>
      <w:r>
        <w:rPr>
          <w:rStyle w:val="DeltaViewInsertion"/>
          <w:rFonts w:ascii="宋体" w:hAnsi="宋体" w:cs="宋体" w:hint="eastAsia"/>
          <w:color w:val="000000"/>
          <w:sz w:val="24"/>
          <w:u w:val="none"/>
        </w:rPr>
        <w:t>证券交易所或者注册登记机构的相关业务规则</w:t>
      </w:r>
      <w:r>
        <w:rPr>
          <w:rFonts w:ascii="宋体" w:hAnsi="宋体" w:hint="eastAsia"/>
          <w:color w:val="000000"/>
          <w:sz w:val="24"/>
        </w:rPr>
        <w:t>发生变动必须对基金合同进行修改；</w:t>
      </w:r>
    </w:p>
    <w:p w14:paraId="2C14FDF2" w14:textId="77777777" w:rsidR="00CF57A4" w:rsidRDefault="00B13D46">
      <w:pPr>
        <w:snapToGrid w:val="0"/>
        <w:spacing w:line="360" w:lineRule="auto"/>
        <w:ind w:firstLineChars="200" w:firstLine="480"/>
        <w:rPr>
          <w:rFonts w:ascii="宋体" w:hAnsi="宋体"/>
          <w:color w:val="000000"/>
          <w:sz w:val="24"/>
        </w:rPr>
      </w:pPr>
      <w:r>
        <w:rPr>
          <w:rFonts w:ascii="宋体" w:hAnsi="宋体" w:hint="eastAsia"/>
          <w:color w:val="000000"/>
          <w:sz w:val="24"/>
        </w:rPr>
        <w:t>5</w:t>
      </w:r>
      <w:r>
        <w:rPr>
          <w:rFonts w:ascii="宋体" w:hAnsi="宋体"/>
          <w:color w:val="000000"/>
          <w:sz w:val="24"/>
        </w:rPr>
        <w:t>)</w:t>
      </w:r>
      <w:r>
        <w:rPr>
          <w:rFonts w:ascii="宋体" w:hAnsi="宋体" w:hint="eastAsia"/>
          <w:color w:val="000000"/>
          <w:sz w:val="24"/>
        </w:rPr>
        <w:t>基金合同的修改不涉及本基金合同当事人权利义务关系发生重大变化；</w:t>
      </w:r>
    </w:p>
    <w:p w14:paraId="3C5F00C2" w14:textId="77777777" w:rsidR="00CF57A4" w:rsidRDefault="00B13D46">
      <w:pPr>
        <w:snapToGrid w:val="0"/>
        <w:spacing w:line="360" w:lineRule="auto"/>
        <w:ind w:firstLineChars="200" w:firstLine="480"/>
        <w:rPr>
          <w:rFonts w:ascii="宋体" w:hAnsi="宋体"/>
          <w:color w:val="000000"/>
          <w:sz w:val="24"/>
        </w:rPr>
      </w:pPr>
      <w:r>
        <w:rPr>
          <w:rFonts w:ascii="宋体" w:hAnsi="宋体" w:hint="eastAsia"/>
          <w:color w:val="000000"/>
          <w:sz w:val="24"/>
        </w:rPr>
        <w:t>6</w:t>
      </w:r>
      <w:r>
        <w:rPr>
          <w:rFonts w:ascii="宋体" w:hAnsi="宋体"/>
          <w:color w:val="000000"/>
          <w:sz w:val="24"/>
        </w:rPr>
        <w:t>)</w:t>
      </w:r>
      <w:r>
        <w:rPr>
          <w:rFonts w:ascii="宋体" w:hAnsi="宋体" w:hint="eastAsia"/>
          <w:color w:val="000000"/>
          <w:sz w:val="24"/>
        </w:rPr>
        <w:t>基金合同的修改对基金份额持有人利益无实质性不利影响；</w:t>
      </w:r>
    </w:p>
    <w:p w14:paraId="23ACF622" w14:textId="77777777" w:rsidR="00CF57A4" w:rsidRDefault="00B13D46">
      <w:pPr>
        <w:snapToGrid w:val="0"/>
        <w:spacing w:line="360" w:lineRule="auto"/>
        <w:ind w:firstLineChars="200" w:firstLine="480"/>
        <w:rPr>
          <w:rFonts w:ascii="宋体" w:hAnsi="宋体"/>
          <w:color w:val="000000"/>
          <w:sz w:val="24"/>
        </w:rPr>
      </w:pPr>
      <w:r>
        <w:rPr>
          <w:rFonts w:ascii="宋体" w:hAnsi="宋体" w:hint="eastAsia"/>
          <w:color w:val="000000"/>
          <w:sz w:val="24"/>
        </w:rPr>
        <w:t>7</w:t>
      </w:r>
      <w:r>
        <w:rPr>
          <w:rFonts w:ascii="宋体" w:hAnsi="宋体"/>
          <w:color w:val="000000"/>
          <w:sz w:val="24"/>
        </w:rPr>
        <w:t>)</w:t>
      </w:r>
      <w:r>
        <w:rPr>
          <w:rFonts w:ascii="宋体" w:hAnsi="宋体" w:hint="eastAsia"/>
          <w:color w:val="000000"/>
          <w:sz w:val="24"/>
        </w:rPr>
        <w:t>按照法律法规或本基金合同规定不需召开基金份额持有人大会的其他情形。</w:t>
      </w:r>
    </w:p>
    <w:p w14:paraId="3D6B4028" w14:textId="77777777" w:rsidR="00CF57A4" w:rsidRDefault="00B13D46">
      <w:pPr>
        <w:snapToGrid w:val="0"/>
        <w:spacing w:line="360" w:lineRule="auto"/>
        <w:ind w:firstLineChars="200" w:firstLine="480"/>
        <w:rPr>
          <w:rFonts w:ascii="宋体" w:hAnsi="宋体"/>
          <w:color w:val="000000"/>
          <w:sz w:val="24"/>
        </w:rPr>
      </w:pPr>
      <w:r>
        <w:rPr>
          <w:rFonts w:ascii="宋体" w:hAnsi="宋体" w:hint="eastAsia"/>
          <w:color w:val="000000"/>
          <w:sz w:val="24"/>
          <w:szCs w:val="18"/>
        </w:rPr>
        <w:t>3、召集人和召集方式</w:t>
      </w:r>
    </w:p>
    <w:p w14:paraId="56891526" w14:textId="77777777" w:rsidR="00CF57A4" w:rsidRDefault="00B13D46">
      <w:pPr>
        <w:snapToGrid w:val="0"/>
        <w:spacing w:line="360" w:lineRule="auto"/>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1</w:t>
      </w:r>
      <w:r>
        <w:rPr>
          <w:rFonts w:ascii="宋体" w:hAnsi="宋体" w:hint="eastAsia"/>
          <w:color w:val="000000"/>
          <w:sz w:val="24"/>
        </w:rPr>
        <w:t>）除法律法规或本基金合同另有约定外，基金份额持有人大会由基金管理人召集。基金管理人未按规定召集或者不能召集时，由基金托管人召集。</w:t>
      </w:r>
    </w:p>
    <w:p w14:paraId="63FD2BBE" w14:textId="77777777" w:rsidR="00CF57A4" w:rsidRDefault="00B13D46">
      <w:pPr>
        <w:snapToGrid w:val="0"/>
        <w:spacing w:line="360" w:lineRule="auto"/>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2</w:t>
      </w:r>
      <w:r>
        <w:rPr>
          <w:rFonts w:ascii="宋体" w:hAnsi="宋体" w:hint="eastAsia"/>
          <w:color w:val="000000"/>
          <w:sz w:val="24"/>
        </w:rPr>
        <w:t>）基金托管人认为有必要召开基金份额持有人大会的，应当向基金管理人提出书面提议。基金管理人应当自收到书面提议之日起</w:t>
      </w:r>
      <w:r>
        <w:rPr>
          <w:rFonts w:ascii="宋体" w:hAnsi="宋体"/>
          <w:color w:val="000000"/>
          <w:sz w:val="24"/>
        </w:rPr>
        <w:t>10</w:t>
      </w:r>
      <w:r>
        <w:rPr>
          <w:rFonts w:ascii="宋体" w:hAnsi="宋体" w:hint="eastAsia"/>
          <w:color w:val="000000"/>
          <w:sz w:val="24"/>
        </w:rPr>
        <w:t>日内决定是否召集，并书面告知基金托管人。基金管理人决定召集的，应当自出具书面决定之日起</w:t>
      </w:r>
      <w:r>
        <w:rPr>
          <w:rFonts w:ascii="宋体" w:hAnsi="宋体"/>
          <w:color w:val="000000"/>
          <w:sz w:val="24"/>
        </w:rPr>
        <w:t>60</w:t>
      </w:r>
      <w:r>
        <w:rPr>
          <w:rFonts w:ascii="宋体" w:hAnsi="宋体" w:hint="eastAsia"/>
          <w:color w:val="000000"/>
          <w:sz w:val="24"/>
        </w:rPr>
        <w:t>日内召开；基金管理人决定不召集，基金托管人仍认为有必要召开的，应当自行召集。</w:t>
      </w:r>
    </w:p>
    <w:p w14:paraId="0284092B"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3</w:t>
      </w:r>
      <w:r>
        <w:rPr>
          <w:rFonts w:ascii="宋体" w:hAnsi="宋体" w:hint="eastAsia"/>
          <w:color w:val="000000"/>
          <w:sz w:val="24"/>
        </w:rPr>
        <w:t>）代表基金份额</w:t>
      </w:r>
      <w:r>
        <w:rPr>
          <w:rFonts w:ascii="宋体" w:hAnsi="宋体"/>
          <w:color w:val="000000"/>
          <w:sz w:val="24"/>
        </w:rPr>
        <w:t>10%</w:t>
      </w:r>
      <w:r>
        <w:rPr>
          <w:rFonts w:ascii="宋体" w:hAnsi="宋体" w:hint="eastAsia"/>
          <w:color w:val="000000"/>
          <w:sz w:val="24"/>
        </w:rPr>
        <w:t>以上的基金份额持有人认为有必要召开基金份额持有人大会的，应当向基金管理人提出书面提议。基金管理人应当自收到书面提议之日起</w:t>
      </w:r>
      <w:r>
        <w:rPr>
          <w:rFonts w:ascii="宋体" w:hAnsi="宋体"/>
          <w:color w:val="000000"/>
          <w:sz w:val="24"/>
        </w:rPr>
        <w:t>10</w:t>
      </w:r>
      <w:r>
        <w:rPr>
          <w:rFonts w:ascii="宋体" w:hAnsi="宋体" w:hint="eastAsia"/>
          <w:color w:val="000000"/>
          <w:sz w:val="24"/>
        </w:rPr>
        <w:t>日内决定是否召集，并书面告知提出提议的基金份额持有人代表和基金托管人。基金管理人决定召集的，应当自出具书面决定之日起</w:t>
      </w:r>
      <w:r>
        <w:rPr>
          <w:rFonts w:ascii="宋体" w:hAnsi="宋体"/>
          <w:color w:val="000000"/>
          <w:sz w:val="24"/>
        </w:rPr>
        <w:t>60</w:t>
      </w:r>
      <w:r>
        <w:rPr>
          <w:rFonts w:ascii="宋体" w:hAnsi="宋体" w:hint="eastAsia"/>
          <w:color w:val="000000"/>
          <w:sz w:val="24"/>
        </w:rPr>
        <w:t>日内召开；基金管</w:t>
      </w:r>
      <w:r>
        <w:rPr>
          <w:rFonts w:ascii="宋体" w:hAnsi="宋体" w:hint="eastAsia"/>
          <w:color w:val="000000"/>
          <w:sz w:val="24"/>
        </w:rPr>
        <w:lastRenderedPageBreak/>
        <w:t>理人决定不召集，代表基金份额</w:t>
      </w:r>
      <w:r>
        <w:rPr>
          <w:rFonts w:ascii="宋体" w:hAnsi="宋体"/>
          <w:color w:val="000000"/>
          <w:sz w:val="24"/>
        </w:rPr>
        <w:t>10%</w:t>
      </w:r>
      <w:r>
        <w:rPr>
          <w:rFonts w:ascii="宋体" w:hAnsi="宋体" w:hint="eastAsia"/>
          <w:color w:val="000000"/>
          <w:sz w:val="24"/>
        </w:rPr>
        <w:t>以上的基金份额持有人仍认为有必要召开的，应当向基金托管人提出书面提议。基金托管人应当自收到书面提议之日起</w:t>
      </w:r>
      <w:r>
        <w:rPr>
          <w:rFonts w:ascii="宋体" w:hAnsi="宋体"/>
          <w:color w:val="000000"/>
          <w:sz w:val="24"/>
        </w:rPr>
        <w:t>10</w:t>
      </w:r>
      <w:r>
        <w:rPr>
          <w:rFonts w:ascii="宋体" w:hAnsi="宋体" w:hint="eastAsia"/>
          <w:color w:val="000000"/>
          <w:sz w:val="24"/>
        </w:rPr>
        <w:t>日内决定是否召集，并书面告知提出提议的基金份额持有人代表和基金管理人；基金托管人决定召集的，应当自出具书面决定之日起</w:t>
      </w:r>
      <w:r>
        <w:rPr>
          <w:rFonts w:ascii="宋体" w:hAnsi="宋体"/>
          <w:color w:val="000000"/>
          <w:sz w:val="24"/>
        </w:rPr>
        <w:t>60</w:t>
      </w:r>
      <w:r>
        <w:rPr>
          <w:rFonts w:ascii="宋体" w:hAnsi="宋体" w:hint="eastAsia"/>
          <w:color w:val="000000"/>
          <w:sz w:val="24"/>
        </w:rPr>
        <w:t>日内召开。</w:t>
      </w:r>
    </w:p>
    <w:p w14:paraId="1E6074BD"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4</w:t>
      </w:r>
      <w:r>
        <w:rPr>
          <w:rFonts w:ascii="宋体" w:hAnsi="宋体" w:hint="eastAsia"/>
          <w:color w:val="000000"/>
          <w:sz w:val="24"/>
        </w:rPr>
        <w:t>）代表基金份额</w:t>
      </w:r>
      <w:r>
        <w:rPr>
          <w:rFonts w:ascii="宋体" w:hAnsi="宋体"/>
          <w:color w:val="000000"/>
          <w:sz w:val="24"/>
        </w:rPr>
        <w:t>10%</w:t>
      </w:r>
      <w:r>
        <w:rPr>
          <w:rFonts w:ascii="宋体" w:hAnsi="宋体" w:hint="eastAsia"/>
          <w:color w:val="000000"/>
          <w:sz w:val="24"/>
        </w:rPr>
        <w:t>以上的基金份额持有人就同一事项要求召开基金份额持有人大会，而基金管理人、基金托管人都不召集的，代表基金份额</w:t>
      </w:r>
      <w:r>
        <w:rPr>
          <w:rFonts w:ascii="宋体" w:hAnsi="宋体"/>
          <w:color w:val="000000"/>
          <w:sz w:val="24"/>
        </w:rPr>
        <w:t>10%</w:t>
      </w:r>
      <w:r>
        <w:rPr>
          <w:rFonts w:ascii="宋体" w:hAnsi="宋体" w:hint="eastAsia"/>
          <w:color w:val="000000"/>
          <w:sz w:val="24"/>
        </w:rPr>
        <w:t>以上的基金份额持有人有权自行召集基金份额持有人大会，但应当至少提前</w:t>
      </w:r>
      <w:r>
        <w:rPr>
          <w:rFonts w:ascii="宋体" w:hAnsi="宋体"/>
          <w:color w:val="000000"/>
          <w:sz w:val="24"/>
        </w:rPr>
        <w:t>30</w:t>
      </w:r>
      <w:r>
        <w:rPr>
          <w:rFonts w:ascii="宋体" w:hAnsi="宋体" w:hint="eastAsia"/>
          <w:color w:val="000000"/>
          <w:sz w:val="24"/>
        </w:rPr>
        <w:t>日向中国证监会备案。</w:t>
      </w:r>
    </w:p>
    <w:p w14:paraId="756B4064"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5</w:t>
      </w:r>
      <w:r>
        <w:rPr>
          <w:rFonts w:ascii="宋体" w:hAnsi="宋体" w:hint="eastAsia"/>
          <w:color w:val="000000"/>
          <w:sz w:val="24"/>
        </w:rPr>
        <w:t>）基金份额持有人依法自行召集基金份额持有人大会的，基金管理人、基金托管人应当配合，不得阻碍、干扰。</w:t>
      </w:r>
    </w:p>
    <w:p w14:paraId="2E9222FB"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szCs w:val="18"/>
        </w:rPr>
        <w:t>4、召开基金份额持有人大会的通知时间、通知内容、通知方式</w:t>
      </w:r>
    </w:p>
    <w:p w14:paraId="3754CB54"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1</w:t>
      </w:r>
      <w:r>
        <w:rPr>
          <w:rFonts w:ascii="宋体" w:hAnsi="宋体" w:hint="eastAsia"/>
          <w:color w:val="000000"/>
          <w:sz w:val="24"/>
        </w:rPr>
        <w:t>）基金</w:t>
      </w:r>
      <w:r>
        <w:rPr>
          <w:rFonts w:ascii="宋体" w:hAnsi="宋体" w:hint="eastAsia"/>
          <w:color w:val="000000"/>
          <w:sz w:val="24"/>
          <w:szCs w:val="21"/>
        </w:rPr>
        <w:t>份额</w:t>
      </w:r>
      <w:r>
        <w:rPr>
          <w:rFonts w:ascii="宋体" w:hAnsi="宋体" w:hint="eastAsia"/>
          <w:color w:val="000000"/>
          <w:sz w:val="24"/>
        </w:rPr>
        <w:t>持有人大会的召集人</w:t>
      </w:r>
      <w:r>
        <w:rPr>
          <w:rFonts w:ascii="宋体" w:hAnsi="宋体"/>
          <w:color w:val="000000"/>
          <w:sz w:val="24"/>
        </w:rPr>
        <w:t>(</w:t>
      </w:r>
      <w:r>
        <w:rPr>
          <w:rFonts w:ascii="宋体" w:hAnsi="宋体" w:hint="eastAsia"/>
          <w:color w:val="000000"/>
          <w:sz w:val="24"/>
        </w:rPr>
        <w:t>以下简称</w:t>
      </w:r>
      <w:r>
        <w:rPr>
          <w:rFonts w:ascii="宋体" w:hAnsi="宋体"/>
          <w:color w:val="000000"/>
          <w:sz w:val="24"/>
        </w:rPr>
        <w:t>“</w:t>
      </w:r>
      <w:r>
        <w:rPr>
          <w:rFonts w:ascii="宋体" w:hAnsi="宋体" w:hint="eastAsia"/>
          <w:color w:val="000000"/>
          <w:sz w:val="24"/>
        </w:rPr>
        <w:t>召集人</w:t>
      </w:r>
      <w:r>
        <w:rPr>
          <w:rFonts w:ascii="宋体" w:hAnsi="宋体"/>
          <w:color w:val="000000"/>
          <w:sz w:val="24"/>
        </w:rPr>
        <w:t>”)</w:t>
      </w:r>
      <w:r>
        <w:rPr>
          <w:rFonts w:ascii="宋体" w:hAnsi="宋体" w:hint="eastAsia"/>
          <w:color w:val="000000"/>
          <w:sz w:val="24"/>
        </w:rPr>
        <w:t>负责</w:t>
      </w:r>
      <w:r>
        <w:rPr>
          <w:rStyle w:val="read"/>
          <w:rFonts w:ascii="宋体" w:hAnsi="宋体" w:hint="eastAsia"/>
          <w:color w:val="000000"/>
          <w:sz w:val="24"/>
          <w:szCs w:val="21"/>
        </w:rPr>
        <w:t>选择确定开会时间、地点、方式和权益登记日。</w:t>
      </w:r>
      <w:r>
        <w:rPr>
          <w:rFonts w:ascii="宋体" w:hAnsi="宋体" w:hint="eastAsia"/>
          <w:color w:val="000000"/>
          <w:sz w:val="24"/>
        </w:rPr>
        <w:t>召开基金份额持有人大会，召集人必须于会议召开日前40日在指定媒体公告。基金份额持有人大会通知须至少载明以下内容：</w:t>
      </w:r>
    </w:p>
    <w:p w14:paraId="4B092EAE" w14:textId="77777777" w:rsidR="00CF57A4" w:rsidRDefault="00B13D46">
      <w:pPr>
        <w:spacing w:line="360" w:lineRule="auto"/>
        <w:ind w:firstLineChars="200" w:firstLine="480"/>
        <w:rPr>
          <w:rFonts w:ascii="宋体" w:hAnsi="宋体"/>
          <w:color w:val="000000"/>
          <w:sz w:val="24"/>
        </w:rPr>
      </w:pPr>
      <w:r>
        <w:rPr>
          <w:rFonts w:ascii="宋体" w:hAnsi="宋体"/>
          <w:color w:val="000000"/>
          <w:sz w:val="24"/>
        </w:rPr>
        <w:t>1)</w:t>
      </w:r>
      <w:r>
        <w:rPr>
          <w:rFonts w:ascii="宋体" w:hAnsi="宋体" w:hint="eastAsia"/>
          <w:color w:val="000000"/>
          <w:sz w:val="24"/>
        </w:rPr>
        <w:t>会议召开的时间、地点和出席方式；</w:t>
      </w:r>
    </w:p>
    <w:p w14:paraId="3A50A8E5" w14:textId="77777777" w:rsidR="00CF57A4" w:rsidRDefault="00B13D46">
      <w:pPr>
        <w:spacing w:line="360" w:lineRule="auto"/>
        <w:ind w:firstLineChars="200" w:firstLine="480"/>
        <w:rPr>
          <w:rFonts w:ascii="宋体" w:hAnsi="宋体"/>
          <w:color w:val="000000"/>
          <w:sz w:val="24"/>
        </w:rPr>
      </w:pPr>
      <w:r>
        <w:rPr>
          <w:rFonts w:ascii="宋体" w:hAnsi="宋体"/>
          <w:color w:val="000000"/>
          <w:sz w:val="24"/>
        </w:rPr>
        <w:t>2)</w:t>
      </w:r>
      <w:r>
        <w:rPr>
          <w:rFonts w:ascii="宋体" w:hAnsi="宋体" w:hint="eastAsia"/>
          <w:color w:val="000000"/>
          <w:sz w:val="24"/>
        </w:rPr>
        <w:t>会议拟审议的主要事项；</w:t>
      </w:r>
    </w:p>
    <w:p w14:paraId="436C314F" w14:textId="77777777" w:rsidR="00CF57A4" w:rsidRDefault="00B13D46">
      <w:pPr>
        <w:spacing w:line="360" w:lineRule="auto"/>
        <w:ind w:firstLineChars="200" w:firstLine="480"/>
        <w:rPr>
          <w:rFonts w:ascii="宋体" w:hAnsi="宋体"/>
          <w:color w:val="000000"/>
          <w:sz w:val="24"/>
        </w:rPr>
      </w:pPr>
      <w:r>
        <w:rPr>
          <w:rFonts w:ascii="宋体" w:hAnsi="宋体"/>
          <w:color w:val="000000"/>
          <w:sz w:val="24"/>
        </w:rPr>
        <w:t>3)</w:t>
      </w:r>
      <w:r>
        <w:rPr>
          <w:rFonts w:ascii="宋体" w:hAnsi="宋体" w:hint="eastAsia"/>
          <w:color w:val="000000"/>
          <w:sz w:val="24"/>
        </w:rPr>
        <w:t>会议形式；</w:t>
      </w:r>
    </w:p>
    <w:p w14:paraId="28AC6E8E" w14:textId="77777777" w:rsidR="00CF57A4" w:rsidRDefault="00B13D46">
      <w:pPr>
        <w:spacing w:line="360" w:lineRule="auto"/>
        <w:ind w:firstLineChars="200" w:firstLine="480"/>
        <w:rPr>
          <w:rFonts w:ascii="宋体" w:hAnsi="宋体"/>
          <w:color w:val="000000"/>
          <w:sz w:val="24"/>
        </w:rPr>
      </w:pPr>
      <w:r>
        <w:rPr>
          <w:rFonts w:ascii="宋体" w:hAnsi="宋体"/>
          <w:color w:val="000000"/>
          <w:sz w:val="24"/>
        </w:rPr>
        <w:t>4)</w:t>
      </w:r>
      <w:r>
        <w:rPr>
          <w:rFonts w:ascii="宋体" w:hAnsi="宋体" w:hint="eastAsia"/>
          <w:color w:val="000000"/>
          <w:sz w:val="24"/>
        </w:rPr>
        <w:t>议事程序；</w:t>
      </w:r>
    </w:p>
    <w:p w14:paraId="7A1A02AB" w14:textId="77777777" w:rsidR="00CF57A4" w:rsidRDefault="00B13D46">
      <w:pPr>
        <w:spacing w:line="360" w:lineRule="auto"/>
        <w:ind w:firstLineChars="200" w:firstLine="480"/>
        <w:rPr>
          <w:rFonts w:ascii="宋体" w:hAnsi="宋体"/>
          <w:color w:val="000000"/>
          <w:sz w:val="24"/>
        </w:rPr>
      </w:pPr>
      <w:r>
        <w:rPr>
          <w:rFonts w:ascii="宋体" w:hAnsi="宋体"/>
          <w:color w:val="000000"/>
          <w:sz w:val="24"/>
        </w:rPr>
        <w:t>5)</w:t>
      </w:r>
      <w:r>
        <w:rPr>
          <w:rFonts w:ascii="宋体" w:hAnsi="宋体" w:hint="eastAsia"/>
          <w:color w:val="000000"/>
          <w:sz w:val="24"/>
        </w:rPr>
        <w:t>有权出席基金份额持有人大会的基金份额持有人的权益登记日；</w:t>
      </w:r>
    </w:p>
    <w:p w14:paraId="52E54618" w14:textId="77777777" w:rsidR="00CF57A4" w:rsidRDefault="00B13D46">
      <w:pPr>
        <w:spacing w:line="360" w:lineRule="auto"/>
        <w:ind w:firstLineChars="200" w:firstLine="480"/>
        <w:rPr>
          <w:rFonts w:ascii="宋体" w:hAnsi="宋体"/>
          <w:color w:val="000000"/>
          <w:sz w:val="24"/>
        </w:rPr>
      </w:pPr>
      <w:r>
        <w:rPr>
          <w:rFonts w:ascii="宋体" w:hAnsi="宋体"/>
          <w:color w:val="000000"/>
          <w:sz w:val="24"/>
        </w:rPr>
        <w:t>6)</w:t>
      </w:r>
      <w:r>
        <w:rPr>
          <w:rFonts w:ascii="宋体" w:hAnsi="宋体" w:hint="eastAsia"/>
          <w:color w:val="000000"/>
          <w:sz w:val="24"/>
        </w:rPr>
        <w:t>授权委托证明的内容要求</w:t>
      </w:r>
      <w:r>
        <w:rPr>
          <w:rFonts w:ascii="宋体" w:hAnsi="宋体"/>
          <w:color w:val="000000"/>
          <w:sz w:val="24"/>
        </w:rPr>
        <w:t>(</w:t>
      </w:r>
      <w:r>
        <w:rPr>
          <w:rFonts w:ascii="宋体" w:hAnsi="宋体" w:hint="eastAsia"/>
          <w:color w:val="000000"/>
          <w:sz w:val="24"/>
        </w:rPr>
        <w:t>包括但不限于代理人身份、代理权限和代理有效期限等</w:t>
      </w:r>
      <w:r>
        <w:rPr>
          <w:rFonts w:ascii="宋体" w:hAnsi="宋体"/>
          <w:color w:val="000000"/>
          <w:sz w:val="24"/>
        </w:rPr>
        <w:t>)</w:t>
      </w:r>
      <w:r>
        <w:rPr>
          <w:rFonts w:ascii="宋体" w:hAnsi="宋体" w:hint="eastAsia"/>
          <w:color w:val="000000"/>
          <w:sz w:val="24"/>
        </w:rPr>
        <w:t>、送达时间和地点；</w:t>
      </w:r>
    </w:p>
    <w:p w14:paraId="40BED6D1" w14:textId="77777777" w:rsidR="00CF57A4" w:rsidRDefault="00B13D46">
      <w:pPr>
        <w:spacing w:line="360" w:lineRule="auto"/>
        <w:ind w:firstLineChars="200" w:firstLine="480"/>
        <w:rPr>
          <w:rFonts w:ascii="宋体" w:hAnsi="宋体"/>
          <w:color w:val="000000"/>
          <w:sz w:val="24"/>
        </w:rPr>
      </w:pPr>
      <w:r>
        <w:rPr>
          <w:rFonts w:ascii="宋体" w:hAnsi="宋体"/>
          <w:color w:val="000000"/>
          <w:sz w:val="24"/>
        </w:rPr>
        <w:t>7)</w:t>
      </w:r>
      <w:r>
        <w:rPr>
          <w:rFonts w:ascii="宋体" w:hAnsi="宋体" w:hint="eastAsia"/>
          <w:color w:val="000000"/>
          <w:sz w:val="24"/>
        </w:rPr>
        <w:t>表决方式；</w:t>
      </w:r>
    </w:p>
    <w:p w14:paraId="7443F06E" w14:textId="77777777" w:rsidR="00CF57A4" w:rsidRDefault="00B13D46">
      <w:pPr>
        <w:spacing w:line="360" w:lineRule="auto"/>
        <w:ind w:firstLineChars="200" w:firstLine="480"/>
        <w:rPr>
          <w:rFonts w:ascii="宋体" w:hAnsi="宋体"/>
          <w:color w:val="000000"/>
          <w:sz w:val="24"/>
        </w:rPr>
      </w:pPr>
      <w:r>
        <w:rPr>
          <w:rFonts w:ascii="宋体" w:hAnsi="宋体"/>
          <w:color w:val="000000"/>
          <w:sz w:val="24"/>
        </w:rPr>
        <w:t>8)</w:t>
      </w:r>
      <w:r>
        <w:rPr>
          <w:rFonts w:ascii="宋体" w:hAnsi="宋体" w:hint="eastAsia"/>
          <w:color w:val="000000"/>
          <w:sz w:val="24"/>
        </w:rPr>
        <w:t>会务常设联系人姓名、电话；</w:t>
      </w:r>
    </w:p>
    <w:p w14:paraId="6D6BAA5D" w14:textId="77777777" w:rsidR="00CF57A4" w:rsidRDefault="00B13D46">
      <w:pPr>
        <w:spacing w:line="360" w:lineRule="auto"/>
        <w:ind w:firstLineChars="200" w:firstLine="480"/>
        <w:rPr>
          <w:rFonts w:ascii="宋体" w:hAnsi="宋体"/>
          <w:color w:val="000000"/>
          <w:sz w:val="24"/>
        </w:rPr>
      </w:pPr>
      <w:r>
        <w:rPr>
          <w:rFonts w:ascii="宋体" w:hAnsi="宋体"/>
          <w:color w:val="000000"/>
          <w:sz w:val="24"/>
        </w:rPr>
        <w:t>9)</w:t>
      </w:r>
      <w:r>
        <w:rPr>
          <w:rFonts w:ascii="宋体" w:hAnsi="宋体" w:hint="eastAsia"/>
          <w:color w:val="000000"/>
          <w:sz w:val="24"/>
        </w:rPr>
        <w:t>出席会议者必须准备的文件和必须履行的手续；</w:t>
      </w:r>
    </w:p>
    <w:p w14:paraId="56739C1B" w14:textId="77777777" w:rsidR="00CF57A4" w:rsidRDefault="00B13D46">
      <w:pPr>
        <w:spacing w:line="360" w:lineRule="auto"/>
        <w:ind w:firstLineChars="200" w:firstLine="480"/>
        <w:rPr>
          <w:rFonts w:ascii="宋体" w:hAnsi="宋体"/>
          <w:color w:val="000000"/>
          <w:sz w:val="24"/>
        </w:rPr>
      </w:pPr>
      <w:r>
        <w:rPr>
          <w:rFonts w:ascii="宋体" w:hAnsi="宋体"/>
          <w:color w:val="000000"/>
          <w:sz w:val="24"/>
        </w:rPr>
        <w:t>10)</w:t>
      </w:r>
      <w:r>
        <w:rPr>
          <w:rFonts w:ascii="宋体" w:hAnsi="宋体" w:hint="eastAsia"/>
          <w:color w:val="000000"/>
          <w:sz w:val="24"/>
        </w:rPr>
        <w:t>召集人需要通知的其他事项。</w:t>
      </w:r>
    </w:p>
    <w:p w14:paraId="2C38AE6C" w14:textId="77777777" w:rsidR="00CF57A4" w:rsidRDefault="00B13D46">
      <w:pPr>
        <w:spacing w:line="420" w:lineRule="auto"/>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2</w:t>
      </w:r>
      <w:r>
        <w:rPr>
          <w:rFonts w:ascii="宋体" w:hAnsi="宋体" w:hint="eastAsia"/>
          <w:color w:val="000000"/>
          <w:sz w:val="24"/>
        </w:rPr>
        <w:t>）采用通讯方式开会并进行表决的情况下，由召集人决定通讯方式和书面表决方式，并在会议通知中说明本次基金份额持有人大会所采取的具体通讯方式、委托的公证机关及其联系方式和联系人、书面表决意见的寄交的截止时间和收取</w:t>
      </w:r>
      <w:r>
        <w:rPr>
          <w:rFonts w:ascii="宋体" w:hAnsi="宋体" w:hint="eastAsia"/>
          <w:color w:val="000000"/>
          <w:sz w:val="24"/>
        </w:rPr>
        <w:lastRenderedPageBreak/>
        <w:t>方式。</w:t>
      </w:r>
    </w:p>
    <w:p w14:paraId="15882D51" w14:textId="77777777" w:rsidR="00CF57A4" w:rsidRDefault="00B13D46">
      <w:pPr>
        <w:spacing w:line="420" w:lineRule="auto"/>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3</w:t>
      </w:r>
      <w:r>
        <w:rPr>
          <w:rFonts w:ascii="宋体" w:hAnsi="宋体" w:hint="eastAsia"/>
          <w:color w:val="000000"/>
          <w:sz w:val="24"/>
        </w:rPr>
        <w:t>）如召集人为基金管理人，还应另行书面通知基金托管人到指定地点对书面表决意见的计票进行监督；如召集人为基金托管人，则应另行书面通知基金管理人到指定地点对书面表决意见的计票进行监督；如召集人为基金份额持有人，则应另行书面通知基金管理人和基金托管人到指定地点对书面表决意见的计票进行监督。基金管理人或基金托管人拒不派代表对书面表决意见的计票进行监督的，不影响计票和表决结果。</w:t>
      </w:r>
    </w:p>
    <w:p w14:paraId="243F4C3A" w14:textId="77777777" w:rsidR="00CF57A4" w:rsidRDefault="00B13D46">
      <w:pPr>
        <w:spacing w:line="360" w:lineRule="auto"/>
        <w:ind w:firstLineChars="200" w:firstLine="480"/>
        <w:rPr>
          <w:rFonts w:ascii="宋体" w:hAnsi="宋体"/>
          <w:color w:val="000000"/>
          <w:sz w:val="24"/>
          <w:szCs w:val="18"/>
        </w:rPr>
      </w:pPr>
      <w:r>
        <w:rPr>
          <w:rFonts w:ascii="宋体" w:hAnsi="宋体" w:hint="eastAsia"/>
          <w:color w:val="000000"/>
          <w:sz w:val="24"/>
          <w:szCs w:val="18"/>
        </w:rPr>
        <w:t>5、基金份额持有人出席会议的方式</w:t>
      </w:r>
    </w:p>
    <w:p w14:paraId="2B5C11B5"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szCs w:val="18"/>
        </w:rPr>
        <w:t>（</w:t>
      </w:r>
      <w:r>
        <w:rPr>
          <w:rFonts w:ascii="宋体" w:hAnsi="宋体"/>
          <w:color w:val="000000"/>
          <w:sz w:val="24"/>
          <w:szCs w:val="18"/>
        </w:rPr>
        <w:t>1</w:t>
      </w:r>
      <w:r>
        <w:rPr>
          <w:rFonts w:ascii="宋体" w:hAnsi="宋体" w:hint="eastAsia"/>
          <w:color w:val="000000"/>
          <w:sz w:val="24"/>
          <w:szCs w:val="18"/>
        </w:rPr>
        <w:t>）会议方式</w:t>
      </w:r>
    </w:p>
    <w:p w14:paraId="06200EEB" w14:textId="77777777" w:rsidR="00CF57A4" w:rsidRDefault="00B13D46">
      <w:pPr>
        <w:spacing w:line="360" w:lineRule="auto"/>
        <w:ind w:firstLineChars="200" w:firstLine="480"/>
        <w:rPr>
          <w:rFonts w:ascii="宋体" w:hAnsi="宋体"/>
          <w:color w:val="000000"/>
          <w:sz w:val="24"/>
        </w:rPr>
      </w:pPr>
      <w:bookmarkStart w:id="188" w:name="OLE_LINK1"/>
      <w:r>
        <w:rPr>
          <w:rFonts w:ascii="宋体" w:hAnsi="宋体"/>
          <w:color w:val="000000"/>
          <w:sz w:val="24"/>
        </w:rPr>
        <w:t>1)</w:t>
      </w:r>
      <w:r>
        <w:rPr>
          <w:rFonts w:ascii="宋体" w:hAnsi="宋体" w:hint="eastAsia"/>
          <w:color w:val="000000"/>
          <w:sz w:val="24"/>
        </w:rPr>
        <w:t>基金份额持有人大会的召开方式包括现场开会、通讯方式开会或法律法规和监管机关允许的其他方式。</w:t>
      </w:r>
    </w:p>
    <w:p w14:paraId="16E90FC3" w14:textId="77777777" w:rsidR="00CF57A4" w:rsidRDefault="00B13D46">
      <w:pPr>
        <w:spacing w:line="360" w:lineRule="auto"/>
        <w:ind w:firstLineChars="200" w:firstLine="480"/>
        <w:rPr>
          <w:rFonts w:ascii="宋体" w:hAnsi="宋体"/>
          <w:color w:val="000000"/>
          <w:sz w:val="24"/>
        </w:rPr>
      </w:pPr>
      <w:r>
        <w:rPr>
          <w:rFonts w:ascii="宋体" w:hAnsi="宋体"/>
          <w:color w:val="000000"/>
          <w:sz w:val="24"/>
        </w:rPr>
        <w:t>2)</w:t>
      </w:r>
      <w:r>
        <w:rPr>
          <w:rFonts w:ascii="宋体" w:hAnsi="宋体" w:hint="eastAsia"/>
          <w:color w:val="000000"/>
          <w:sz w:val="24"/>
        </w:rPr>
        <w:t>现场开会由基金份额持有人本人出席或通过授权委托证明委派其代理人出席，现场开会时基金管理人和基金托管人的授权代表应当出席，基金管理人或基金托管人拒不派代表出席的，不影响表决效力。</w:t>
      </w:r>
    </w:p>
    <w:bookmarkEnd w:id="188"/>
    <w:p w14:paraId="060E5CC6" w14:textId="77777777" w:rsidR="00CF57A4" w:rsidRDefault="00B13D46">
      <w:pPr>
        <w:spacing w:line="360" w:lineRule="auto"/>
        <w:ind w:firstLineChars="200" w:firstLine="480"/>
        <w:rPr>
          <w:rFonts w:ascii="宋体" w:hAnsi="宋体"/>
          <w:color w:val="000000"/>
          <w:sz w:val="24"/>
        </w:rPr>
      </w:pPr>
      <w:r>
        <w:rPr>
          <w:rFonts w:ascii="宋体" w:hAnsi="宋体"/>
          <w:color w:val="000000"/>
          <w:sz w:val="24"/>
        </w:rPr>
        <w:t>3)</w:t>
      </w:r>
      <w:r>
        <w:rPr>
          <w:rFonts w:ascii="宋体" w:hAnsi="宋体" w:hint="eastAsia"/>
          <w:color w:val="000000"/>
          <w:sz w:val="24"/>
        </w:rPr>
        <w:t>通讯方式开会指按照本基金合同的相关规定以通讯的书面方式进行表决。</w:t>
      </w:r>
    </w:p>
    <w:p w14:paraId="7009BC7E"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2</w:t>
      </w:r>
      <w:r>
        <w:rPr>
          <w:rFonts w:ascii="宋体" w:hAnsi="宋体" w:hint="eastAsia"/>
          <w:color w:val="000000"/>
          <w:sz w:val="24"/>
        </w:rPr>
        <w:t>）召开基金份额持有人大会的条件</w:t>
      </w:r>
    </w:p>
    <w:p w14:paraId="40912030" w14:textId="77777777" w:rsidR="00CF57A4" w:rsidRDefault="00B13D46">
      <w:pPr>
        <w:spacing w:line="360" w:lineRule="auto"/>
        <w:ind w:firstLineChars="200" w:firstLine="480"/>
        <w:rPr>
          <w:rFonts w:ascii="宋体" w:hAnsi="宋体"/>
          <w:color w:val="000000"/>
          <w:sz w:val="24"/>
        </w:rPr>
      </w:pPr>
      <w:r>
        <w:rPr>
          <w:rFonts w:ascii="宋体" w:hAnsi="宋体"/>
          <w:color w:val="000000"/>
          <w:sz w:val="24"/>
        </w:rPr>
        <w:t>1)</w:t>
      </w:r>
      <w:r>
        <w:rPr>
          <w:rFonts w:ascii="宋体" w:hAnsi="宋体" w:hint="eastAsia"/>
          <w:color w:val="000000"/>
          <w:sz w:val="24"/>
        </w:rPr>
        <w:t>现场开会方式</w:t>
      </w:r>
    </w:p>
    <w:p w14:paraId="1A8CB95E"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在同时符合以下条件时，现场会议方可举行：</w:t>
      </w:r>
    </w:p>
    <w:p w14:paraId="23AFFC27"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①经核对、汇总，到会者出示的在权益登记日持有基金份额的凭证显示，全部有效凭证所对应的基金份额应占权益登记日基金总份额的</w:t>
      </w:r>
      <w:r>
        <w:rPr>
          <w:rFonts w:ascii="宋体" w:hAnsi="宋体"/>
          <w:color w:val="000000"/>
          <w:sz w:val="24"/>
        </w:rPr>
        <w:t>50%</w:t>
      </w:r>
      <w:r>
        <w:rPr>
          <w:rFonts w:ascii="宋体" w:hAnsi="宋体" w:hint="eastAsia"/>
          <w:color w:val="000000"/>
          <w:sz w:val="24"/>
        </w:rPr>
        <w:t>以上；</w:t>
      </w:r>
    </w:p>
    <w:p w14:paraId="31693611"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②亲自出席会议者持有基金份额持有人凭证和受托出席会议者出具的委托人持有基金份额的凭证及授权委托证明等文件符合有关法律法规和基金合同及会议通知的规定，</w:t>
      </w:r>
      <w:r>
        <w:rPr>
          <w:rFonts w:hAnsi="宋体"/>
          <w:color w:val="000000"/>
          <w:sz w:val="24"/>
        </w:rPr>
        <w:t>并且持有基金份额的凭证与基金管理人持有的登记资料相符</w:t>
      </w:r>
      <w:r>
        <w:rPr>
          <w:rFonts w:ascii="宋体" w:hAnsi="宋体" w:hint="eastAsia"/>
          <w:color w:val="000000"/>
          <w:sz w:val="24"/>
        </w:rPr>
        <w:t>。</w:t>
      </w:r>
    </w:p>
    <w:p w14:paraId="2C4BF21C"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未能满足上述条件的情况下，则召集人可另行确定并公告重新开会的时间</w:t>
      </w:r>
      <w:r>
        <w:rPr>
          <w:rFonts w:ascii="宋体" w:hAnsi="宋体"/>
          <w:color w:val="000000"/>
          <w:sz w:val="24"/>
        </w:rPr>
        <w:t>(</w:t>
      </w:r>
      <w:r>
        <w:rPr>
          <w:rFonts w:ascii="宋体" w:hAnsi="宋体" w:hint="eastAsia"/>
          <w:color w:val="000000"/>
          <w:sz w:val="24"/>
        </w:rPr>
        <w:t>至少应在</w:t>
      </w:r>
      <w:r>
        <w:rPr>
          <w:rFonts w:ascii="宋体" w:hAnsi="宋体"/>
          <w:color w:val="000000"/>
          <w:sz w:val="24"/>
        </w:rPr>
        <w:t>25</w:t>
      </w:r>
      <w:r>
        <w:rPr>
          <w:rFonts w:ascii="宋体" w:hAnsi="宋体" w:hint="eastAsia"/>
          <w:color w:val="000000"/>
          <w:sz w:val="24"/>
        </w:rPr>
        <w:t>个工作日后</w:t>
      </w:r>
      <w:r>
        <w:rPr>
          <w:rFonts w:ascii="宋体" w:hAnsi="宋体"/>
          <w:color w:val="000000"/>
          <w:sz w:val="24"/>
        </w:rPr>
        <w:t>)</w:t>
      </w:r>
      <w:r>
        <w:rPr>
          <w:rFonts w:ascii="宋体" w:hAnsi="宋体" w:hint="eastAsia"/>
          <w:color w:val="000000"/>
          <w:sz w:val="24"/>
        </w:rPr>
        <w:t>和地点，但确定有权出席会议的基金份额持有人资格的权益登记日不变。</w:t>
      </w:r>
    </w:p>
    <w:p w14:paraId="7893DE08" w14:textId="77777777" w:rsidR="00CF57A4" w:rsidRDefault="00B13D46">
      <w:pPr>
        <w:spacing w:line="360" w:lineRule="auto"/>
        <w:ind w:firstLineChars="200" w:firstLine="480"/>
        <w:rPr>
          <w:rFonts w:ascii="宋体" w:hAnsi="宋体"/>
          <w:color w:val="000000"/>
          <w:sz w:val="24"/>
        </w:rPr>
      </w:pPr>
      <w:r>
        <w:rPr>
          <w:rFonts w:ascii="宋体" w:hAnsi="宋体"/>
          <w:color w:val="000000"/>
          <w:sz w:val="24"/>
        </w:rPr>
        <w:t>2)</w:t>
      </w:r>
      <w:r>
        <w:rPr>
          <w:rFonts w:ascii="宋体" w:hAnsi="宋体" w:hint="eastAsia"/>
          <w:color w:val="000000"/>
          <w:sz w:val="24"/>
        </w:rPr>
        <w:t>通讯开会方式</w:t>
      </w:r>
    </w:p>
    <w:p w14:paraId="5BB9CC25"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在同时符合以下条件时，通讯会议方可举行：</w:t>
      </w:r>
    </w:p>
    <w:p w14:paraId="01D98F5F"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lastRenderedPageBreak/>
        <w:t>①召集人按本基金合同规定公布会议通知后，在</w:t>
      </w:r>
      <w:r>
        <w:rPr>
          <w:rFonts w:ascii="宋体" w:hAnsi="宋体"/>
          <w:color w:val="000000"/>
          <w:sz w:val="24"/>
        </w:rPr>
        <w:t>2</w:t>
      </w:r>
      <w:r>
        <w:rPr>
          <w:rFonts w:ascii="宋体" w:hAnsi="宋体" w:hint="eastAsia"/>
          <w:color w:val="000000"/>
          <w:sz w:val="24"/>
        </w:rPr>
        <w:t>个工作日内连续公布相关提示性公告；</w:t>
      </w:r>
    </w:p>
    <w:p w14:paraId="125DE085"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②召集人在基金托管人</w:t>
      </w:r>
      <w:r>
        <w:rPr>
          <w:rFonts w:ascii="宋体" w:hAnsi="宋体"/>
          <w:color w:val="000000"/>
          <w:sz w:val="24"/>
        </w:rPr>
        <w:t>(</w:t>
      </w:r>
      <w:r>
        <w:rPr>
          <w:rFonts w:ascii="宋体" w:hAnsi="宋体" w:hint="eastAsia"/>
          <w:color w:val="000000"/>
          <w:sz w:val="24"/>
        </w:rPr>
        <w:t>如果基金托管人为召集人，则为基金管理人</w:t>
      </w:r>
      <w:r>
        <w:rPr>
          <w:rFonts w:ascii="宋体" w:hAnsi="宋体"/>
          <w:color w:val="000000"/>
          <w:sz w:val="24"/>
        </w:rPr>
        <w:t>)</w:t>
      </w:r>
      <w:r>
        <w:rPr>
          <w:rFonts w:ascii="宋体" w:hAnsi="宋体" w:hint="eastAsia"/>
          <w:color w:val="000000"/>
          <w:sz w:val="24"/>
        </w:rPr>
        <w:t>和公证机关的监督下按照会议通知规定的方式收取和统计基金份额持有人的书面表决意见，基金管理人或基金托管人经通知拒不参加收取和统计书面表决意见的，不影响表决效力；</w:t>
      </w:r>
    </w:p>
    <w:p w14:paraId="367AF9DA"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③本人直接出具书面意见或授权他人代表出具书面意见的基金份额持有人所代表的基金份额应占权益登记日基金总份额的</w:t>
      </w:r>
      <w:r>
        <w:rPr>
          <w:rFonts w:ascii="宋体" w:hAnsi="宋体"/>
          <w:color w:val="000000"/>
          <w:sz w:val="24"/>
        </w:rPr>
        <w:t>50%</w:t>
      </w:r>
      <w:r>
        <w:rPr>
          <w:rFonts w:ascii="宋体" w:hAnsi="宋体" w:hint="eastAsia"/>
          <w:color w:val="000000"/>
          <w:sz w:val="24"/>
        </w:rPr>
        <w:t>以上；</w:t>
      </w:r>
    </w:p>
    <w:p w14:paraId="26CFFF22"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④直接出具书面意见的基金份额持有人或受托代表他人出具书面意见的代表，同时提交的持有基金份额的凭证和受托出席会议者出具的委托人持有基金份额的凭证和授权委托证明等文件符合法律法规、基金合同和会议通知的规定，并与注册登记机构记录相符；</w:t>
      </w:r>
    </w:p>
    <w:p w14:paraId="147B7426"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如果开会条件达不到上述的条件，则召集人可另行确定并公告重新表决的时间</w:t>
      </w:r>
      <w:r>
        <w:rPr>
          <w:rFonts w:ascii="宋体" w:hAnsi="宋体"/>
          <w:color w:val="000000"/>
          <w:sz w:val="24"/>
        </w:rPr>
        <w:t>(</w:t>
      </w:r>
      <w:r>
        <w:rPr>
          <w:rFonts w:ascii="宋体" w:hAnsi="宋体" w:hint="eastAsia"/>
          <w:color w:val="000000"/>
          <w:sz w:val="24"/>
        </w:rPr>
        <w:t>至少应在25个工作日后</w:t>
      </w:r>
      <w:r>
        <w:rPr>
          <w:rFonts w:ascii="宋体" w:hAnsi="宋体"/>
          <w:color w:val="000000"/>
          <w:sz w:val="24"/>
        </w:rPr>
        <w:t>)</w:t>
      </w:r>
      <w:r>
        <w:rPr>
          <w:rFonts w:ascii="宋体" w:hAnsi="宋体" w:hint="eastAsia"/>
          <w:color w:val="000000"/>
          <w:sz w:val="24"/>
        </w:rPr>
        <w:t>，且确定有权出席会议的基金份额持有人资格的权益登记日不变。</w:t>
      </w:r>
    </w:p>
    <w:p w14:paraId="5F23A381"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3)在法律法规或监管机构允许的情况下，经会议通知载明，基金份额持有人也可以采用网络、电话或其他方式进行表决，或者采用网络、电话或其他方式授权他人代为出席会议并表决。</w:t>
      </w:r>
    </w:p>
    <w:p w14:paraId="75447390"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szCs w:val="18"/>
        </w:rPr>
        <w:t>6、议事内容与程序</w:t>
      </w:r>
    </w:p>
    <w:p w14:paraId="5E124423"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1</w:t>
      </w:r>
      <w:r>
        <w:rPr>
          <w:rFonts w:ascii="宋体" w:hAnsi="宋体" w:hint="eastAsia"/>
          <w:color w:val="000000"/>
          <w:sz w:val="24"/>
        </w:rPr>
        <w:t>）议事内容及提案权</w:t>
      </w:r>
    </w:p>
    <w:p w14:paraId="7DCCD10C" w14:textId="77777777" w:rsidR="00CF57A4" w:rsidRDefault="00B13D46">
      <w:pPr>
        <w:spacing w:line="360" w:lineRule="auto"/>
        <w:ind w:firstLineChars="200" w:firstLine="480"/>
        <w:rPr>
          <w:rFonts w:ascii="宋体" w:hAnsi="宋体"/>
          <w:color w:val="000000"/>
          <w:sz w:val="24"/>
        </w:rPr>
      </w:pPr>
      <w:r>
        <w:rPr>
          <w:rFonts w:ascii="宋体" w:hAnsi="宋体"/>
          <w:color w:val="000000"/>
          <w:sz w:val="24"/>
        </w:rPr>
        <w:t>1)</w:t>
      </w:r>
      <w:r>
        <w:rPr>
          <w:rFonts w:ascii="宋体" w:hAnsi="宋体" w:hint="eastAsia"/>
          <w:color w:val="000000"/>
          <w:sz w:val="24"/>
        </w:rPr>
        <w:t>议事内容为本基金合同规定的召开基金份额持有人大会事由所涉及的内容以及会议召集人认为需提交基金份额持有人大会讨论的其他事项。</w:t>
      </w:r>
    </w:p>
    <w:p w14:paraId="357CAD80" w14:textId="77777777" w:rsidR="00CF57A4" w:rsidRDefault="00B13D46">
      <w:pPr>
        <w:spacing w:line="360" w:lineRule="auto"/>
        <w:ind w:firstLineChars="200" w:firstLine="480"/>
        <w:rPr>
          <w:rFonts w:ascii="宋体" w:hAnsi="宋体"/>
          <w:color w:val="000000"/>
          <w:sz w:val="24"/>
        </w:rPr>
      </w:pPr>
      <w:r>
        <w:rPr>
          <w:rFonts w:ascii="宋体" w:hAnsi="宋体"/>
          <w:color w:val="000000"/>
          <w:sz w:val="24"/>
        </w:rPr>
        <w:t>2)</w:t>
      </w:r>
      <w:r>
        <w:rPr>
          <w:rFonts w:ascii="宋体" w:hAnsi="宋体" w:hint="eastAsia"/>
          <w:color w:val="000000"/>
          <w:sz w:val="24"/>
        </w:rPr>
        <w:t>基金管理人、基金托管人、单独或合并持有权益登记日本基金总份额</w:t>
      </w:r>
      <w:r>
        <w:rPr>
          <w:rFonts w:ascii="宋体" w:hAnsi="宋体"/>
          <w:color w:val="000000"/>
          <w:sz w:val="24"/>
        </w:rPr>
        <w:t>10%</w:t>
      </w:r>
      <w:r>
        <w:rPr>
          <w:rFonts w:ascii="宋体" w:hAnsi="宋体" w:hint="eastAsia"/>
          <w:color w:val="000000"/>
          <w:sz w:val="24"/>
        </w:rPr>
        <w:t>以上的基金份额持有人可以在大会召集人发出会议通知前就召开事由向大会召集人提交需由基金份额持有人大会审议表决的提案；也可以在会议通知发出后向大会召集人提交临时提案，临时提案应当在大会召开日前</w:t>
      </w:r>
      <w:r>
        <w:rPr>
          <w:rFonts w:ascii="宋体" w:hAnsi="宋体"/>
          <w:color w:val="000000"/>
          <w:sz w:val="24"/>
        </w:rPr>
        <w:t>35</w:t>
      </w:r>
      <w:r>
        <w:rPr>
          <w:rFonts w:ascii="宋体" w:hAnsi="宋体" w:hint="eastAsia"/>
          <w:color w:val="000000"/>
          <w:sz w:val="24"/>
        </w:rPr>
        <w:t>日提交召集人。召集人对于临时提案应当在大会召开日前</w:t>
      </w:r>
      <w:r>
        <w:rPr>
          <w:rFonts w:ascii="宋体" w:hAnsi="宋体"/>
          <w:color w:val="000000"/>
          <w:sz w:val="24"/>
        </w:rPr>
        <w:t>30</w:t>
      </w:r>
      <w:r>
        <w:rPr>
          <w:rFonts w:ascii="宋体" w:hAnsi="宋体" w:hint="eastAsia"/>
          <w:color w:val="000000"/>
          <w:sz w:val="24"/>
        </w:rPr>
        <w:t>日公告。否则，会议的召开日期应当顺延并保证至少与临时提案公告日期有</w:t>
      </w:r>
      <w:r>
        <w:rPr>
          <w:rFonts w:ascii="宋体" w:hAnsi="宋体"/>
          <w:color w:val="000000"/>
          <w:sz w:val="24"/>
        </w:rPr>
        <w:t>30</w:t>
      </w:r>
      <w:r>
        <w:rPr>
          <w:rFonts w:ascii="宋体" w:hAnsi="宋体" w:hint="eastAsia"/>
          <w:color w:val="000000"/>
          <w:sz w:val="24"/>
        </w:rPr>
        <w:t>日的间隔期。</w:t>
      </w:r>
    </w:p>
    <w:p w14:paraId="0B18CFF6" w14:textId="77777777" w:rsidR="00CF57A4" w:rsidRDefault="00B13D46">
      <w:pPr>
        <w:spacing w:line="360" w:lineRule="auto"/>
        <w:ind w:firstLineChars="200" w:firstLine="480"/>
        <w:rPr>
          <w:rFonts w:ascii="宋体" w:hAnsi="宋体"/>
          <w:color w:val="000000"/>
          <w:sz w:val="24"/>
        </w:rPr>
      </w:pPr>
      <w:r>
        <w:rPr>
          <w:rFonts w:ascii="宋体" w:hAnsi="宋体"/>
          <w:color w:val="000000"/>
          <w:sz w:val="24"/>
        </w:rPr>
        <w:t>3)</w:t>
      </w:r>
      <w:r>
        <w:rPr>
          <w:rFonts w:ascii="宋体" w:hAnsi="宋体" w:hint="eastAsia"/>
          <w:color w:val="000000"/>
          <w:sz w:val="24"/>
        </w:rPr>
        <w:t>对于基金份额持有人提交的提案</w:t>
      </w:r>
      <w:r>
        <w:rPr>
          <w:rFonts w:ascii="宋体" w:hAnsi="宋体"/>
          <w:color w:val="000000"/>
          <w:sz w:val="24"/>
        </w:rPr>
        <w:t>(</w:t>
      </w:r>
      <w:r>
        <w:rPr>
          <w:rFonts w:ascii="宋体" w:hAnsi="宋体" w:hint="eastAsia"/>
          <w:color w:val="000000"/>
          <w:sz w:val="24"/>
        </w:rPr>
        <w:t>包括临时提案</w:t>
      </w:r>
      <w:r>
        <w:rPr>
          <w:rFonts w:ascii="宋体" w:hAnsi="宋体"/>
          <w:color w:val="000000"/>
          <w:sz w:val="24"/>
        </w:rPr>
        <w:t>)</w:t>
      </w:r>
      <w:r>
        <w:rPr>
          <w:rFonts w:ascii="宋体" w:hAnsi="宋体" w:hint="eastAsia"/>
          <w:color w:val="000000"/>
          <w:sz w:val="24"/>
        </w:rPr>
        <w:t>，大会召集人应当按照以</w:t>
      </w:r>
      <w:r>
        <w:rPr>
          <w:rFonts w:ascii="宋体" w:hAnsi="宋体" w:hint="eastAsia"/>
          <w:color w:val="000000"/>
          <w:sz w:val="24"/>
        </w:rPr>
        <w:lastRenderedPageBreak/>
        <w:t>下原则对提案进行审核：</w:t>
      </w:r>
    </w:p>
    <w:p w14:paraId="51EEB648"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关联性。大会召集人对于基金份额持有人提案涉及事项与基金有直接关系，并且不超出法律法规和基金合同规定的基金份额持有人大会职权范围的，应提交大会审议；对于不符合上述要求的，不提交基金份额持有人大会审议。如果召集人决定不将基金份额持有人提案提交大会表决，应当在该次基金份额持有人大会上进行解释和说明。</w:t>
      </w:r>
    </w:p>
    <w:p w14:paraId="4DD3BE8C"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程序性。大会召集人可以对基金份额持有人的提案涉及的程序性问题作出决定。如将其提案进行分拆或合并表决，需征得原提案人同意；原提案人不同意变更的，大会主持人可以就程序性问题提请基金份额持有人大会作出决定，并按照基金份额持有人大会决定的程序进行审议。</w:t>
      </w:r>
    </w:p>
    <w:p w14:paraId="4F41EB42" w14:textId="77777777" w:rsidR="00CF57A4" w:rsidRDefault="00B13D46">
      <w:pPr>
        <w:spacing w:line="360" w:lineRule="auto"/>
        <w:ind w:firstLineChars="200" w:firstLine="480"/>
        <w:rPr>
          <w:rFonts w:ascii="宋体" w:hAnsi="宋体"/>
          <w:color w:val="000000"/>
          <w:sz w:val="24"/>
        </w:rPr>
      </w:pPr>
      <w:r>
        <w:rPr>
          <w:rFonts w:ascii="宋体" w:hAnsi="宋体"/>
          <w:color w:val="000000"/>
          <w:sz w:val="24"/>
          <w:szCs w:val="21"/>
        </w:rPr>
        <w:t>4)</w:t>
      </w:r>
      <w:r>
        <w:rPr>
          <w:rFonts w:ascii="宋体" w:hAnsi="宋体" w:hint="eastAsia"/>
          <w:color w:val="000000"/>
          <w:sz w:val="24"/>
          <w:szCs w:val="21"/>
        </w:rPr>
        <w:t>单独或合并持有权益登记日基金总份额</w:t>
      </w:r>
      <w:r>
        <w:rPr>
          <w:rFonts w:ascii="宋体" w:hAnsi="宋体"/>
          <w:color w:val="000000"/>
          <w:sz w:val="24"/>
          <w:szCs w:val="21"/>
        </w:rPr>
        <w:t>10%</w:t>
      </w:r>
      <w:r>
        <w:rPr>
          <w:rFonts w:ascii="宋体" w:hAnsi="宋体" w:hint="eastAsia"/>
          <w:color w:val="000000"/>
          <w:sz w:val="24"/>
          <w:szCs w:val="21"/>
        </w:rPr>
        <w:t>以上的基金份额持有人提交基金份额持有人大会审议表决的提案、</w:t>
      </w:r>
      <w:r>
        <w:rPr>
          <w:rFonts w:ascii="宋体" w:hAnsi="宋体" w:hint="eastAsia"/>
          <w:color w:val="000000"/>
          <w:sz w:val="24"/>
        </w:rPr>
        <w:t>基金管理人或基金托管人提交基金份额持有人大会审议表决的提案，未获基金份额持有人大会审议通过，就同一提案再次提请基金份额持有人大会审议，其时间间隔不少于</w:t>
      </w:r>
      <w:r>
        <w:rPr>
          <w:rFonts w:ascii="宋体" w:hAnsi="宋体"/>
          <w:color w:val="000000"/>
          <w:sz w:val="24"/>
        </w:rPr>
        <w:t>6</w:t>
      </w:r>
      <w:r>
        <w:rPr>
          <w:rFonts w:ascii="宋体" w:hAnsi="宋体" w:hint="eastAsia"/>
          <w:color w:val="000000"/>
          <w:sz w:val="24"/>
        </w:rPr>
        <w:t>个月。法律法规另有规定的除外。</w:t>
      </w:r>
    </w:p>
    <w:p w14:paraId="2EEB1A1F" w14:textId="77777777" w:rsidR="00CF57A4" w:rsidRDefault="00B13D46">
      <w:pPr>
        <w:spacing w:line="360" w:lineRule="auto"/>
        <w:ind w:firstLineChars="200" w:firstLine="480"/>
        <w:rPr>
          <w:rFonts w:ascii="宋体" w:hAnsi="宋体"/>
          <w:color w:val="000000"/>
          <w:sz w:val="24"/>
        </w:rPr>
      </w:pPr>
      <w:r>
        <w:rPr>
          <w:rFonts w:ascii="宋体" w:hAnsi="宋体"/>
          <w:color w:val="000000"/>
          <w:sz w:val="24"/>
        </w:rPr>
        <w:t>5)</w:t>
      </w:r>
      <w:r>
        <w:rPr>
          <w:rFonts w:ascii="宋体" w:hAnsi="宋体" w:hint="eastAsia"/>
          <w:color w:val="000000"/>
          <w:sz w:val="24"/>
        </w:rPr>
        <w:t>基金份额持有人大会的召集人发出召开会议的通知后，如果需要对原有提案进行修改，应当最迟在基金份额持有人大会召开日前</w:t>
      </w:r>
      <w:r>
        <w:rPr>
          <w:rFonts w:ascii="宋体" w:hAnsi="宋体"/>
          <w:color w:val="000000"/>
          <w:sz w:val="24"/>
        </w:rPr>
        <w:t>30</w:t>
      </w:r>
      <w:r>
        <w:rPr>
          <w:rFonts w:ascii="宋体" w:hAnsi="宋体" w:hint="eastAsia"/>
          <w:color w:val="000000"/>
          <w:sz w:val="24"/>
        </w:rPr>
        <w:t>日公告。否则，会议的召开日期应当顺延并保证至少与公告日期有</w:t>
      </w:r>
      <w:r>
        <w:rPr>
          <w:rFonts w:ascii="宋体" w:hAnsi="宋体"/>
          <w:color w:val="000000"/>
          <w:sz w:val="24"/>
        </w:rPr>
        <w:t>30</w:t>
      </w:r>
      <w:r>
        <w:rPr>
          <w:rFonts w:ascii="宋体" w:hAnsi="宋体" w:hint="eastAsia"/>
          <w:color w:val="000000"/>
          <w:sz w:val="24"/>
        </w:rPr>
        <w:t>日的间隔期。</w:t>
      </w:r>
    </w:p>
    <w:p w14:paraId="0C55D442"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2</w:t>
      </w:r>
      <w:r>
        <w:rPr>
          <w:rFonts w:ascii="宋体" w:hAnsi="宋体" w:hint="eastAsia"/>
          <w:color w:val="000000"/>
          <w:sz w:val="24"/>
        </w:rPr>
        <w:t>）议事程序</w:t>
      </w:r>
    </w:p>
    <w:p w14:paraId="53BC95E8" w14:textId="77777777" w:rsidR="00CF57A4" w:rsidRDefault="00B13D46">
      <w:pPr>
        <w:spacing w:line="360" w:lineRule="auto"/>
        <w:ind w:firstLineChars="200" w:firstLine="480"/>
        <w:rPr>
          <w:rFonts w:ascii="宋体" w:hAnsi="宋体"/>
          <w:color w:val="000000"/>
          <w:sz w:val="24"/>
        </w:rPr>
      </w:pPr>
      <w:r>
        <w:rPr>
          <w:rFonts w:ascii="宋体" w:hAnsi="宋体"/>
          <w:color w:val="000000"/>
          <w:sz w:val="24"/>
        </w:rPr>
        <w:t>1)</w:t>
      </w:r>
      <w:r>
        <w:rPr>
          <w:rFonts w:ascii="宋体" w:hAnsi="宋体" w:hint="eastAsia"/>
          <w:color w:val="000000"/>
          <w:sz w:val="24"/>
        </w:rPr>
        <w:t>现场开会</w:t>
      </w:r>
    </w:p>
    <w:p w14:paraId="04CFCC63"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在现场开会的方式下，首先由大会主持人按照规定程序宣布会议议事程序及注意事项，确定和公布监票人，然后由大会主持人宣读提案，经讨论后进行表决，经合法执业的律师见证后形成大会决议。</w:t>
      </w:r>
    </w:p>
    <w:p w14:paraId="32E0A30B"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大会由基金管理人授权代表主持。在基金管理人授权代表未能主持大会的情况下，由基金托管人授权代表主持；如果基金管理人和基金托管人授权代表均未能主持大会，则由出席大会的基金份额持有人和代理人以所代表的基金份额</w:t>
      </w:r>
      <w:r>
        <w:rPr>
          <w:rFonts w:ascii="宋体" w:hAnsi="宋体"/>
          <w:color w:val="000000"/>
          <w:sz w:val="24"/>
        </w:rPr>
        <w:t>50%</w:t>
      </w:r>
      <w:r>
        <w:rPr>
          <w:rFonts w:ascii="宋体" w:hAnsi="宋体" w:hint="eastAsia"/>
          <w:color w:val="000000"/>
          <w:sz w:val="24"/>
        </w:rPr>
        <w:t>以上多数选举产生一名代表作为该次基金份额持有人大会的主持人。基金管理人和基金托管人不出席或主持基金份额持有人大会，不影响基金份额持有人大会作出的决议的效力。</w:t>
      </w:r>
    </w:p>
    <w:p w14:paraId="6EDBB5DC"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lastRenderedPageBreak/>
        <w:t>召集人应当制作出席会议人员的签名册。签名册载明参加会议人员姓名</w:t>
      </w:r>
      <w:r>
        <w:rPr>
          <w:rFonts w:ascii="宋体" w:hAnsi="宋体"/>
          <w:color w:val="000000"/>
          <w:sz w:val="24"/>
        </w:rPr>
        <w:t>(</w:t>
      </w:r>
      <w:r>
        <w:rPr>
          <w:rFonts w:ascii="宋体" w:hAnsi="宋体" w:hint="eastAsia"/>
          <w:color w:val="000000"/>
          <w:sz w:val="24"/>
        </w:rPr>
        <w:t>或单位名称</w:t>
      </w:r>
      <w:r>
        <w:rPr>
          <w:rFonts w:ascii="宋体" w:hAnsi="宋体"/>
          <w:color w:val="000000"/>
          <w:sz w:val="24"/>
        </w:rPr>
        <w:t>)</w:t>
      </w:r>
      <w:r>
        <w:rPr>
          <w:rFonts w:ascii="宋体" w:hAnsi="宋体" w:hint="eastAsia"/>
          <w:color w:val="000000"/>
          <w:sz w:val="24"/>
        </w:rPr>
        <w:t>、身份证号码、持有或代表有表决权的基金份额、委托人姓名</w:t>
      </w:r>
      <w:r>
        <w:rPr>
          <w:rFonts w:ascii="宋体" w:hAnsi="宋体"/>
          <w:color w:val="000000"/>
          <w:sz w:val="24"/>
        </w:rPr>
        <w:t>(</w:t>
      </w:r>
      <w:r>
        <w:rPr>
          <w:rFonts w:ascii="宋体" w:hAnsi="宋体" w:hint="eastAsia"/>
          <w:color w:val="000000"/>
          <w:sz w:val="24"/>
        </w:rPr>
        <w:t>或单位名称</w:t>
      </w:r>
      <w:r>
        <w:rPr>
          <w:rFonts w:ascii="宋体" w:hAnsi="宋体"/>
          <w:color w:val="000000"/>
          <w:sz w:val="24"/>
        </w:rPr>
        <w:t>)</w:t>
      </w:r>
      <w:r>
        <w:rPr>
          <w:rFonts w:ascii="宋体" w:hAnsi="宋体" w:hint="eastAsia"/>
          <w:color w:val="000000"/>
          <w:sz w:val="24"/>
        </w:rPr>
        <w:t>等事项。</w:t>
      </w:r>
    </w:p>
    <w:p w14:paraId="7DDCA318" w14:textId="77777777" w:rsidR="00CF57A4" w:rsidRDefault="00B13D46">
      <w:pPr>
        <w:spacing w:line="360" w:lineRule="auto"/>
        <w:ind w:firstLineChars="200" w:firstLine="480"/>
        <w:rPr>
          <w:rFonts w:ascii="宋体" w:hAnsi="宋体"/>
          <w:color w:val="000000"/>
          <w:sz w:val="24"/>
        </w:rPr>
      </w:pPr>
      <w:r>
        <w:rPr>
          <w:rFonts w:ascii="宋体" w:hAnsi="宋体"/>
          <w:color w:val="000000"/>
          <w:sz w:val="24"/>
        </w:rPr>
        <w:t>2)</w:t>
      </w:r>
      <w:r>
        <w:rPr>
          <w:rFonts w:ascii="宋体" w:hAnsi="宋体" w:hint="eastAsia"/>
          <w:color w:val="000000"/>
          <w:sz w:val="24"/>
        </w:rPr>
        <w:t>通讯方式开会</w:t>
      </w:r>
    </w:p>
    <w:p w14:paraId="1469B866"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在通讯表决开会的方式下，首先由召集人提前</w:t>
      </w:r>
      <w:r>
        <w:rPr>
          <w:rFonts w:ascii="宋体" w:hAnsi="宋体"/>
          <w:color w:val="000000"/>
          <w:sz w:val="24"/>
        </w:rPr>
        <w:t>30</w:t>
      </w:r>
      <w:r>
        <w:rPr>
          <w:rFonts w:ascii="宋体" w:hAnsi="宋体" w:hint="eastAsia"/>
          <w:color w:val="000000"/>
          <w:sz w:val="24"/>
        </w:rPr>
        <w:t>日公布提案，在所通知的表决截止日期第</w:t>
      </w:r>
      <w:r>
        <w:rPr>
          <w:rFonts w:ascii="宋体" w:hAnsi="宋体"/>
          <w:color w:val="000000"/>
          <w:sz w:val="24"/>
        </w:rPr>
        <w:t>2</w:t>
      </w:r>
      <w:r>
        <w:rPr>
          <w:rFonts w:ascii="宋体" w:hAnsi="宋体" w:hint="eastAsia"/>
          <w:color w:val="000000"/>
          <w:sz w:val="24"/>
        </w:rPr>
        <w:t>个工作日在公证机构和基金托管人</w:t>
      </w:r>
      <w:r>
        <w:rPr>
          <w:rFonts w:ascii="宋体" w:hAnsi="宋体"/>
          <w:color w:val="000000"/>
          <w:sz w:val="24"/>
        </w:rPr>
        <w:t>(</w:t>
      </w:r>
      <w:r>
        <w:rPr>
          <w:rFonts w:ascii="宋体" w:hAnsi="宋体" w:hint="eastAsia"/>
          <w:color w:val="000000"/>
          <w:sz w:val="24"/>
        </w:rPr>
        <w:t>如果基金托管人为召集人，则为基金管理人</w:t>
      </w:r>
      <w:r>
        <w:rPr>
          <w:rFonts w:ascii="宋体" w:hAnsi="宋体"/>
          <w:color w:val="000000"/>
          <w:sz w:val="24"/>
        </w:rPr>
        <w:t>)</w:t>
      </w:r>
      <w:r>
        <w:rPr>
          <w:rFonts w:ascii="宋体" w:hAnsi="宋体" w:hint="eastAsia"/>
          <w:color w:val="000000"/>
          <w:sz w:val="24"/>
        </w:rPr>
        <w:t>监督下由召集人统计全部有效表决并形成决议，基金管理人或基金托管人经通知拒不参加收取和统计书面表决意见的，不影响表决效力。</w:t>
      </w:r>
    </w:p>
    <w:p w14:paraId="36D3CB17"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3</w:t>
      </w:r>
      <w:r>
        <w:rPr>
          <w:rFonts w:ascii="宋体" w:hAnsi="宋体" w:hint="eastAsia"/>
          <w:color w:val="000000"/>
          <w:sz w:val="24"/>
        </w:rPr>
        <w:t>）基金份额持有人大会不得对未事先公告的议事内容进行表决。</w:t>
      </w:r>
    </w:p>
    <w:p w14:paraId="7623075F"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szCs w:val="18"/>
        </w:rPr>
        <w:t>7、决议形成的条件、表决方式、程序</w:t>
      </w:r>
    </w:p>
    <w:p w14:paraId="38DEB56F"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1</w:t>
      </w:r>
      <w:r>
        <w:rPr>
          <w:rFonts w:ascii="宋体" w:hAnsi="宋体" w:hint="eastAsia"/>
          <w:color w:val="000000"/>
          <w:sz w:val="24"/>
        </w:rPr>
        <w:t>）基金份额持有人所持每一基金份额享有平等的表决权。</w:t>
      </w:r>
    </w:p>
    <w:p w14:paraId="52E328C8"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2</w:t>
      </w:r>
      <w:r>
        <w:rPr>
          <w:rFonts w:ascii="宋体" w:hAnsi="宋体" w:hint="eastAsia"/>
          <w:color w:val="000000"/>
          <w:sz w:val="24"/>
        </w:rPr>
        <w:t>）基金份额持有人大会决议分为一般决议和特别决议：</w:t>
      </w:r>
    </w:p>
    <w:p w14:paraId="6FA0691B" w14:textId="77777777" w:rsidR="00CF57A4" w:rsidRDefault="00B13D46">
      <w:pPr>
        <w:spacing w:line="360" w:lineRule="auto"/>
        <w:ind w:firstLineChars="200" w:firstLine="480"/>
        <w:rPr>
          <w:rFonts w:ascii="宋体" w:hAnsi="宋体"/>
          <w:color w:val="000000"/>
          <w:sz w:val="24"/>
        </w:rPr>
      </w:pPr>
      <w:r>
        <w:rPr>
          <w:rFonts w:ascii="宋体" w:hAnsi="宋体"/>
          <w:color w:val="000000"/>
          <w:sz w:val="24"/>
        </w:rPr>
        <w:t>1)</w:t>
      </w:r>
      <w:r>
        <w:rPr>
          <w:rFonts w:ascii="宋体" w:hAnsi="宋体" w:hint="eastAsia"/>
          <w:color w:val="000000"/>
          <w:sz w:val="24"/>
        </w:rPr>
        <w:t>一般决议</w:t>
      </w:r>
    </w:p>
    <w:p w14:paraId="77ED1296"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一般决议须经出席会议的基金份额持有人及其代理人所持表决权的</w:t>
      </w:r>
      <w:r>
        <w:rPr>
          <w:rFonts w:ascii="宋体" w:hAnsi="宋体"/>
          <w:color w:val="000000"/>
          <w:sz w:val="24"/>
        </w:rPr>
        <w:t>50%</w:t>
      </w:r>
      <w:r>
        <w:rPr>
          <w:rFonts w:ascii="宋体" w:hAnsi="宋体" w:hint="eastAsia"/>
          <w:color w:val="000000"/>
          <w:sz w:val="24"/>
        </w:rPr>
        <w:t>以上通过方为有效，除下列</w:t>
      </w:r>
      <w:r>
        <w:rPr>
          <w:rFonts w:ascii="宋体" w:hAnsi="宋体"/>
          <w:color w:val="000000"/>
          <w:sz w:val="24"/>
        </w:rPr>
        <w:t>2)</w:t>
      </w:r>
      <w:r>
        <w:rPr>
          <w:rFonts w:ascii="宋体" w:hAnsi="宋体" w:hint="eastAsia"/>
          <w:color w:val="000000"/>
          <w:sz w:val="24"/>
        </w:rPr>
        <w:t>所规定的须以特别决议通过事项以外的其他事项均以一般决议的方式通过；</w:t>
      </w:r>
    </w:p>
    <w:p w14:paraId="5CEF0657" w14:textId="77777777" w:rsidR="00CF57A4" w:rsidRDefault="00B13D46">
      <w:pPr>
        <w:spacing w:line="360" w:lineRule="auto"/>
        <w:ind w:firstLineChars="200" w:firstLine="480"/>
        <w:rPr>
          <w:rFonts w:ascii="宋体" w:hAnsi="宋体"/>
          <w:color w:val="000000"/>
          <w:sz w:val="24"/>
        </w:rPr>
      </w:pPr>
      <w:r>
        <w:rPr>
          <w:rFonts w:ascii="宋体" w:hAnsi="宋体"/>
          <w:color w:val="000000"/>
          <w:sz w:val="24"/>
        </w:rPr>
        <w:t>2)</w:t>
      </w:r>
      <w:r>
        <w:rPr>
          <w:rFonts w:ascii="宋体" w:hAnsi="宋体" w:hint="eastAsia"/>
          <w:color w:val="000000"/>
          <w:sz w:val="24"/>
        </w:rPr>
        <w:t>特别决议</w:t>
      </w:r>
    </w:p>
    <w:p w14:paraId="58D32F91"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特别决议须经出席会议的基金份额持有人及代理人所持表决权的三分之二以上通过方为有效；更换基金管理人、更换基金托管人、转换基金运作方式、终止基金合同必须以特别决议通过方为有效。</w:t>
      </w:r>
    </w:p>
    <w:p w14:paraId="38D4A019"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3</w:t>
      </w:r>
      <w:r>
        <w:rPr>
          <w:rFonts w:ascii="宋体" w:hAnsi="宋体" w:hint="eastAsia"/>
          <w:color w:val="000000"/>
          <w:sz w:val="24"/>
        </w:rPr>
        <w:t>）基金份额持有人大会决定的事项，应当依法报中国证监会核准，或者备案，并予以公告。</w:t>
      </w:r>
    </w:p>
    <w:p w14:paraId="500EB16D"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4</w:t>
      </w:r>
      <w:r>
        <w:rPr>
          <w:rFonts w:ascii="宋体" w:hAnsi="宋体" w:hint="eastAsia"/>
          <w:color w:val="000000"/>
          <w:sz w:val="24"/>
        </w:rPr>
        <w:t>）采取通讯方式进行表决时，除非在计票时有充分的相反证据证明，否则表面符合法律法规和会议通知规定的书面表决意见即视为有效的表决，表决意见模糊不清或相互矛盾的视为弃权表决，但应当计入出具书面意见的基金份额持有人所代表的基金份额总数。</w:t>
      </w:r>
    </w:p>
    <w:p w14:paraId="5EB99456"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5</w:t>
      </w:r>
      <w:r>
        <w:rPr>
          <w:rFonts w:ascii="宋体" w:hAnsi="宋体" w:hint="eastAsia"/>
          <w:color w:val="000000"/>
          <w:sz w:val="24"/>
        </w:rPr>
        <w:t>）基金份额持有人大会采取记名方式进行投票表决。</w:t>
      </w:r>
    </w:p>
    <w:p w14:paraId="107C9D1C"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6</w:t>
      </w:r>
      <w:r>
        <w:rPr>
          <w:rFonts w:ascii="宋体" w:hAnsi="宋体" w:hint="eastAsia"/>
          <w:color w:val="000000"/>
          <w:sz w:val="24"/>
        </w:rPr>
        <w:t>）基金份额持有人大会的各项提案或同一项提案内并列的各项议题应当分开审议、逐项表决。</w:t>
      </w:r>
    </w:p>
    <w:p w14:paraId="17A3E3F0"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lastRenderedPageBreak/>
        <w:t>8、计票</w:t>
      </w:r>
    </w:p>
    <w:p w14:paraId="056C1A79"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1</w:t>
      </w:r>
      <w:r>
        <w:rPr>
          <w:rFonts w:ascii="宋体" w:hAnsi="宋体" w:hint="eastAsia"/>
          <w:color w:val="000000"/>
          <w:sz w:val="24"/>
        </w:rPr>
        <w:t>）现场开会</w:t>
      </w:r>
    </w:p>
    <w:p w14:paraId="1F4054D9" w14:textId="77777777" w:rsidR="00CF57A4" w:rsidRDefault="00B13D46">
      <w:pPr>
        <w:spacing w:line="360" w:lineRule="auto"/>
        <w:ind w:firstLineChars="200" w:firstLine="480"/>
        <w:rPr>
          <w:rFonts w:ascii="宋体" w:hAnsi="宋体"/>
          <w:color w:val="000000"/>
          <w:sz w:val="24"/>
        </w:rPr>
      </w:pPr>
      <w:r>
        <w:rPr>
          <w:rFonts w:ascii="宋体" w:hAnsi="宋体"/>
          <w:color w:val="000000"/>
          <w:sz w:val="24"/>
        </w:rPr>
        <w:t>1)</w:t>
      </w:r>
      <w:r>
        <w:rPr>
          <w:rFonts w:ascii="宋体" w:hAnsi="宋体" w:hint="eastAsia"/>
          <w:color w:val="000000"/>
          <w:sz w:val="24"/>
        </w:rPr>
        <w:t>如基金份额持有人大会由基金管理人或基金托管人召集，则基金份额持有人大会的主持人应当在会议开始后宣布在出席会议的基金份额持有人和代理人中推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和代理人中推举</w:t>
      </w:r>
      <w:r>
        <w:rPr>
          <w:rFonts w:ascii="宋体" w:hAnsi="宋体"/>
          <w:color w:val="000000"/>
          <w:sz w:val="24"/>
        </w:rPr>
        <w:t>3</w:t>
      </w:r>
      <w:r>
        <w:rPr>
          <w:rFonts w:ascii="宋体" w:hAnsi="宋体" w:hint="eastAsia"/>
          <w:color w:val="000000"/>
          <w:sz w:val="24"/>
        </w:rPr>
        <w:t>名基金份额持有人担任监票人。基金管理人或基金托管人不出席大会的，不影响计票的效力及表决结果。</w:t>
      </w:r>
    </w:p>
    <w:p w14:paraId="0203C7DA" w14:textId="77777777" w:rsidR="00CF57A4" w:rsidRDefault="00B13D46">
      <w:pPr>
        <w:spacing w:line="360" w:lineRule="auto"/>
        <w:ind w:firstLineChars="200" w:firstLine="480"/>
        <w:rPr>
          <w:rFonts w:ascii="宋体" w:hAnsi="宋体"/>
          <w:color w:val="000000"/>
          <w:sz w:val="24"/>
        </w:rPr>
      </w:pPr>
      <w:r>
        <w:rPr>
          <w:rFonts w:ascii="宋体" w:hAnsi="宋体"/>
          <w:color w:val="000000"/>
          <w:sz w:val="24"/>
        </w:rPr>
        <w:t>2)</w:t>
      </w:r>
      <w:r>
        <w:rPr>
          <w:rFonts w:ascii="宋体" w:hAnsi="宋体" w:hint="eastAsia"/>
          <w:color w:val="000000"/>
          <w:sz w:val="24"/>
        </w:rPr>
        <w:t>监票人应当在基金份额持有人表决后立即进行清点，由大会主持人当场公布计票结果。</w:t>
      </w:r>
    </w:p>
    <w:p w14:paraId="6616A074" w14:textId="77777777" w:rsidR="00CF57A4" w:rsidRDefault="00B13D46">
      <w:pPr>
        <w:spacing w:line="360" w:lineRule="auto"/>
        <w:ind w:firstLineChars="200" w:firstLine="480"/>
        <w:rPr>
          <w:rFonts w:ascii="宋体" w:hAnsi="宋体"/>
          <w:color w:val="000000"/>
          <w:sz w:val="24"/>
        </w:rPr>
      </w:pPr>
      <w:r>
        <w:rPr>
          <w:rFonts w:ascii="宋体" w:hAnsi="宋体"/>
          <w:color w:val="000000"/>
          <w:sz w:val="24"/>
        </w:rPr>
        <w:t>3)</w:t>
      </w:r>
      <w:r>
        <w:rPr>
          <w:rFonts w:ascii="宋体" w:hAnsi="宋体" w:hint="eastAsia"/>
          <w:color w:val="000000"/>
          <w:sz w:val="24"/>
        </w:rPr>
        <w:t>如会议主持人对于提交的表决结果有怀疑，可以对投票数进行重新清点；如会议主持人未进行重新清点，而出席会议的基金份额持有人或代理人对会议主持人宣布的表决结果有异议，其有权在宣布表决结果后立即要求重新清点，会议主持人应当立即重新清点并公布重新清点结果。重新清点仅限一次。</w:t>
      </w:r>
    </w:p>
    <w:p w14:paraId="0D166D12" w14:textId="77777777" w:rsidR="00CF57A4" w:rsidRDefault="00B13D46">
      <w:pPr>
        <w:spacing w:line="360" w:lineRule="auto"/>
        <w:ind w:firstLineChars="200" w:firstLine="480"/>
        <w:rPr>
          <w:rFonts w:ascii="宋体" w:hAnsi="宋体"/>
          <w:color w:val="000000"/>
          <w:sz w:val="24"/>
        </w:rPr>
      </w:pPr>
      <w:r>
        <w:rPr>
          <w:rFonts w:ascii="宋体" w:hAnsi="宋体"/>
          <w:color w:val="000000"/>
          <w:sz w:val="24"/>
        </w:rPr>
        <w:t>4)</w:t>
      </w:r>
      <w:r>
        <w:rPr>
          <w:rFonts w:ascii="宋体" w:hAnsi="宋体" w:hint="eastAsia"/>
          <w:color w:val="000000"/>
          <w:sz w:val="24"/>
        </w:rPr>
        <w:t>计票过程应由公证机关予以公证。</w:t>
      </w:r>
    </w:p>
    <w:p w14:paraId="3062F760"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2</w:t>
      </w:r>
      <w:r>
        <w:rPr>
          <w:rFonts w:ascii="宋体" w:hAnsi="宋体" w:hint="eastAsia"/>
          <w:color w:val="000000"/>
          <w:sz w:val="24"/>
        </w:rPr>
        <w:t>）通讯方式开会</w:t>
      </w:r>
    </w:p>
    <w:p w14:paraId="5FB8DB51"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在通讯方式开会的情况下，计票方式为：由大会召集人授权的两名监督员在基金托管人授权代表</w:t>
      </w:r>
      <w:r>
        <w:rPr>
          <w:rFonts w:ascii="宋体" w:hAnsi="宋体"/>
          <w:color w:val="000000"/>
          <w:sz w:val="24"/>
        </w:rPr>
        <w:t>(</w:t>
      </w:r>
      <w:r>
        <w:rPr>
          <w:rFonts w:ascii="宋体" w:hAnsi="宋体" w:hint="eastAsia"/>
          <w:color w:val="000000"/>
          <w:sz w:val="24"/>
        </w:rPr>
        <w:t>如果基金托管人为召集人，则为基金管理人授权代表</w:t>
      </w:r>
      <w:r>
        <w:rPr>
          <w:rFonts w:ascii="宋体" w:hAnsi="宋体"/>
          <w:color w:val="000000"/>
          <w:sz w:val="24"/>
        </w:rPr>
        <w:t>)</w:t>
      </w:r>
      <w:r>
        <w:rPr>
          <w:rFonts w:ascii="宋体" w:hAnsi="宋体" w:hint="eastAsia"/>
          <w:color w:val="000000"/>
          <w:sz w:val="24"/>
        </w:rPr>
        <w:t>的监督下进行计票，并由公证机关对其计票过程予以公证。基金管理人或基金托管人不派代表监督计票的，不影响计票效力及表决结果。但基金管理人或基金托管人应当至少提前两个工作日通知召集人，由召集人邀请无直接利害关系的第三方担任监督计票人员。</w:t>
      </w:r>
    </w:p>
    <w:p w14:paraId="51C28A2B"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szCs w:val="18"/>
        </w:rPr>
        <w:t>9、基金份额持有人大会决议报中国证监会核准或备案后的公告时间、方式</w:t>
      </w:r>
    </w:p>
    <w:p w14:paraId="2F3B61FF"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1</w:t>
      </w:r>
      <w:r>
        <w:rPr>
          <w:rFonts w:ascii="宋体" w:hAnsi="宋体" w:hint="eastAsia"/>
          <w:color w:val="000000"/>
          <w:sz w:val="24"/>
        </w:rPr>
        <w:t>）基金份额持有人大会通过的一般决议和特别决议，召集人应当自通过之日起</w:t>
      </w:r>
      <w:r>
        <w:rPr>
          <w:rFonts w:ascii="宋体" w:hAnsi="宋体"/>
          <w:color w:val="000000"/>
          <w:sz w:val="24"/>
        </w:rPr>
        <w:t>5</w:t>
      </w:r>
      <w:r>
        <w:rPr>
          <w:rFonts w:ascii="宋体" w:hAnsi="宋体" w:hint="eastAsia"/>
          <w:color w:val="000000"/>
          <w:sz w:val="24"/>
        </w:rPr>
        <w:t>日内报中国证监会核准或者备案。基金份额持有人大会决定的事项自中国证监会依法核准或者出具无异议意见之日起生效，并在生效后方可执行。</w:t>
      </w:r>
    </w:p>
    <w:p w14:paraId="142B4D54"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2</w:t>
      </w:r>
      <w:r>
        <w:rPr>
          <w:rFonts w:ascii="宋体" w:hAnsi="宋体" w:hint="eastAsia"/>
          <w:color w:val="000000"/>
          <w:sz w:val="24"/>
        </w:rPr>
        <w:t>）生效的基金份额持有人大会决议对全体基金份额持有人、基金管理人、</w:t>
      </w:r>
      <w:r>
        <w:rPr>
          <w:rFonts w:ascii="宋体" w:hAnsi="宋体" w:hint="eastAsia"/>
          <w:color w:val="000000"/>
          <w:sz w:val="24"/>
        </w:rPr>
        <w:lastRenderedPageBreak/>
        <w:t>基金托管人均有约束力。基金管理人、基金托管人和基金份额持有人应当执行生效的基金份额持有人大会的决定。</w:t>
      </w:r>
    </w:p>
    <w:p w14:paraId="5C425340"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3</w:t>
      </w:r>
      <w:r>
        <w:rPr>
          <w:rFonts w:ascii="宋体" w:hAnsi="宋体" w:hint="eastAsia"/>
          <w:color w:val="000000"/>
          <w:sz w:val="24"/>
        </w:rPr>
        <w:t>）基金份额持有人大会决议应自生效之日起</w:t>
      </w:r>
      <w:r>
        <w:rPr>
          <w:rFonts w:ascii="宋体" w:hAnsi="宋体"/>
          <w:color w:val="000000"/>
          <w:sz w:val="24"/>
        </w:rPr>
        <w:t>2</w:t>
      </w:r>
      <w:r>
        <w:rPr>
          <w:rFonts w:ascii="宋体" w:hAnsi="宋体" w:hint="eastAsia"/>
          <w:color w:val="000000"/>
          <w:sz w:val="24"/>
        </w:rPr>
        <w:t>个工作日内在指定媒体公告。</w:t>
      </w:r>
    </w:p>
    <w:p w14:paraId="77809FE1"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4</w:t>
      </w:r>
      <w:r>
        <w:rPr>
          <w:rFonts w:ascii="宋体" w:hAnsi="宋体" w:hint="eastAsia"/>
          <w:color w:val="000000"/>
          <w:sz w:val="24"/>
        </w:rPr>
        <w:t>）如果采用通讯方式进行表决，在公告基金份额持有人大会决议时，必须将公证书全文、公证机关、公证员姓名等一同公告。</w:t>
      </w:r>
    </w:p>
    <w:p w14:paraId="1C826E94" w14:textId="77777777" w:rsidR="00CF57A4" w:rsidRDefault="00B13D46">
      <w:pPr>
        <w:widowControl/>
        <w:spacing w:line="360" w:lineRule="auto"/>
        <w:ind w:firstLineChars="200" w:firstLine="482"/>
        <w:outlineLvl w:val="1"/>
        <w:rPr>
          <w:rFonts w:ascii="宋体" w:hAnsi="宋体" w:cs="宋体"/>
          <w:b/>
          <w:color w:val="000000"/>
          <w:kern w:val="0"/>
          <w:sz w:val="24"/>
        </w:rPr>
      </w:pPr>
      <w:r>
        <w:rPr>
          <w:rFonts w:ascii="宋体" w:hAnsi="宋体" w:cs="宋体" w:hint="eastAsia"/>
          <w:b/>
          <w:color w:val="000000"/>
          <w:kern w:val="0"/>
          <w:sz w:val="24"/>
        </w:rPr>
        <w:t>（三）</w:t>
      </w:r>
      <w:r>
        <w:rPr>
          <w:rFonts w:ascii="宋体" w:hAnsi="宋体" w:cs="宋体"/>
          <w:b/>
          <w:color w:val="000000"/>
          <w:kern w:val="0"/>
          <w:sz w:val="24"/>
        </w:rPr>
        <w:t>基金合同的变更与终止</w:t>
      </w:r>
    </w:p>
    <w:p w14:paraId="52D8F6B6"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1、基金合同的变更</w:t>
      </w:r>
    </w:p>
    <w:p w14:paraId="687D80E0"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1</w:t>
      </w:r>
      <w:r>
        <w:rPr>
          <w:rFonts w:ascii="宋体" w:hAnsi="宋体" w:hint="eastAsia"/>
          <w:color w:val="000000"/>
          <w:sz w:val="24"/>
        </w:rPr>
        <w:t>）按照法律法规或本基金合同的规定，对基金合同的变更应当召开基金份额持有人大会的，基金合同变更的内容应经基金份额持有人大会决议通过，并依法报中国证监会核准，自中国证监会核准之日起生效。</w:t>
      </w:r>
    </w:p>
    <w:p w14:paraId="31C60CA2"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（2）但出现下列情况时，可不经基金份额持有人大会决议，由基金管理人和基金托管人同意变更后公布经修订的基金合同，并报中国证监会备案：</w:t>
      </w:r>
    </w:p>
    <w:p w14:paraId="15DF74FA" w14:textId="77777777" w:rsidR="00CF57A4" w:rsidRDefault="00B13D46">
      <w:pPr>
        <w:spacing w:line="360" w:lineRule="auto"/>
        <w:ind w:firstLineChars="200" w:firstLine="480"/>
        <w:rPr>
          <w:rFonts w:ascii="宋体" w:hAnsi="宋体"/>
          <w:color w:val="000000"/>
          <w:sz w:val="24"/>
        </w:rPr>
      </w:pPr>
      <w:r>
        <w:rPr>
          <w:rFonts w:ascii="宋体" w:hAnsi="宋体"/>
          <w:color w:val="000000"/>
          <w:sz w:val="24"/>
        </w:rPr>
        <w:t>1)</w:t>
      </w:r>
      <w:r>
        <w:rPr>
          <w:rFonts w:ascii="宋体" w:hAnsi="宋体" w:hint="eastAsia"/>
          <w:color w:val="000000"/>
          <w:sz w:val="24"/>
        </w:rPr>
        <w:t>调低基金管理费、基金托管费等其他应由基金或基金份额持有人承担的费用；</w:t>
      </w:r>
    </w:p>
    <w:p w14:paraId="3897514B" w14:textId="77777777" w:rsidR="00CF57A4" w:rsidRDefault="00B13D46">
      <w:pPr>
        <w:spacing w:line="360" w:lineRule="auto"/>
        <w:ind w:firstLineChars="200" w:firstLine="480"/>
        <w:rPr>
          <w:rFonts w:ascii="宋体" w:hAnsi="宋体"/>
          <w:color w:val="000000"/>
          <w:sz w:val="24"/>
        </w:rPr>
      </w:pPr>
      <w:r>
        <w:rPr>
          <w:rFonts w:ascii="宋体" w:hAnsi="宋体"/>
          <w:color w:val="000000"/>
          <w:sz w:val="24"/>
        </w:rPr>
        <w:t>2)</w:t>
      </w:r>
      <w:r>
        <w:rPr>
          <w:rFonts w:ascii="宋体" w:hAnsi="宋体" w:hint="eastAsia"/>
          <w:color w:val="000000"/>
          <w:sz w:val="24"/>
        </w:rPr>
        <w:t>法律法规要求增加的基金费用的收取；</w:t>
      </w:r>
    </w:p>
    <w:p w14:paraId="2016861C"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3</w:t>
      </w:r>
      <w:r>
        <w:rPr>
          <w:rFonts w:ascii="宋体" w:hAnsi="宋体"/>
          <w:color w:val="000000"/>
          <w:sz w:val="24"/>
        </w:rPr>
        <w:t>)</w:t>
      </w:r>
      <w:r>
        <w:rPr>
          <w:rFonts w:ascii="宋体" w:hAnsi="宋体" w:hint="eastAsia"/>
          <w:color w:val="000000"/>
          <w:sz w:val="24"/>
        </w:rPr>
        <w:t>在法律法规和本基金合同规定的范围内调整基金的申购费率、调低赎回费率、变更或增加收费方式；</w:t>
      </w:r>
    </w:p>
    <w:p w14:paraId="1B23AE2D"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4</w:t>
      </w:r>
      <w:r>
        <w:rPr>
          <w:rFonts w:ascii="宋体" w:hAnsi="宋体"/>
          <w:color w:val="000000"/>
          <w:sz w:val="24"/>
        </w:rPr>
        <w:t>)</w:t>
      </w:r>
      <w:r>
        <w:rPr>
          <w:rFonts w:ascii="宋体" w:hAnsi="宋体" w:hint="eastAsia"/>
          <w:color w:val="000000"/>
          <w:sz w:val="24"/>
        </w:rPr>
        <w:t>因相应的法律法规、深圳证券交易所或者注册登记机构的相关业务规则发生变动必须对基金合同进行修改；</w:t>
      </w:r>
    </w:p>
    <w:p w14:paraId="42DDAB32"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5</w:t>
      </w:r>
      <w:r>
        <w:rPr>
          <w:rFonts w:ascii="宋体" w:hAnsi="宋体"/>
          <w:color w:val="000000"/>
          <w:sz w:val="24"/>
        </w:rPr>
        <w:t>)</w:t>
      </w:r>
      <w:r>
        <w:rPr>
          <w:rFonts w:ascii="宋体" w:hAnsi="宋体" w:hint="eastAsia"/>
          <w:color w:val="000000"/>
          <w:sz w:val="24"/>
        </w:rPr>
        <w:t>基金合同的修改不涉及本基金合同当事人权利义务关系发生重大变化；</w:t>
      </w:r>
    </w:p>
    <w:p w14:paraId="4CFD7581"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6</w:t>
      </w:r>
      <w:r>
        <w:rPr>
          <w:rFonts w:ascii="宋体" w:hAnsi="宋体"/>
          <w:color w:val="000000"/>
          <w:sz w:val="24"/>
        </w:rPr>
        <w:t>)</w:t>
      </w:r>
      <w:r>
        <w:rPr>
          <w:rFonts w:ascii="宋体" w:hAnsi="宋体" w:hint="eastAsia"/>
          <w:color w:val="000000"/>
          <w:sz w:val="24"/>
        </w:rPr>
        <w:t>基金合同的修改对基金份额持有人利益无实质性不利影响；</w:t>
      </w:r>
    </w:p>
    <w:p w14:paraId="3291B59F"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7)按照法律法规或本基金合同规定不需召开基金份额持有人大会的其他情形。</w:t>
      </w:r>
    </w:p>
    <w:p w14:paraId="1AF173D9"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2、基金合同的终止</w:t>
      </w:r>
    </w:p>
    <w:p w14:paraId="3BF61291"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有下列情形之一的，本基金合同经中国证监会核准后将终止：</w:t>
      </w:r>
    </w:p>
    <w:p w14:paraId="6A330A22"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1</w:t>
      </w:r>
      <w:r>
        <w:rPr>
          <w:rFonts w:ascii="宋体" w:hAnsi="宋体" w:hint="eastAsia"/>
          <w:color w:val="000000"/>
          <w:sz w:val="24"/>
        </w:rPr>
        <w:t>）基金份额持有人大会决定终止的；</w:t>
      </w:r>
    </w:p>
    <w:p w14:paraId="4318A2CD"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2</w:t>
      </w:r>
      <w:r>
        <w:rPr>
          <w:rFonts w:ascii="宋体" w:hAnsi="宋体" w:hint="eastAsia"/>
          <w:color w:val="000000"/>
          <w:sz w:val="24"/>
        </w:rPr>
        <w:t>）基金管理人职责终止，而在</w:t>
      </w:r>
      <w:r>
        <w:rPr>
          <w:rFonts w:ascii="宋体" w:hAnsi="宋体"/>
          <w:color w:val="000000"/>
          <w:sz w:val="24"/>
        </w:rPr>
        <w:t>6</w:t>
      </w:r>
      <w:r>
        <w:rPr>
          <w:rFonts w:ascii="宋体" w:hAnsi="宋体" w:hint="eastAsia"/>
          <w:color w:val="000000"/>
          <w:sz w:val="24"/>
        </w:rPr>
        <w:t>个月内没有新的基金管理人承接的；</w:t>
      </w:r>
    </w:p>
    <w:p w14:paraId="232A7442"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3</w:t>
      </w:r>
      <w:r>
        <w:rPr>
          <w:rFonts w:ascii="宋体" w:hAnsi="宋体" w:hint="eastAsia"/>
          <w:color w:val="000000"/>
          <w:sz w:val="24"/>
        </w:rPr>
        <w:t>）基金托管人职责终止，而在</w:t>
      </w:r>
      <w:r>
        <w:rPr>
          <w:rFonts w:ascii="宋体" w:hAnsi="宋体"/>
          <w:color w:val="000000"/>
          <w:sz w:val="24"/>
        </w:rPr>
        <w:t>6</w:t>
      </w:r>
      <w:r>
        <w:rPr>
          <w:rFonts w:ascii="宋体" w:hAnsi="宋体" w:hint="eastAsia"/>
          <w:color w:val="000000"/>
          <w:sz w:val="24"/>
        </w:rPr>
        <w:t>个月内没有新的基金托管人承接的；</w:t>
      </w:r>
    </w:p>
    <w:p w14:paraId="2EBABD07"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4</w:t>
      </w:r>
      <w:r>
        <w:rPr>
          <w:rFonts w:ascii="宋体" w:hAnsi="宋体" w:hint="eastAsia"/>
          <w:color w:val="000000"/>
          <w:sz w:val="24"/>
        </w:rPr>
        <w:t>）相关法律法规和中国证监会规定的其他情况。</w:t>
      </w:r>
    </w:p>
    <w:p w14:paraId="4CF28019" w14:textId="77777777" w:rsidR="00CF57A4" w:rsidRDefault="00B13D46">
      <w:pPr>
        <w:widowControl/>
        <w:spacing w:line="360" w:lineRule="auto"/>
        <w:ind w:firstLineChars="200" w:firstLine="482"/>
        <w:outlineLvl w:val="1"/>
        <w:rPr>
          <w:rFonts w:ascii="宋体" w:hAnsi="宋体" w:cs="宋体"/>
          <w:b/>
          <w:color w:val="000000"/>
          <w:kern w:val="0"/>
          <w:sz w:val="24"/>
        </w:rPr>
      </w:pPr>
      <w:r>
        <w:rPr>
          <w:rFonts w:ascii="宋体" w:hAnsi="宋体" w:cs="宋体" w:hint="eastAsia"/>
          <w:b/>
          <w:color w:val="000000"/>
          <w:kern w:val="0"/>
          <w:sz w:val="24"/>
        </w:rPr>
        <w:t>（四）</w:t>
      </w:r>
      <w:r>
        <w:rPr>
          <w:rFonts w:ascii="宋体" w:hAnsi="宋体" w:cs="宋体"/>
          <w:b/>
          <w:color w:val="000000"/>
          <w:kern w:val="0"/>
          <w:sz w:val="24"/>
        </w:rPr>
        <w:t>争议的</w:t>
      </w:r>
      <w:r>
        <w:rPr>
          <w:rFonts w:ascii="宋体" w:hAnsi="宋体" w:cs="宋体" w:hint="eastAsia"/>
          <w:b/>
          <w:color w:val="000000"/>
          <w:kern w:val="0"/>
          <w:sz w:val="24"/>
        </w:rPr>
        <w:t>处理</w:t>
      </w:r>
    </w:p>
    <w:p w14:paraId="0E290EA9"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lastRenderedPageBreak/>
        <w:t>对于因本基金合同产生或与本基金合同有关的争议，基金合同当事人应尽量通过协商、调解途径解决。不愿或者不能通过协商、调解解决的，任何一方均有权将争议提交中国国际经济贸易仲裁委员会，按照中国国际经济贸易仲裁委员会届时有效的仲裁规则进行仲裁。仲裁地点为北京市。仲裁裁决是终局的，对当事人均有约束力。</w:t>
      </w:r>
    </w:p>
    <w:p w14:paraId="5824191F"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争议处理期间，基金合同当事人应恪守各自的职责，继续忠实、勤勉、尽责地履行基金合同规定的义务，维护基金份额持有人的合法权益。</w:t>
      </w:r>
    </w:p>
    <w:p w14:paraId="7BE4AF26"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本基金合同适用中华人民共和国法律并从其解释。</w:t>
      </w:r>
    </w:p>
    <w:p w14:paraId="0F202C6F" w14:textId="77777777" w:rsidR="00CF57A4" w:rsidRDefault="00B13D46">
      <w:pPr>
        <w:widowControl/>
        <w:spacing w:line="360" w:lineRule="auto"/>
        <w:ind w:firstLineChars="200" w:firstLine="482"/>
        <w:outlineLvl w:val="1"/>
        <w:rPr>
          <w:rFonts w:ascii="宋体" w:hAnsi="宋体" w:cs="宋体"/>
          <w:b/>
          <w:color w:val="000000"/>
          <w:kern w:val="0"/>
          <w:sz w:val="24"/>
        </w:rPr>
      </w:pPr>
      <w:r>
        <w:rPr>
          <w:rFonts w:ascii="宋体" w:hAnsi="宋体" w:cs="宋体" w:hint="eastAsia"/>
          <w:b/>
          <w:color w:val="000000"/>
          <w:kern w:val="0"/>
          <w:sz w:val="24"/>
        </w:rPr>
        <w:t>（五）</w:t>
      </w:r>
      <w:r>
        <w:rPr>
          <w:rFonts w:ascii="宋体" w:hAnsi="宋体" w:cs="宋体"/>
          <w:b/>
          <w:color w:val="000000"/>
          <w:kern w:val="0"/>
          <w:sz w:val="24"/>
        </w:rPr>
        <w:t xml:space="preserve">基金合同存放及投资者取得基金合同的方式 </w:t>
      </w:r>
    </w:p>
    <w:p w14:paraId="605559E4"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本基金合同正本一式六份，除上报相关监管部门两份外，基金管理人和基金托管人各持有两份。每份均具有同等的法律效力。</w:t>
      </w:r>
    </w:p>
    <w:p w14:paraId="4566692D"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本基金合同可印制成册，供基金投资者在基金管理人和基金托管人办公场所查阅。基金合同条款及内容应以</w:t>
      </w:r>
      <w:r>
        <w:rPr>
          <w:rFonts w:ascii="宋体" w:hAnsi="宋体" w:hint="eastAsia"/>
          <w:color w:val="000000"/>
          <w:kern w:val="0"/>
          <w:sz w:val="24"/>
        </w:rPr>
        <w:t>基金合同正本为准。</w:t>
      </w:r>
    </w:p>
    <w:p w14:paraId="04DDCC07" w14:textId="77777777" w:rsidR="00CF57A4" w:rsidRDefault="00CF57A4">
      <w:pPr>
        <w:spacing w:line="360" w:lineRule="auto"/>
        <w:ind w:firstLineChars="200" w:firstLine="480"/>
        <w:rPr>
          <w:rFonts w:ascii="宋体" w:hAnsi="宋体"/>
          <w:color w:val="000000"/>
          <w:sz w:val="24"/>
          <w:szCs w:val="21"/>
        </w:rPr>
      </w:pPr>
    </w:p>
    <w:p w14:paraId="4BE8D281" w14:textId="77777777" w:rsidR="00CF57A4" w:rsidRDefault="00CF57A4">
      <w:pPr>
        <w:spacing w:line="360" w:lineRule="auto"/>
        <w:ind w:firstLineChars="200" w:firstLine="480"/>
        <w:rPr>
          <w:rFonts w:ascii="宋体" w:hAnsi="宋体"/>
          <w:color w:val="000000"/>
          <w:sz w:val="24"/>
          <w:szCs w:val="21"/>
        </w:rPr>
      </w:pPr>
    </w:p>
    <w:p w14:paraId="3DE06DEA" w14:textId="77777777" w:rsidR="00CF57A4" w:rsidRDefault="00B13D46">
      <w:pPr>
        <w:pStyle w:val="af1"/>
        <w:rPr>
          <w:rFonts w:eastAsia="黑体"/>
          <w:color w:val="000000"/>
          <w:kern w:val="0"/>
          <w:sz w:val="30"/>
        </w:rPr>
      </w:pPr>
      <w:bookmarkStart w:id="189" w:name="_Toc109537399"/>
      <w:r>
        <w:rPr>
          <w:rFonts w:eastAsia="黑体"/>
          <w:color w:val="000000"/>
          <w:kern w:val="0"/>
          <w:sz w:val="30"/>
        </w:rPr>
        <w:br w:type="page"/>
      </w:r>
      <w:bookmarkStart w:id="190" w:name="_Toc320704086"/>
      <w:bookmarkStart w:id="191" w:name="_Toc320704373"/>
      <w:bookmarkStart w:id="192" w:name="_Toc322002737"/>
      <w:bookmarkStart w:id="193" w:name="_Toc322519888"/>
      <w:bookmarkStart w:id="194" w:name="_Toc320703962"/>
      <w:bookmarkStart w:id="195" w:name="_Toc320704013"/>
      <w:r>
        <w:rPr>
          <w:rFonts w:eastAsia="黑体" w:hint="eastAsia"/>
          <w:color w:val="000000"/>
          <w:kern w:val="0"/>
          <w:sz w:val="30"/>
        </w:rPr>
        <w:lastRenderedPageBreak/>
        <w:t>二十一、托管协议的内容摘要</w:t>
      </w:r>
      <w:bookmarkEnd w:id="189"/>
      <w:bookmarkEnd w:id="190"/>
      <w:bookmarkEnd w:id="191"/>
      <w:bookmarkEnd w:id="192"/>
      <w:bookmarkEnd w:id="193"/>
      <w:bookmarkEnd w:id="194"/>
      <w:bookmarkEnd w:id="195"/>
    </w:p>
    <w:p w14:paraId="65E575AF" w14:textId="77777777" w:rsidR="00CF57A4" w:rsidRDefault="00B13D46">
      <w:pPr>
        <w:widowControl/>
        <w:spacing w:line="360" w:lineRule="auto"/>
        <w:ind w:firstLineChars="200" w:firstLine="482"/>
        <w:outlineLvl w:val="1"/>
        <w:rPr>
          <w:rFonts w:ascii="宋体" w:hAnsi="宋体" w:cs="宋体"/>
          <w:b/>
          <w:color w:val="000000"/>
          <w:kern w:val="0"/>
          <w:sz w:val="24"/>
        </w:rPr>
      </w:pPr>
      <w:r>
        <w:rPr>
          <w:rFonts w:ascii="宋体" w:hAnsi="宋体" w:cs="宋体" w:hint="eastAsia"/>
          <w:b/>
          <w:color w:val="000000"/>
          <w:kern w:val="0"/>
          <w:sz w:val="24"/>
        </w:rPr>
        <w:t>（</w:t>
      </w:r>
      <w:r>
        <w:rPr>
          <w:rFonts w:ascii="宋体" w:hAnsi="宋体" w:cs="宋体"/>
          <w:b/>
          <w:color w:val="000000"/>
          <w:kern w:val="0"/>
          <w:sz w:val="24"/>
        </w:rPr>
        <w:t>一</w:t>
      </w:r>
      <w:r>
        <w:rPr>
          <w:rFonts w:ascii="宋体" w:hAnsi="宋体" w:cs="宋体" w:hint="eastAsia"/>
          <w:b/>
          <w:color w:val="000000"/>
          <w:kern w:val="0"/>
          <w:sz w:val="24"/>
        </w:rPr>
        <w:t>）</w:t>
      </w:r>
      <w:r>
        <w:rPr>
          <w:rFonts w:ascii="宋体" w:hAnsi="宋体" w:cs="宋体"/>
          <w:b/>
          <w:color w:val="000000"/>
          <w:kern w:val="0"/>
          <w:sz w:val="24"/>
        </w:rPr>
        <w:t xml:space="preserve">托管协议当事人 </w:t>
      </w:r>
    </w:p>
    <w:p w14:paraId="2EE0A5F3" w14:textId="77777777" w:rsidR="00CF57A4" w:rsidRDefault="00B13D46">
      <w:pPr>
        <w:spacing w:line="360" w:lineRule="auto"/>
        <w:ind w:firstLine="420"/>
        <w:rPr>
          <w:rFonts w:ascii="宋体" w:hAnsi="宋体"/>
          <w:sz w:val="24"/>
        </w:rPr>
      </w:pPr>
      <w:bookmarkStart w:id="196" w:name="_Toc320704014"/>
      <w:bookmarkStart w:id="197" w:name="_Toc320704087"/>
      <w:bookmarkStart w:id="198" w:name="_Toc320703963"/>
      <w:r>
        <w:rPr>
          <w:rFonts w:ascii="宋体" w:hAnsi="宋体" w:hint="eastAsia"/>
          <w:sz w:val="24"/>
        </w:rPr>
        <w:t>1、</w:t>
      </w:r>
      <w:r>
        <w:rPr>
          <w:rFonts w:ascii="宋体" w:hAnsi="宋体"/>
          <w:sz w:val="24"/>
        </w:rPr>
        <w:t>基金管理人</w:t>
      </w:r>
      <w:bookmarkEnd w:id="196"/>
      <w:bookmarkEnd w:id="197"/>
      <w:bookmarkEnd w:id="198"/>
    </w:p>
    <w:p w14:paraId="7B4B19EA" w14:textId="77777777" w:rsidR="00CF57A4" w:rsidRDefault="00B13D46">
      <w:pPr>
        <w:spacing w:line="360" w:lineRule="auto"/>
        <w:ind w:firstLine="420"/>
        <w:rPr>
          <w:rFonts w:ascii="宋体" w:hAnsi="宋体"/>
          <w:sz w:val="24"/>
        </w:rPr>
      </w:pPr>
      <w:r>
        <w:rPr>
          <w:rFonts w:ascii="宋体" w:hAnsi="宋体"/>
          <w:sz w:val="24"/>
        </w:rPr>
        <w:t>名称：</w:t>
      </w:r>
      <w:r>
        <w:rPr>
          <w:rFonts w:ascii="宋体" w:hAnsi="宋体" w:hint="eastAsia"/>
          <w:sz w:val="24"/>
        </w:rPr>
        <w:t>交银施罗德基金管理有限公司</w:t>
      </w:r>
    </w:p>
    <w:p w14:paraId="0B2E2085" w14:textId="77777777" w:rsidR="00CF57A4" w:rsidRDefault="00B13D46">
      <w:pPr>
        <w:spacing w:line="360" w:lineRule="auto"/>
        <w:ind w:firstLine="420"/>
        <w:rPr>
          <w:rFonts w:ascii="宋体" w:hAnsi="宋体"/>
          <w:sz w:val="24"/>
        </w:rPr>
      </w:pPr>
      <w:r>
        <w:rPr>
          <w:rFonts w:ascii="宋体" w:hAnsi="宋体"/>
          <w:sz w:val="24"/>
        </w:rPr>
        <w:t>注册地址：</w:t>
      </w:r>
      <w:r>
        <w:rPr>
          <w:rFonts w:ascii="宋体" w:hAnsi="宋体" w:hint="eastAsia"/>
          <w:sz w:val="24"/>
        </w:rPr>
        <w:t>上海市浦东新区银城中路188号交通银行大楼二层（裙）</w:t>
      </w:r>
    </w:p>
    <w:p w14:paraId="03A24132" w14:textId="77777777" w:rsidR="00CF57A4" w:rsidRDefault="00B13D46">
      <w:pPr>
        <w:spacing w:line="360" w:lineRule="auto"/>
        <w:ind w:firstLine="420"/>
        <w:rPr>
          <w:rFonts w:ascii="宋体" w:hAnsi="宋体"/>
          <w:sz w:val="24"/>
        </w:rPr>
      </w:pPr>
      <w:r>
        <w:rPr>
          <w:rFonts w:ascii="宋体" w:hAnsi="宋体"/>
          <w:sz w:val="24"/>
        </w:rPr>
        <w:t>办公地址：</w:t>
      </w:r>
      <w:r>
        <w:rPr>
          <w:rFonts w:ascii="宋体" w:hAnsi="宋体" w:cs="宋体" w:hint="eastAsia"/>
          <w:kern w:val="0"/>
          <w:sz w:val="24"/>
        </w:rPr>
        <w:t>上海</w:t>
      </w:r>
      <w:r w:rsidR="00705196" w:rsidRPr="00705196">
        <w:rPr>
          <w:rFonts w:ascii="宋体" w:hAnsi="宋体" w:cs="宋体" w:hint="eastAsia"/>
          <w:kern w:val="0"/>
          <w:sz w:val="24"/>
        </w:rPr>
        <w:t>市</w:t>
      </w:r>
      <w:r>
        <w:rPr>
          <w:rFonts w:ascii="宋体" w:hAnsi="宋体" w:cs="宋体" w:hint="eastAsia"/>
          <w:kern w:val="0"/>
          <w:sz w:val="24"/>
        </w:rPr>
        <w:t>浦东新区世纪大道8号国金中心二期21-22楼</w:t>
      </w:r>
    </w:p>
    <w:p w14:paraId="02ABDB75" w14:textId="77777777" w:rsidR="00CF57A4" w:rsidRDefault="00B13D46">
      <w:pPr>
        <w:spacing w:line="360" w:lineRule="auto"/>
        <w:ind w:firstLine="420"/>
        <w:rPr>
          <w:rFonts w:ascii="宋体" w:hAnsi="宋体"/>
          <w:sz w:val="24"/>
        </w:rPr>
      </w:pPr>
      <w:r>
        <w:rPr>
          <w:rFonts w:ascii="宋体" w:hAnsi="宋体"/>
          <w:sz w:val="24"/>
        </w:rPr>
        <w:t>邮政编码：</w:t>
      </w:r>
      <w:r>
        <w:rPr>
          <w:rFonts w:ascii="宋体" w:hAnsi="宋体" w:hint="eastAsia"/>
          <w:sz w:val="24"/>
        </w:rPr>
        <w:t>200120</w:t>
      </w:r>
    </w:p>
    <w:p w14:paraId="160EC523" w14:textId="77777777" w:rsidR="00CF57A4" w:rsidRDefault="00B13D46">
      <w:pPr>
        <w:spacing w:line="360" w:lineRule="auto"/>
        <w:ind w:firstLine="420"/>
        <w:rPr>
          <w:rFonts w:ascii="宋体" w:hAnsi="宋体"/>
          <w:sz w:val="24"/>
        </w:rPr>
      </w:pPr>
      <w:r>
        <w:rPr>
          <w:rFonts w:ascii="宋体" w:hAnsi="宋体"/>
          <w:sz w:val="24"/>
        </w:rPr>
        <w:t>法定代表人</w:t>
      </w:r>
      <w:r>
        <w:rPr>
          <w:rFonts w:ascii="宋体" w:hAnsi="宋体" w:hint="eastAsia"/>
          <w:sz w:val="24"/>
        </w:rPr>
        <w:t>：</w:t>
      </w:r>
      <w:r>
        <w:rPr>
          <w:rFonts w:hint="eastAsia"/>
          <w:sz w:val="24"/>
        </w:rPr>
        <w:t>于亚利</w:t>
      </w:r>
    </w:p>
    <w:p w14:paraId="4FAD9AF2" w14:textId="77777777" w:rsidR="00CF57A4" w:rsidRDefault="00B13D46">
      <w:pPr>
        <w:spacing w:line="360" w:lineRule="auto"/>
        <w:ind w:firstLine="420"/>
        <w:rPr>
          <w:rFonts w:ascii="宋体" w:hAnsi="宋体"/>
          <w:sz w:val="24"/>
        </w:rPr>
      </w:pPr>
      <w:r>
        <w:rPr>
          <w:rFonts w:ascii="宋体" w:hAnsi="宋体"/>
          <w:sz w:val="24"/>
        </w:rPr>
        <w:t>成立日期：</w:t>
      </w:r>
      <w:r>
        <w:rPr>
          <w:rFonts w:ascii="宋体" w:hAnsi="宋体" w:hint="eastAsia"/>
          <w:sz w:val="24"/>
        </w:rPr>
        <w:t>2005年8月4日</w:t>
      </w:r>
    </w:p>
    <w:p w14:paraId="521E0E7B" w14:textId="77777777" w:rsidR="00CF57A4" w:rsidRDefault="00B13D46">
      <w:pPr>
        <w:spacing w:line="360" w:lineRule="auto"/>
        <w:ind w:firstLine="420"/>
        <w:rPr>
          <w:rFonts w:ascii="宋体" w:hAnsi="宋体"/>
          <w:sz w:val="24"/>
        </w:rPr>
      </w:pPr>
      <w:r>
        <w:rPr>
          <w:rFonts w:ascii="宋体" w:hAnsi="宋体"/>
          <w:sz w:val="24"/>
        </w:rPr>
        <w:t>批准设立机关及批准设立文号：中国证监会证监基</w:t>
      </w:r>
      <w:r>
        <w:rPr>
          <w:rFonts w:ascii="宋体" w:hAnsi="宋体" w:hint="eastAsia"/>
          <w:sz w:val="24"/>
        </w:rPr>
        <w:t>金</w:t>
      </w:r>
      <w:r>
        <w:rPr>
          <w:rFonts w:ascii="宋体" w:hAnsi="宋体"/>
          <w:sz w:val="24"/>
        </w:rPr>
        <w:t>字</w:t>
      </w:r>
      <w:r>
        <w:rPr>
          <w:rStyle w:val="read"/>
          <w:rFonts w:ascii="宋体" w:hAnsi="宋体" w:hint="eastAsia"/>
          <w:color w:val="000000"/>
          <w:sz w:val="24"/>
        </w:rPr>
        <w:t>[2005]128</w:t>
      </w:r>
      <w:r>
        <w:rPr>
          <w:rFonts w:ascii="宋体" w:hAnsi="宋体"/>
          <w:sz w:val="24"/>
        </w:rPr>
        <w:t>号</w:t>
      </w:r>
    </w:p>
    <w:p w14:paraId="661E52FB" w14:textId="77777777" w:rsidR="00CF57A4" w:rsidRDefault="00B13D46">
      <w:pPr>
        <w:spacing w:line="360" w:lineRule="auto"/>
        <w:ind w:firstLine="420"/>
        <w:rPr>
          <w:rFonts w:ascii="宋体" w:hAnsi="宋体"/>
          <w:sz w:val="24"/>
        </w:rPr>
      </w:pPr>
      <w:r>
        <w:rPr>
          <w:rFonts w:ascii="宋体" w:hAnsi="宋体"/>
          <w:sz w:val="24"/>
        </w:rPr>
        <w:t>组织形式：有限责任公司</w:t>
      </w:r>
    </w:p>
    <w:p w14:paraId="34626045" w14:textId="77777777" w:rsidR="00CF57A4" w:rsidRDefault="00B13D46">
      <w:pPr>
        <w:spacing w:line="360" w:lineRule="auto"/>
        <w:ind w:firstLine="420"/>
        <w:rPr>
          <w:rFonts w:ascii="宋体" w:hAnsi="宋体"/>
          <w:sz w:val="24"/>
        </w:rPr>
      </w:pPr>
      <w:r>
        <w:rPr>
          <w:rFonts w:ascii="宋体" w:hAnsi="宋体"/>
          <w:sz w:val="24"/>
        </w:rPr>
        <w:t>注册资本：</w:t>
      </w:r>
      <w:r>
        <w:rPr>
          <w:rFonts w:ascii="宋体" w:hAnsi="宋体" w:hint="eastAsia"/>
          <w:sz w:val="24"/>
        </w:rPr>
        <w:t>贰亿元人民币</w:t>
      </w:r>
    </w:p>
    <w:p w14:paraId="3D13FEEC" w14:textId="77777777" w:rsidR="00CF57A4" w:rsidRDefault="00B13D46">
      <w:pPr>
        <w:spacing w:line="360" w:lineRule="auto"/>
        <w:ind w:firstLine="420"/>
        <w:rPr>
          <w:rFonts w:ascii="宋体" w:hAnsi="宋体"/>
          <w:sz w:val="24"/>
        </w:rPr>
      </w:pPr>
      <w:r>
        <w:rPr>
          <w:rFonts w:ascii="宋体" w:hAnsi="宋体"/>
          <w:sz w:val="24"/>
        </w:rPr>
        <w:t>存续期间：</w:t>
      </w:r>
      <w:r>
        <w:rPr>
          <w:rFonts w:ascii="宋体" w:hAnsi="宋体" w:hint="eastAsia"/>
          <w:sz w:val="24"/>
        </w:rPr>
        <w:t>持续经营</w:t>
      </w:r>
    </w:p>
    <w:p w14:paraId="432784FE" w14:textId="77777777" w:rsidR="00CF57A4" w:rsidRDefault="00B13D46">
      <w:pPr>
        <w:spacing w:line="360" w:lineRule="auto"/>
        <w:ind w:firstLine="420"/>
        <w:rPr>
          <w:rFonts w:ascii="宋体" w:hAnsi="宋体" w:cs="Arial"/>
          <w:sz w:val="24"/>
        </w:rPr>
      </w:pPr>
      <w:r>
        <w:rPr>
          <w:rFonts w:ascii="宋体" w:hAnsi="宋体"/>
          <w:sz w:val="24"/>
        </w:rPr>
        <w:t>经营范围：</w:t>
      </w:r>
      <w:r>
        <w:rPr>
          <w:rFonts w:hint="eastAsia"/>
          <w:bCs/>
          <w:sz w:val="24"/>
        </w:rPr>
        <w:t>基金募集、基金销售、资产管理和中国证监会许可的其它业务。</w:t>
      </w:r>
    </w:p>
    <w:p w14:paraId="5E25D545" w14:textId="77777777" w:rsidR="00CF57A4" w:rsidRDefault="00B13D46">
      <w:pPr>
        <w:spacing w:line="360" w:lineRule="auto"/>
        <w:ind w:firstLine="420"/>
        <w:rPr>
          <w:rFonts w:ascii="宋体" w:hAnsi="宋体"/>
          <w:sz w:val="24"/>
        </w:rPr>
      </w:pPr>
      <w:bookmarkStart w:id="199" w:name="_Toc320703964"/>
      <w:bookmarkStart w:id="200" w:name="_Toc320704015"/>
      <w:bookmarkStart w:id="201" w:name="_Toc320704088"/>
      <w:r>
        <w:rPr>
          <w:rFonts w:ascii="宋体" w:hAnsi="宋体" w:hint="eastAsia"/>
          <w:sz w:val="24"/>
        </w:rPr>
        <w:t>2、</w:t>
      </w:r>
      <w:r>
        <w:rPr>
          <w:rFonts w:ascii="宋体" w:hAnsi="宋体"/>
          <w:sz w:val="24"/>
        </w:rPr>
        <w:t>基金托管人</w:t>
      </w:r>
      <w:bookmarkEnd w:id="199"/>
      <w:bookmarkEnd w:id="200"/>
      <w:bookmarkEnd w:id="201"/>
    </w:p>
    <w:p w14:paraId="6C739F77" w14:textId="77777777" w:rsidR="00CF57A4" w:rsidRDefault="00B13D46">
      <w:pPr>
        <w:spacing w:line="360" w:lineRule="auto"/>
        <w:ind w:firstLine="420"/>
        <w:rPr>
          <w:rFonts w:ascii="宋体" w:hAnsi="宋体"/>
          <w:sz w:val="24"/>
        </w:rPr>
      </w:pPr>
      <w:r>
        <w:rPr>
          <w:rFonts w:ascii="宋体" w:hAnsi="宋体"/>
          <w:sz w:val="24"/>
        </w:rPr>
        <w:t>名称：中国农业银行</w:t>
      </w:r>
      <w:r>
        <w:rPr>
          <w:rFonts w:ascii="宋体" w:hAnsi="宋体" w:hint="eastAsia"/>
          <w:sz w:val="24"/>
        </w:rPr>
        <w:t>股份有限公司</w:t>
      </w:r>
    </w:p>
    <w:p w14:paraId="2AB98B8C" w14:textId="77777777" w:rsidR="00CF57A4" w:rsidRDefault="00B13D46">
      <w:pPr>
        <w:spacing w:line="360" w:lineRule="auto"/>
        <w:ind w:firstLine="420"/>
        <w:rPr>
          <w:rFonts w:ascii="宋体" w:hAnsi="宋体"/>
          <w:sz w:val="24"/>
        </w:rPr>
      </w:pPr>
      <w:r>
        <w:rPr>
          <w:rFonts w:ascii="宋体" w:hAnsi="宋体"/>
          <w:sz w:val="24"/>
        </w:rPr>
        <w:t>注册地址：</w:t>
      </w:r>
      <w:r>
        <w:rPr>
          <w:rFonts w:ascii="宋体" w:hAnsi="宋体" w:hint="eastAsia"/>
          <w:sz w:val="24"/>
        </w:rPr>
        <w:t>北京市东城区建国门内大街69号</w:t>
      </w:r>
    </w:p>
    <w:p w14:paraId="2B2B4251" w14:textId="77777777" w:rsidR="00CF57A4" w:rsidRDefault="00B13D46">
      <w:pPr>
        <w:spacing w:line="360" w:lineRule="auto"/>
        <w:ind w:firstLine="420"/>
        <w:rPr>
          <w:rFonts w:ascii="宋体" w:hAnsi="宋体"/>
          <w:sz w:val="24"/>
        </w:rPr>
      </w:pPr>
      <w:r>
        <w:rPr>
          <w:rFonts w:ascii="宋体" w:hAnsi="宋体"/>
          <w:sz w:val="24"/>
        </w:rPr>
        <w:t>办公地址：</w:t>
      </w:r>
      <w:r>
        <w:rPr>
          <w:rFonts w:ascii="宋体" w:hAnsi="宋体" w:hint="eastAsia"/>
          <w:sz w:val="24"/>
        </w:rPr>
        <w:t>北京市西城区复兴门内大街28号凯晨世贸中心东座九层</w:t>
      </w:r>
    </w:p>
    <w:p w14:paraId="359BE9B4" w14:textId="77777777" w:rsidR="00CF57A4" w:rsidRDefault="00B13D46">
      <w:pPr>
        <w:spacing w:line="360" w:lineRule="auto"/>
        <w:ind w:firstLine="420"/>
        <w:rPr>
          <w:rFonts w:ascii="宋体" w:hAnsi="宋体"/>
          <w:sz w:val="24"/>
        </w:rPr>
      </w:pPr>
      <w:r>
        <w:rPr>
          <w:rFonts w:ascii="宋体" w:hAnsi="宋体"/>
          <w:sz w:val="24"/>
        </w:rPr>
        <w:t>邮政编码：1000</w:t>
      </w:r>
      <w:r>
        <w:rPr>
          <w:rFonts w:ascii="宋体" w:hAnsi="宋体" w:hint="eastAsia"/>
          <w:sz w:val="24"/>
        </w:rPr>
        <w:t>31</w:t>
      </w:r>
    </w:p>
    <w:p w14:paraId="396174C9" w14:textId="77777777" w:rsidR="00CF57A4" w:rsidRDefault="00B13D46">
      <w:pPr>
        <w:spacing w:line="360" w:lineRule="auto"/>
        <w:ind w:firstLine="420"/>
        <w:rPr>
          <w:rFonts w:ascii="宋体" w:hAnsi="宋体"/>
          <w:sz w:val="24"/>
        </w:rPr>
      </w:pPr>
      <w:r>
        <w:rPr>
          <w:rFonts w:ascii="宋体" w:hAnsi="宋体"/>
          <w:sz w:val="24"/>
        </w:rPr>
        <w:t>法定代表人：</w:t>
      </w:r>
      <w:r w:rsidR="00B8363A" w:rsidRPr="00E903A9">
        <w:rPr>
          <w:rFonts w:hAnsi="宋体" w:hint="eastAsia"/>
          <w:kern w:val="0"/>
          <w:sz w:val="24"/>
        </w:rPr>
        <w:t>周慕冰</w:t>
      </w:r>
    </w:p>
    <w:p w14:paraId="6ACA070D" w14:textId="77777777" w:rsidR="00CF57A4" w:rsidRDefault="00B13D46">
      <w:pPr>
        <w:spacing w:line="360" w:lineRule="auto"/>
        <w:ind w:firstLine="420"/>
        <w:rPr>
          <w:rFonts w:ascii="宋体" w:hAnsi="宋体"/>
          <w:sz w:val="24"/>
        </w:rPr>
      </w:pPr>
      <w:r>
        <w:rPr>
          <w:rFonts w:ascii="宋体" w:hAnsi="宋体"/>
          <w:sz w:val="24"/>
        </w:rPr>
        <w:t>成立</w:t>
      </w:r>
      <w:r>
        <w:rPr>
          <w:rFonts w:ascii="宋体" w:hAnsi="宋体" w:hint="eastAsia"/>
          <w:sz w:val="24"/>
        </w:rPr>
        <w:t>时间</w:t>
      </w:r>
      <w:r>
        <w:rPr>
          <w:rFonts w:ascii="宋体" w:hAnsi="宋体"/>
          <w:sz w:val="24"/>
        </w:rPr>
        <w:t>：</w:t>
      </w:r>
      <w:r>
        <w:rPr>
          <w:rFonts w:ascii="宋体" w:hAnsi="宋体" w:hint="eastAsia"/>
          <w:sz w:val="24"/>
        </w:rPr>
        <w:t>2009</w:t>
      </w:r>
      <w:r>
        <w:rPr>
          <w:rFonts w:ascii="宋体" w:hAnsi="宋体"/>
          <w:sz w:val="24"/>
        </w:rPr>
        <w:t>年</w:t>
      </w:r>
      <w:r>
        <w:rPr>
          <w:rFonts w:ascii="宋体" w:hAnsi="宋体" w:hint="eastAsia"/>
          <w:sz w:val="24"/>
        </w:rPr>
        <w:t>1</w:t>
      </w:r>
      <w:r>
        <w:rPr>
          <w:rFonts w:ascii="宋体" w:hAnsi="宋体"/>
          <w:sz w:val="24"/>
        </w:rPr>
        <w:t>月</w:t>
      </w:r>
      <w:r>
        <w:rPr>
          <w:rFonts w:ascii="宋体" w:hAnsi="宋体" w:hint="eastAsia"/>
          <w:sz w:val="24"/>
        </w:rPr>
        <w:t>15</w:t>
      </w:r>
      <w:r>
        <w:rPr>
          <w:rFonts w:ascii="宋体" w:hAnsi="宋体"/>
          <w:sz w:val="24"/>
        </w:rPr>
        <w:t>日</w:t>
      </w:r>
    </w:p>
    <w:p w14:paraId="637D7B3A" w14:textId="77777777" w:rsidR="00CF57A4" w:rsidRDefault="00B13D46">
      <w:pPr>
        <w:spacing w:line="360" w:lineRule="auto"/>
        <w:ind w:firstLine="420"/>
        <w:rPr>
          <w:rFonts w:ascii="宋体" w:hAnsi="宋体"/>
          <w:sz w:val="24"/>
        </w:rPr>
      </w:pPr>
      <w:r>
        <w:rPr>
          <w:rFonts w:ascii="宋体" w:hAnsi="宋体" w:hint="eastAsia"/>
          <w:sz w:val="24"/>
        </w:rPr>
        <w:t>基金托管资格批准文号：中国证监会证监基字[1998]23号</w:t>
      </w:r>
    </w:p>
    <w:p w14:paraId="5FED4380" w14:textId="77777777" w:rsidR="00CF57A4" w:rsidRDefault="00B13D46">
      <w:pPr>
        <w:spacing w:line="360" w:lineRule="auto"/>
        <w:ind w:firstLine="420"/>
        <w:rPr>
          <w:rFonts w:ascii="宋体" w:hAnsi="宋体"/>
          <w:sz w:val="24"/>
        </w:rPr>
      </w:pPr>
      <w:r>
        <w:rPr>
          <w:rFonts w:ascii="宋体" w:hAnsi="宋体"/>
          <w:sz w:val="24"/>
        </w:rPr>
        <w:t>注册</w:t>
      </w:r>
      <w:r>
        <w:rPr>
          <w:rFonts w:ascii="宋体" w:hAnsi="宋体" w:hint="eastAsia"/>
          <w:sz w:val="24"/>
        </w:rPr>
        <w:t>资本</w:t>
      </w:r>
      <w:r>
        <w:rPr>
          <w:rFonts w:ascii="宋体" w:hAnsi="宋体"/>
          <w:sz w:val="24"/>
        </w:rPr>
        <w:t>：</w:t>
      </w:r>
      <w:r>
        <w:rPr>
          <w:rFonts w:ascii="宋体" w:hAnsi="宋体" w:hint="eastAsia"/>
          <w:sz w:val="24"/>
        </w:rPr>
        <w:t>32,479,411.7万</w:t>
      </w:r>
      <w:r>
        <w:rPr>
          <w:rFonts w:ascii="宋体" w:hAnsi="宋体"/>
          <w:sz w:val="24"/>
        </w:rPr>
        <w:t>元人民币</w:t>
      </w:r>
    </w:p>
    <w:p w14:paraId="2C4360C4" w14:textId="77777777" w:rsidR="00CF57A4" w:rsidRDefault="00B13D46">
      <w:pPr>
        <w:spacing w:line="360" w:lineRule="auto"/>
        <w:ind w:firstLine="420"/>
        <w:rPr>
          <w:rFonts w:ascii="宋体" w:hAnsi="宋体"/>
          <w:sz w:val="24"/>
        </w:rPr>
      </w:pPr>
      <w:r>
        <w:rPr>
          <w:rFonts w:ascii="宋体" w:hAnsi="宋体"/>
          <w:sz w:val="24"/>
        </w:rPr>
        <w:t>存续期间：持续经营</w:t>
      </w:r>
    </w:p>
    <w:p w14:paraId="2FE3FBD2" w14:textId="77777777" w:rsidR="00CF57A4" w:rsidRDefault="00B13D46">
      <w:pPr>
        <w:spacing w:line="360" w:lineRule="auto"/>
        <w:ind w:firstLine="420"/>
        <w:rPr>
          <w:rFonts w:ascii="宋体" w:hAnsi="宋体"/>
          <w:sz w:val="24"/>
        </w:rPr>
      </w:pPr>
      <w:r>
        <w:rPr>
          <w:rFonts w:ascii="宋体" w:hAnsi="宋体"/>
          <w:sz w:val="24"/>
        </w:rPr>
        <w:t>经营范围：</w:t>
      </w:r>
      <w:r>
        <w:rPr>
          <w:rFonts w:ascii="宋体" w:hAnsi="宋体" w:hint="eastAsia"/>
          <w:sz w:val="24"/>
        </w:rPr>
        <w:t>吸收公众存款；发放短期、中期、长期贷款；办理国内外结</w:t>
      </w:r>
      <w:r>
        <w:rPr>
          <w:rFonts w:ascii="宋体" w:hAnsi="宋体"/>
          <w:sz w:val="24"/>
        </w:rPr>
        <w:t xml:space="preserve"> </w:t>
      </w:r>
      <w:r>
        <w:rPr>
          <w:rFonts w:ascii="宋体" w:hAnsi="宋体" w:hint="eastAsia"/>
          <w:sz w:val="24"/>
        </w:rPr>
        <w:t>算；办理票据承兑与贴现；发行金融债券；代理发行、代理兑付、承销政府债券；买卖政府债券、金融债券；从事同业拆借；买卖、代理买卖外汇；结汇、售汇；从事银行卡业务；提供信用证服务及担保；代理收付款项及代理保险业务；提供保管箱服务；代理资金清算；各类汇兑业务；代理政策性银行、外国政府和国际金融机构</w:t>
      </w:r>
      <w:r>
        <w:rPr>
          <w:rFonts w:ascii="宋体" w:hAnsi="宋体" w:hint="eastAsia"/>
          <w:sz w:val="24"/>
        </w:rPr>
        <w:lastRenderedPageBreak/>
        <w:t>贷款业务；贷款承诺；组织或参加银团贷款；外汇存款；外汇贷款；外汇汇款；外汇借款；发行、代理发行、买卖或代理买卖股票以外的外币有价证券；外汇票据承兑和贴现；自营、代客外汇买卖；外币兑换；外汇担保；资信调查、咨询、见证业务；企业、个人财务顾问服务；证券公司客户交易结算资金存管业务；证券投资基金托管业务；企业年金托管业务；产业投资基金托管业务；合格境外机构投资者境内证</w:t>
      </w:r>
      <w:r>
        <w:rPr>
          <w:rFonts w:ascii="宋体" w:hAnsi="宋体"/>
          <w:sz w:val="24"/>
        </w:rPr>
        <w:t xml:space="preserve"> </w:t>
      </w:r>
      <w:r>
        <w:rPr>
          <w:rFonts w:ascii="宋体" w:hAnsi="宋体" w:hint="eastAsia"/>
          <w:sz w:val="24"/>
        </w:rPr>
        <w:t>券投资托管业务；代理开放式基金业务；电话银行、手机银行、网上银行业务；金融衍生产品交易业务；经国务院银行业监督管理机构等监管部门批准的其他业务。</w:t>
      </w:r>
    </w:p>
    <w:p w14:paraId="58407F1B" w14:textId="77777777" w:rsidR="00CF57A4" w:rsidRDefault="00B13D46">
      <w:pPr>
        <w:spacing w:line="360" w:lineRule="auto"/>
        <w:ind w:firstLine="420"/>
        <w:rPr>
          <w:rFonts w:ascii="宋体" w:hAnsi="宋体"/>
          <w:b/>
          <w:kern w:val="0"/>
          <w:sz w:val="24"/>
        </w:rPr>
      </w:pPr>
      <w:r>
        <w:rPr>
          <w:rFonts w:ascii="宋体" w:hAnsi="宋体" w:hint="eastAsia"/>
          <w:b/>
          <w:kern w:val="0"/>
          <w:sz w:val="24"/>
        </w:rPr>
        <w:t>（二）基金托管人对基金管理人的业务监督和核查</w:t>
      </w:r>
    </w:p>
    <w:p w14:paraId="3D590427" w14:textId="77777777" w:rsidR="00CF57A4" w:rsidRDefault="00B13D46">
      <w:pPr>
        <w:spacing w:line="360" w:lineRule="auto"/>
        <w:ind w:firstLine="420"/>
        <w:rPr>
          <w:rFonts w:ascii="宋体" w:hAnsi="宋体"/>
          <w:sz w:val="24"/>
        </w:rPr>
      </w:pPr>
      <w:r>
        <w:rPr>
          <w:rFonts w:ascii="宋体" w:hAnsi="宋体" w:hint="eastAsia"/>
          <w:sz w:val="24"/>
        </w:rPr>
        <w:t>1、基金托管人根据有关法律法规的规定及基金合同的约定，对基金投资范围、投资对象进行监督。基金合同明确约定基金投资风格或证券选择标准的，基金管理人应按照基金托管人要求的格式提供投资品种池和交易对手库，以便基金托管人运用相关技术系统，对基金实际投资是否符合基金合同关于证券选择标准的约定进行监督，对存在疑义的事项进行核查。</w:t>
      </w:r>
    </w:p>
    <w:p w14:paraId="1B0121BD" w14:textId="77777777" w:rsidR="00CF57A4" w:rsidRDefault="00B13D46">
      <w:pPr>
        <w:spacing w:line="360" w:lineRule="auto"/>
        <w:ind w:firstLine="420"/>
        <w:rPr>
          <w:rFonts w:ascii="宋体" w:hAnsi="宋体"/>
          <w:sz w:val="24"/>
        </w:rPr>
      </w:pPr>
      <w:r>
        <w:rPr>
          <w:rFonts w:ascii="宋体" w:hAnsi="宋体" w:hint="eastAsia"/>
          <w:sz w:val="24"/>
        </w:rPr>
        <w:t>本基金以深证300价值价格指数（简称“标的指数”）成份股、备选成份股为主要投资对象（含中小板股票和创业板股票及其他经中国证监会核准的上市股票），把全部或接近全部的基金资产用于跟踪标的指数的表现，正常情况下指数化投资比例，即投资于标的指数成份股和备选成份股的资产比例不低于基金资产净值的95%。此外，为更好地实现投资目标，本基金也可少量投资于新股、债券、回购、权证及中国证监会允许基金投资的其它金融工具（但须符合中国证监会的相关规定）。</w:t>
      </w:r>
    </w:p>
    <w:p w14:paraId="157813C6" w14:textId="77777777" w:rsidR="00CF57A4" w:rsidRDefault="00B13D46">
      <w:pPr>
        <w:spacing w:line="360" w:lineRule="auto"/>
        <w:ind w:firstLine="420"/>
        <w:rPr>
          <w:rFonts w:ascii="宋体" w:hAnsi="宋体"/>
          <w:sz w:val="24"/>
        </w:rPr>
      </w:pPr>
      <w:r>
        <w:rPr>
          <w:rFonts w:ascii="宋体" w:hAnsi="宋体" w:hint="eastAsia"/>
          <w:sz w:val="24"/>
        </w:rPr>
        <w:t>如因标的指数成份股调整、基金份额申购赎回清单内现金替代、现金差额等因素导致基金投资比例不符合上述标准的，基金管理人将在10个交易日内进行调整。法律法规或监管机构日后允许本基金投资其他品种，基金管理人在履行适当程序后，可以将其纳入投资范围。</w:t>
      </w:r>
    </w:p>
    <w:p w14:paraId="3A9B4AAD" w14:textId="77777777" w:rsidR="00CF57A4" w:rsidRDefault="00B13D46">
      <w:pPr>
        <w:spacing w:line="360" w:lineRule="auto"/>
        <w:ind w:firstLine="420"/>
        <w:rPr>
          <w:rFonts w:ascii="宋体" w:hAnsi="宋体"/>
          <w:sz w:val="24"/>
        </w:rPr>
      </w:pPr>
      <w:r>
        <w:rPr>
          <w:rFonts w:ascii="宋体" w:hAnsi="宋体" w:hint="eastAsia"/>
          <w:sz w:val="24"/>
        </w:rPr>
        <w:t>2、基金托管人根据有关法律法规的规定及基金合同的约定，对基金投资、融资、融券比例进行监督。基金托管人按下述比例和调整期限进行监督：</w:t>
      </w:r>
    </w:p>
    <w:p w14:paraId="728CAE14" w14:textId="77777777" w:rsidR="00CF57A4" w:rsidRDefault="00B13D46">
      <w:pPr>
        <w:spacing w:line="360" w:lineRule="auto"/>
        <w:ind w:firstLine="420"/>
        <w:rPr>
          <w:rFonts w:ascii="宋体" w:hAnsi="宋体"/>
          <w:sz w:val="24"/>
        </w:rPr>
      </w:pPr>
      <w:r>
        <w:rPr>
          <w:rFonts w:ascii="宋体" w:hAnsi="宋体" w:hint="eastAsia"/>
          <w:sz w:val="24"/>
        </w:rPr>
        <w:t>（1）进入全国银行间同业市场的债券回购融入的资金余额不超过基金资产净值的40%。债券回购最长期限为１年，债券回购到期后不得展期；</w:t>
      </w:r>
    </w:p>
    <w:p w14:paraId="19FF304D" w14:textId="77777777" w:rsidR="00CF57A4" w:rsidRDefault="00B13D46">
      <w:pPr>
        <w:spacing w:line="360" w:lineRule="auto"/>
        <w:ind w:firstLine="420"/>
        <w:rPr>
          <w:rFonts w:ascii="宋体" w:hAnsi="宋体"/>
          <w:sz w:val="24"/>
        </w:rPr>
      </w:pPr>
      <w:r>
        <w:rPr>
          <w:rFonts w:ascii="宋体" w:hAnsi="宋体" w:hint="eastAsia"/>
          <w:sz w:val="24"/>
        </w:rPr>
        <w:lastRenderedPageBreak/>
        <w:t>（2）本基金参与股票发行申购，本基金所申报的金额不超过本基金的总资产，本基金所申报的股票数量不超过拟发行股票公司本次发行股票的总量；</w:t>
      </w:r>
    </w:p>
    <w:p w14:paraId="6DECB756" w14:textId="77777777" w:rsidR="00CF57A4" w:rsidRDefault="00B13D46">
      <w:pPr>
        <w:widowControl/>
        <w:spacing w:line="360" w:lineRule="auto"/>
        <w:ind w:firstLineChars="200" w:firstLine="480"/>
        <w:rPr>
          <w:rFonts w:ascii="宋体" w:hAnsi="宋体"/>
          <w:color w:val="000000"/>
          <w:sz w:val="24"/>
        </w:rPr>
      </w:pPr>
      <w:r>
        <w:rPr>
          <w:rFonts w:ascii="宋体" w:hAnsi="宋体" w:hint="eastAsia"/>
          <w:color w:val="000000"/>
          <w:sz w:val="24"/>
        </w:rPr>
        <w:t>（3）本基金投资权证，在任何交易日买入权证的总金额，不得超过上一交易日基金资产净值的0.5%；本基金持有的全部权证，其市值不得超过基金资产净值的3%；本基金与本基金管理人管理的其他基金持有的同一权证，不得超过该权证的10%；法律法规或监管部门另有规定的，遵从其规定；</w:t>
      </w:r>
    </w:p>
    <w:p w14:paraId="2D425561" w14:textId="77777777" w:rsidR="00CF57A4" w:rsidRDefault="00B13D46">
      <w:pPr>
        <w:spacing w:line="360" w:lineRule="auto"/>
        <w:ind w:firstLine="420"/>
        <w:rPr>
          <w:rFonts w:ascii="宋体" w:hAnsi="宋体"/>
          <w:sz w:val="24"/>
        </w:rPr>
      </w:pPr>
      <w:r>
        <w:rPr>
          <w:rFonts w:ascii="宋体" w:hAnsi="宋体" w:hint="eastAsia"/>
          <w:sz w:val="24"/>
        </w:rPr>
        <w:t>（4）本基金持有一家公司发行的流通受限证券，其市值不得超过基金资产净值的2%；本基金持有的所有流通受限证券，其市值不得超过该基金资产净值的15%；</w:t>
      </w:r>
    </w:p>
    <w:p w14:paraId="64D23CE2" w14:textId="77777777" w:rsidR="00CF57A4" w:rsidRDefault="00B13D46">
      <w:pPr>
        <w:spacing w:line="360" w:lineRule="auto"/>
        <w:ind w:firstLine="420"/>
        <w:rPr>
          <w:rFonts w:ascii="宋体" w:hAnsi="宋体"/>
          <w:sz w:val="24"/>
        </w:rPr>
      </w:pPr>
      <w:r>
        <w:rPr>
          <w:rFonts w:ascii="宋体" w:hAnsi="宋体" w:hint="eastAsia"/>
          <w:sz w:val="24"/>
        </w:rPr>
        <w:t>（5）本基金不得违反基金合同中有关投资范围、投资策略、投资比例的规定；</w:t>
      </w:r>
    </w:p>
    <w:p w14:paraId="7076915A" w14:textId="77777777" w:rsidR="00CF57A4" w:rsidRDefault="00B13D46">
      <w:pPr>
        <w:spacing w:line="360" w:lineRule="auto"/>
        <w:ind w:firstLine="420"/>
        <w:rPr>
          <w:rFonts w:ascii="宋体" w:hAnsi="宋体"/>
          <w:sz w:val="24"/>
        </w:rPr>
      </w:pPr>
      <w:r>
        <w:rPr>
          <w:rFonts w:ascii="宋体" w:hAnsi="宋体" w:hint="eastAsia"/>
          <w:sz w:val="24"/>
        </w:rPr>
        <w:t>（6）法律法规或监管部门对上述比例限制另有规定的，从其规定。</w:t>
      </w:r>
    </w:p>
    <w:p w14:paraId="0FB30F14" w14:textId="77777777" w:rsidR="00CF57A4" w:rsidRDefault="00B13D46">
      <w:pPr>
        <w:spacing w:line="360" w:lineRule="auto"/>
        <w:ind w:firstLine="420"/>
        <w:rPr>
          <w:rFonts w:ascii="宋体" w:hAnsi="宋体"/>
          <w:sz w:val="24"/>
        </w:rPr>
      </w:pPr>
      <w:r>
        <w:rPr>
          <w:rFonts w:ascii="宋体" w:hAnsi="宋体" w:hint="eastAsia"/>
          <w:sz w:val="24"/>
        </w:rPr>
        <w:t>基金管理人应当自基金合同生效之日起三个月内使基金的投资组合比例符合基金合同的约定。在符合相关法律法规规定的前提下，因证券市场波动、上市公司合并、基金规模变动、标的指数成分股调整、基金申购或赎回带来现金等基金管理人之外的因素致使基金投资组合比例不符合上述规定的投资比例的，基金管理人应当在10个交易日内进行调整。法律法规或监管部门另有规定的，从其规定。</w:t>
      </w:r>
    </w:p>
    <w:p w14:paraId="63561C99" w14:textId="77777777" w:rsidR="00CF57A4" w:rsidRDefault="00B13D46">
      <w:pPr>
        <w:spacing w:line="360" w:lineRule="auto"/>
        <w:ind w:firstLine="420"/>
        <w:rPr>
          <w:rFonts w:ascii="宋体" w:hAnsi="宋体"/>
          <w:sz w:val="24"/>
        </w:rPr>
      </w:pPr>
      <w:r>
        <w:rPr>
          <w:rFonts w:ascii="宋体" w:hAnsi="宋体" w:hint="eastAsia"/>
          <w:sz w:val="24"/>
        </w:rPr>
        <w:t>若法律法规或监管部门对上述约定的投资组合比例限制规定进行变更的，以变更后的规定为准；若法律法规或监管部门取消上述限制，在履行适当程序后，本基金投资可不受上述规定限制。</w:t>
      </w:r>
    </w:p>
    <w:p w14:paraId="79940B78" w14:textId="77777777" w:rsidR="00CF57A4" w:rsidRDefault="00B13D46">
      <w:pPr>
        <w:spacing w:line="360" w:lineRule="auto"/>
        <w:ind w:firstLine="420"/>
        <w:rPr>
          <w:rFonts w:ascii="宋体" w:hAnsi="宋体"/>
          <w:sz w:val="24"/>
        </w:rPr>
      </w:pPr>
      <w:r>
        <w:rPr>
          <w:rFonts w:ascii="宋体" w:hAnsi="宋体" w:hint="eastAsia"/>
          <w:sz w:val="24"/>
        </w:rPr>
        <w:t>基金托管人对基金投资的监督和检查自基金合同生效之日起开始。</w:t>
      </w:r>
    </w:p>
    <w:p w14:paraId="3F88FE65" w14:textId="77777777" w:rsidR="00CF57A4" w:rsidRDefault="00B13D46">
      <w:pPr>
        <w:spacing w:line="360" w:lineRule="auto"/>
        <w:ind w:firstLine="420"/>
        <w:rPr>
          <w:rFonts w:ascii="宋体" w:hAnsi="宋体"/>
          <w:sz w:val="24"/>
        </w:rPr>
      </w:pPr>
      <w:r>
        <w:rPr>
          <w:rFonts w:ascii="宋体" w:hAnsi="宋体" w:hint="eastAsia"/>
          <w:sz w:val="24"/>
        </w:rPr>
        <w:t>3、基金托管人根据有关法律法规的规定及基金合同的约定，对本协议第十五条第九项基金投资禁止行为进行监督。基金托管人通过事后监督方式对基金管理人基金投资禁止行为和关联交易进行监督。根据法律法规有关基金禁止从事关联交易的规定，基金管理人和基金托管人相互提供与本机构有控股关系的股东、与本机构有其他重大利害关系的公司名单及有关关联方交易证券名单。基金管理人和基金托管人有责任确保关联交易名单的真实性、准确性、完整性，并负责及时将更新后的名单发送给对方。</w:t>
      </w:r>
    </w:p>
    <w:p w14:paraId="05942FA7" w14:textId="77777777" w:rsidR="00CF57A4" w:rsidRDefault="00B13D46">
      <w:pPr>
        <w:spacing w:line="360" w:lineRule="auto"/>
        <w:ind w:firstLine="420"/>
        <w:rPr>
          <w:rFonts w:ascii="宋体" w:hAnsi="宋体"/>
          <w:sz w:val="24"/>
        </w:rPr>
      </w:pPr>
      <w:r>
        <w:rPr>
          <w:rFonts w:ascii="宋体" w:hAnsi="宋体" w:hint="eastAsia"/>
          <w:sz w:val="24"/>
        </w:rPr>
        <w:t>若基金托管人发现基金管理人与关联交易名单中列示的关联方进行法律法规禁止基金从事的关联交易时，基金托管人应及时提醒并协助基金管理人采取必要措施阻止该关联交易的发生，如基金托管人采取必要措施后仍无法阻止关联交易</w:t>
      </w:r>
      <w:r>
        <w:rPr>
          <w:rFonts w:ascii="宋体" w:hAnsi="宋体" w:hint="eastAsia"/>
          <w:sz w:val="24"/>
        </w:rPr>
        <w:lastRenderedPageBreak/>
        <w:t>发生时，基金托管人有权向中国证监会报告。对于基金管理人已成交的关联交易，如基金托管人事前已严格遵循了监督流程仍无法阻止该关联交易的发生，而只能按相关法律法规和交易所规则进行事后结算，则基金托管人不承担由此造成的损失，并应向中国证监会报告。</w:t>
      </w:r>
    </w:p>
    <w:p w14:paraId="20F4CDAC" w14:textId="77777777" w:rsidR="00CF57A4" w:rsidRDefault="00B13D46">
      <w:pPr>
        <w:spacing w:line="360" w:lineRule="auto"/>
        <w:ind w:firstLine="420"/>
        <w:rPr>
          <w:rFonts w:ascii="宋体" w:hAnsi="宋体"/>
          <w:sz w:val="24"/>
        </w:rPr>
      </w:pPr>
      <w:r>
        <w:rPr>
          <w:rFonts w:ascii="宋体" w:hAnsi="宋体" w:hint="eastAsia"/>
          <w:sz w:val="24"/>
        </w:rPr>
        <w:t>4、基金托管人根据有关法律法规的规定及基金合同的约定，对基金管理人参与银行间债券市场进行监督。基金管理人应在基金投资运作之前向基金托管人提供经慎重选择的、本基金适用的银行间债券市场交易对手名单。基金托管人监督基金管理人是否按事前提供的银行间债券市场交易对手名单进行交易。基金管理人可以每半年对银行间债券市场交易对手名单进行更新，如基金管理人根据市场情况需要临时调整银行间债券市场交易对手名单，应向基金托管人说明理由，在与交易对手发生交易前1个工作日内与基金托管人协商解决。基金管理人与基金托管人完成确认后，被确认调整的名单开始生效，新名单生效前已与本次剔除的交易对手所进行但尚未结算的交易，仍应按照协议进行结算。基金管理人负责对交易对手的资信控制，按银行间债券市场的交易规则进行交易，基金托管人则根据银行间债券市场成交单对合同履行情况进行监督，但不承担交易对手不履行合同造成的损失。如基金托管人事后发现基金管理人没有按照事先约定的交易对手进行交易时，基金托管人应及时提醒基金管理人，基金托管人不承担由此造成的任何损失和责任。</w:t>
      </w:r>
    </w:p>
    <w:p w14:paraId="6A82F535" w14:textId="77777777" w:rsidR="00CF57A4" w:rsidRDefault="00B13D46">
      <w:pPr>
        <w:spacing w:line="360" w:lineRule="auto"/>
        <w:ind w:firstLine="420"/>
        <w:rPr>
          <w:rFonts w:ascii="宋体" w:hAnsi="宋体"/>
          <w:sz w:val="24"/>
        </w:rPr>
      </w:pPr>
      <w:r>
        <w:rPr>
          <w:rFonts w:ascii="宋体" w:hAnsi="宋体" w:hint="eastAsia"/>
          <w:sz w:val="24"/>
        </w:rPr>
        <w:t>5、基金托管人根据有关法律法规的规定及基金合同的约定，对基金管理人选择存款银行进行监督。</w:t>
      </w:r>
    </w:p>
    <w:p w14:paraId="3D05D529" w14:textId="77777777" w:rsidR="00CF57A4" w:rsidRDefault="00B13D46">
      <w:pPr>
        <w:spacing w:line="360" w:lineRule="auto"/>
        <w:ind w:firstLine="420"/>
        <w:rPr>
          <w:rFonts w:ascii="宋体" w:hAnsi="宋体"/>
          <w:sz w:val="24"/>
        </w:rPr>
      </w:pPr>
      <w:r>
        <w:rPr>
          <w:rFonts w:ascii="宋体" w:hAnsi="宋体" w:hint="eastAsia"/>
          <w:sz w:val="24"/>
        </w:rPr>
        <w:t>基金投资银行定期存款的，基金管理人应根据法律法规的规定及基金合同的约定，确定符合条件的所有存款银行的名单，并及时提供给基金托管人，基金托管人应据以对基金投资银行存款的交易对手是否符合有关规定进行监督。</w:t>
      </w:r>
    </w:p>
    <w:p w14:paraId="23CF56BF" w14:textId="77777777" w:rsidR="00CF57A4" w:rsidRDefault="00B13D46">
      <w:pPr>
        <w:spacing w:line="360" w:lineRule="auto"/>
        <w:ind w:firstLine="420"/>
        <w:rPr>
          <w:rFonts w:ascii="宋体" w:hAnsi="宋体"/>
          <w:sz w:val="24"/>
        </w:rPr>
      </w:pPr>
      <w:r>
        <w:rPr>
          <w:rFonts w:ascii="宋体" w:hAnsi="宋体" w:hint="eastAsia"/>
          <w:sz w:val="24"/>
        </w:rPr>
        <w:t>本基金投资银行存款应符合如下规定：</w:t>
      </w:r>
    </w:p>
    <w:p w14:paraId="643F907C" w14:textId="77777777" w:rsidR="00CF57A4" w:rsidRDefault="00B13D46">
      <w:pPr>
        <w:spacing w:line="360" w:lineRule="auto"/>
        <w:ind w:firstLine="420"/>
        <w:rPr>
          <w:rFonts w:ascii="宋体" w:hAnsi="宋体"/>
          <w:sz w:val="24"/>
        </w:rPr>
      </w:pPr>
      <w:r>
        <w:rPr>
          <w:rFonts w:ascii="宋体" w:hAnsi="宋体" w:hint="eastAsia"/>
          <w:sz w:val="24"/>
        </w:rPr>
        <w:t>（1）基金管理人、基金托管人应当与存款银行建立定期对账机制，确保基金银行存款业务账目及核算的真实、准确。</w:t>
      </w:r>
    </w:p>
    <w:p w14:paraId="7596E09A" w14:textId="77777777" w:rsidR="00CF57A4" w:rsidRDefault="00B13D46">
      <w:pPr>
        <w:spacing w:line="360" w:lineRule="auto"/>
        <w:ind w:firstLine="420"/>
        <w:rPr>
          <w:rFonts w:ascii="宋体" w:hAnsi="宋体"/>
          <w:sz w:val="24"/>
        </w:rPr>
      </w:pPr>
      <w:r>
        <w:rPr>
          <w:rFonts w:ascii="宋体" w:hAnsi="宋体" w:hint="eastAsia"/>
          <w:sz w:val="24"/>
        </w:rPr>
        <w:t>（2）基金托管人应加强对基金银行存款业务的监督与核查，严格审查、复核相关协议、账户资料、投资指令、存款证实书等有关文件，切实履行托管职责。</w:t>
      </w:r>
    </w:p>
    <w:p w14:paraId="383361F1" w14:textId="77777777" w:rsidR="00CF57A4" w:rsidRDefault="00B13D46">
      <w:pPr>
        <w:spacing w:line="360" w:lineRule="auto"/>
        <w:ind w:firstLine="420"/>
        <w:rPr>
          <w:rFonts w:ascii="宋体" w:hAnsi="宋体"/>
          <w:sz w:val="24"/>
        </w:rPr>
      </w:pPr>
      <w:r>
        <w:rPr>
          <w:rFonts w:ascii="宋体" w:hAnsi="宋体" w:hint="eastAsia"/>
          <w:sz w:val="24"/>
        </w:rPr>
        <w:t>（3）基金管理人与基金托管人在开展基金存款业务时，应严格遵守《基金法》、</w:t>
      </w:r>
      <w:r>
        <w:rPr>
          <w:rFonts w:ascii="宋体" w:hAnsi="宋体" w:hint="eastAsia"/>
          <w:sz w:val="24"/>
        </w:rPr>
        <w:lastRenderedPageBreak/>
        <w:t>《运作办法》等有关法律法规，以及国家有关账户管理、利率管理、支付结算等的各项规定。</w:t>
      </w:r>
    </w:p>
    <w:p w14:paraId="264126E8" w14:textId="77777777" w:rsidR="00CF57A4" w:rsidRDefault="00B13D46">
      <w:pPr>
        <w:spacing w:line="360" w:lineRule="auto"/>
        <w:ind w:firstLine="420"/>
        <w:rPr>
          <w:rFonts w:ascii="宋体" w:hAnsi="宋体"/>
          <w:sz w:val="24"/>
        </w:rPr>
      </w:pPr>
      <w:r>
        <w:rPr>
          <w:rFonts w:ascii="宋体" w:hAnsi="宋体" w:hint="eastAsia"/>
          <w:sz w:val="24"/>
        </w:rPr>
        <w:t>基金托管人发现基金管理人在选择存款银行时有违反有关法律法规的规定及基金合同的约定的行为，应及时以书面形式通知基金管理人在10个工作日内纠正。基金管理人对基金托管人通知的违规事项未能在10个工作日内纠正的，基金托管人应报告中国证监会。基金托管人发现基金管理人有重大违规行为，应立即报告中国证监会，同时通知基金管理人在10个工作日内纠正或拒绝结算。</w:t>
      </w:r>
    </w:p>
    <w:p w14:paraId="2C7E4948" w14:textId="77777777" w:rsidR="00CF57A4" w:rsidRDefault="00B13D46">
      <w:pPr>
        <w:spacing w:line="360" w:lineRule="auto"/>
        <w:ind w:firstLine="420"/>
        <w:rPr>
          <w:rFonts w:ascii="宋体" w:hAnsi="宋体"/>
          <w:sz w:val="24"/>
        </w:rPr>
      </w:pPr>
      <w:r>
        <w:rPr>
          <w:rFonts w:ascii="宋体" w:hAnsi="宋体" w:hint="eastAsia"/>
          <w:sz w:val="24"/>
        </w:rPr>
        <w:t>6、基金托管人根据有关法律法规的规定及基金合同的约定，对基金资产净值计算、基金份额净值计算、应收资金到账、基金费用开支及收入确定、基金收益分配、相关信息披露、基金宣传推介材料中登载基金业绩表现数据等进行监督和核查。</w:t>
      </w:r>
    </w:p>
    <w:p w14:paraId="03CE0F13" w14:textId="77777777" w:rsidR="00CF57A4" w:rsidRDefault="00B13D46">
      <w:pPr>
        <w:spacing w:line="360" w:lineRule="auto"/>
        <w:ind w:firstLine="420"/>
        <w:rPr>
          <w:rFonts w:ascii="宋体" w:hAnsi="宋体"/>
          <w:sz w:val="24"/>
        </w:rPr>
      </w:pPr>
      <w:r>
        <w:rPr>
          <w:rFonts w:ascii="宋体" w:hAnsi="宋体" w:hint="eastAsia"/>
          <w:sz w:val="24"/>
        </w:rPr>
        <w:t>如果基金管理人未经基金托管人的审核擅自将不实的业绩表现数据印制在宣传推介材料上，则基金托管人对此不承担任何责任，并将在发现后立即报告中国证监会。</w:t>
      </w:r>
    </w:p>
    <w:p w14:paraId="1324FD0F" w14:textId="77777777" w:rsidR="00CF57A4" w:rsidRDefault="00B13D46">
      <w:pPr>
        <w:spacing w:line="360" w:lineRule="auto"/>
        <w:ind w:firstLine="420"/>
        <w:rPr>
          <w:rFonts w:ascii="宋体" w:hAnsi="宋体"/>
          <w:sz w:val="24"/>
        </w:rPr>
      </w:pPr>
      <w:r>
        <w:rPr>
          <w:rFonts w:ascii="宋体" w:hAnsi="宋体" w:hint="eastAsia"/>
          <w:sz w:val="24"/>
        </w:rPr>
        <w:t>7、基金托管人根据有关法律法规的规定及基金合同的约定，对基金投资流通受限证券进行监督。</w:t>
      </w:r>
    </w:p>
    <w:p w14:paraId="0D0CE1EC" w14:textId="77777777" w:rsidR="00CF57A4" w:rsidRDefault="00B13D46">
      <w:pPr>
        <w:spacing w:line="360" w:lineRule="auto"/>
        <w:ind w:firstLine="420"/>
        <w:rPr>
          <w:rFonts w:ascii="宋体" w:hAnsi="宋体"/>
          <w:sz w:val="24"/>
        </w:rPr>
      </w:pPr>
      <w:r>
        <w:rPr>
          <w:rFonts w:ascii="宋体" w:hAnsi="宋体" w:hint="eastAsia"/>
          <w:sz w:val="24"/>
        </w:rPr>
        <w:t>（1）基金投资流通受限证券，应遵守《关于规范基金投资非公开发行证券行为的紧急通知》、《关于基金投资非公开发行股票等流通受限证券有关问题的通知》等有关法律法规规定。</w:t>
      </w:r>
    </w:p>
    <w:p w14:paraId="4243DA6C" w14:textId="77777777" w:rsidR="00CF57A4" w:rsidRDefault="00B13D46">
      <w:pPr>
        <w:spacing w:line="360" w:lineRule="auto"/>
        <w:ind w:firstLine="420"/>
        <w:rPr>
          <w:rFonts w:ascii="宋体" w:hAnsi="宋体"/>
          <w:sz w:val="24"/>
        </w:rPr>
      </w:pPr>
      <w:r>
        <w:rPr>
          <w:rFonts w:ascii="宋体" w:hAnsi="宋体" w:hint="eastAsia"/>
          <w:sz w:val="24"/>
        </w:rPr>
        <w:t xml:space="preserve">（2）流通受限证券，包括由《上市公司证券发行管理办法》规范的非公开发行股票、公开发行股票网下配售部分等在发行时明确一定期限锁定期的可交易证券,不包括由于发布重大消息或其他原因而临时停牌的证券、已发行未上市证券、回购交易中的质押券等流通受限证券。                                                    </w:t>
      </w:r>
    </w:p>
    <w:p w14:paraId="401F4A36" w14:textId="77777777" w:rsidR="00CF57A4" w:rsidRDefault="00B13D46">
      <w:pPr>
        <w:spacing w:line="360" w:lineRule="auto"/>
        <w:ind w:firstLine="420"/>
        <w:rPr>
          <w:rFonts w:ascii="宋体" w:hAnsi="宋体"/>
          <w:sz w:val="24"/>
        </w:rPr>
      </w:pPr>
      <w:r>
        <w:rPr>
          <w:rFonts w:ascii="宋体" w:hAnsi="宋体" w:hint="eastAsia"/>
          <w:sz w:val="24"/>
        </w:rPr>
        <w:t>（3）在首次投资流通受限证券之前，基金管理人应当制定相关投资决策流程、风险控制制度、流动性风险控制预案等规章制度。基金管理人应当根据基金流动性的需要合理安排流通受限证券的投资比例，并在风险控制制度中明确具体比例，避免基金出现流动性风险。上述规章制度须经基金管理人董事会批准。上述规章制度经董事会通过之后，基金管理人应当将上述规章制度以及董事会批准上述规章制度的决议提交给基金托管人。</w:t>
      </w:r>
    </w:p>
    <w:p w14:paraId="0B6EBF74" w14:textId="77777777" w:rsidR="00CF57A4" w:rsidRDefault="00B13D46">
      <w:pPr>
        <w:spacing w:line="360" w:lineRule="auto"/>
        <w:ind w:firstLine="420"/>
        <w:rPr>
          <w:rFonts w:ascii="宋体" w:hAnsi="宋体"/>
          <w:sz w:val="24"/>
        </w:rPr>
      </w:pPr>
      <w:r>
        <w:rPr>
          <w:rFonts w:ascii="宋体" w:hAnsi="宋体" w:hint="eastAsia"/>
          <w:sz w:val="24"/>
        </w:rPr>
        <w:lastRenderedPageBreak/>
        <w:t>（4）在投资流通受限证券之前，基金管理人应至少提前一个交易日向基金托管人提供有关非公开定向增发流通受限证券的相关信息，具体应当包括但不限于如下文件（如有）：</w:t>
      </w:r>
    </w:p>
    <w:p w14:paraId="32B383B5" w14:textId="77777777" w:rsidR="00CF57A4" w:rsidRDefault="00B13D46">
      <w:pPr>
        <w:spacing w:line="360" w:lineRule="auto"/>
        <w:ind w:firstLine="420"/>
        <w:rPr>
          <w:rFonts w:ascii="宋体" w:hAnsi="宋体"/>
          <w:sz w:val="24"/>
        </w:rPr>
      </w:pPr>
      <w:r>
        <w:rPr>
          <w:rFonts w:ascii="宋体" w:hAnsi="宋体" w:hint="eastAsia"/>
          <w:sz w:val="24"/>
        </w:rPr>
        <w:t>拟发行数量、定价依据、监管机构的批准证明文件复印件、基金管理人与承销商签订的销售协议复印件、缴款通知书、基金拟认购的数量、价格、总成本、划款账号、划款金额、划款时间文件等。基金管理人应保证上述信息的真实、完整。</w:t>
      </w:r>
    </w:p>
    <w:p w14:paraId="2BD083EE" w14:textId="77777777" w:rsidR="00CF57A4" w:rsidRDefault="00B13D46">
      <w:pPr>
        <w:spacing w:line="360" w:lineRule="auto"/>
        <w:ind w:firstLine="420"/>
        <w:rPr>
          <w:rFonts w:ascii="宋体" w:hAnsi="宋体"/>
          <w:sz w:val="24"/>
        </w:rPr>
      </w:pPr>
      <w:r>
        <w:rPr>
          <w:rFonts w:ascii="宋体" w:hAnsi="宋体" w:hint="eastAsia"/>
          <w:sz w:val="24"/>
        </w:rPr>
        <w:t>（5）基金托管人在监督基金管理人投资流通受限证券的过程中，如认为因市场出现剧烈变化导致基金管理人的具体投资行为可能对基金财产造成较大风险，基金托管人有权要求基金管理人对该风险的消除或防范措施进行补充和整改，并做出书面说明。否则，基金托管人经事先书面告知基金管理人，有权拒绝执行其有关指令。因拒绝执行该指令造成基金财产损失的，基金托管人不承担任何责任，并有权报告中国证监会。</w:t>
      </w:r>
    </w:p>
    <w:p w14:paraId="79621EBE" w14:textId="77777777" w:rsidR="00CF57A4" w:rsidRDefault="00B13D46">
      <w:pPr>
        <w:spacing w:line="360" w:lineRule="auto"/>
        <w:ind w:firstLine="420"/>
        <w:rPr>
          <w:rFonts w:ascii="宋体" w:hAnsi="宋体"/>
          <w:sz w:val="24"/>
        </w:rPr>
      </w:pPr>
      <w:r>
        <w:rPr>
          <w:rFonts w:ascii="宋体" w:hAnsi="宋体" w:hint="eastAsia"/>
          <w:sz w:val="24"/>
        </w:rPr>
        <w:t>（6）基金管理人应保证基金投资的受限证券登记存管在本基金名下，并确保基金托管人能够正常查询。因基金管理人原因产生的受限证券登记存管问题，造成基金财产的损失或基金托管人无法安全保管基金财产的责任与损失，由基金管理人承担。</w:t>
      </w:r>
    </w:p>
    <w:p w14:paraId="444264B2" w14:textId="77777777" w:rsidR="00CF57A4" w:rsidRDefault="00B13D46">
      <w:pPr>
        <w:spacing w:line="360" w:lineRule="auto"/>
        <w:ind w:firstLine="420"/>
        <w:rPr>
          <w:rFonts w:ascii="宋体" w:hAnsi="宋体"/>
          <w:sz w:val="24"/>
        </w:rPr>
      </w:pPr>
      <w:r>
        <w:rPr>
          <w:rFonts w:ascii="宋体" w:hAnsi="宋体" w:hint="eastAsia"/>
          <w:sz w:val="24"/>
        </w:rPr>
        <w:t>（7）如果基金管理人未按照本协议的约定向基金托管人报送相关数据或者报送了虚假的数据，导致基金托管人不能履行托管人职责的，基金管理人应依法承担相应法律后果。除基金托管人未能依据法律法规、基金合同及本协议履行职责外，因投资流通受限证券产生的损失，基金托管人在履行其监督职责后不承担上述损失。</w:t>
      </w:r>
    </w:p>
    <w:p w14:paraId="421DDC4D" w14:textId="77777777" w:rsidR="00CF57A4" w:rsidRDefault="00B13D46">
      <w:pPr>
        <w:spacing w:line="360" w:lineRule="auto"/>
        <w:ind w:firstLine="420"/>
        <w:rPr>
          <w:rFonts w:ascii="宋体" w:hAnsi="宋体"/>
          <w:sz w:val="24"/>
        </w:rPr>
      </w:pPr>
      <w:r>
        <w:rPr>
          <w:rFonts w:ascii="宋体" w:hAnsi="宋体" w:hint="eastAsia"/>
          <w:sz w:val="24"/>
        </w:rPr>
        <w:t>8、基金托管人发现基金管理人的上述事项及投资指令或实际投资运作中违反法律法规和基金合同的规定，应及时以书面形式通知基金管理人限期纠正。基金管理人应积极配合和协助基金托管人的监督和核查。基金管理人收到通知后应在下一工作日及时核对并以书面形式给基金托管人发出回函，就基金托管人的疑义进行解释或举证，说明违规原因及纠正期限，并保证在规定期限内及时改正。在上述规定期限内,基金托管人有权随时对通知事项进行复查, 督促基金管理人改正。基金管理人对基金托管人通知的违规事项未能在限期内纠正的，基金托管人应报告中国证监会。基金托管人发现基金管理人依据交易程序已经生效的投资指</w:t>
      </w:r>
      <w:r>
        <w:rPr>
          <w:rFonts w:ascii="宋体" w:hAnsi="宋体" w:hint="eastAsia"/>
          <w:sz w:val="24"/>
        </w:rPr>
        <w:lastRenderedPageBreak/>
        <w:t>令违反法律、行政法规和其他有关规定，或者违反基金合同约定的，应当立即通知基金管理人，并报告中国证监会。</w:t>
      </w:r>
    </w:p>
    <w:p w14:paraId="0E99556F" w14:textId="77777777" w:rsidR="00CF57A4" w:rsidRDefault="00B13D46">
      <w:pPr>
        <w:spacing w:line="360" w:lineRule="auto"/>
        <w:ind w:firstLine="420"/>
        <w:rPr>
          <w:rFonts w:ascii="宋体" w:hAnsi="宋体"/>
          <w:sz w:val="24"/>
        </w:rPr>
      </w:pPr>
      <w:r>
        <w:rPr>
          <w:rFonts w:ascii="宋体" w:hAnsi="宋体" w:hint="eastAsia"/>
          <w:sz w:val="24"/>
        </w:rPr>
        <w:t>9、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规要求需向中国证监会报送基金监督报告的事项，基金管理人应积极配合提供相关数据资料和制度等。</w:t>
      </w:r>
    </w:p>
    <w:p w14:paraId="2B6F4689" w14:textId="77777777" w:rsidR="00CF57A4" w:rsidRDefault="00B13D46">
      <w:pPr>
        <w:spacing w:line="360" w:lineRule="auto"/>
        <w:ind w:firstLine="420"/>
        <w:rPr>
          <w:rFonts w:ascii="宋体" w:hAnsi="宋体"/>
          <w:sz w:val="24"/>
        </w:rPr>
      </w:pPr>
      <w:r>
        <w:rPr>
          <w:rFonts w:ascii="宋体" w:hAnsi="宋体" w:hint="eastAsia"/>
          <w:sz w:val="24"/>
        </w:rPr>
        <w:t>10、基金托管人发现基金管理人有重大违规行为，应及时报告中国证监会，同时通知基金管理人限期纠正，并将纠正结果报告中国证监会。基金管理人无正当理由，拒绝、阻挠对方根据本协议规定行使监督权，或采取拖延、欺诈等手段妨碍对方进行有效监督，情节严重或经基金托管人提出警告仍不改正的，基金托管人应报告中国证监会。</w:t>
      </w:r>
    </w:p>
    <w:p w14:paraId="66F1CCFC" w14:textId="77777777" w:rsidR="00CF57A4" w:rsidRDefault="00B13D46">
      <w:pPr>
        <w:spacing w:line="360" w:lineRule="auto"/>
        <w:ind w:firstLine="420"/>
        <w:rPr>
          <w:rFonts w:ascii="宋体" w:hAnsi="宋体"/>
          <w:b/>
          <w:kern w:val="0"/>
          <w:sz w:val="24"/>
        </w:rPr>
      </w:pPr>
      <w:r>
        <w:rPr>
          <w:rFonts w:ascii="宋体" w:hAnsi="宋体" w:hint="eastAsia"/>
          <w:b/>
          <w:kern w:val="0"/>
          <w:sz w:val="24"/>
        </w:rPr>
        <w:t>（三）基金管理人对基金托管人的业务核查</w:t>
      </w:r>
    </w:p>
    <w:p w14:paraId="6551C9DE" w14:textId="77777777" w:rsidR="00CF57A4" w:rsidRDefault="00B13D46">
      <w:pPr>
        <w:spacing w:line="360" w:lineRule="auto"/>
        <w:ind w:firstLine="420"/>
        <w:rPr>
          <w:rFonts w:ascii="宋体" w:hAnsi="宋体"/>
          <w:sz w:val="24"/>
        </w:rPr>
      </w:pPr>
      <w:r>
        <w:rPr>
          <w:rFonts w:ascii="宋体" w:hAnsi="宋体" w:hint="eastAsia"/>
          <w:sz w:val="24"/>
        </w:rPr>
        <w:t>1、</w:t>
      </w:r>
      <w:r>
        <w:rPr>
          <w:rFonts w:ascii="宋体" w:hAnsi="宋体"/>
          <w:sz w:val="24"/>
        </w:rPr>
        <w:t>基金管理人对基金托管人履行托管职责情况进行核查，核查事项包括基金托管人安全保管基金财产、开设基金财产的资金账户和证券账户、复核基金管理人计算的基金资产净值和基金份额净值、根据基金管理人指令办理清算交收、相关信息披露和监督基金投资运作等行为。</w:t>
      </w:r>
    </w:p>
    <w:p w14:paraId="0DBA4030" w14:textId="77777777" w:rsidR="00CF57A4" w:rsidRDefault="00B13D46">
      <w:pPr>
        <w:spacing w:line="360" w:lineRule="auto"/>
        <w:ind w:firstLine="420"/>
        <w:rPr>
          <w:rFonts w:ascii="宋体" w:hAnsi="宋体"/>
          <w:sz w:val="24"/>
        </w:rPr>
      </w:pPr>
      <w:r>
        <w:rPr>
          <w:rFonts w:ascii="宋体" w:hAnsi="宋体" w:hint="eastAsia"/>
          <w:sz w:val="24"/>
        </w:rPr>
        <w:t>2、</w:t>
      </w:r>
      <w:r>
        <w:rPr>
          <w:rFonts w:ascii="宋体" w:hAnsi="宋体"/>
          <w:sz w:val="24"/>
        </w:rPr>
        <w:t>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在下一工作日及时核对并以书面形式给基金管理人发出回函，说明违规原因及纠正期限，并保证在规定期限内及时改正。在上述规定期限内，基金管理人有权随时对通知事项进行复查, 督促基金托管人改正。基金托管人应积极配合基金管理人的核查行为，包括但不限于：提交相关资料以供基金管理人核查托管财产的完整性和真实性，在规定时间内答复基金管理人并改正。</w:t>
      </w:r>
    </w:p>
    <w:p w14:paraId="3D3D328D" w14:textId="77777777" w:rsidR="00CF57A4" w:rsidRDefault="00B13D46">
      <w:pPr>
        <w:spacing w:line="360" w:lineRule="auto"/>
        <w:ind w:firstLine="420"/>
        <w:rPr>
          <w:rFonts w:ascii="宋体" w:hAnsi="宋体"/>
          <w:sz w:val="24"/>
        </w:rPr>
      </w:pPr>
      <w:r>
        <w:rPr>
          <w:rFonts w:ascii="宋体" w:hAnsi="宋体" w:hint="eastAsia"/>
          <w:sz w:val="24"/>
        </w:rPr>
        <w:t>3、</w:t>
      </w:r>
      <w:r>
        <w:rPr>
          <w:rFonts w:ascii="宋体" w:hAnsi="宋体"/>
          <w:sz w:val="24"/>
        </w:rPr>
        <w:t>基金管理人发现基金托管人有重大违规行为，应及时报告中国证监会，同时通知基金托管人限期纠正，并将纠正结果报告中国证监会。基金托管人无正当理由，拒绝、阻挠对方根据本协议规定行使监督权，或采取拖延、欺诈等手段妨碍</w:t>
      </w:r>
      <w:r>
        <w:rPr>
          <w:rFonts w:ascii="宋体" w:hAnsi="宋体"/>
          <w:sz w:val="24"/>
        </w:rPr>
        <w:lastRenderedPageBreak/>
        <w:t>对方进行有效监督，情节严重或经基金管理人提出警告仍不改正的，基金管理人应报告中国证监会。</w:t>
      </w:r>
    </w:p>
    <w:p w14:paraId="6FC91F24" w14:textId="77777777" w:rsidR="00CF57A4" w:rsidRDefault="00B13D46">
      <w:pPr>
        <w:spacing w:line="360" w:lineRule="auto"/>
        <w:ind w:firstLine="420"/>
        <w:rPr>
          <w:rFonts w:ascii="宋体" w:hAnsi="宋体"/>
          <w:b/>
          <w:kern w:val="0"/>
          <w:sz w:val="24"/>
        </w:rPr>
      </w:pPr>
      <w:r>
        <w:rPr>
          <w:rFonts w:ascii="宋体" w:hAnsi="宋体" w:hint="eastAsia"/>
          <w:b/>
          <w:kern w:val="0"/>
          <w:sz w:val="24"/>
        </w:rPr>
        <w:t>（四）</w:t>
      </w:r>
      <w:r>
        <w:rPr>
          <w:rFonts w:ascii="宋体" w:hAnsi="宋体"/>
          <w:b/>
          <w:kern w:val="0"/>
          <w:sz w:val="24"/>
        </w:rPr>
        <w:t>基金</w:t>
      </w:r>
      <w:r>
        <w:rPr>
          <w:rFonts w:ascii="宋体" w:hAnsi="宋体" w:hint="eastAsia"/>
          <w:b/>
          <w:kern w:val="0"/>
          <w:sz w:val="24"/>
        </w:rPr>
        <w:t>财</w:t>
      </w:r>
      <w:r>
        <w:rPr>
          <w:rFonts w:ascii="宋体" w:hAnsi="宋体"/>
          <w:b/>
          <w:kern w:val="0"/>
          <w:sz w:val="24"/>
        </w:rPr>
        <w:t xml:space="preserve">产保管 </w:t>
      </w:r>
    </w:p>
    <w:p w14:paraId="11BC92B4" w14:textId="77777777" w:rsidR="00CF57A4" w:rsidRDefault="00B13D46">
      <w:pPr>
        <w:spacing w:line="360" w:lineRule="auto"/>
        <w:ind w:firstLine="420"/>
        <w:rPr>
          <w:rFonts w:ascii="宋体" w:hAnsi="宋体"/>
          <w:sz w:val="24"/>
        </w:rPr>
      </w:pPr>
      <w:bookmarkStart w:id="202" w:name="_Hlt88902859"/>
      <w:bookmarkEnd w:id="202"/>
      <w:r>
        <w:rPr>
          <w:rFonts w:ascii="宋体" w:hAnsi="宋体" w:hint="eastAsia"/>
          <w:sz w:val="24"/>
        </w:rPr>
        <w:t>1、基金财产保管的原则</w:t>
      </w:r>
    </w:p>
    <w:p w14:paraId="0A54C927" w14:textId="77777777" w:rsidR="00CF57A4" w:rsidRDefault="00B13D46">
      <w:pPr>
        <w:spacing w:line="360" w:lineRule="auto"/>
        <w:ind w:firstLine="420"/>
        <w:rPr>
          <w:rFonts w:ascii="宋体" w:hAnsi="宋体"/>
          <w:sz w:val="24"/>
        </w:rPr>
      </w:pPr>
      <w:r>
        <w:rPr>
          <w:rFonts w:ascii="宋体" w:hAnsi="宋体" w:hint="eastAsia"/>
          <w:sz w:val="24"/>
        </w:rPr>
        <w:t>（1）基金财产应独立于基金管理人、基金托管人的固有财产。</w:t>
      </w:r>
    </w:p>
    <w:p w14:paraId="71B594C3" w14:textId="77777777" w:rsidR="00CF57A4" w:rsidRDefault="00B13D46">
      <w:pPr>
        <w:spacing w:line="360" w:lineRule="auto"/>
        <w:ind w:firstLine="420"/>
        <w:rPr>
          <w:rFonts w:ascii="宋体" w:hAnsi="宋体"/>
          <w:sz w:val="24"/>
        </w:rPr>
      </w:pPr>
      <w:r>
        <w:rPr>
          <w:rFonts w:ascii="宋体" w:hAnsi="宋体" w:hint="eastAsia"/>
          <w:sz w:val="24"/>
        </w:rPr>
        <w:t>（2</w:t>
      </w:r>
      <w:r>
        <w:rPr>
          <w:rFonts w:ascii="宋体" w:hAnsi="宋体"/>
          <w:sz w:val="24"/>
        </w:rPr>
        <w:t>）</w:t>
      </w:r>
      <w:r>
        <w:rPr>
          <w:rFonts w:ascii="宋体" w:hAnsi="宋体" w:hint="eastAsia"/>
          <w:sz w:val="24"/>
        </w:rPr>
        <w:t>基金托管人应安全保管基金财产。未经基金管理人依据合法程序作出的合法合规指令，基金托管人不得自行运用、处分、分配基金的任何财产。</w:t>
      </w:r>
    </w:p>
    <w:p w14:paraId="5E18F480" w14:textId="77777777" w:rsidR="00CF57A4" w:rsidRDefault="00B13D46">
      <w:pPr>
        <w:spacing w:line="360" w:lineRule="auto"/>
        <w:ind w:firstLine="420"/>
        <w:rPr>
          <w:rFonts w:ascii="宋体" w:hAnsi="宋体"/>
          <w:sz w:val="24"/>
        </w:rPr>
      </w:pPr>
      <w:r>
        <w:rPr>
          <w:rFonts w:ascii="宋体" w:hAnsi="宋体" w:hint="eastAsia"/>
          <w:sz w:val="24"/>
        </w:rPr>
        <w:t>（3）基金托管人按照规定开设基金财产的资金账户和证券账户。</w:t>
      </w:r>
    </w:p>
    <w:p w14:paraId="7E68AF7C" w14:textId="77777777" w:rsidR="00CF57A4" w:rsidRDefault="00B13D46">
      <w:pPr>
        <w:spacing w:line="360" w:lineRule="auto"/>
        <w:ind w:firstLine="420"/>
        <w:rPr>
          <w:rFonts w:ascii="宋体" w:hAnsi="宋体"/>
          <w:sz w:val="24"/>
        </w:rPr>
      </w:pPr>
      <w:r>
        <w:rPr>
          <w:rFonts w:ascii="宋体" w:hAnsi="宋体" w:hint="eastAsia"/>
          <w:sz w:val="24"/>
        </w:rPr>
        <w:t>（4）基金托管人对所托管的不同基金财产分别设置账户，与基金托管人的其他业务和其他基金的托管业务实行严格的分帐管理，确保基金财产的完整与独立。</w:t>
      </w:r>
    </w:p>
    <w:p w14:paraId="112111D9" w14:textId="77777777" w:rsidR="00CF57A4" w:rsidRDefault="00B13D46">
      <w:pPr>
        <w:spacing w:line="360" w:lineRule="auto"/>
        <w:ind w:firstLine="420"/>
        <w:rPr>
          <w:rFonts w:ascii="宋体" w:hAnsi="宋体"/>
          <w:sz w:val="24"/>
        </w:rPr>
      </w:pPr>
      <w:r>
        <w:rPr>
          <w:rFonts w:ascii="宋体" w:hAnsi="宋体" w:hint="eastAsia"/>
          <w:sz w:val="24"/>
        </w:rPr>
        <w:t>（5）基金托管人根据基金管理人的指令，按照基金合同和本协议的约定保管基金财产，如有特殊情况双方可另行协商解决。</w:t>
      </w:r>
    </w:p>
    <w:p w14:paraId="3CB67797" w14:textId="77777777" w:rsidR="00CF57A4" w:rsidRDefault="00B13D46">
      <w:pPr>
        <w:spacing w:line="360" w:lineRule="auto"/>
        <w:ind w:firstLine="420"/>
        <w:rPr>
          <w:rFonts w:ascii="宋体" w:hAnsi="宋体"/>
          <w:sz w:val="24"/>
        </w:rPr>
      </w:pPr>
      <w:r>
        <w:rPr>
          <w:rFonts w:ascii="宋体" w:hAnsi="宋体" w:hint="eastAsia"/>
          <w:sz w:val="24"/>
        </w:rPr>
        <w:t>（6）对于因为基金申购、赎回、投资产生的应收资产，应由基金管理人负责与有关当事人确定到账日期并通知基金托管人，到账日基金财产没有到达基金账户的，基金托管人应及时通知基金管理人采取措施进行催收。由此给基金财产造成损失的，基金托管人对此不承担任何责任。</w:t>
      </w:r>
    </w:p>
    <w:p w14:paraId="3F16B9D1" w14:textId="77777777" w:rsidR="00CF57A4" w:rsidRDefault="00B13D46">
      <w:pPr>
        <w:spacing w:line="360" w:lineRule="auto"/>
        <w:ind w:firstLine="420"/>
        <w:rPr>
          <w:rFonts w:ascii="宋体" w:hAnsi="宋体"/>
          <w:sz w:val="24"/>
        </w:rPr>
      </w:pPr>
      <w:r>
        <w:rPr>
          <w:rFonts w:ascii="宋体" w:hAnsi="宋体" w:hint="eastAsia"/>
          <w:sz w:val="24"/>
        </w:rPr>
        <w:t>（7）除依据法律法规和基金合同的规定外，基金托管人不得委托第三人托管基金财产。</w:t>
      </w:r>
    </w:p>
    <w:p w14:paraId="65E35839" w14:textId="77777777" w:rsidR="00CF57A4" w:rsidRDefault="00B13D46">
      <w:pPr>
        <w:spacing w:line="360" w:lineRule="auto"/>
        <w:ind w:firstLine="420"/>
        <w:rPr>
          <w:rFonts w:ascii="宋体" w:hAnsi="宋体"/>
          <w:sz w:val="24"/>
        </w:rPr>
      </w:pPr>
      <w:r>
        <w:rPr>
          <w:rFonts w:ascii="宋体" w:hAnsi="宋体" w:hint="eastAsia"/>
          <w:sz w:val="24"/>
        </w:rPr>
        <w:t>2、基金募集期间及募集资金的验资</w:t>
      </w:r>
    </w:p>
    <w:p w14:paraId="5DBC5F9E" w14:textId="77777777" w:rsidR="00CF57A4" w:rsidRDefault="00B13D46">
      <w:pPr>
        <w:spacing w:line="360" w:lineRule="auto"/>
        <w:ind w:firstLine="420"/>
        <w:rPr>
          <w:rFonts w:ascii="宋体" w:hAnsi="宋体"/>
          <w:sz w:val="24"/>
        </w:rPr>
      </w:pPr>
      <w:r>
        <w:rPr>
          <w:rFonts w:ascii="宋体" w:hAnsi="宋体" w:hint="eastAsia"/>
          <w:sz w:val="24"/>
        </w:rPr>
        <w:t>（1）基金募集期间募集的资金应当存入基金管理人在具有托管资格的商业银行开设的基金认购专户及中国证券登记结算有限责任公司深圳分公司预先开立的认购专户，募集的股票由发售代理机构予以冻结，并在募集结束后划入中国证券登记结算有限责任公司深圳分公司预先开立的组合证券认购专户。</w:t>
      </w:r>
    </w:p>
    <w:p w14:paraId="1EAD133B" w14:textId="77777777" w:rsidR="00CF57A4" w:rsidRDefault="00B13D46">
      <w:pPr>
        <w:spacing w:line="360" w:lineRule="auto"/>
        <w:ind w:firstLine="420"/>
        <w:rPr>
          <w:rFonts w:ascii="宋体" w:hAnsi="宋体"/>
          <w:sz w:val="24"/>
        </w:rPr>
      </w:pPr>
      <w:r>
        <w:rPr>
          <w:rFonts w:ascii="宋体" w:hAnsi="宋体" w:hint="eastAsia"/>
          <w:sz w:val="24"/>
        </w:rPr>
        <w:t>（2）基金募集期满或基金停止募集时，募集的基金份额总额、基金募集金额、基金份额持有人人数符合《基金法》、《运作办法》等有关规定后，基金管理人应将募集到的全部资金划入基金托管人为基金开立的基金托管资金账户，网下股票认购所募集到的股票划入以基金托管人和基金联名方式开立的证券账户下，同时在规定时间内，聘请具有从事证券相关业务资格的会计师事务所进行验资，出具验资报告。出具的验资报告由参加验资的2名或2名以上中国注册会计师签字方为</w:t>
      </w:r>
      <w:r>
        <w:rPr>
          <w:rFonts w:ascii="宋体" w:hAnsi="宋体" w:hint="eastAsia"/>
          <w:sz w:val="24"/>
        </w:rPr>
        <w:lastRenderedPageBreak/>
        <w:t>有效。</w:t>
      </w:r>
    </w:p>
    <w:p w14:paraId="70C7884F" w14:textId="77777777" w:rsidR="00CF57A4" w:rsidRDefault="00B13D46">
      <w:pPr>
        <w:spacing w:line="360" w:lineRule="auto"/>
        <w:ind w:firstLine="420"/>
        <w:rPr>
          <w:rFonts w:ascii="宋体" w:hAnsi="宋体"/>
          <w:sz w:val="24"/>
        </w:rPr>
      </w:pPr>
      <w:r>
        <w:rPr>
          <w:rFonts w:ascii="宋体" w:hAnsi="宋体" w:hint="eastAsia"/>
          <w:sz w:val="24"/>
        </w:rPr>
        <w:t>（3）若基金募集期限届满，未能达到基金合同生效的条件，由基金管理人按规定办理退款和募集股票解冻等事宜，基金托管人应提供充分协助。</w:t>
      </w:r>
    </w:p>
    <w:p w14:paraId="31C542A6" w14:textId="77777777" w:rsidR="00CF57A4" w:rsidRDefault="00B13D46">
      <w:pPr>
        <w:spacing w:line="360" w:lineRule="auto"/>
        <w:ind w:firstLine="420"/>
        <w:rPr>
          <w:rFonts w:ascii="宋体" w:hAnsi="宋体"/>
          <w:sz w:val="24"/>
        </w:rPr>
      </w:pPr>
      <w:r>
        <w:rPr>
          <w:rFonts w:ascii="宋体" w:hAnsi="宋体" w:hint="eastAsia"/>
          <w:sz w:val="24"/>
        </w:rPr>
        <w:t>3、基金托管资金账户的开立和管理</w:t>
      </w:r>
    </w:p>
    <w:p w14:paraId="779AAF32" w14:textId="77777777" w:rsidR="00CF57A4" w:rsidRDefault="00B13D46">
      <w:pPr>
        <w:spacing w:line="360" w:lineRule="auto"/>
        <w:ind w:firstLine="420"/>
        <w:rPr>
          <w:rFonts w:ascii="宋体" w:hAnsi="宋体"/>
          <w:sz w:val="24"/>
        </w:rPr>
      </w:pPr>
      <w:r>
        <w:rPr>
          <w:rFonts w:ascii="宋体" w:hAnsi="宋体" w:hint="eastAsia"/>
          <w:sz w:val="24"/>
        </w:rPr>
        <w:t>（1）基金托管人应负责本基金的资金账户的开设和管理。</w:t>
      </w:r>
    </w:p>
    <w:p w14:paraId="044009A7" w14:textId="77777777" w:rsidR="00CF57A4" w:rsidRDefault="00B13D46">
      <w:pPr>
        <w:spacing w:line="360" w:lineRule="auto"/>
        <w:ind w:firstLine="420"/>
        <w:rPr>
          <w:rFonts w:ascii="宋体" w:hAnsi="宋体"/>
          <w:sz w:val="24"/>
        </w:rPr>
      </w:pPr>
      <w:r>
        <w:rPr>
          <w:rFonts w:ascii="宋体" w:hAnsi="宋体" w:hint="eastAsia"/>
          <w:sz w:val="24"/>
        </w:rPr>
        <w:t>（2）基金托管人可以本基金的名义在其营业机构开设本基金的资金账户，并根据基金管理人合法合规的指令办理资金收付。本基金的银行预留印鉴由基金托管人保管和使用。本基金的一切货币收支活动，包括但不限于投资、支付或收取现金差额、支付或收取现金替代款、支付或收取现金替代款的多退少补、支付基金收益，均需通过本基金的资金账户进行。</w:t>
      </w:r>
    </w:p>
    <w:p w14:paraId="27BF0225" w14:textId="77777777" w:rsidR="00CF57A4" w:rsidRDefault="00B13D46">
      <w:pPr>
        <w:spacing w:line="360" w:lineRule="auto"/>
        <w:ind w:firstLine="420"/>
        <w:rPr>
          <w:rFonts w:ascii="宋体" w:hAnsi="宋体"/>
          <w:sz w:val="24"/>
        </w:rPr>
      </w:pPr>
      <w:r>
        <w:rPr>
          <w:rFonts w:ascii="宋体" w:hAnsi="宋体" w:hint="eastAsia"/>
          <w:sz w:val="24"/>
        </w:rPr>
        <w:t>（3）基金托管资金账户的开立和使用，限于满足开展本基金业务的需要。基金托管人和基金管理人不得假借本基金的名义开立任何其他银行账户；亦不得使用基金的任何账户进行本基金业务以外的活动。</w:t>
      </w:r>
    </w:p>
    <w:p w14:paraId="65C1FAF0" w14:textId="77777777" w:rsidR="00CF57A4" w:rsidRDefault="00B13D46">
      <w:pPr>
        <w:spacing w:line="360" w:lineRule="auto"/>
        <w:ind w:firstLine="420"/>
        <w:rPr>
          <w:rFonts w:ascii="宋体" w:hAnsi="宋体"/>
          <w:sz w:val="24"/>
        </w:rPr>
      </w:pPr>
      <w:r>
        <w:rPr>
          <w:rFonts w:ascii="宋体" w:hAnsi="宋体" w:hint="eastAsia"/>
          <w:sz w:val="24"/>
        </w:rPr>
        <w:t>（4）基金托管资金账户的开立和管理应符合相关法律法规的有关规定。</w:t>
      </w:r>
    </w:p>
    <w:p w14:paraId="5DC4BD8D" w14:textId="77777777" w:rsidR="00CF57A4" w:rsidRDefault="00B13D46">
      <w:pPr>
        <w:spacing w:line="360" w:lineRule="auto"/>
        <w:ind w:firstLine="420"/>
        <w:rPr>
          <w:rFonts w:ascii="宋体" w:hAnsi="宋体"/>
          <w:sz w:val="24"/>
        </w:rPr>
      </w:pPr>
      <w:r>
        <w:rPr>
          <w:rFonts w:ascii="宋体" w:hAnsi="宋体" w:hint="eastAsia"/>
          <w:sz w:val="24"/>
        </w:rPr>
        <w:t>（5）在符合法律法规规定的条件下，基金托管人可以通过基金托管人专用账户办理基金资产的支付。</w:t>
      </w:r>
    </w:p>
    <w:p w14:paraId="5FA8A76F" w14:textId="77777777" w:rsidR="00CF57A4" w:rsidRDefault="00B13D46">
      <w:pPr>
        <w:spacing w:line="360" w:lineRule="auto"/>
        <w:ind w:firstLine="420"/>
        <w:rPr>
          <w:rFonts w:ascii="宋体" w:hAnsi="宋体"/>
          <w:sz w:val="24"/>
        </w:rPr>
      </w:pPr>
      <w:r>
        <w:rPr>
          <w:rFonts w:ascii="宋体" w:hAnsi="宋体" w:hint="eastAsia"/>
          <w:sz w:val="24"/>
        </w:rPr>
        <w:t>4、基金证券账户和结算备付金账户的开立和管理</w:t>
      </w:r>
    </w:p>
    <w:p w14:paraId="642C25AA" w14:textId="77777777" w:rsidR="00CF57A4" w:rsidRDefault="00B13D46">
      <w:pPr>
        <w:spacing w:line="360" w:lineRule="auto"/>
        <w:ind w:firstLine="420"/>
        <w:rPr>
          <w:rFonts w:ascii="宋体" w:hAnsi="宋体"/>
          <w:sz w:val="24"/>
        </w:rPr>
      </w:pPr>
      <w:r>
        <w:rPr>
          <w:rFonts w:ascii="宋体" w:hAnsi="宋体" w:hint="eastAsia"/>
          <w:sz w:val="24"/>
        </w:rPr>
        <w:t>（1）基金托管人在中国证券登记结算有限责任公司上海分公司、深圳分公司为基金开立基金托管人与基金联名的证券账户。</w:t>
      </w:r>
    </w:p>
    <w:p w14:paraId="0CADCA85" w14:textId="77777777" w:rsidR="00CF57A4" w:rsidRDefault="00B13D46">
      <w:pPr>
        <w:spacing w:line="360" w:lineRule="auto"/>
        <w:ind w:firstLine="420"/>
        <w:rPr>
          <w:rFonts w:ascii="宋体" w:hAnsi="宋体"/>
          <w:sz w:val="24"/>
        </w:rPr>
      </w:pPr>
      <w:r>
        <w:rPr>
          <w:rFonts w:ascii="宋体" w:hAnsi="宋体" w:hint="eastAsia"/>
          <w:sz w:val="24"/>
        </w:rPr>
        <w:t>（2）基金证券账户的开立和使用，限于满足开展本基金业务的需要。基金托管人和基金管理人不得出借或未经对方同意擅自转让基金的任何证券账户，亦不得使用基金的任何账户进行本基金业务以外的活动。</w:t>
      </w:r>
    </w:p>
    <w:p w14:paraId="023F090B" w14:textId="77777777" w:rsidR="00CF57A4" w:rsidRDefault="00B13D46">
      <w:pPr>
        <w:spacing w:line="360" w:lineRule="auto"/>
        <w:ind w:firstLine="420"/>
        <w:rPr>
          <w:rFonts w:ascii="宋体" w:hAnsi="宋体"/>
          <w:sz w:val="24"/>
        </w:rPr>
      </w:pPr>
      <w:r>
        <w:rPr>
          <w:rFonts w:ascii="宋体" w:hAnsi="宋体" w:hint="eastAsia"/>
          <w:sz w:val="24"/>
        </w:rPr>
        <w:t>（3）基金托管人以自身法人名义在中国证券登记结算有限责任公司开立结算备付金账户，并代表所托管的基金完成与中国证券登记结算有限责任公司的一级法人清算工作，基金管理人应予以积极协助。结算备付金的收取按照中国证券登记结算有限责任公司的规定执行。</w:t>
      </w:r>
    </w:p>
    <w:p w14:paraId="474A8B5D" w14:textId="77777777" w:rsidR="00CF57A4" w:rsidRDefault="00B13D46">
      <w:pPr>
        <w:spacing w:line="360" w:lineRule="auto"/>
        <w:ind w:firstLine="420"/>
        <w:rPr>
          <w:rFonts w:ascii="宋体" w:hAnsi="宋体"/>
          <w:sz w:val="24"/>
        </w:rPr>
      </w:pPr>
      <w:r>
        <w:rPr>
          <w:rFonts w:ascii="宋体" w:hAnsi="宋体" w:hint="eastAsia"/>
          <w:sz w:val="24"/>
        </w:rPr>
        <w:t>（4）基金证券账户的开立和证券账户卡的保管由基金托管人负责，账户资产的管理和运用由基金管理人负责。</w:t>
      </w:r>
    </w:p>
    <w:p w14:paraId="11D15A9D" w14:textId="77777777" w:rsidR="00CF57A4" w:rsidRDefault="00B13D46">
      <w:pPr>
        <w:spacing w:line="360" w:lineRule="auto"/>
        <w:ind w:firstLine="420"/>
        <w:rPr>
          <w:rFonts w:ascii="宋体" w:hAnsi="宋体"/>
          <w:sz w:val="24"/>
        </w:rPr>
      </w:pPr>
      <w:r>
        <w:rPr>
          <w:rFonts w:ascii="宋体" w:hAnsi="宋体" w:hint="eastAsia"/>
          <w:sz w:val="24"/>
        </w:rPr>
        <w:t>（5）在本托管协议生效日之后，本基金被允许从事其他投资品种的投资业务，</w:t>
      </w:r>
      <w:r>
        <w:rPr>
          <w:rFonts w:ascii="宋体" w:hAnsi="宋体" w:hint="eastAsia"/>
          <w:sz w:val="24"/>
        </w:rPr>
        <w:lastRenderedPageBreak/>
        <w:t>涉及相关账户的开设、使用的，按有关规定开设、使用并管理；若无相关规定，则基金托管人应当比照并遵守上述关于账户开设、使用的规定。</w:t>
      </w:r>
    </w:p>
    <w:p w14:paraId="278DEBC3" w14:textId="77777777" w:rsidR="00CF57A4" w:rsidRDefault="00B13D46">
      <w:pPr>
        <w:spacing w:line="360" w:lineRule="auto"/>
        <w:ind w:firstLine="420"/>
        <w:rPr>
          <w:rFonts w:ascii="宋体" w:hAnsi="宋体"/>
          <w:sz w:val="24"/>
        </w:rPr>
      </w:pPr>
      <w:r>
        <w:rPr>
          <w:rFonts w:ascii="宋体" w:hAnsi="宋体" w:hint="eastAsia"/>
          <w:sz w:val="24"/>
        </w:rPr>
        <w:t>5、投资人申购或赎回时现金替代、现金差额的查收与划付</w:t>
      </w:r>
    </w:p>
    <w:p w14:paraId="0A9A708F" w14:textId="77777777" w:rsidR="00CF57A4" w:rsidRDefault="00B13D46">
      <w:pPr>
        <w:spacing w:line="360" w:lineRule="auto"/>
        <w:ind w:firstLine="420"/>
        <w:rPr>
          <w:rFonts w:ascii="宋体" w:hAnsi="宋体"/>
          <w:sz w:val="24"/>
        </w:rPr>
      </w:pPr>
      <w:r>
        <w:rPr>
          <w:rFonts w:ascii="宋体" w:hAnsi="宋体" w:hint="eastAsia"/>
          <w:sz w:val="24"/>
        </w:rPr>
        <w:t>基金托管人应根据注册登记机构的交收指令办理本基金因申购、赎回产生的现金替代、现金差额的结算。现金替代的退款和补款由基金管理人负责办理。</w:t>
      </w:r>
    </w:p>
    <w:p w14:paraId="61DCD3D2" w14:textId="77777777" w:rsidR="00CF57A4" w:rsidRDefault="00B13D46">
      <w:pPr>
        <w:spacing w:line="360" w:lineRule="auto"/>
        <w:ind w:firstLine="420"/>
        <w:rPr>
          <w:rFonts w:ascii="宋体" w:hAnsi="宋体"/>
          <w:sz w:val="24"/>
        </w:rPr>
      </w:pPr>
      <w:r>
        <w:rPr>
          <w:rFonts w:ascii="宋体" w:hAnsi="宋体" w:hint="eastAsia"/>
          <w:sz w:val="24"/>
        </w:rPr>
        <w:t>6、债券托管专户的开设和管理</w:t>
      </w:r>
    </w:p>
    <w:p w14:paraId="6FB71021" w14:textId="77777777" w:rsidR="00CF57A4" w:rsidRDefault="00B13D46">
      <w:pPr>
        <w:spacing w:line="360" w:lineRule="auto"/>
        <w:ind w:firstLine="420"/>
        <w:rPr>
          <w:rFonts w:ascii="宋体" w:hAnsi="宋体"/>
          <w:sz w:val="24"/>
        </w:rPr>
      </w:pPr>
      <w:r>
        <w:rPr>
          <w:rFonts w:ascii="宋体" w:hAnsi="宋体" w:hint="eastAsia"/>
          <w:sz w:val="24"/>
        </w:rPr>
        <w:t>基金合同生效后，基金托管人根据中国人民银行、中央国债登记结算有限责任公司的有关规定，以基金的名义在中央国债登记结算有限责任公司开立债券托管与结算账户，并代表基金进行银行间市场债券的结算。基金管理人和基金托管人同时代表基金签订全国银行间债券市场债券回购主协议。</w:t>
      </w:r>
    </w:p>
    <w:p w14:paraId="5CF2B0F5" w14:textId="77777777" w:rsidR="00CF57A4" w:rsidRDefault="00B13D46">
      <w:pPr>
        <w:spacing w:line="360" w:lineRule="auto"/>
        <w:ind w:firstLine="420"/>
        <w:rPr>
          <w:rFonts w:ascii="宋体" w:hAnsi="宋体"/>
          <w:sz w:val="24"/>
        </w:rPr>
      </w:pPr>
      <w:r>
        <w:rPr>
          <w:rFonts w:ascii="宋体" w:hAnsi="宋体" w:hint="eastAsia"/>
          <w:sz w:val="24"/>
        </w:rPr>
        <w:t>7、其他账户的开立和管理</w:t>
      </w:r>
    </w:p>
    <w:p w14:paraId="657B814A" w14:textId="77777777" w:rsidR="00CF57A4" w:rsidRDefault="00B13D46">
      <w:pPr>
        <w:spacing w:line="360" w:lineRule="auto"/>
        <w:ind w:firstLine="420"/>
        <w:rPr>
          <w:rFonts w:ascii="宋体" w:hAnsi="宋体"/>
          <w:sz w:val="24"/>
        </w:rPr>
      </w:pPr>
      <w:r>
        <w:rPr>
          <w:rFonts w:ascii="宋体" w:hAnsi="宋体" w:hint="eastAsia"/>
          <w:sz w:val="24"/>
        </w:rPr>
        <w:t>（1）因业务发展需要而开立的其他账户，可以根据法律法规和基金合同的规定，在基金管理人和基金托管人商议后由基金托管人负责开立。新账户按有关规则使用并管理。</w:t>
      </w:r>
    </w:p>
    <w:p w14:paraId="4E1BEF5D" w14:textId="77777777" w:rsidR="00CF57A4" w:rsidRDefault="00B13D46">
      <w:pPr>
        <w:spacing w:line="360" w:lineRule="auto"/>
        <w:ind w:firstLine="420"/>
        <w:rPr>
          <w:rFonts w:ascii="宋体" w:hAnsi="宋体"/>
          <w:sz w:val="24"/>
        </w:rPr>
      </w:pPr>
      <w:r>
        <w:rPr>
          <w:rFonts w:ascii="宋体" w:hAnsi="宋体" w:hint="eastAsia"/>
          <w:sz w:val="24"/>
        </w:rPr>
        <w:t>（2）法律法规等有关规定对相关账户的开立和管理另有规定的，从其规定办理。</w:t>
      </w:r>
    </w:p>
    <w:p w14:paraId="20BAA9D0" w14:textId="77777777" w:rsidR="00CF57A4" w:rsidRDefault="00B13D46">
      <w:pPr>
        <w:spacing w:line="360" w:lineRule="auto"/>
        <w:ind w:firstLine="420"/>
        <w:rPr>
          <w:rFonts w:ascii="宋体" w:hAnsi="宋体"/>
          <w:sz w:val="24"/>
        </w:rPr>
      </w:pPr>
      <w:r>
        <w:rPr>
          <w:rFonts w:ascii="宋体" w:hAnsi="宋体" w:hint="eastAsia"/>
          <w:sz w:val="24"/>
        </w:rPr>
        <w:t>8、基金财产投资的有关有价凭证等的保管</w:t>
      </w:r>
    </w:p>
    <w:p w14:paraId="34116109" w14:textId="77777777" w:rsidR="00CF57A4" w:rsidRDefault="00B13D46">
      <w:pPr>
        <w:spacing w:line="360" w:lineRule="auto"/>
        <w:ind w:firstLine="420"/>
        <w:rPr>
          <w:rFonts w:ascii="宋体" w:hAnsi="宋体"/>
          <w:sz w:val="24"/>
        </w:rPr>
      </w:pPr>
      <w:r>
        <w:rPr>
          <w:rFonts w:ascii="宋体" w:hAnsi="宋体" w:hint="eastAsia"/>
          <w:sz w:val="24"/>
        </w:rPr>
        <w:t>基金财产投资的有关实物证券、银行定期存款存单等有价凭证由基金托管人负责妥善保管，保管凭证由基金托管人持有。实物证券的购买和转让，由基金托管人根据基金管理人的指令办理。属于基金托管人实际有效控制下的实物证券在基金托管人保管期间的损坏、灭失，由此产生的责任应由基金托管人承担。基金托管人对基金托管人以外机构实际有效控制的证券不承担保管责任。</w:t>
      </w:r>
    </w:p>
    <w:p w14:paraId="19C47342" w14:textId="77777777" w:rsidR="00CF57A4" w:rsidRDefault="00B13D46">
      <w:pPr>
        <w:spacing w:line="360" w:lineRule="auto"/>
        <w:ind w:firstLine="420"/>
        <w:rPr>
          <w:rFonts w:ascii="宋体" w:hAnsi="宋体"/>
          <w:sz w:val="24"/>
        </w:rPr>
      </w:pPr>
      <w:r>
        <w:rPr>
          <w:rFonts w:ascii="宋体" w:hAnsi="宋体" w:hint="eastAsia"/>
          <w:sz w:val="24"/>
        </w:rPr>
        <w:t>9、与基金财产有关的重大合同的保管</w:t>
      </w:r>
    </w:p>
    <w:p w14:paraId="20866E6A" w14:textId="77777777" w:rsidR="00CF57A4" w:rsidRDefault="00B13D46">
      <w:pPr>
        <w:spacing w:line="360" w:lineRule="auto"/>
        <w:ind w:firstLine="420"/>
        <w:rPr>
          <w:rFonts w:ascii="宋体" w:hAnsi="宋体"/>
          <w:sz w:val="24"/>
        </w:rPr>
      </w:pPr>
      <w:r>
        <w:rPr>
          <w:rFonts w:ascii="宋体" w:hAnsi="宋体" w:hint="eastAsia"/>
          <w:sz w:val="24"/>
        </w:rPr>
        <w:t>由基金管理人代表基金签署的、与基金有关的重大合同的原件分别由基金管理人、基金托管人保管。除协议另有规定外，基金管理人在代表基金签署与基金有关的重大合同时应保证基金一方持有两份以上的正本，以便基金管理人和基金托管人至少各持有一份正本的原件。重大合同的保管期限为基金合同终止后15年</w:t>
      </w:r>
      <w:r>
        <w:rPr>
          <w:rFonts w:ascii="宋体" w:hAnsi="宋体" w:hint="eastAsia"/>
          <w:kern w:val="0"/>
          <w:sz w:val="24"/>
        </w:rPr>
        <w:t>。</w:t>
      </w:r>
    </w:p>
    <w:p w14:paraId="60469E44" w14:textId="77777777" w:rsidR="00CF57A4" w:rsidRDefault="00B13D46">
      <w:pPr>
        <w:spacing w:line="360" w:lineRule="auto"/>
        <w:ind w:firstLine="420"/>
        <w:rPr>
          <w:rFonts w:ascii="宋体" w:hAnsi="宋体"/>
          <w:b/>
          <w:kern w:val="0"/>
          <w:sz w:val="24"/>
        </w:rPr>
      </w:pPr>
      <w:r>
        <w:rPr>
          <w:rFonts w:ascii="宋体" w:hAnsi="宋体" w:hint="eastAsia"/>
          <w:b/>
          <w:kern w:val="0"/>
          <w:sz w:val="24"/>
        </w:rPr>
        <w:t>（五）基金资产净值计算和会计复核</w:t>
      </w:r>
    </w:p>
    <w:p w14:paraId="103274AB" w14:textId="77777777" w:rsidR="00CF57A4" w:rsidRDefault="00B13D46">
      <w:pPr>
        <w:spacing w:line="360" w:lineRule="auto"/>
        <w:ind w:firstLine="420"/>
        <w:rPr>
          <w:rFonts w:ascii="宋体" w:hAnsi="宋体"/>
          <w:sz w:val="24"/>
        </w:rPr>
      </w:pPr>
      <w:bookmarkStart w:id="203" w:name="_Toc320703965"/>
      <w:bookmarkStart w:id="204" w:name="_Toc320704016"/>
      <w:bookmarkStart w:id="205" w:name="_Toc320704089"/>
      <w:r>
        <w:rPr>
          <w:rFonts w:ascii="宋体" w:hAnsi="宋体" w:hint="eastAsia"/>
          <w:sz w:val="24"/>
        </w:rPr>
        <w:t>1、</w:t>
      </w:r>
      <w:r>
        <w:rPr>
          <w:rFonts w:ascii="宋体" w:hAnsi="宋体"/>
          <w:sz w:val="24"/>
        </w:rPr>
        <w:t>基金资产净值的计算及</w:t>
      </w:r>
      <w:r>
        <w:rPr>
          <w:rFonts w:ascii="宋体" w:hAnsi="宋体" w:hint="eastAsia"/>
          <w:sz w:val="24"/>
        </w:rPr>
        <w:t>复核</w:t>
      </w:r>
      <w:r>
        <w:rPr>
          <w:rFonts w:ascii="宋体" w:hAnsi="宋体"/>
          <w:sz w:val="24"/>
        </w:rPr>
        <w:t>程序</w:t>
      </w:r>
      <w:bookmarkEnd w:id="203"/>
      <w:bookmarkEnd w:id="204"/>
      <w:bookmarkEnd w:id="205"/>
    </w:p>
    <w:p w14:paraId="7AB26F0D" w14:textId="77777777" w:rsidR="00CF57A4" w:rsidRDefault="00B13D46">
      <w:pPr>
        <w:spacing w:line="360" w:lineRule="auto"/>
        <w:ind w:firstLine="420"/>
        <w:rPr>
          <w:rFonts w:ascii="宋体" w:hAnsi="宋体"/>
          <w:sz w:val="24"/>
        </w:rPr>
      </w:pPr>
      <w:r>
        <w:rPr>
          <w:rFonts w:ascii="宋体" w:hAnsi="宋体" w:hint="eastAsia"/>
          <w:sz w:val="24"/>
        </w:rPr>
        <w:lastRenderedPageBreak/>
        <w:t>（</w:t>
      </w:r>
      <w:r>
        <w:rPr>
          <w:rFonts w:ascii="宋体" w:hAnsi="宋体"/>
          <w:sz w:val="24"/>
        </w:rPr>
        <w:t>1</w:t>
      </w:r>
      <w:r>
        <w:rPr>
          <w:rFonts w:ascii="宋体" w:hAnsi="宋体" w:hint="eastAsia"/>
          <w:sz w:val="24"/>
        </w:rPr>
        <w:t>）</w:t>
      </w:r>
      <w:r>
        <w:rPr>
          <w:rFonts w:ascii="宋体" w:hAnsi="宋体"/>
          <w:sz w:val="24"/>
        </w:rPr>
        <w:t>基金资产净值</w:t>
      </w:r>
    </w:p>
    <w:p w14:paraId="2A5B4900" w14:textId="77777777" w:rsidR="00CF57A4" w:rsidRDefault="00B13D46">
      <w:pPr>
        <w:spacing w:line="360" w:lineRule="auto"/>
        <w:ind w:firstLine="420"/>
        <w:rPr>
          <w:rFonts w:ascii="宋体" w:hAnsi="宋体"/>
          <w:sz w:val="24"/>
        </w:rPr>
      </w:pPr>
      <w:r>
        <w:rPr>
          <w:rFonts w:ascii="宋体" w:hAnsi="宋体"/>
          <w:sz w:val="24"/>
        </w:rPr>
        <w:t>基金资产净值是指基金资产总值减去负债后的金额。</w:t>
      </w:r>
    </w:p>
    <w:p w14:paraId="0B0C4178" w14:textId="77777777" w:rsidR="00CF57A4" w:rsidRDefault="00B13D46">
      <w:pPr>
        <w:spacing w:line="360" w:lineRule="auto"/>
        <w:ind w:firstLine="420"/>
        <w:rPr>
          <w:rFonts w:ascii="宋体" w:hAnsi="宋体"/>
          <w:sz w:val="24"/>
        </w:rPr>
      </w:pPr>
      <w:r>
        <w:rPr>
          <w:rFonts w:ascii="宋体" w:hAnsi="宋体"/>
          <w:sz w:val="24"/>
        </w:rPr>
        <w:t>基金份额净值是指基金资产净值除以基金份额总数</w:t>
      </w:r>
      <w:r>
        <w:rPr>
          <w:rFonts w:ascii="宋体" w:hAnsi="宋体" w:hint="eastAsia"/>
          <w:sz w:val="24"/>
        </w:rPr>
        <w:t>。</w:t>
      </w:r>
      <w:r>
        <w:rPr>
          <w:rFonts w:ascii="宋体" w:hAnsi="宋体"/>
          <w:sz w:val="24"/>
        </w:rPr>
        <w:t>基金份额净值的计算，精确到0.001元，小数点后第</w:t>
      </w:r>
      <w:r>
        <w:rPr>
          <w:rFonts w:ascii="宋体" w:hAnsi="宋体" w:hint="eastAsia"/>
          <w:sz w:val="24"/>
        </w:rPr>
        <w:t>四</w:t>
      </w:r>
      <w:r>
        <w:rPr>
          <w:rFonts w:ascii="宋体" w:hAnsi="宋体"/>
          <w:sz w:val="24"/>
        </w:rPr>
        <w:t>位四舍五入，</w:t>
      </w:r>
      <w:r>
        <w:rPr>
          <w:rFonts w:ascii="宋体" w:hAnsi="宋体" w:hint="eastAsia"/>
          <w:sz w:val="24"/>
        </w:rPr>
        <w:t>由此产生的误差计入基金财产。</w:t>
      </w:r>
      <w:r>
        <w:rPr>
          <w:rFonts w:ascii="宋体" w:hAnsi="宋体"/>
          <w:sz w:val="24"/>
        </w:rPr>
        <w:t>国家另有规定的，从其规定。</w:t>
      </w:r>
    </w:p>
    <w:p w14:paraId="70386278" w14:textId="77777777" w:rsidR="00CF57A4" w:rsidRDefault="00B13D46">
      <w:pPr>
        <w:spacing w:line="360" w:lineRule="auto"/>
        <w:ind w:firstLine="420"/>
        <w:rPr>
          <w:rFonts w:ascii="宋体" w:hAnsi="宋体"/>
          <w:sz w:val="24"/>
        </w:rPr>
      </w:pPr>
      <w:r>
        <w:rPr>
          <w:rFonts w:ascii="宋体" w:hAnsi="宋体"/>
          <w:sz w:val="24"/>
        </w:rPr>
        <w:t>每工作日计算基金资产净值及基金份额净值，并按规定公告。</w:t>
      </w:r>
    </w:p>
    <w:p w14:paraId="3E26998B" w14:textId="77777777" w:rsidR="00CF57A4" w:rsidRDefault="00B13D46">
      <w:pPr>
        <w:spacing w:line="360" w:lineRule="auto"/>
        <w:ind w:firstLine="420"/>
        <w:rPr>
          <w:rFonts w:ascii="宋体" w:hAnsi="宋体"/>
          <w:sz w:val="24"/>
        </w:rPr>
      </w:pPr>
      <w:r>
        <w:rPr>
          <w:rFonts w:ascii="宋体" w:hAnsi="宋体" w:hint="eastAsia"/>
          <w:sz w:val="24"/>
        </w:rPr>
        <w:t>（</w:t>
      </w:r>
      <w:r>
        <w:rPr>
          <w:rFonts w:ascii="宋体" w:hAnsi="宋体"/>
          <w:sz w:val="24"/>
        </w:rPr>
        <w:t>2</w:t>
      </w:r>
      <w:r>
        <w:rPr>
          <w:rFonts w:ascii="宋体" w:hAnsi="宋体" w:hint="eastAsia"/>
          <w:sz w:val="24"/>
        </w:rPr>
        <w:t>）</w:t>
      </w:r>
      <w:r>
        <w:rPr>
          <w:rFonts w:ascii="宋体" w:hAnsi="宋体"/>
          <w:sz w:val="24"/>
        </w:rPr>
        <w:t>复核程序</w:t>
      </w:r>
    </w:p>
    <w:p w14:paraId="69DD3E63" w14:textId="77777777" w:rsidR="00CF57A4" w:rsidRDefault="00B13D46">
      <w:pPr>
        <w:spacing w:line="360" w:lineRule="auto"/>
        <w:ind w:firstLine="420"/>
        <w:rPr>
          <w:rFonts w:ascii="宋体" w:hAnsi="宋体"/>
          <w:sz w:val="24"/>
        </w:rPr>
      </w:pPr>
      <w:r>
        <w:rPr>
          <w:rFonts w:ascii="宋体" w:hAnsi="宋体"/>
          <w:sz w:val="24"/>
        </w:rPr>
        <w:t>基金管理人每工作日对基金资产进行估值后，将基金份额净值结果发送基金托管人，经基金托管人复核无误后，由基金管理人</w:t>
      </w:r>
      <w:r>
        <w:rPr>
          <w:rFonts w:ascii="宋体" w:hAnsi="宋体" w:hint="eastAsia"/>
          <w:sz w:val="24"/>
        </w:rPr>
        <w:t>依据基金合同和有关法律法规的规定</w:t>
      </w:r>
      <w:r>
        <w:rPr>
          <w:rFonts w:ascii="宋体" w:hAnsi="宋体"/>
          <w:sz w:val="24"/>
        </w:rPr>
        <w:t>对外公布。</w:t>
      </w:r>
    </w:p>
    <w:p w14:paraId="67AF5473" w14:textId="77777777" w:rsidR="00CF57A4" w:rsidRDefault="00B13D46">
      <w:pPr>
        <w:spacing w:line="360" w:lineRule="auto"/>
        <w:ind w:firstLine="420"/>
        <w:rPr>
          <w:rFonts w:ascii="宋体" w:hAnsi="宋体"/>
          <w:sz w:val="24"/>
        </w:rPr>
      </w:pPr>
      <w:r>
        <w:rPr>
          <w:rFonts w:ascii="宋体" w:hAnsi="宋体" w:hint="eastAsia"/>
          <w:sz w:val="24"/>
        </w:rPr>
        <w:t>2、</w:t>
      </w:r>
      <w:r>
        <w:rPr>
          <w:rFonts w:ascii="宋体" w:hAnsi="宋体"/>
          <w:sz w:val="24"/>
        </w:rPr>
        <w:t>基金资产估值方法和特殊情形的处理</w:t>
      </w:r>
    </w:p>
    <w:p w14:paraId="4C479C9D" w14:textId="77777777" w:rsidR="00CF57A4" w:rsidRDefault="00B13D46">
      <w:pPr>
        <w:spacing w:line="360" w:lineRule="auto"/>
        <w:ind w:firstLine="420"/>
        <w:rPr>
          <w:rFonts w:ascii="宋体" w:hAnsi="宋体"/>
          <w:sz w:val="24"/>
        </w:rPr>
      </w:pPr>
      <w:r>
        <w:rPr>
          <w:rFonts w:ascii="宋体" w:hAnsi="宋体" w:hint="eastAsia"/>
          <w:sz w:val="24"/>
        </w:rPr>
        <w:t>（</w:t>
      </w:r>
      <w:r>
        <w:rPr>
          <w:rFonts w:ascii="宋体" w:hAnsi="宋体"/>
          <w:sz w:val="24"/>
        </w:rPr>
        <w:t>1</w:t>
      </w:r>
      <w:r>
        <w:rPr>
          <w:rFonts w:ascii="宋体" w:hAnsi="宋体" w:hint="eastAsia"/>
          <w:sz w:val="24"/>
        </w:rPr>
        <w:t>）</w:t>
      </w:r>
      <w:r>
        <w:rPr>
          <w:rFonts w:ascii="宋体" w:hAnsi="宋体"/>
          <w:sz w:val="24"/>
        </w:rPr>
        <w:t>估值对象</w:t>
      </w:r>
    </w:p>
    <w:p w14:paraId="72500EE5" w14:textId="77777777" w:rsidR="00CF57A4" w:rsidRDefault="00B13D46">
      <w:pPr>
        <w:spacing w:line="360" w:lineRule="auto"/>
        <w:ind w:firstLine="420"/>
        <w:rPr>
          <w:rFonts w:ascii="宋体" w:hAnsi="宋体"/>
          <w:sz w:val="24"/>
        </w:rPr>
      </w:pPr>
      <w:r>
        <w:rPr>
          <w:rFonts w:ascii="宋体" w:hAnsi="宋体"/>
          <w:sz w:val="24"/>
        </w:rPr>
        <w:t>基金依法拥有的</w:t>
      </w:r>
      <w:r>
        <w:rPr>
          <w:rFonts w:ascii="宋体" w:hAnsi="宋体" w:hint="eastAsia"/>
          <w:sz w:val="24"/>
        </w:rPr>
        <w:t>股票、债券、权证及其他基金资产和负债</w:t>
      </w:r>
      <w:r>
        <w:rPr>
          <w:rFonts w:ascii="宋体" w:hAnsi="宋体"/>
          <w:sz w:val="24"/>
        </w:rPr>
        <w:t>。</w:t>
      </w:r>
    </w:p>
    <w:p w14:paraId="04585B8F" w14:textId="77777777" w:rsidR="00CF57A4" w:rsidRDefault="00B13D46">
      <w:pPr>
        <w:spacing w:line="360" w:lineRule="auto"/>
        <w:ind w:firstLine="420"/>
        <w:rPr>
          <w:rFonts w:ascii="宋体" w:hAnsi="宋体"/>
          <w:sz w:val="24"/>
        </w:rPr>
      </w:pPr>
      <w:r>
        <w:rPr>
          <w:rFonts w:ascii="宋体" w:hAnsi="宋体" w:hint="eastAsia"/>
          <w:sz w:val="24"/>
        </w:rPr>
        <w:t>（</w:t>
      </w:r>
      <w:r>
        <w:rPr>
          <w:rFonts w:ascii="宋体" w:hAnsi="宋体"/>
          <w:sz w:val="24"/>
        </w:rPr>
        <w:t>2</w:t>
      </w:r>
      <w:r>
        <w:rPr>
          <w:rFonts w:ascii="宋体" w:hAnsi="宋体" w:hint="eastAsia"/>
          <w:sz w:val="24"/>
        </w:rPr>
        <w:t>）</w:t>
      </w:r>
      <w:r>
        <w:rPr>
          <w:rFonts w:ascii="宋体" w:hAnsi="宋体"/>
          <w:sz w:val="24"/>
        </w:rPr>
        <w:t>估值方法</w:t>
      </w:r>
    </w:p>
    <w:p w14:paraId="4CBD33DF" w14:textId="77777777" w:rsidR="00CF57A4" w:rsidRDefault="00B13D46">
      <w:pPr>
        <w:spacing w:line="360" w:lineRule="auto"/>
        <w:ind w:firstLine="420"/>
        <w:rPr>
          <w:rFonts w:ascii="宋体" w:hAnsi="宋体"/>
          <w:sz w:val="24"/>
        </w:rPr>
      </w:pPr>
      <w:r>
        <w:rPr>
          <w:rFonts w:ascii="宋体" w:hAnsi="宋体" w:hint="eastAsia"/>
          <w:sz w:val="24"/>
        </w:rPr>
        <w:t>1）</w:t>
      </w:r>
      <w:r>
        <w:rPr>
          <w:rFonts w:ascii="宋体" w:hAnsi="宋体"/>
          <w:sz w:val="24"/>
        </w:rPr>
        <w:t>股票估值方法：</w:t>
      </w:r>
    </w:p>
    <w:p w14:paraId="117BD153" w14:textId="77777777" w:rsidR="00CF57A4" w:rsidRDefault="00B13D46">
      <w:pPr>
        <w:spacing w:line="360" w:lineRule="auto"/>
        <w:ind w:firstLine="420"/>
        <w:rPr>
          <w:rFonts w:ascii="宋体" w:hAnsi="宋体"/>
          <w:sz w:val="24"/>
        </w:rPr>
      </w:pPr>
      <w:r>
        <w:rPr>
          <w:rFonts w:ascii="宋体" w:hAnsi="宋体" w:hint="eastAsia"/>
          <w:sz w:val="24"/>
        </w:rPr>
        <w:t>①上市股票的估值：</w:t>
      </w:r>
    </w:p>
    <w:p w14:paraId="561A126D" w14:textId="77777777" w:rsidR="00CF57A4" w:rsidRDefault="00B13D46">
      <w:pPr>
        <w:spacing w:line="360" w:lineRule="auto"/>
        <w:ind w:firstLine="420"/>
        <w:rPr>
          <w:rFonts w:ascii="宋体" w:hAnsi="宋体"/>
          <w:sz w:val="24"/>
        </w:rPr>
      </w:pPr>
      <w:r>
        <w:rPr>
          <w:rFonts w:ascii="宋体" w:hAnsi="宋体" w:hint="eastAsia"/>
          <w:sz w:val="24"/>
        </w:rPr>
        <w:t>上市流通股票按估值日其所在证券交易所的收盘价估值；估值日无交易的，以最近交易日的收盘价估值。</w:t>
      </w:r>
    </w:p>
    <w:p w14:paraId="4141BF0E" w14:textId="77777777" w:rsidR="00CF57A4" w:rsidRDefault="00B13D46">
      <w:pPr>
        <w:spacing w:line="360" w:lineRule="auto"/>
        <w:ind w:firstLine="420"/>
        <w:rPr>
          <w:rFonts w:ascii="宋体" w:hAnsi="宋体"/>
          <w:sz w:val="24"/>
        </w:rPr>
      </w:pPr>
      <w:r>
        <w:rPr>
          <w:rFonts w:ascii="宋体" w:hAnsi="宋体" w:hint="eastAsia"/>
          <w:sz w:val="24"/>
        </w:rPr>
        <w:t>②</w:t>
      </w:r>
      <w:r>
        <w:rPr>
          <w:rFonts w:ascii="宋体" w:hAnsi="宋体"/>
          <w:sz w:val="24"/>
        </w:rPr>
        <w:t>未上市股票的估值</w:t>
      </w:r>
      <w:r>
        <w:rPr>
          <w:rFonts w:ascii="宋体" w:hAnsi="宋体" w:hint="eastAsia"/>
          <w:sz w:val="24"/>
        </w:rPr>
        <w:t>：</w:t>
      </w:r>
    </w:p>
    <w:p w14:paraId="124B65AA" w14:textId="77777777" w:rsidR="00CF57A4" w:rsidRDefault="00B13D46">
      <w:pPr>
        <w:spacing w:line="360" w:lineRule="auto"/>
        <w:ind w:firstLine="420"/>
        <w:rPr>
          <w:rFonts w:ascii="宋体" w:hAnsi="宋体"/>
          <w:sz w:val="24"/>
        </w:rPr>
      </w:pPr>
      <w:r>
        <w:rPr>
          <w:rFonts w:ascii="宋体" w:hAnsi="宋体"/>
          <w:sz w:val="24"/>
        </w:rPr>
        <w:t>a.首次发行</w:t>
      </w:r>
      <w:r>
        <w:rPr>
          <w:rFonts w:ascii="宋体" w:hAnsi="宋体" w:hint="eastAsia"/>
          <w:sz w:val="24"/>
        </w:rPr>
        <w:t>未上市</w:t>
      </w:r>
      <w:r>
        <w:rPr>
          <w:rFonts w:ascii="宋体" w:hAnsi="宋体"/>
          <w:sz w:val="24"/>
        </w:rPr>
        <w:t>的股票，采用估值技术确定公允价值，在估值技术难以可靠计量公允价值的情况下，按成本价估值</w:t>
      </w:r>
      <w:r>
        <w:rPr>
          <w:rFonts w:ascii="宋体" w:hAnsi="宋体" w:hint="eastAsia"/>
          <w:sz w:val="24"/>
        </w:rPr>
        <w:t>；</w:t>
      </w:r>
      <w:r>
        <w:rPr>
          <w:rFonts w:ascii="宋体" w:hAnsi="宋体"/>
          <w:sz w:val="24"/>
        </w:rPr>
        <w:t xml:space="preserve"> </w:t>
      </w:r>
    </w:p>
    <w:p w14:paraId="7187DB9C" w14:textId="77777777" w:rsidR="00CF57A4" w:rsidRDefault="00B13D46">
      <w:pPr>
        <w:spacing w:line="360" w:lineRule="auto"/>
        <w:ind w:firstLine="420"/>
        <w:rPr>
          <w:rFonts w:ascii="宋体" w:hAnsi="宋体"/>
          <w:sz w:val="24"/>
        </w:rPr>
      </w:pPr>
      <w:r>
        <w:rPr>
          <w:rFonts w:ascii="宋体" w:hAnsi="宋体"/>
          <w:sz w:val="24"/>
        </w:rPr>
        <w:t>b.送股、转增股、配股和</w:t>
      </w:r>
      <w:r>
        <w:rPr>
          <w:rFonts w:ascii="宋体" w:hAnsi="宋体" w:hint="eastAsia"/>
          <w:sz w:val="24"/>
        </w:rPr>
        <w:t>公开增发新股等发行未上市</w:t>
      </w:r>
      <w:r>
        <w:rPr>
          <w:rFonts w:ascii="宋体" w:hAnsi="宋体"/>
          <w:sz w:val="24"/>
        </w:rPr>
        <w:t>的股票，</w:t>
      </w:r>
      <w:r>
        <w:rPr>
          <w:rFonts w:ascii="宋体" w:hAnsi="宋体" w:hint="eastAsia"/>
          <w:sz w:val="24"/>
        </w:rPr>
        <w:t>按估值日在证券交易所上市的同一股票的市价进行估值；</w:t>
      </w:r>
    </w:p>
    <w:p w14:paraId="0400DA00" w14:textId="77777777" w:rsidR="00CF57A4" w:rsidRDefault="00B13D46">
      <w:pPr>
        <w:spacing w:line="360" w:lineRule="auto"/>
        <w:ind w:firstLine="420"/>
        <w:rPr>
          <w:rFonts w:ascii="宋体" w:hAnsi="宋体"/>
          <w:sz w:val="24"/>
        </w:rPr>
      </w:pPr>
      <w:r>
        <w:rPr>
          <w:rFonts w:ascii="宋体" w:hAnsi="宋体"/>
          <w:sz w:val="24"/>
        </w:rPr>
        <w:t>c.</w:t>
      </w:r>
      <w:r>
        <w:rPr>
          <w:rFonts w:ascii="宋体" w:hAnsi="宋体" w:hint="eastAsia"/>
          <w:sz w:val="24"/>
        </w:rPr>
        <w:t>首次公开发行有明确锁定期的股票，同一股票在交易所上市后，按估值日在证券交易所上市的同一股票的市价进行估值；</w:t>
      </w:r>
    </w:p>
    <w:p w14:paraId="2FB7DBE3" w14:textId="77777777" w:rsidR="00CF57A4" w:rsidRDefault="00B13D46">
      <w:pPr>
        <w:spacing w:line="360" w:lineRule="auto"/>
        <w:ind w:firstLine="420"/>
        <w:rPr>
          <w:rFonts w:ascii="宋体" w:hAnsi="宋体"/>
          <w:sz w:val="24"/>
        </w:rPr>
      </w:pPr>
      <w:r>
        <w:rPr>
          <w:rFonts w:ascii="宋体" w:hAnsi="宋体"/>
          <w:sz w:val="24"/>
        </w:rPr>
        <w:t>d.</w:t>
      </w:r>
      <w:r>
        <w:rPr>
          <w:rFonts w:ascii="宋体" w:hAnsi="宋体" w:hint="eastAsia"/>
          <w:sz w:val="24"/>
        </w:rPr>
        <w:t>非公开发行的且在发行时明确一定期限锁定期的股票，按监管机构或行业协会有关规定确定公允价值。</w:t>
      </w:r>
    </w:p>
    <w:p w14:paraId="3B7B5B8C" w14:textId="77777777" w:rsidR="00CF57A4" w:rsidRDefault="00B13D46">
      <w:pPr>
        <w:spacing w:line="360" w:lineRule="auto"/>
        <w:ind w:firstLine="420"/>
        <w:rPr>
          <w:rFonts w:ascii="宋体" w:hAnsi="宋体"/>
          <w:sz w:val="24"/>
        </w:rPr>
      </w:pPr>
      <w:r>
        <w:rPr>
          <w:rFonts w:ascii="宋体" w:hAnsi="宋体" w:cs="宋体" w:hint="eastAsia"/>
          <w:sz w:val="24"/>
        </w:rPr>
        <w:t>③</w:t>
      </w:r>
      <w:r>
        <w:rPr>
          <w:rFonts w:ascii="宋体" w:hAnsi="宋体"/>
          <w:sz w:val="24"/>
        </w:rPr>
        <w:t>在任何情况下，基金管理人如采用本项第</w:t>
      </w:r>
      <w:r>
        <w:rPr>
          <w:rFonts w:ascii="宋体" w:hAnsi="宋体" w:hint="eastAsia"/>
          <w:sz w:val="24"/>
        </w:rPr>
        <w:t>①</w:t>
      </w:r>
      <w:r>
        <w:rPr>
          <w:rFonts w:ascii="宋体" w:hAnsi="宋体"/>
          <w:sz w:val="24"/>
        </w:rPr>
        <w:t>－</w:t>
      </w:r>
      <w:r>
        <w:rPr>
          <w:rFonts w:ascii="宋体" w:hAnsi="宋体" w:hint="eastAsia"/>
          <w:sz w:val="24"/>
        </w:rPr>
        <w:t>②</w:t>
      </w:r>
      <w:r>
        <w:rPr>
          <w:rFonts w:ascii="宋体" w:hAnsi="宋体"/>
          <w:sz w:val="24"/>
        </w:rPr>
        <w:t>小项规定的方法对基金资产进行估值，均应被认为采用了适当的估值方法。但是，如果基金管理人认为按本</w:t>
      </w:r>
      <w:r>
        <w:rPr>
          <w:rFonts w:ascii="宋体" w:hAnsi="宋体"/>
          <w:sz w:val="24"/>
        </w:rPr>
        <w:lastRenderedPageBreak/>
        <w:t>项第</w:t>
      </w:r>
      <w:r>
        <w:rPr>
          <w:rFonts w:ascii="宋体" w:hAnsi="宋体" w:hint="eastAsia"/>
          <w:sz w:val="24"/>
        </w:rPr>
        <w:t>①</w:t>
      </w:r>
      <w:r>
        <w:rPr>
          <w:rFonts w:ascii="宋体" w:hAnsi="宋体"/>
          <w:sz w:val="24"/>
        </w:rPr>
        <w:t>－</w:t>
      </w:r>
      <w:r>
        <w:rPr>
          <w:rFonts w:ascii="宋体" w:hAnsi="宋体" w:hint="eastAsia"/>
          <w:sz w:val="24"/>
        </w:rPr>
        <w:t>②</w:t>
      </w:r>
      <w:r>
        <w:rPr>
          <w:rFonts w:ascii="宋体" w:hAnsi="宋体"/>
          <w:sz w:val="24"/>
        </w:rPr>
        <w:t>小项规定的方法对基金资产进行估值不能客观反映其公允价值的，基金管理人可根据具体情况，并与基金托管人商定后，按最能反映公允价值的价格估值；</w:t>
      </w:r>
    </w:p>
    <w:p w14:paraId="0673D9A9" w14:textId="77777777" w:rsidR="00CF57A4" w:rsidRDefault="00B13D46">
      <w:pPr>
        <w:tabs>
          <w:tab w:val="left" w:pos="1620"/>
        </w:tabs>
        <w:spacing w:line="360" w:lineRule="auto"/>
        <w:ind w:firstLine="420"/>
        <w:rPr>
          <w:rFonts w:ascii="宋体" w:hAnsi="宋体"/>
          <w:sz w:val="24"/>
        </w:rPr>
      </w:pPr>
      <w:r>
        <w:rPr>
          <w:rFonts w:ascii="宋体" w:hAnsi="宋体" w:hint="eastAsia"/>
          <w:sz w:val="24"/>
        </w:rPr>
        <w:t>D.</w:t>
      </w:r>
      <w:r>
        <w:rPr>
          <w:rFonts w:ascii="宋体" w:hAnsi="宋体"/>
          <w:sz w:val="24"/>
        </w:rPr>
        <w:t>国家有最新规定的，按其规定进行估值。</w:t>
      </w:r>
    </w:p>
    <w:p w14:paraId="2571ED08" w14:textId="77777777" w:rsidR="00CF57A4" w:rsidRDefault="00B13D46">
      <w:pPr>
        <w:spacing w:line="360" w:lineRule="auto"/>
        <w:ind w:firstLine="420"/>
        <w:rPr>
          <w:rFonts w:ascii="宋体" w:hAnsi="宋体"/>
          <w:sz w:val="24"/>
        </w:rPr>
      </w:pPr>
      <w:r>
        <w:rPr>
          <w:rFonts w:ascii="宋体" w:hAnsi="宋体" w:hint="eastAsia"/>
          <w:sz w:val="24"/>
        </w:rPr>
        <w:t>2）</w:t>
      </w:r>
      <w:r>
        <w:rPr>
          <w:rFonts w:ascii="宋体" w:hAnsi="宋体"/>
          <w:sz w:val="24"/>
        </w:rPr>
        <w:t>债券估值</w:t>
      </w:r>
      <w:r>
        <w:rPr>
          <w:rFonts w:ascii="宋体" w:hAnsi="宋体" w:hint="eastAsia"/>
          <w:sz w:val="24"/>
        </w:rPr>
        <w:t>方</w:t>
      </w:r>
      <w:r>
        <w:rPr>
          <w:rFonts w:ascii="宋体" w:hAnsi="宋体"/>
          <w:sz w:val="24"/>
        </w:rPr>
        <w:t>法：</w:t>
      </w:r>
    </w:p>
    <w:p w14:paraId="1E9F0E12" w14:textId="77777777" w:rsidR="00CF57A4" w:rsidRDefault="00B13D46">
      <w:pPr>
        <w:spacing w:line="360" w:lineRule="auto"/>
        <w:ind w:firstLine="420"/>
        <w:rPr>
          <w:rFonts w:ascii="宋体" w:hAnsi="宋体"/>
          <w:sz w:val="24"/>
        </w:rPr>
      </w:pPr>
      <w:r>
        <w:rPr>
          <w:rFonts w:ascii="宋体" w:hAnsi="宋体" w:hint="eastAsia"/>
          <w:sz w:val="24"/>
        </w:rPr>
        <w:t>①交易所市场上市交易或挂牌转让的固定收益品种（另有规定的除外），选取第三方估值机构提供的相应品种当日的估值净价进行估值；</w:t>
      </w:r>
    </w:p>
    <w:p w14:paraId="56EB8AED" w14:textId="77777777" w:rsidR="00CF57A4" w:rsidRDefault="00B13D46">
      <w:pPr>
        <w:spacing w:line="360" w:lineRule="auto"/>
        <w:ind w:firstLine="420"/>
        <w:rPr>
          <w:rFonts w:ascii="宋体" w:hAnsi="宋体"/>
          <w:sz w:val="24"/>
        </w:rPr>
      </w:pPr>
      <w:r>
        <w:rPr>
          <w:rFonts w:ascii="宋体" w:hAnsi="宋体" w:hint="eastAsia"/>
          <w:color w:val="000000"/>
          <w:sz w:val="24"/>
        </w:rPr>
        <w:t>②</w:t>
      </w:r>
      <w:r>
        <w:rPr>
          <w:rFonts w:ascii="宋体" w:hAnsi="宋体" w:hint="eastAsia"/>
          <w:sz w:val="24"/>
        </w:rPr>
        <w:t>在证券交易所市场挂牌交易且未实行净价交易的债券按估值日收盘价减去债券收盘价中所含的债券应收利息得到的净价进行估值；估值日没有交易的，且</w:t>
      </w:r>
      <w:r>
        <w:rPr>
          <w:rFonts w:ascii="宋体" w:hAnsi="宋体"/>
          <w:sz w:val="24"/>
        </w:rPr>
        <w:t>最近交易日后经济环境未发生重大变化，</w:t>
      </w:r>
      <w:r>
        <w:rPr>
          <w:rFonts w:ascii="宋体" w:hAnsi="宋体" w:hint="eastAsia"/>
          <w:sz w:val="24"/>
        </w:rPr>
        <w:t>按最近交易日债券收盘价减去债券收盘价中所含的债券应收利息得到的净价估值；如果估值日无交易，且最近交易日后经济环境发生了重大变化的，将参考类似投资品种的现行市价及重大变化因素，调整最近交易日收盘价，确定公允价值进行估值。</w:t>
      </w:r>
    </w:p>
    <w:p w14:paraId="253D7D64" w14:textId="77777777" w:rsidR="00CF57A4" w:rsidRDefault="00B13D46">
      <w:pPr>
        <w:spacing w:line="360" w:lineRule="auto"/>
        <w:ind w:firstLine="420"/>
        <w:rPr>
          <w:rFonts w:ascii="宋体" w:hAnsi="宋体"/>
          <w:sz w:val="24"/>
        </w:rPr>
      </w:pPr>
      <w:r>
        <w:rPr>
          <w:rFonts w:ascii="宋体" w:hAnsi="宋体" w:hint="eastAsia"/>
          <w:color w:val="000000"/>
          <w:sz w:val="24"/>
        </w:rPr>
        <w:t>③</w:t>
      </w:r>
      <w:r>
        <w:rPr>
          <w:rFonts w:ascii="宋体" w:hAnsi="宋体" w:hint="eastAsia"/>
          <w:sz w:val="24"/>
        </w:rPr>
        <w:t>首次发行未上市债券采用估值技术确定的公允价值进行估值，在估值技术难以可靠计量公允价值的情况下，按成本估值。</w:t>
      </w:r>
    </w:p>
    <w:p w14:paraId="43003042" w14:textId="77777777" w:rsidR="00CF57A4" w:rsidRDefault="00B13D46">
      <w:pPr>
        <w:spacing w:line="360" w:lineRule="auto"/>
        <w:ind w:firstLine="420"/>
        <w:rPr>
          <w:rFonts w:ascii="宋体" w:hAnsi="宋体"/>
          <w:sz w:val="24"/>
        </w:rPr>
      </w:pPr>
      <w:r>
        <w:rPr>
          <w:rFonts w:ascii="宋体" w:hAnsi="宋体" w:hint="eastAsia"/>
          <w:sz w:val="24"/>
        </w:rPr>
        <w:t>④交易所以大宗交易方式转让的资产支持证券，采用估值技术确定公允价值，在估值技术难以可靠计量公允价值的情况下，按成本进行后续计量。</w:t>
      </w:r>
    </w:p>
    <w:p w14:paraId="79482007" w14:textId="77777777" w:rsidR="00CF57A4" w:rsidRDefault="00B13D46">
      <w:pPr>
        <w:spacing w:line="360" w:lineRule="auto"/>
        <w:ind w:firstLine="420"/>
        <w:rPr>
          <w:rFonts w:ascii="宋体" w:hAnsi="宋体"/>
          <w:sz w:val="24"/>
        </w:rPr>
      </w:pPr>
      <w:r>
        <w:rPr>
          <w:rFonts w:ascii="宋体" w:hAnsi="宋体" w:hint="eastAsia"/>
          <w:color w:val="000000"/>
          <w:sz w:val="24"/>
        </w:rPr>
        <w:t>⑤</w:t>
      </w:r>
      <w:r>
        <w:rPr>
          <w:rFonts w:ascii="宋体" w:hAnsi="宋体" w:hint="eastAsia"/>
          <w:sz w:val="24"/>
        </w:rPr>
        <w:t>在全国银行间债券市场交易的债券、资产支持证券等固定收益品种，采用估值技术确定公允价值。</w:t>
      </w:r>
    </w:p>
    <w:p w14:paraId="5F019464" w14:textId="77777777" w:rsidR="00CF57A4" w:rsidRDefault="00B13D46">
      <w:pPr>
        <w:spacing w:line="360" w:lineRule="auto"/>
        <w:ind w:firstLine="420"/>
        <w:rPr>
          <w:rFonts w:ascii="宋体" w:hAnsi="宋体"/>
          <w:sz w:val="24"/>
        </w:rPr>
      </w:pPr>
      <w:r>
        <w:rPr>
          <w:rFonts w:ascii="宋体" w:hAnsi="宋体" w:hint="eastAsia"/>
          <w:sz w:val="24"/>
        </w:rPr>
        <w:t>⑥同一债券同时在两个或两个以上市场交易的，按债券所处的市场分别估值。</w:t>
      </w:r>
    </w:p>
    <w:p w14:paraId="5AA6B73D" w14:textId="77777777" w:rsidR="00CF57A4" w:rsidRDefault="00B13D46">
      <w:pPr>
        <w:spacing w:line="360" w:lineRule="auto"/>
        <w:ind w:firstLine="420"/>
        <w:rPr>
          <w:rFonts w:ascii="宋体" w:hAnsi="宋体"/>
          <w:color w:val="000000"/>
          <w:sz w:val="24"/>
        </w:rPr>
      </w:pPr>
      <w:r>
        <w:rPr>
          <w:rFonts w:ascii="宋体" w:hAnsi="宋体" w:hint="eastAsia"/>
          <w:color w:val="000000"/>
          <w:sz w:val="24"/>
        </w:rPr>
        <w:t>⑦</w:t>
      </w:r>
      <w:r>
        <w:rPr>
          <w:rFonts w:ascii="宋体" w:hAnsi="宋体"/>
          <w:color w:val="000000"/>
          <w:sz w:val="24"/>
        </w:rPr>
        <w:t>在任何情况下，基金管理人如采用本项第</w:t>
      </w:r>
      <w:r>
        <w:rPr>
          <w:rFonts w:ascii="宋体" w:hAnsi="宋体" w:hint="eastAsia"/>
          <w:sz w:val="24"/>
        </w:rPr>
        <w:t>①</w:t>
      </w:r>
      <w:r>
        <w:rPr>
          <w:rFonts w:ascii="宋体" w:hAnsi="宋体"/>
          <w:color w:val="000000"/>
          <w:sz w:val="24"/>
        </w:rPr>
        <w:t>－</w:t>
      </w:r>
      <w:r>
        <w:rPr>
          <w:rFonts w:ascii="宋体" w:hAnsi="宋体" w:hint="eastAsia"/>
          <w:sz w:val="24"/>
        </w:rPr>
        <w:t>⑥</w:t>
      </w:r>
      <w:r>
        <w:rPr>
          <w:rFonts w:ascii="宋体" w:hAnsi="宋体"/>
          <w:color w:val="000000"/>
          <w:sz w:val="24"/>
        </w:rPr>
        <w:t>小项规定的方法对基金资产进行估值，均应被认为采用了适当的估值方法。但是，如果基金管理人认为按本项第</w:t>
      </w:r>
      <w:r>
        <w:rPr>
          <w:rFonts w:ascii="宋体" w:hAnsi="宋体" w:hint="eastAsia"/>
          <w:sz w:val="24"/>
        </w:rPr>
        <w:t>①</w:t>
      </w:r>
      <w:r>
        <w:rPr>
          <w:rFonts w:ascii="宋体" w:hAnsi="宋体"/>
          <w:color w:val="000000"/>
          <w:sz w:val="24"/>
        </w:rPr>
        <w:t>－</w:t>
      </w:r>
      <w:r>
        <w:rPr>
          <w:rFonts w:ascii="宋体" w:hAnsi="宋体" w:hint="eastAsia"/>
          <w:sz w:val="24"/>
        </w:rPr>
        <w:t>⑥</w:t>
      </w:r>
      <w:r>
        <w:rPr>
          <w:rFonts w:ascii="宋体" w:hAnsi="宋体"/>
          <w:color w:val="000000"/>
          <w:sz w:val="24"/>
        </w:rPr>
        <w:t>小项规定的方法对基金资产进行估值不能客观反映其公允价值的，基金管理人在综合考虑市场成交价、市场报价、流动性、收益率曲线等多种因素基础上形成的债券估值，基金管理人可根据具体情况与基金托管人商定后，按最能反映公允价值的价格估值。</w:t>
      </w:r>
    </w:p>
    <w:p w14:paraId="48D0831D" w14:textId="77777777" w:rsidR="00CF57A4" w:rsidRDefault="00B13D46">
      <w:pPr>
        <w:spacing w:line="360" w:lineRule="auto"/>
        <w:ind w:firstLine="420"/>
        <w:rPr>
          <w:rFonts w:ascii="宋体" w:hAnsi="宋体"/>
          <w:sz w:val="24"/>
        </w:rPr>
      </w:pPr>
      <w:r>
        <w:rPr>
          <w:rFonts w:ascii="宋体" w:hAnsi="宋体" w:hint="eastAsia"/>
          <w:color w:val="000000"/>
          <w:sz w:val="24"/>
        </w:rPr>
        <w:t>⑧</w:t>
      </w:r>
      <w:r>
        <w:rPr>
          <w:rFonts w:ascii="宋体" w:hAnsi="宋体" w:hint="eastAsia"/>
          <w:sz w:val="24"/>
        </w:rPr>
        <w:t>国家有最新规定的，按其规定进行估值。</w:t>
      </w:r>
    </w:p>
    <w:p w14:paraId="0242D538" w14:textId="77777777" w:rsidR="00CF57A4" w:rsidRDefault="00B13D46">
      <w:pPr>
        <w:spacing w:line="360" w:lineRule="auto"/>
        <w:ind w:firstLine="420"/>
        <w:rPr>
          <w:rFonts w:ascii="宋体" w:hAnsi="宋体"/>
          <w:color w:val="000000"/>
          <w:sz w:val="24"/>
        </w:rPr>
      </w:pPr>
      <w:r>
        <w:rPr>
          <w:rFonts w:ascii="宋体" w:hAnsi="宋体" w:hint="eastAsia"/>
          <w:color w:val="000000"/>
          <w:sz w:val="24"/>
        </w:rPr>
        <w:t>3）</w:t>
      </w:r>
      <w:r>
        <w:rPr>
          <w:rFonts w:ascii="宋体" w:hAnsi="宋体"/>
          <w:color w:val="000000"/>
          <w:sz w:val="24"/>
        </w:rPr>
        <w:t>权证估值方法：</w:t>
      </w:r>
    </w:p>
    <w:p w14:paraId="58FA651D" w14:textId="77777777" w:rsidR="00CF57A4" w:rsidRDefault="00B13D46">
      <w:pPr>
        <w:spacing w:line="360" w:lineRule="auto"/>
        <w:ind w:firstLine="420"/>
        <w:rPr>
          <w:rFonts w:ascii="宋体" w:hAnsi="宋体"/>
          <w:sz w:val="24"/>
        </w:rPr>
      </w:pPr>
      <w:r>
        <w:rPr>
          <w:rFonts w:ascii="宋体" w:hAnsi="宋体" w:hint="eastAsia"/>
          <w:color w:val="000000"/>
          <w:sz w:val="24"/>
        </w:rPr>
        <w:t>①</w:t>
      </w:r>
      <w:r>
        <w:rPr>
          <w:rFonts w:ascii="宋体" w:hAnsi="宋体"/>
          <w:sz w:val="24"/>
        </w:rPr>
        <w:t>基金持有的权证，从持有确认日起到卖出日或行权日止，上市交易的权证按</w:t>
      </w:r>
      <w:r>
        <w:rPr>
          <w:rFonts w:ascii="宋体" w:hAnsi="宋体"/>
          <w:sz w:val="24"/>
        </w:rPr>
        <w:lastRenderedPageBreak/>
        <w:t>估值日在证券交易所挂牌的该权证的收盘价估值；估值日没有交易的，且最近交易日后经济环境未发生重大变化，按最近交易日的收盘价估值；如最近交易日后经济环境发生了重大变化的，可参考类似投资品种的现行市价及重大变化因素，调整最近交易市价，确定公允价格。</w:t>
      </w:r>
    </w:p>
    <w:p w14:paraId="1905E3FB" w14:textId="77777777" w:rsidR="00CF57A4" w:rsidRDefault="00B13D46">
      <w:pPr>
        <w:spacing w:line="360" w:lineRule="auto"/>
        <w:ind w:firstLine="420"/>
        <w:rPr>
          <w:rFonts w:ascii="宋体" w:hAnsi="宋体"/>
          <w:sz w:val="24"/>
        </w:rPr>
      </w:pPr>
      <w:r>
        <w:rPr>
          <w:rFonts w:ascii="宋体" w:hAnsi="宋体" w:hint="eastAsia"/>
          <w:color w:val="000000"/>
          <w:sz w:val="24"/>
        </w:rPr>
        <w:t>②</w:t>
      </w:r>
      <w:r>
        <w:rPr>
          <w:rFonts w:ascii="宋体" w:hAnsi="宋体" w:hint="eastAsia"/>
          <w:sz w:val="24"/>
        </w:rPr>
        <w:t>首次发行未上市的权证，采用估值技术确定公允价值，在估值技术难以可靠计量公允价值的情况下，按成本估值。</w:t>
      </w:r>
    </w:p>
    <w:p w14:paraId="1207C185" w14:textId="77777777" w:rsidR="00CF57A4" w:rsidRDefault="00B13D46">
      <w:pPr>
        <w:spacing w:line="360" w:lineRule="auto"/>
        <w:ind w:firstLine="420"/>
        <w:rPr>
          <w:rFonts w:ascii="宋体" w:hAnsi="宋体"/>
          <w:color w:val="000000"/>
          <w:sz w:val="24"/>
        </w:rPr>
      </w:pPr>
      <w:r>
        <w:rPr>
          <w:rFonts w:ascii="宋体" w:hAnsi="宋体" w:hint="eastAsia"/>
          <w:color w:val="000000"/>
          <w:sz w:val="24"/>
        </w:rPr>
        <w:t>③</w:t>
      </w:r>
      <w:r>
        <w:rPr>
          <w:rFonts w:ascii="宋体" w:hAnsi="宋体" w:hint="eastAsia"/>
          <w:sz w:val="24"/>
        </w:rPr>
        <w:t>因持有股票而享有的配股权，以及停止交易、但未行权的权证，采用估值技术确定公允价值进行估值。</w:t>
      </w:r>
    </w:p>
    <w:p w14:paraId="4E97BAAC" w14:textId="77777777" w:rsidR="00CF57A4" w:rsidRDefault="00B13D46">
      <w:pPr>
        <w:spacing w:line="360" w:lineRule="auto"/>
        <w:ind w:firstLine="420"/>
        <w:rPr>
          <w:rFonts w:ascii="宋体" w:hAnsi="宋体"/>
          <w:sz w:val="24"/>
        </w:rPr>
      </w:pPr>
      <w:r>
        <w:rPr>
          <w:rFonts w:ascii="宋体" w:hAnsi="宋体" w:hint="eastAsia"/>
          <w:sz w:val="24"/>
        </w:rPr>
        <w:t>④</w:t>
      </w:r>
      <w:r>
        <w:rPr>
          <w:rFonts w:ascii="宋体" w:hAnsi="宋体"/>
          <w:sz w:val="24"/>
        </w:rPr>
        <w:t>在任何情况下，基金管理人如采用本项第</w:t>
      </w:r>
      <w:r>
        <w:rPr>
          <w:rFonts w:ascii="宋体" w:hAnsi="宋体" w:hint="eastAsia"/>
          <w:sz w:val="24"/>
        </w:rPr>
        <w:t>①</w:t>
      </w:r>
      <w:r>
        <w:rPr>
          <w:rStyle w:val="read"/>
          <w:rFonts w:ascii="宋体" w:hAnsi="宋体"/>
          <w:color w:val="000000"/>
          <w:sz w:val="24"/>
        </w:rPr>
        <w:t>－</w:t>
      </w:r>
      <w:r>
        <w:rPr>
          <w:rFonts w:ascii="宋体" w:hAnsi="宋体" w:hint="eastAsia"/>
          <w:sz w:val="24"/>
        </w:rPr>
        <w:t>③</w:t>
      </w:r>
      <w:r>
        <w:rPr>
          <w:rFonts w:ascii="宋体" w:hAnsi="宋体"/>
          <w:sz w:val="24"/>
        </w:rPr>
        <w:t>项规定的方法对基金资产进行估值，均应被认为采用了适当的估值方法。但是，如果基金管理人认为按本项第</w:t>
      </w:r>
      <w:r>
        <w:rPr>
          <w:rFonts w:ascii="宋体" w:hAnsi="宋体" w:hint="eastAsia"/>
          <w:sz w:val="24"/>
        </w:rPr>
        <w:t>①</w:t>
      </w:r>
      <w:r>
        <w:rPr>
          <w:rStyle w:val="read"/>
          <w:rFonts w:ascii="宋体" w:hAnsi="宋体"/>
          <w:color w:val="000000"/>
          <w:sz w:val="24"/>
        </w:rPr>
        <w:t>－</w:t>
      </w:r>
      <w:r>
        <w:rPr>
          <w:rFonts w:ascii="宋体" w:hAnsi="宋体" w:hint="eastAsia"/>
          <w:sz w:val="24"/>
        </w:rPr>
        <w:t>③</w:t>
      </w:r>
      <w:r>
        <w:rPr>
          <w:rFonts w:ascii="宋体" w:hAnsi="宋体"/>
          <w:sz w:val="24"/>
        </w:rPr>
        <w:t>项规定的方法对基金资产进行估值不能客观反映其公允价值的，基金管理人可根据具体情况，并与基金托管人商定后，按最能反映公允价值的价格估值</w:t>
      </w:r>
      <w:r>
        <w:rPr>
          <w:rFonts w:ascii="宋体" w:hAnsi="宋体" w:hint="eastAsia"/>
          <w:sz w:val="24"/>
        </w:rPr>
        <w:t>。</w:t>
      </w:r>
    </w:p>
    <w:p w14:paraId="2DE12A88" w14:textId="77777777" w:rsidR="00CF57A4" w:rsidRDefault="00B13D46">
      <w:pPr>
        <w:spacing w:line="360" w:lineRule="auto"/>
        <w:ind w:firstLine="420"/>
        <w:rPr>
          <w:rFonts w:ascii="宋体" w:hAnsi="宋体"/>
          <w:sz w:val="24"/>
        </w:rPr>
      </w:pPr>
      <w:r>
        <w:rPr>
          <w:rFonts w:ascii="宋体" w:hAnsi="宋体" w:hint="eastAsia"/>
          <w:sz w:val="24"/>
        </w:rPr>
        <w:t>⑤</w:t>
      </w:r>
      <w:r>
        <w:rPr>
          <w:rFonts w:ascii="宋体" w:hAnsi="宋体"/>
          <w:sz w:val="24"/>
        </w:rPr>
        <w:t>国家有最新规定的，按其规定进行估值。</w:t>
      </w:r>
    </w:p>
    <w:p w14:paraId="32297946" w14:textId="77777777" w:rsidR="00CF57A4" w:rsidRDefault="00B13D46">
      <w:pPr>
        <w:spacing w:line="360" w:lineRule="auto"/>
        <w:ind w:firstLine="420"/>
        <w:rPr>
          <w:rFonts w:ascii="宋体" w:hAnsi="宋体"/>
          <w:sz w:val="24"/>
        </w:rPr>
      </w:pPr>
      <w:r>
        <w:rPr>
          <w:rFonts w:ascii="宋体" w:hAnsi="宋体" w:hint="eastAsia"/>
          <w:sz w:val="24"/>
        </w:rPr>
        <w:t>4）衍生品及其他有价证券等资产按国家有关规定进行估值。</w:t>
      </w:r>
    </w:p>
    <w:p w14:paraId="7C1E5269" w14:textId="77777777" w:rsidR="00CF57A4" w:rsidRDefault="00B13D46">
      <w:pPr>
        <w:spacing w:line="360" w:lineRule="auto"/>
        <w:ind w:firstLine="420"/>
        <w:rPr>
          <w:rFonts w:ascii="宋体" w:hAnsi="宋体"/>
          <w:color w:val="000000"/>
          <w:sz w:val="24"/>
        </w:rPr>
      </w:pPr>
      <w:r>
        <w:rPr>
          <w:rFonts w:ascii="宋体" w:hAnsi="宋体"/>
          <w:color w:val="000000"/>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324C7A22" w14:textId="77777777" w:rsidR="00CF57A4" w:rsidRDefault="00B13D46">
      <w:pPr>
        <w:spacing w:line="360" w:lineRule="auto"/>
        <w:ind w:firstLine="420"/>
        <w:rPr>
          <w:rFonts w:ascii="宋体" w:hAnsi="宋体"/>
          <w:sz w:val="24"/>
        </w:rPr>
      </w:pPr>
      <w:r>
        <w:rPr>
          <w:rFonts w:ascii="宋体" w:hAnsi="宋体" w:hint="eastAsia"/>
          <w:color w:val="000000"/>
          <w:sz w:val="24"/>
        </w:rPr>
        <w:t>根据有关法律法规，本基金的基金会计责任方由基金管理人担任。因此，就与本基金有关的会计问题，如经相关各方在平等基础上充分讨论后，仍无法达成一致的意见，基金管理人有权按照其对基金资产净值的计算结果对外予以公布。</w:t>
      </w:r>
    </w:p>
    <w:p w14:paraId="3AF64B16" w14:textId="77777777" w:rsidR="00CF57A4" w:rsidRDefault="00B13D46">
      <w:pPr>
        <w:spacing w:line="360" w:lineRule="auto"/>
        <w:ind w:firstLine="420"/>
        <w:rPr>
          <w:rFonts w:ascii="宋体" w:hAnsi="宋体"/>
          <w:color w:val="000000"/>
          <w:sz w:val="24"/>
        </w:rPr>
      </w:pPr>
      <w:r>
        <w:rPr>
          <w:rFonts w:ascii="宋体" w:hAnsi="宋体" w:hint="eastAsia"/>
          <w:color w:val="000000"/>
          <w:sz w:val="24"/>
        </w:rPr>
        <w:t>（</w:t>
      </w:r>
      <w:r>
        <w:rPr>
          <w:rFonts w:ascii="宋体" w:hAnsi="宋体"/>
          <w:color w:val="000000"/>
          <w:sz w:val="24"/>
        </w:rPr>
        <w:t>3</w:t>
      </w:r>
      <w:r>
        <w:rPr>
          <w:rFonts w:ascii="宋体" w:hAnsi="宋体" w:hint="eastAsia"/>
          <w:color w:val="000000"/>
          <w:sz w:val="24"/>
        </w:rPr>
        <w:t>）</w:t>
      </w:r>
      <w:r>
        <w:rPr>
          <w:rFonts w:ascii="宋体" w:hAnsi="宋体"/>
          <w:color w:val="000000"/>
          <w:sz w:val="24"/>
        </w:rPr>
        <w:t>特殊情形的处理</w:t>
      </w:r>
    </w:p>
    <w:p w14:paraId="15AB5194" w14:textId="77777777" w:rsidR="00CF57A4" w:rsidRDefault="00B13D46">
      <w:pPr>
        <w:spacing w:line="360" w:lineRule="auto"/>
        <w:ind w:firstLine="420"/>
        <w:rPr>
          <w:rFonts w:ascii="宋体" w:hAnsi="宋体"/>
          <w:color w:val="000000"/>
          <w:sz w:val="24"/>
        </w:rPr>
      </w:pPr>
      <w:r>
        <w:rPr>
          <w:rFonts w:ascii="宋体" w:hAnsi="宋体"/>
          <w:color w:val="000000"/>
          <w:sz w:val="24"/>
        </w:rPr>
        <w:t>1)基金管理人、基金托管人按股票估值方法的第</w:t>
      </w:r>
      <w:r>
        <w:rPr>
          <w:rFonts w:ascii="宋体" w:hAnsi="宋体" w:hint="eastAsia"/>
          <w:color w:val="000000"/>
          <w:sz w:val="24"/>
        </w:rPr>
        <w:t>③</w:t>
      </w:r>
      <w:r>
        <w:rPr>
          <w:rFonts w:ascii="宋体" w:hAnsi="宋体"/>
          <w:color w:val="000000"/>
          <w:sz w:val="24"/>
        </w:rPr>
        <w:t>项</w:t>
      </w:r>
      <w:r>
        <w:rPr>
          <w:rFonts w:ascii="宋体" w:hAnsi="宋体" w:hint="eastAsia"/>
          <w:color w:val="000000"/>
          <w:sz w:val="24"/>
        </w:rPr>
        <w:t>、</w:t>
      </w:r>
      <w:r>
        <w:rPr>
          <w:rFonts w:ascii="宋体" w:hAnsi="宋体"/>
          <w:color w:val="000000"/>
          <w:sz w:val="24"/>
        </w:rPr>
        <w:t>债券估值方法的第</w:t>
      </w:r>
      <w:r>
        <w:rPr>
          <w:rFonts w:ascii="宋体" w:hAnsi="宋体" w:hint="eastAsia"/>
          <w:color w:val="000000"/>
          <w:sz w:val="24"/>
        </w:rPr>
        <w:t>⑦</w:t>
      </w:r>
      <w:r>
        <w:rPr>
          <w:rFonts w:ascii="宋体" w:hAnsi="宋体"/>
          <w:color w:val="000000"/>
          <w:sz w:val="24"/>
        </w:rPr>
        <w:t>项</w:t>
      </w:r>
      <w:r>
        <w:rPr>
          <w:rFonts w:ascii="宋体" w:hAnsi="宋体" w:hint="eastAsia"/>
          <w:color w:val="000000"/>
          <w:sz w:val="24"/>
        </w:rPr>
        <w:t>、权证估值方法的第④项</w:t>
      </w:r>
      <w:r>
        <w:rPr>
          <w:rFonts w:ascii="宋体" w:hAnsi="宋体"/>
          <w:color w:val="000000"/>
          <w:sz w:val="24"/>
        </w:rPr>
        <w:t>进行估值时，所造成的误差不作为基金份额净值错误处理。</w:t>
      </w:r>
    </w:p>
    <w:p w14:paraId="68655249" w14:textId="77777777" w:rsidR="00CF57A4" w:rsidRDefault="00B13D46">
      <w:pPr>
        <w:spacing w:line="360" w:lineRule="auto"/>
        <w:ind w:firstLine="420"/>
        <w:rPr>
          <w:rFonts w:ascii="宋体" w:hAnsi="宋体"/>
          <w:color w:val="000000"/>
          <w:sz w:val="24"/>
        </w:rPr>
      </w:pPr>
      <w:r>
        <w:rPr>
          <w:rFonts w:ascii="宋体" w:hAnsi="宋体" w:hint="eastAsia"/>
          <w:color w:val="000000"/>
          <w:sz w:val="24"/>
        </w:rPr>
        <w:t>2）由于证券交易所或注册登记公司发送的数据错误，有关会计制度变化或由于其他不可抗力原因，基金管理人和基金托管人虽然已经采取必要、适当、合理的措施进行检查，但是未能发现该错误而造成的基金份额净值计算错误，基金管理人、基金托管人免除赔偿责任。但基金管理人、基金托管人应积极采取必要的措施消除由此造成的影响。</w:t>
      </w:r>
    </w:p>
    <w:p w14:paraId="1212AB37" w14:textId="77777777" w:rsidR="00CF57A4" w:rsidRDefault="00B13D46">
      <w:pPr>
        <w:spacing w:line="360" w:lineRule="auto"/>
        <w:ind w:firstLine="420"/>
        <w:rPr>
          <w:rFonts w:ascii="宋体" w:hAnsi="宋体"/>
          <w:color w:val="000000"/>
          <w:sz w:val="24"/>
        </w:rPr>
      </w:pPr>
      <w:r>
        <w:rPr>
          <w:rFonts w:ascii="宋体" w:hAnsi="宋体" w:hint="eastAsia"/>
          <w:color w:val="000000"/>
          <w:sz w:val="24"/>
        </w:rPr>
        <w:t>3、</w:t>
      </w:r>
      <w:r>
        <w:rPr>
          <w:rFonts w:ascii="宋体" w:hAnsi="宋体"/>
          <w:color w:val="000000"/>
          <w:sz w:val="24"/>
        </w:rPr>
        <w:t>基金份额净值错误的处理方式</w:t>
      </w:r>
    </w:p>
    <w:p w14:paraId="713F17A6" w14:textId="77777777" w:rsidR="00CF57A4" w:rsidRDefault="00B13D46">
      <w:pPr>
        <w:adjustRightInd w:val="0"/>
        <w:snapToGrid w:val="0"/>
        <w:spacing w:line="360" w:lineRule="auto"/>
        <w:ind w:firstLineChars="200" w:firstLine="480"/>
        <w:rPr>
          <w:rStyle w:val="read"/>
          <w:rFonts w:ascii="宋体" w:hAnsi="宋体"/>
          <w:color w:val="000000"/>
          <w:sz w:val="24"/>
        </w:rPr>
      </w:pPr>
      <w:r>
        <w:rPr>
          <w:rFonts w:ascii="宋体" w:hAnsi="宋体" w:hint="eastAsia"/>
          <w:color w:val="000000"/>
          <w:sz w:val="24"/>
        </w:rPr>
        <w:lastRenderedPageBreak/>
        <w:t>（1）</w:t>
      </w:r>
      <w:r>
        <w:rPr>
          <w:rStyle w:val="read"/>
          <w:rFonts w:ascii="宋体" w:hAnsi="宋体"/>
          <w:color w:val="000000"/>
          <w:sz w:val="24"/>
        </w:rPr>
        <w:t>当基金份额净值小数点后</w:t>
      </w:r>
      <w:r>
        <w:rPr>
          <w:rStyle w:val="read"/>
          <w:rFonts w:ascii="宋体" w:hAnsi="宋体" w:hint="eastAsia"/>
          <w:color w:val="000000"/>
          <w:sz w:val="24"/>
        </w:rPr>
        <w:t>3</w:t>
      </w:r>
      <w:r>
        <w:rPr>
          <w:rStyle w:val="read"/>
          <w:rFonts w:ascii="宋体" w:hAnsi="宋体"/>
          <w:color w:val="000000"/>
          <w:sz w:val="24"/>
        </w:rPr>
        <w:t>位以内（含第</w:t>
      </w:r>
      <w:r>
        <w:rPr>
          <w:rStyle w:val="read"/>
          <w:rFonts w:ascii="宋体" w:hAnsi="宋体" w:hint="eastAsia"/>
          <w:color w:val="000000"/>
          <w:sz w:val="24"/>
        </w:rPr>
        <w:t>3</w:t>
      </w:r>
      <w:r>
        <w:rPr>
          <w:rStyle w:val="read"/>
          <w:rFonts w:ascii="宋体" w:hAnsi="宋体"/>
          <w:color w:val="000000"/>
          <w:sz w:val="24"/>
        </w:rPr>
        <w:t>位）发生差错时，视为基金份额净值错误；基金份额净值出现错误时，基金管理人应当立即予以纠正，通报基金托管人，并采取合理的措施防止损失进一步扩大；</w:t>
      </w:r>
      <w:r>
        <w:rPr>
          <w:rFonts w:ascii="宋体" w:hAnsi="宋体" w:hint="eastAsia"/>
          <w:color w:val="000000"/>
          <w:kern w:val="0"/>
          <w:sz w:val="24"/>
        </w:rPr>
        <w:t>错误</w:t>
      </w:r>
      <w:r>
        <w:rPr>
          <w:rStyle w:val="read"/>
          <w:rFonts w:ascii="宋体" w:hAnsi="宋体"/>
          <w:color w:val="000000"/>
          <w:sz w:val="24"/>
        </w:rPr>
        <w:t>偏差</w:t>
      </w:r>
      <w:r>
        <w:rPr>
          <w:rFonts w:ascii="宋体" w:hAnsi="宋体" w:hint="eastAsia"/>
          <w:color w:val="000000"/>
          <w:kern w:val="0"/>
          <w:sz w:val="24"/>
        </w:rPr>
        <w:t>达到或超过基金资产净值的0.25%时，基金管理人应当及时通知基金托管人并报中国证监会；</w:t>
      </w:r>
      <w:r>
        <w:rPr>
          <w:rFonts w:ascii="宋体" w:hAnsi="宋体"/>
          <w:color w:val="000000"/>
          <w:kern w:val="0"/>
          <w:sz w:val="24"/>
        </w:rPr>
        <w:t>错误偏差达到基金份额净值的</w:t>
      </w:r>
      <w:r>
        <w:rPr>
          <w:rFonts w:ascii="宋体" w:hAnsi="宋体" w:hint="eastAsia"/>
          <w:color w:val="000000"/>
          <w:kern w:val="0"/>
          <w:sz w:val="24"/>
        </w:rPr>
        <w:t>0.50%</w:t>
      </w:r>
      <w:r>
        <w:rPr>
          <w:rFonts w:ascii="宋体" w:hAnsi="宋体"/>
          <w:color w:val="000000"/>
          <w:kern w:val="0"/>
          <w:sz w:val="24"/>
        </w:rPr>
        <w:t>时，基</w:t>
      </w:r>
      <w:r>
        <w:rPr>
          <w:rStyle w:val="read"/>
          <w:rFonts w:ascii="宋体" w:hAnsi="宋体"/>
          <w:color w:val="000000"/>
          <w:sz w:val="24"/>
        </w:rPr>
        <w:t>金管理人应当公告、通报基金托管人并报中国证监会备案；当发生净值计算错误时，由基金管理人负责处理，由此给基金份额持有人和基金造成损失的，应由基金管理人先行赔付，基金管理人按差错情形，有权向其他当事人追偿。</w:t>
      </w:r>
    </w:p>
    <w:p w14:paraId="1C7B1DC3" w14:textId="77777777" w:rsidR="00CF57A4" w:rsidRDefault="00B13D46">
      <w:pPr>
        <w:spacing w:line="360" w:lineRule="auto"/>
        <w:ind w:firstLine="420"/>
        <w:rPr>
          <w:rStyle w:val="read"/>
          <w:rFonts w:ascii="宋体" w:hAnsi="宋体"/>
          <w:color w:val="000000"/>
          <w:sz w:val="24"/>
        </w:rPr>
      </w:pPr>
      <w:r>
        <w:rPr>
          <w:rFonts w:ascii="宋体" w:hAnsi="宋体" w:hint="eastAsia"/>
          <w:sz w:val="24"/>
        </w:rPr>
        <w:t>（2）</w:t>
      </w:r>
      <w:r>
        <w:rPr>
          <w:rStyle w:val="read"/>
          <w:rFonts w:ascii="宋体" w:hAnsi="宋体"/>
          <w:color w:val="000000"/>
          <w:sz w:val="24"/>
        </w:rPr>
        <w:t>当基金份额净值计算差错给基金和基金份额持有人造成损失需要进行赔偿时，基金管理人和基金托管人应根据实际情况界定双方承担的责任，经确认后按以下条款进行赔偿：</w:t>
      </w:r>
    </w:p>
    <w:p w14:paraId="3A318F64" w14:textId="77777777" w:rsidR="00CF57A4" w:rsidRDefault="00B13D46">
      <w:pPr>
        <w:spacing w:line="360" w:lineRule="auto"/>
        <w:rPr>
          <w:rFonts w:ascii="宋体" w:hAnsi="宋体"/>
          <w:sz w:val="24"/>
        </w:rPr>
      </w:pPr>
      <w:r>
        <w:rPr>
          <w:rStyle w:val="read"/>
          <w:rFonts w:ascii="宋体" w:hAnsi="宋体" w:hint="eastAsia"/>
          <w:color w:val="000000"/>
          <w:sz w:val="24"/>
        </w:rPr>
        <w:t>1）</w:t>
      </w:r>
      <w:r>
        <w:rPr>
          <w:rStyle w:val="read"/>
          <w:rFonts w:ascii="宋体" w:hAnsi="宋体"/>
          <w:color w:val="000000"/>
          <w:sz w:val="24"/>
        </w:rPr>
        <w:t>本基金的基金会计责任方由基金管理人担任。与本基金有关的会计问题，如经双方在平等基础上充分讨论后，尚不能达成一致时，按基金会计责任方的建议执行，由此给基金份额持有人和基金造成的</w:t>
      </w:r>
      <w:r>
        <w:rPr>
          <w:rFonts w:ascii="宋体" w:hAnsi="宋体"/>
          <w:sz w:val="24"/>
        </w:rPr>
        <w:t>损失，由基金管理人负责赔付。</w:t>
      </w:r>
    </w:p>
    <w:p w14:paraId="1A56C918" w14:textId="77777777" w:rsidR="00CF57A4" w:rsidRDefault="00B13D46">
      <w:pPr>
        <w:spacing w:line="360" w:lineRule="auto"/>
        <w:ind w:firstLine="420"/>
        <w:rPr>
          <w:rStyle w:val="read"/>
          <w:rFonts w:ascii="宋体" w:hAnsi="宋体"/>
          <w:color w:val="000000"/>
          <w:sz w:val="24"/>
        </w:rPr>
      </w:pPr>
      <w:r>
        <w:rPr>
          <w:rFonts w:ascii="宋体" w:hAnsi="宋体" w:hint="eastAsia"/>
          <w:sz w:val="24"/>
        </w:rPr>
        <w:t>2）</w:t>
      </w:r>
      <w:r>
        <w:rPr>
          <w:rFonts w:ascii="宋体" w:hAnsi="宋体"/>
          <w:kern w:val="0"/>
          <w:sz w:val="24"/>
        </w:rPr>
        <w:t>若基金管理人计算的基金份额净值已由基金托管人复核确认后公告，</w:t>
      </w:r>
      <w:r>
        <w:rPr>
          <w:rFonts w:ascii="宋体" w:hAnsi="宋体" w:hint="eastAsia"/>
          <w:kern w:val="0"/>
          <w:sz w:val="24"/>
        </w:rPr>
        <w:t>基金</w:t>
      </w:r>
      <w:r>
        <w:rPr>
          <w:rFonts w:ascii="宋体" w:hAnsi="宋体"/>
          <w:kern w:val="0"/>
          <w:sz w:val="24"/>
        </w:rPr>
        <w:t>份额净值出错且造成基金份额持有人损失的，应根据法律法规的规定对</w:t>
      </w:r>
      <w:r>
        <w:rPr>
          <w:rFonts w:ascii="宋体" w:hAnsi="宋体" w:hint="eastAsia"/>
          <w:kern w:val="0"/>
          <w:sz w:val="24"/>
        </w:rPr>
        <w:t>基金份额持有人</w:t>
      </w:r>
      <w:r>
        <w:rPr>
          <w:rFonts w:ascii="宋体" w:hAnsi="宋体"/>
          <w:kern w:val="0"/>
          <w:sz w:val="24"/>
        </w:rPr>
        <w:t>或基金支付赔偿金，就实际向</w:t>
      </w:r>
      <w:r>
        <w:rPr>
          <w:rFonts w:ascii="宋体" w:hAnsi="宋体" w:hint="eastAsia"/>
          <w:kern w:val="0"/>
          <w:sz w:val="24"/>
        </w:rPr>
        <w:t>基金份额持有人</w:t>
      </w:r>
      <w:r>
        <w:rPr>
          <w:rFonts w:ascii="宋体" w:hAnsi="宋体"/>
          <w:kern w:val="0"/>
          <w:sz w:val="24"/>
        </w:rPr>
        <w:t>或基金支付的赔偿金额，</w:t>
      </w:r>
      <w:r>
        <w:rPr>
          <w:rStyle w:val="read"/>
          <w:rFonts w:ascii="宋体" w:hAnsi="宋体"/>
          <w:color w:val="000000"/>
          <w:sz w:val="24"/>
        </w:rPr>
        <w:t>其中基金管理人承担</w:t>
      </w:r>
      <w:r>
        <w:rPr>
          <w:rStyle w:val="read"/>
          <w:rFonts w:ascii="宋体" w:hAnsi="宋体" w:hint="eastAsia"/>
          <w:color w:val="000000"/>
          <w:sz w:val="24"/>
        </w:rPr>
        <w:t>5</w:t>
      </w:r>
      <w:r>
        <w:rPr>
          <w:rStyle w:val="read"/>
          <w:rFonts w:ascii="宋体" w:hAnsi="宋体"/>
          <w:color w:val="000000"/>
          <w:sz w:val="24"/>
        </w:rPr>
        <w:t>0%，基金托管人承担</w:t>
      </w:r>
      <w:r>
        <w:rPr>
          <w:rStyle w:val="read"/>
          <w:rFonts w:ascii="宋体" w:hAnsi="宋体" w:hint="eastAsia"/>
          <w:color w:val="000000"/>
          <w:sz w:val="24"/>
        </w:rPr>
        <w:t>5</w:t>
      </w:r>
      <w:r>
        <w:rPr>
          <w:rStyle w:val="read"/>
          <w:rFonts w:ascii="宋体" w:hAnsi="宋体"/>
          <w:color w:val="000000"/>
          <w:sz w:val="24"/>
        </w:rPr>
        <w:t>0%。</w:t>
      </w:r>
    </w:p>
    <w:p w14:paraId="0E6D686D" w14:textId="77777777" w:rsidR="00CF57A4" w:rsidRDefault="00B13D46">
      <w:pPr>
        <w:spacing w:line="360" w:lineRule="auto"/>
        <w:ind w:firstLine="420"/>
        <w:rPr>
          <w:rFonts w:ascii="宋体" w:hAnsi="宋体"/>
          <w:sz w:val="24"/>
        </w:rPr>
      </w:pPr>
      <w:r>
        <w:rPr>
          <w:rFonts w:ascii="宋体" w:hAnsi="宋体" w:hint="eastAsia"/>
          <w:sz w:val="24"/>
        </w:rPr>
        <w:t>3）</w:t>
      </w:r>
      <w:r>
        <w:rPr>
          <w:rFonts w:ascii="宋体" w:hAnsi="宋体"/>
          <w:sz w:val="24"/>
        </w:rPr>
        <w:t>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金管理人负责赔付。</w:t>
      </w:r>
    </w:p>
    <w:p w14:paraId="164BD4BF" w14:textId="77777777" w:rsidR="00CF57A4" w:rsidRDefault="00B13D46">
      <w:pPr>
        <w:spacing w:line="360" w:lineRule="auto"/>
        <w:ind w:firstLine="420"/>
        <w:rPr>
          <w:rFonts w:ascii="宋体" w:hAnsi="宋体"/>
          <w:kern w:val="0"/>
          <w:sz w:val="24"/>
        </w:rPr>
      </w:pPr>
      <w:r>
        <w:rPr>
          <w:rFonts w:ascii="宋体" w:hAnsi="宋体" w:hint="eastAsia"/>
          <w:sz w:val="24"/>
        </w:rPr>
        <w:t>4）</w:t>
      </w:r>
      <w:r>
        <w:rPr>
          <w:rFonts w:ascii="宋体" w:hAnsi="宋体"/>
          <w:kern w:val="0"/>
          <w:sz w:val="24"/>
        </w:rPr>
        <w:t>由于基金管理人提供的信息错误（包括但不限于基金申购或赎回金额等），</w:t>
      </w:r>
      <w:r>
        <w:rPr>
          <w:rFonts w:ascii="宋体" w:hAnsi="宋体" w:hint="eastAsia"/>
          <w:kern w:val="0"/>
          <w:sz w:val="24"/>
        </w:rPr>
        <w:t>基金托管人在履行了正常的复核程序后仍不能发现该错误，</w:t>
      </w:r>
      <w:r>
        <w:rPr>
          <w:rFonts w:ascii="宋体" w:hAnsi="宋体"/>
          <w:kern w:val="0"/>
          <w:sz w:val="24"/>
        </w:rPr>
        <w:t>进而导致基金份额净值计算错误而引起的基金份额持有人和基金</w:t>
      </w:r>
      <w:r>
        <w:rPr>
          <w:rFonts w:ascii="宋体" w:hAnsi="宋体" w:hint="eastAsia"/>
          <w:kern w:val="0"/>
          <w:sz w:val="24"/>
        </w:rPr>
        <w:t>财产</w:t>
      </w:r>
      <w:r>
        <w:rPr>
          <w:rFonts w:ascii="宋体" w:hAnsi="宋体"/>
          <w:kern w:val="0"/>
          <w:sz w:val="24"/>
        </w:rPr>
        <w:t>的损失，由基金管理人负责赔付</w:t>
      </w:r>
      <w:r>
        <w:rPr>
          <w:rFonts w:ascii="宋体" w:hAnsi="宋体" w:hint="eastAsia"/>
          <w:kern w:val="0"/>
          <w:sz w:val="24"/>
        </w:rPr>
        <w:t>。</w:t>
      </w:r>
    </w:p>
    <w:p w14:paraId="762D713C" w14:textId="77777777" w:rsidR="00CF57A4" w:rsidRDefault="00B13D46">
      <w:pPr>
        <w:spacing w:line="360" w:lineRule="auto"/>
        <w:ind w:firstLine="420"/>
        <w:rPr>
          <w:rFonts w:ascii="宋体" w:hAnsi="宋体"/>
          <w:sz w:val="24"/>
        </w:rPr>
      </w:pPr>
      <w:r>
        <w:rPr>
          <w:rFonts w:ascii="宋体" w:hAnsi="宋体" w:hint="eastAsia"/>
          <w:sz w:val="24"/>
        </w:rPr>
        <w:t>（3）</w:t>
      </w:r>
      <w:r>
        <w:rPr>
          <w:rFonts w:ascii="宋体" w:hAnsi="宋体"/>
          <w:sz w:val="24"/>
        </w:rPr>
        <w:t>基金管理人和基金托管人由于各自技术系统设置而产生的净值计算尾差，以基金管理人计算结果为准。</w:t>
      </w:r>
    </w:p>
    <w:p w14:paraId="485E006F" w14:textId="77777777" w:rsidR="00CF57A4" w:rsidRDefault="00B13D46">
      <w:pPr>
        <w:spacing w:line="360" w:lineRule="auto"/>
        <w:ind w:firstLine="420"/>
        <w:rPr>
          <w:rFonts w:ascii="宋体" w:hAnsi="宋体"/>
          <w:sz w:val="24"/>
        </w:rPr>
      </w:pPr>
      <w:r>
        <w:rPr>
          <w:rFonts w:ascii="宋体" w:hAnsi="宋体" w:hint="eastAsia"/>
          <w:sz w:val="24"/>
        </w:rPr>
        <w:t>（</w:t>
      </w:r>
      <w:r>
        <w:rPr>
          <w:rFonts w:ascii="宋体" w:hAnsi="宋体"/>
          <w:sz w:val="24"/>
        </w:rPr>
        <w:t>4</w:t>
      </w:r>
      <w:r>
        <w:rPr>
          <w:rFonts w:ascii="宋体" w:hAnsi="宋体" w:hint="eastAsia"/>
          <w:sz w:val="24"/>
        </w:rPr>
        <w:t>）</w:t>
      </w:r>
      <w:r>
        <w:rPr>
          <w:rFonts w:ascii="宋体" w:hAnsi="宋体"/>
          <w:sz w:val="24"/>
        </w:rPr>
        <w:t>前述内容如法律法规或监管机关另有规定的，从其规定处理。如果行业有通行做法，双方当事人应本着平等和保护基金份额持有人利益的原则进行协商。</w:t>
      </w:r>
    </w:p>
    <w:p w14:paraId="5943830E" w14:textId="77777777" w:rsidR="00CF57A4" w:rsidRDefault="00B13D46">
      <w:pPr>
        <w:spacing w:line="360" w:lineRule="auto"/>
        <w:ind w:firstLine="420"/>
        <w:rPr>
          <w:rFonts w:ascii="宋体" w:hAnsi="宋体"/>
          <w:sz w:val="24"/>
        </w:rPr>
      </w:pPr>
      <w:bookmarkStart w:id="206" w:name="_Toc320703966"/>
      <w:bookmarkStart w:id="207" w:name="_Toc320704017"/>
      <w:bookmarkStart w:id="208" w:name="_Toc320704090"/>
      <w:r>
        <w:rPr>
          <w:rFonts w:ascii="宋体" w:hAnsi="宋体" w:hint="eastAsia"/>
          <w:sz w:val="24"/>
        </w:rPr>
        <w:lastRenderedPageBreak/>
        <w:t>4、</w:t>
      </w:r>
      <w:r>
        <w:rPr>
          <w:rFonts w:ascii="宋体" w:hAnsi="宋体"/>
          <w:sz w:val="24"/>
        </w:rPr>
        <w:t>暂停估值与公告基金份额净值的情形</w:t>
      </w:r>
      <w:bookmarkEnd w:id="206"/>
      <w:bookmarkEnd w:id="207"/>
      <w:bookmarkEnd w:id="208"/>
    </w:p>
    <w:p w14:paraId="0E079D09" w14:textId="77777777" w:rsidR="00CF57A4" w:rsidRDefault="00B13D46">
      <w:pPr>
        <w:spacing w:line="360" w:lineRule="auto"/>
        <w:ind w:firstLine="420"/>
        <w:rPr>
          <w:rFonts w:ascii="宋体" w:hAnsi="宋体"/>
          <w:sz w:val="24"/>
        </w:rPr>
      </w:pPr>
      <w:bookmarkStart w:id="209" w:name="_Toc320703967"/>
      <w:bookmarkStart w:id="210" w:name="_Toc320704018"/>
      <w:bookmarkStart w:id="211" w:name="_Toc320704091"/>
      <w:r>
        <w:rPr>
          <w:rFonts w:ascii="宋体" w:hAnsi="宋体" w:hint="eastAsia"/>
          <w:sz w:val="24"/>
        </w:rPr>
        <w:t>（</w:t>
      </w:r>
      <w:r>
        <w:rPr>
          <w:rFonts w:ascii="宋体" w:hAnsi="宋体"/>
          <w:sz w:val="24"/>
        </w:rPr>
        <w:t>1</w:t>
      </w:r>
      <w:r>
        <w:rPr>
          <w:rFonts w:ascii="宋体" w:hAnsi="宋体" w:hint="eastAsia"/>
          <w:sz w:val="24"/>
        </w:rPr>
        <w:t>）</w:t>
      </w:r>
      <w:r>
        <w:rPr>
          <w:rFonts w:ascii="宋体" w:hAnsi="宋体"/>
          <w:sz w:val="24"/>
        </w:rPr>
        <w:t>基金投资所涉及的证券交易所遇法定节假日或因其他原因暂停营业时；</w:t>
      </w:r>
      <w:bookmarkEnd w:id="209"/>
      <w:bookmarkEnd w:id="210"/>
      <w:bookmarkEnd w:id="211"/>
    </w:p>
    <w:p w14:paraId="552019CA" w14:textId="77777777" w:rsidR="00CF57A4" w:rsidRDefault="00B13D46">
      <w:pPr>
        <w:spacing w:line="360" w:lineRule="auto"/>
        <w:ind w:firstLine="420"/>
        <w:rPr>
          <w:rFonts w:ascii="宋体" w:hAnsi="宋体"/>
          <w:sz w:val="24"/>
        </w:rPr>
      </w:pPr>
      <w:bookmarkStart w:id="212" w:name="_Toc320704019"/>
      <w:bookmarkStart w:id="213" w:name="_Toc320704092"/>
      <w:bookmarkStart w:id="214" w:name="_Toc320703968"/>
      <w:r>
        <w:rPr>
          <w:rFonts w:ascii="宋体" w:hAnsi="宋体" w:hint="eastAsia"/>
          <w:sz w:val="24"/>
        </w:rPr>
        <w:t>（</w:t>
      </w:r>
      <w:r>
        <w:rPr>
          <w:rFonts w:ascii="宋体" w:hAnsi="宋体"/>
          <w:sz w:val="24"/>
        </w:rPr>
        <w:t>2</w:t>
      </w:r>
      <w:r>
        <w:rPr>
          <w:rFonts w:ascii="宋体" w:hAnsi="宋体" w:hint="eastAsia"/>
          <w:sz w:val="24"/>
        </w:rPr>
        <w:t>）</w:t>
      </w:r>
      <w:r>
        <w:rPr>
          <w:rFonts w:ascii="宋体" w:hAnsi="宋体"/>
          <w:sz w:val="24"/>
        </w:rPr>
        <w:t>因不可抗力或其他情形致使基金管理人、基金托管人无法准确评估基金资产价值时；</w:t>
      </w:r>
      <w:bookmarkEnd w:id="212"/>
      <w:bookmarkEnd w:id="213"/>
      <w:bookmarkEnd w:id="214"/>
    </w:p>
    <w:p w14:paraId="4B8A4B13" w14:textId="77777777" w:rsidR="00CF57A4" w:rsidRDefault="00B13D46">
      <w:pPr>
        <w:spacing w:line="360" w:lineRule="auto"/>
        <w:ind w:firstLine="420"/>
        <w:rPr>
          <w:rFonts w:ascii="宋体" w:hAnsi="宋体"/>
          <w:sz w:val="24"/>
        </w:rPr>
      </w:pPr>
      <w:bookmarkStart w:id="215" w:name="_Toc320704020"/>
      <w:bookmarkStart w:id="216" w:name="_Toc320704093"/>
      <w:bookmarkStart w:id="217" w:name="_Toc320703969"/>
      <w:r>
        <w:rPr>
          <w:rFonts w:ascii="宋体" w:hAnsi="宋体" w:hint="eastAsia"/>
          <w:sz w:val="24"/>
        </w:rPr>
        <w:t>（</w:t>
      </w:r>
      <w:r>
        <w:rPr>
          <w:rFonts w:ascii="宋体" w:hAnsi="宋体"/>
          <w:sz w:val="24"/>
        </w:rPr>
        <w:t>3</w:t>
      </w:r>
      <w:r>
        <w:rPr>
          <w:rFonts w:ascii="宋体" w:hAnsi="宋体" w:hint="eastAsia"/>
          <w:sz w:val="24"/>
        </w:rPr>
        <w:t>）</w:t>
      </w:r>
      <w:r>
        <w:rPr>
          <w:rFonts w:ascii="宋体" w:hAnsi="宋体"/>
          <w:sz w:val="24"/>
        </w:rPr>
        <w:t>占基金相当比例的投资品种的估值出现重大转变，而基金管理人为保障基金份额持有人的利益，决定延迟估值时；</w:t>
      </w:r>
      <w:bookmarkEnd w:id="215"/>
      <w:bookmarkEnd w:id="216"/>
      <w:bookmarkEnd w:id="217"/>
    </w:p>
    <w:p w14:paraId="136EF8F0" w14:textId="77777777" w:rsidR="00CF57A4" w:rsidRDefault="00B13D46">
      <w:pPr>
        <w:spacing w:line="360" w:lineRule="auto"/>
        <w:ind w:firstLine="420"/>
        <w:rPr>
          <w:rFonts w:ascii="宋体" w:hAnsi="宋体"/>
          <w:sz w:val="24"/>
        </w:rPr>
      </w:pPr>
      <w:bookmarkStart w:id="218" w:name="_Toc320704021"/>
      <w:bookmarkStart w:id="219" w:name="_Toc320704094"/>
      <w:bookmarkStart w:id="220" w:name="_Toc320703970"/>
      <w:r>
        <w:rPr>
          <w:rFonts w:ascii="宋体" w:hAnsi="宋体" w:hint="eastAsia"/>
          <w:sz w:val="24"/>
        </w:rPr>
        <w:t>（</w:t>
      </w:r>
      <w:r>
        <w:rPr>
          <w:rFonts w:ascii="宋体" w:hAnsi="宋体"/>
          <w:sz w:val="24"/>
        </w:rPr>
        <w:t>4</w:t>
      </w:r>
      <w:r>
        <w:rPr>
          <w:rFonts w:ascii="宋体" w:hAnsi="宋体" w:hint="eastAsia"/>
          <w:sz w:val="24"/>
        </w:rPr>
        <w:t>）</w:t>
      </w:r>
      <w:r>
        <w:rPr>
          <w:rFonts w:ascii="宋体" w:hAnsi="宋体"/>
          <w:sz w:val="24"/>
        </w:rPr>
        <w:t>中国证监会和基金合同认定的其他情形。</w:t>
      </w:r>
      <w:bookmarkEnd w:id="218"/>
      <w:bookmarkEnd w:id="219"/>
      <w:bookmarkEnd w:id="220"/>
    </w:p>
    <w:p w14:paraId="2350CB48" w14:textId="77777777" w:rsidR="00CF57A4" w:rsidRDefault="00B13D46">
      <w:pPr>
        <w:spacing w:line="360" w:lineRule="auto"/>
        <w:ind w:firstLine="420"/>
        <w:rPr>
          <w:rFonts w:ascii="宋体" w:hAnsi="宋体"/>
          <w:sz w:val="24"/>
        </w:rPr>
      </w:pPr>
      <w:bookmarkStart w:id="221" w:name="_Toc320704022"/>
      <w:bookmarkStart w:id="222" w:name="_Toc320704095"/>
      <w:bookmarkStart w:id="223" w:name="_Toc320703971"/>
      <w:r>
        <w:rPr>
          <w:rFonts w:ascii="宋体" w:hAnsi="宋体" w:hint="eastAsia"/>
          <w:sz w:val="24"/>
        </w:rPr>
        <w:t>5、</w:t>
      </w:r>
      <w:r>
        <w:rPr>
          <w:rFonts w:ascii="宋体" w:hAnsi="宋体"/>
          <w:sz w:val="24"/>
        </w:rPr>
        <w:t>基金会计制度</w:t>
      </w:r>
      <w:bookmarkEnd w:id="221"/>
      <w:bookmarkEnd w:id="222"/>
      <w:bookmarkEnd w:id="223"/>
    </w:p>
    <w:p w14:paraId="6D93568E" w14:textId="77777777" w:rsidR="00CF57A4" w:rsidRDefault="00B13D46">
      <w:pPr>
        <w:spacing w:line="360" w:lineRule="auto"/>
        <w:ind w:firstLine="420"/>
        <w:rPr>
          <w:rFonts w:ascii="宋体" w:hAnsi="宋体"/>
          <w:sz w:val="24"/>
        </w:rPr>
      </w:pPr>
      <w:r>
        <w:rPr>
          <w:rFonts w:ascii="宋体" w:hAnsi="宋体"/>
          <w:sz w:val="24"/>
        </w:rPr>
        <w:t>按国家有关部门规定的会计制度执行。</w:t>
      </w:r>
    </w:p>
    <w:p w14:paraId="486C77C7" w14:textId="77777777" w:rsidR="00CF57A4" w:rsidRDefault="00B13D46">
      <w:pPr>
        <w:spacing w:line="360" w:lineRule="auto"/>
        <w:ind w:firstLine="420"/>
        <w:rPr>
          <w:rFonts w:ascii="宋体" w:hAnsi="宋体"/>
          <w:sz w:val="24"/>
        </w:rPr>
      </w:pPr>
      <w:bookmarkStart w:id="224" w:name="_Toc320703972"/>
      <w:bookmarkStart w:id="225" w:name="_Toc320704023"/>
      <w:bookmarkStart w:id="226" w:name="_Toc320704096"/>
      <w:r>
        <w:rPr>
          <w:rFonts w:ascii="宋体" w:hAnsi="宋体" w:hint="eastAsia"/>
          <w:sz w:val="24"/>
        </w:rPr>
        <w:t>6、</w:t>
      </w:r>
      <w:r>
        <w:rPr>
          <w:rFonts w:ascii="宋体" w:hAnsi="宋体"/>
          <w:sz w:val="24"/>
        </w:rPr>
        <w:t>基金账册的建立</w:t>
      </w:r>
      <w:bookmarkEnd w:id="224"/>
      <w:bookmarkEnd w:id="225"/>
      <w:bookmarkEnd w:id="226"/>
    </w:p>
    <w:p w14:paraId="043BE03E" w14:textId="77777777" w:rsidR="00CF57A4" w:rsidRDefault="00B13D46">
      <w:pPr>
        <w:spacing w:line="360" w:lineRule="auto"/>
        <w:ind w:firstLine="420"/>
        <w:rPr>
          <w:rFonts w:ascii="宋体" w:hAnsi="宋体"/>
          <w:sz w:val="24"/>
        </w:rPr>
      </w:pPr>
      <w:bookmarkStart w:id="227" w:name="_Toc320703973"/>
      <w:bookmarkStart w:id="228" w:name="_Toc320704097"/>
      <w:bookmarkStart w:id="229" w:name="_Toc320704024"/>
      <w:r>
        <w:rPr>
          <w:rFonts w:ascii="宋体" w:hAnsi="宋体" w:hint="eastAsia"/>
          <w:sz w:val="24"/>
        </w:rPr>
        <w:t>基金管理人进行基金会计核算并编制基金财务会计报告。基金管理人独立地设置、记录和保管本基金的全套账册。基金托管人按规定制作相关账册并与基金管理人核对。若基金管理人和基金托管人对会计处理方法存在分歧，应以基金管理人的处理方法为准。若当日核对不符，暂时无法查找到错账的原因而影响到基金资产净值的计算和公告的，以基金管理人的账册为准。</w:t>
      </w:r>
      <w:bookmarkEnd w:id="227"/>
      <w:bookmarkEnd w:id="228"/>
      <w:bookmarkEnd w:id="229"/>
    </w:p>
    <w:p w14:paraId="081660ED" w14:textId="77777777" w:rsidR="00CF57A4" w:rsidRDefault="00B13D46">
      <w:pPr>
        <w:spacing w:line="360" w:lineRule="auto"/>
        <w:ind w:firstLine="420"/>
        <w:rPr>
          <w:rFonts w:ascii="宋体" w:hAnsi="宋体"/>
          <w:sz w:val="24"/>
        </w:rPr>
      </w:pPr>
      <w:bookmarkStart w:id="230" w:name="_Toc320703974"/>
      <w:bookmarkStart w:id="231" w:name="_Toc320704025"/>
      <w:bookmarkStart w:id="232" w:name="_Toc320704098"/>
      <w:r>
        <w:rPr>
          <w:rFonts w:ascii="宋体" w:hAnsi="宋体" w:hint="eastAsia"/>
          <w:sz w:val="24"/>
        </w:rPr>
        <w:t>7、</w:t>
      </w:r>
      <w:r>
        <w:rPr>
          <w:rFonts w:ascii="宋体" w:hAnsi="宋体"/>
          <w:sz w:val="24"/>
        </w:rPr>
        <w:t>基金财务报表与报告的编制和复核</w:t>
      </w:r>
      <w:bookmarkEnd w:id="230"/>
      <w:bookmarkEnd w:id="231"/>
      <w:bookmarkEnd w:id="232"/>
    </w:p>
    <w:p w14:paraId="5D9112A0" w14:textId="77777777" w:rsidR="00CF57A4" w:rsidRDefault="00B13D46">
      <w:pPr>
        <w:spacing w:line="360" w:lineRule="auto"/>
        <w:ind w:firstLine="420"/>
        <w:rPr>
          <w:rFonts w:ascii="宋体" w:hAnsi="宋体"/>
          <w:sz w:val="24"/>
        </w:rPr>
      </w:pPr>
      <w:bookmarkStart w:id="233" w:name="_Toc320704099"/>
      <w:bookmarkStart w:id="234" w:name="_Toc320704026"/>
      <w:bookmarkStart w:id="235" w:name="_Toc320703975"/>
      <w:r>
        <w:rPr>
          <w:rFonts w:ascii="宋体" w:hAnsi="宋体" w:hint="eastAsia"/>
          <w:sz w:val="24"/>
        </w:rPr>
        <w:t>（</w:t>
      </w:r>
      <w:r>
        <w:rPr>
          <w:rFonts w:ascii="宋体" w:hAnsi="宋体"/>
          <w:sz w:val="24"/>
        </w:rPr>
        <w:t>1</w:t>
      </w:r>
      <w:r>
        <w:rPr>
          <w:rFonts w:ascii="宋体" w:hAnsi="宋体" w:hint="eastAsia"/>
          <w:sz w:val="24"/>
        </w:rPr>
        <w:t>）</w:t>
      </w:r>
      <w:r>
        <w:rPr>
          <w:rFonts w:ascii="宋体" w:hAnsi="宋体"/>
          <w:sz w:val="24"/>
        </w:rPr>
        <w:t>财务报表的编制</w:t>
      </w:r>
      <w:bookmarkEnd w:id="233"/>
      <w:bookmarkEnd w:id="234"/>
      <w:bookmarkEnd w:id="235"/>
    </w:p>
    <w:p w14:paraId="21847C9D" w14:textId="77777777" w:rsidR="00CF57A4" w:rsidRDefault="00B13D46">
      <w:pPr>
        <w:spacing w:line="360" w:lineRule="auto"/>
        <w:ind w:firstLine="420"/>
        <w:rPr>
          <w:rFonts w:ascii="宋体" w:hAnsi="宋体"/>
          <w:sz w:val="24"/>
        </w:rPr>
      </w:pPr>
      <w:bookmarkStart w:id="236" w:name="_Toc320704027"/>
      <w:bookmarkStart w:id="237" w:name="_Toc320704100"/>
      <w:bookmarkStart w:id="238" w:name="_Toc320703976"/>
      <w:r>
        <w:rPr>
          <w:rFonts w:ascii="宋体" w:hAnsi="宋体" w:hint="eastAsia"/>
          <w:sz w:val="24"/>
        </w:rPr>
        <w:t>基金管理人应当及时编制并对外提供真实、完整的基金财务会计报告。</w:t>
      </w:r>
      <w:r>
        <w:rPr>
          <w:rFonts w:ascii="宋体" w:hAnsi="宋体"/>
          <w:sz w:val="24"/>
        </w:rPr>
        <w:t>月度报表的编制，基金管理人应于每月终了后5</w:t>
      </w:r>
      <w:r>
        <w:rPr>
          <w:rFonts w:ascii="宋体" w:hAnsi="宋体" w:hint="eastAsia"/>
          <w:sz w:val="24"/>
        </w:rPr>
        <w:t>个工作</w:t>
      </w:r>
      <w:r>
        <w:rPr>
          <w:rFonts w:ascii="宋体" w:hAnsi="宋体"/>
          <w:sz w:val="24"/>
        </w:rPr>
        <w:t>日内完成；季度报告应在每个季度结束之日起1</w:t>
      </w:r>
      <w:r>
        <w:rPr>
          <w:rFonts w:ascii="宋体" w:hAnsi="宋体" w:hint="eastAsia"/>
          <w:sz w:val="24"/>
        </w:rPr>
        <w:t>5</w:t>
      </w:r>
      <w:r>
        <w:rPr>
          <w:rFonts w:ascii="宋体" w:hAnsi="宋体"/>
          <w:sz w:val="24"/>
        </w:rPr>
        <w:t>个工作日内编制完毕并予以公告；半年度报告在会计年度半年终了后</w:t>
      </w:r>
      <w:r>
        <w:rPr>
          <w:rFonts w:ascii="宋体" w:hAnsi="宋体" w:hint="eastAsia"/>
          <w:sz w:val="24"/>
        </w:rPr>
        <w:t>6</w:t>
      </w:r>
      <w:r>
        <w:rPr>
          <w:rFonts w:ascii="宋体" w:hAnsi="宋体"/>
          <w:sz w:val="24"/>
        </w:rPr>
        <w:t>0日内编制完毕并予以公告；年度报告在会计年度结束后</w:t>
      </w:r>
      <w:r>
        <w:rPr>
          <w:rFonts w:ascii="宋体" w:hAnsi="宋体" w:hint="eastAsia"/>
          <w:sz w:val="24"/>
        </w:rPr>
        <w:t>9</w:t>
      </w:r>
      <w:r>
        <w:rPr>
          <w:rFonts w:ascii="宋体" w:hAnsi="宋体"/>
          <w:sz w:val="24"/>
        </w:rPr>
        <w:t>0日内编制完毕并予以公告。基金合同生效不足</w:t>
      </w:r>
      <w:r>
        <w:rPr>
          <w:rFonts w:ascii="宋体" w:hAnsi="宋体" w:hint="eastAsia"/>
          <w:sz w:val="24"/>
        </w:rPr>
        <w:t>2</w:t>
      </w:r>
      <w:r>
        <w:rPr>
          <w:rFonts w:ascii="宋体" w:hAnsi="宋体"/>
          <w:sz w:val="24"/>
        </w:rPr>
        <w:t>个月的，基金管理人可以不编制当期季度报告、半年度报告或者年度报告。</w:t>
      </w:r>
      <w:bookmarkEnd w:id="236"/>
      <w:bookmarkEnd w:id="237"/>
      <w:bookmarkEnd w:id="238"/>
    </w:p>
    <w:p w14:paraId="72AD4981" w14:textId="77777777" w:rsidR="00CF57A4" w:rsidRDefault="00B13D46">
      <w:pPr>
        <w:spacing w:line="360" w:lineRule="auto"/>
        <w:ind w:firstLine="420"/>
        <w:rPr>
          <w:rFonts w:ascii="宋体" w:hAnsi="宋体"/>
          <w:sz w:val="24"/>
        </w:rPr>
      </w:pPr>
      <w:bookmarkStart w:id="239" w:name="_Toc320703977"/>
      <w:bookmarkStart w:id="240" w:name="_Toc320704101"/>
      <w:bookmarkStart w:id="241" w:name="_Toc320704028"/>
      <w:r>
        <w:rPr>
          <w:rFonts w:ascii="宋体" w:hAnsi="宋体" w:hint="eastAsia"/>
          <w:sz w:val="24"/>
        </w:rPr>
        <w:t>（</w:t>
      </w:r>
      <w:r>
        <w:rPr>
          <w:rFonts w:ascii="宋体" w:hAnsi="宋体"/>
          <w:sz w:val="24"/>
        </w:rPr>
        <w:t>2</w:t>
      </w:r>
      <w:r>
        <w:rPr>
          <w:rFonts w:ascii="宋体" w:hAnsi="宋体" w:hint="eastAsia"/>
          <w:sz w:val="24"/>
        </w:rPr>
        <w:t>）</w:t>
      </w:r>
      <w:r>
        <w:rPr>
          <w:rFonts w:ascii="宋体" w:hAnsi="宋体"/>
          <w:sz w:val="24"/>
        </w:rPr>
        <w:t>报表复核</w:t>
      </w:r>
      <w:bookmarkEnd w:id="239"/>
      <w:bookmarkEnd w:id="240"/>
      <w:bookmarkEnd w:id="241"/>
    </w:p>
    <w:p w14:paraId="7CE9DC16" w14:textId="77777777" w:rsidR="00CF57A4" w:rsidRDefault="00B13D46">
      <w:pPr>
        <w:spacing w:line="360" w:lineRule="auto"/>
        <w:ind w:firstLine="420"/>
        <w:rPr>
          <w:rFonts w:ascii="宋体" w:hAnsi="宋体"/>
          <w:sz w:val="24"/>
        </w:rPr>
      </w:pPr>
      <w:bookmarkStart w:id="242" w:name="_Toc320704029"/>
      <w:bookmarkStart w:id="243" w:name="_Toc320704102"/>
      <w:bookmarkStart w:id="244" w:name="_Toc320703978"/>
      <w:r>
        <w:rPr>
          <w:rFonts w:ascii="宋体" w:hAnsi="宋体" w:hint="eastAsia"/>
          <w:sz w:val="24"/>
        </w:rPr>
        <w:t>基金管理人在报表或定期报告完成当日，对报表盖章后，以加密传真方式或双方书面商定的其他方式将有关报表提供基金托管人复核。</w:t>
      </w:r>
      <w:bookmarkEnd w:id="242"/>
      <w:bookmarkEnd w:id="243"/>
      <w:bookmarkEnd w:id="244"/>
    </w:p>
    <w:p w14:paraId="32AD2C82" w14:textId="77777777" w:rsidR="00CF57A4" w:rsidRDefault="00B13D46">
      <w:pPr>
        <w:spacing w:line="360" w:lineRule="auto"/>
        <w:ind w:firstLine="420"/>
        <w:rPr>
          <w:rFonts w:ascii="宋体" w:hAnsi="宋体"/>
          <w:sz w:val="24"/>
        </w:rPr>
      </w:pPr>
      <w:bookmarkStart w:id="245" w:name="_Toc320703979"/>
      <w:bookmarkStart w:id="246" w:name="_Toc320704030"/>
      <w:bookmarkStart w:id="247" w:name="_Toc320704103"/>
      <w:r>
        <w:rPr>
          <w:rFonts w:ascii="宋体" w:hAnsi="宋体"/>
          <w:sz w:val="24"/>
        </w:rPr>
        <w:t>基金管理人在月度报表完成当日，将报表盖章后提供给基金托管人复核；基金托管人在收到后应在3日内进行复核，并将复核结果书面通知基金管理人。基金管理人在季度报告完成当日，将有关报告提供给基金托管人复核，基金托管人应</w:t>
      </w:r>
      <w:r>
        <w:rPr>
          <w:rFonts w:ascii="宋体" w:hAnsi="宋体"/>
          <w:sz w:val="24"/>
        </w:rPr>
        <w:lastRenderedPageBreak/>
        <w:t>在收到后7个工作日内完成复核，并将复核结果书面通知基金管理人。基金管理人在半年度报告完成当日，将有关报告提供给基金托管人复核，基金托管人应在收到后30日内完成复核，并将复核结果书面通知基金管理人。基金管理人在年度报告完成当日，将有关报告提供基金托管人复核，基金托管人应在收到后45日内完成复核，并将复核结果书面通知基金管理人。基金管理人和基金托管人之间的上述文件往来均以加密传真的方式或双方商定的其他方式进行。</w:t>
      </w:r>
      <w:bookmarkEnd w:id="245"/>
      <w:bookmarkEnd w:id="246"/>
      <w:bookmarkEnd w:id="247"/>
    </w:p>
    <w:p w14:paraId="38913C16" w14:textId="77777777" w:rsidR="00CF57A4" w:rsidRDefault="00B13D46">
      <w:pPr>
        <w:spacing w:line="360" w:lineRule="auto"/>
        <w:ind w:firstLine="420"/>
        <w:rPr>
          <w:rFonts w:ascii="宋体" w:hAnsi="宋体"/>
          <w:sz w:val="24"/>
        </w:rPr>
      </w:pPr>
      <w:bookmarkStart w:id="248" w:name="_Toc320704104"/>
      <w:bookmarkStart w:id="249" w:name="_Toc320704031"/>
      <w:bookmarkStart w:id="250" w:name="_Toc320703980"/>
      <w:r>
        <w:rPr>
          <w:rFonts w:ascii="宋体" w:hAnsi="宋体"/>
          <w:sz w:val="24"/>
        </w:rPr>
        <w:t>基金托管人在复核过程中，发现双方的报表存在不符时，基金管理人和基金托管人应共同查明原因，进行调整，调整以双方认可的账务处理方式为准；若双方无法达成一致，以基金管理人的账务处理为准。核对无误后，基金托管人在基金管理人提供的报告上加盖托管业务部门公章或者出具加盖托管业务专用章的复核意见书，双方各自留存一份。如果基金管理人与基金托管人不能于应当发布公告之日之前就相关报表达成一致，基金管理人有权按照其编制的报表对外发布公告，基金托管人有权就相关情况报中国证监会备案。</w:t>
      </w:r>
      <w:bookmarkEnd w:id="248"/>
      <w:bookmarkEnd w:id="249"/>
      <w:bookmarkEnd w:id="250"/>
    </w:p>
    <w:p w14:paraId="36BAEF0F" w14:textId="77777777" w:rsidR="00CF57A4" w:rsidRDefault="00B13D46">
      <w:pPr>
        <w:spacing w:line="360" w:lineRule="auto"/>
        <w:ind w:firstLine="420"/>
        <w:rPr>
          <w:rFonts w:ascii="宋体" w:hAnsi="宋体"/>
          <w:b/>
          <w:kern w:val="0"/>
          <w:sz w:val="24"/>
        </w:rPr>
      </w:pPr>
      <w:r>
        <w:rPr>
          <w:rFonts w:ascii="宋体" w:hAnsi="宋体" w:hint="eastAsia"/>
          <w:b/>
          <w:kern w:val="0"/>
          <w:sz w:val="24"/>
        </w:rPr>
        <w:t>（六）</w:t>
      </w:r>
      <w:r>
        <w:rPr>
          <w:rFonts w:ascii="宋体" w:hAnsi="宋体"/>
          <w:b/>
          <w:kern w:val="0"/>
          <w:sz w:val="24"/>
        </w:rPr>
        <w:t xml:space="preserve">基金份额持有人名册的保管 </w:t>
      </w:r>
    </w:p>
    <w:p w14:paraId="3C71EED6" w14:textId="77777777" w:rsidR="00CF57A4" w:rsidRDefault="00B13D46">
      <w:pPr>
        <w:spacing w:line="360" w:lineRule="auto"/>
        <w:ind w:firstLine="420"/>
        <w:rPr>
          <w:rFonts w:ascii="宋体" w:hAnsi="宋体"/>
          <w:sz w:val="24"/>
        </w:rPr>
      </w:pPr>
      <w:r>
        <w:rPr>
          <w:rFonts w:ascii="宋体" w:hAnsi="宋体" w:hint="eastAsia"/>
          <w:sz w:val="24"/>
        </w:rPr>
        <w:t>本基金的基金管理人和基金托管人须分别妥善保管的基金份额持有人名册，包括基金合同生效日、基金合同终止日、</w:t>
      </w:r>
      <w:r>
        <w:rPr>
          <w:rFonts w:ascii="宋体" w:hAnsi="宋体"/>
          <w:sz w:val="24"/>
        </w:rPr>
        <w:t>基金权益登记日、</w:t>
      </w:r>
      <w:r>
        <w:rPr>
          <w:rFonts w:ascii="宋体" w:hAnsi="宋体" w:hint="eastAsia"/>
          <w:sz w:val="24"/>
        </w:rPr>
        <w:t>基金份额持有人大会权益登记日、每年6月30日、12月31日的基金份额持有人名册。基金份额持有人名册的内容至少应包括持有人的名称和持有的基金份额。</w:t>
      </w:r>
    </w:p>
    <w:p w14:paraId="79E46028" w14:textId="77777777" w:rsidR="00CF57A4" w:rsidRDefault="00B13D46">
      <w:pPr>
        <w:spacing w:line="360" w:lineRule="auto"/>
        <w:ind w:firstLine="420"/>
        <w:rPr>
          <w:rFonts w:ascii="宋体" w:hAnsi="宋体"/>
          <w:sz w:val="24"/>
        </w:rPr>
      </w:pPr>
      <w:r>
        <w:rPr>
          <w:rFonts w:ascii="宋体" w:hAnsi="宋体" w:hint="eastAsia"/>
          <w:sz w:val="24"/>
        </w:rPr>
        <w:t>基金管理人应及时向基金托管人提交基金份额持有人名册。每年6月30日和12月31日的基金份额持有人名册应于下月前十个工作日内提交；基金合同生效日、基金合同终止日等涉及到基金重要事项日期的基金份额持有人名册应于发生日后十个工作日内提交。</w:t>
      </w:r>
    </w:p>
    <w:p w14:paraId="4949C542" w14:textId="77777777" w:rsidR="00CF57A4" w:rsidRDefault="00B13D46">
      <w:pPr>
        <w:spacing w:line="360" w:lineRule="auto"/>
        <w:ind w:firstLine="420"/>
        <w:rPr>
          <w:rFonts w:ascii="宋体" w:hAnsi="宋体"/>
          <w:sz w:val="24"/>
        </w:rPr>
      </w:pPr>
      <w:r>
        <w:rPr>
          <w:rFonts w:ascii="宋体" w:hAnsi="宋体" w:hint="eastAsia"/>
          <w:sz w:val="24"/>
        </w:rPr>
        <w:t>基金管理人和基金托管人应妥善保管基金份额持有人名册，保存期限为15年。基金托管人不得将所保管的基金份额持有人名册用于基金托管业务以外的其他用途，并应遵守保密义务。若基金管理人或基金托管人由于自身原因无法妥善保管基金份额持有人名册，应按有关法规规定各自承担相应的责任。</w:t>
      </w:r>
    </w:p>
    <w:p w14:paraId="2E215004" w14:textId="77777777" w:rsidR="00CF57A4" w:rsidRDefault="00B13D46">
      <w:pPr>
        <w:spacing w:line="360" w:lineRule="auto"/>
        <w:ind w:firstLine="420"/>
        <w:rPr>
          <w:rFonts w:ascii="宋体" w:hAnsi="宋体"/>
          <w:b/>
          <w:kern w:val="0"/>
          <w:sz w:val="24"/>
        </w:rPr>
      </w:pPr>
      <w:r>
        <w:rPr>
          <w:rFonts w:ascii="宋体" w:hAnsi="宋体" w:hint="eastAsia"/>
          <w:b/>
          <w:kern w:val="0"/>
          <w:sz w:val="24"/>
        </w:rPr>
        <w:t>（七）</w:t>
      </w:r>
      <w:r>
        <w:rPr>
          <w:rFonts w:ascii="宋体" w:hAnsi="宋体"/>
          <w:b/>
          <w:kern w:val="0"/>
          <w:sz w:val="24"/>
        </w:rPr>
        <w:t>争议</w:t>
      </w:r>
      <w:r>
        <w:rPr>
          <w:rFonts w:ascii="宋体" w:hAnsi="宋体" w:hint="eastAsia"/>
          <w:b/>
          <w:kern w:val="0"/>
          <w:sz w:val="24"/>
        </w:rPr>
        <w:t>解决方式</w:t>
      </w:r>
    </w:p>
    <w:p w14:paraId="4F077787" w14:textId="77777777" w:rsidR="00CF57A4" w:rsidRDefault="00B13D46">
      <w:pPr>
        <w:spacing w:line="360" w:lineRule="auto"/>
        <w:ind w:firstLine="420"/>
        <w:rPr>
          <w:rFonts w:ascii="宋体" w:hAnsi="宋体"/>
          <w:sz w:val="24"/>
        </w:rPr>
      </w:pPr>
      <w:r>
        <w:rPr>
          <w:rFonts w:ascii="宋体" w:hAnsi="宋体" w:hint="eastAsia"/>
          <w:sz w:val="24"/>
        </w:rPr>
        <w:t>因本协议产生或与之相关的争议，双方当事人应通过协商、调解解决，协商、调解不能解决的，任何一方均有权将争议提交中国国际经济贸易仲裁委员会，仲</w:t>
      </w:r>
      <w:r>
        <w:rPr>
          <w:rFonts w:ascii="宋体" w:hAnsi="宋体" w:hint="eastAsia"/>
          <w:sz w:val="24"/>
        </w:rPr>
        <w:lastRenderedPageBreak/>
        <w:t>裁地点为北京市，按照中国国际经济贸易仲裁委员会届时有效的仲裁规则进行仲裁。仲裁裁决是终局的，对当事人均有约束力。</w:t>
      </w:r>
    </w:p>
    <w:p w14:paraId="6C815A38" w14:textId="77777777" w:rsidR="00CF57A4" w:rsidRDefault="00B13D46">
      <w:pPr>
        <w:spacing w:line="360" w:lineRule="auto"/>
        <w:ind w:firstLine="420"/>
        <w:rPr>
          <w:rFonts w:ascii="宋体" w:hAnsi="宋体"/>
          <w:sz w:val="24"/>
        </w:rPr>
      </w:pPr>
      <w:r>
        <w:rPr>
          <w:rFonts w:ascii="宋体" w:hAnsi="宋体" w:hint="eastAsia"/>
          <w:sz w:val="24"/>
        </w:rPr>
        <w:t>争议处理期间，双方当事人应恪守基金管理人和基金托管人职责，各自继续忠实、勤勉、尽责地履行基金合同和本托管协议规定的义务，维护基金份额持有人的合法权益。</w:t>
      </w:r>
    </w:p>
    <w:p w14:paraId="396F10ED" w14:textId="77777777" w:rsidR="00CF57A4" w:rsidRDefault="00B13D46">
      <w:pPr>
        <w:spacing w:line="360" w:lineRule="auto"/>
        <w:ind w:firstLine="420"/>
        <w:rPr>
          <w:rFonts w:ascii="宋体" w:hAnsi="宋体"/>
          <w:sz w:val="24"/>
        </w:rPr>
      </w:pPr>
      <w:r>
        <w:rPr>
          <w:rFonts w:ascii="宋体" w:hAnsi="宋体" w:hint="eastAsia"/>
          <w:sz w:val="24"/>
        </w:rPr>
        <w:t>本协议适用中华人民共和国法律并从其解释。</w:t>
      </w:r>
    </w:p>
    <w:p w14:paraId="74E9343A" w14:textId="77777777" w:rsidR="00CF57A4" w:rsidRDefault="00B13D46">
      <w:pPr>
        <w:spacing w:line="360" w:lineRule="auto"/>
        <w:ind w:firstLine="420"/>
        <w:rPr>
          <w:rFonts w:ascii="宋体" w:hAnsi="宋体"/>
          <w:b/>
          <w:kern w:val="0"/>
          <w:sz w:val="24"/>
        </w:rPr>
      </w:pPr>
      <w:r>
        <w:rPr>
          <w:rFonts w:ascii="宋体" w:hAnsi="宋体" w:hint="eastAsia"/>
          <w:b/>
          <w:kern w:val="0"/>
          <w:sz w:val="24"/>
        </w:rPr>
        <w:t>（八）</w:t>
      </w:r>
      <w:r>
        <w:rPr>
          <w:rFonts w:ascii="宋体" w:hAnsi="宋体"/>
          <w:b/>
          <w:kern w:val="0"/>
          <w:sz w:val="24"/>
        </w:rPr>
        <w:t>托管协议的</w:t>
      </w:r>
      <w:r>
        <w:rPr>
          <w:rFonts w:ascii="宋体" w:hAnsi="宋体" w:hint="eastAsia"/>
          <w:b/>
          <w:kern w:val="0"/>
          <w:sz w:val="24"/>
        </w:rPr>
        <w:t>变更</w:t>
      </w:r>
      <w:r>
        <w:rPr>
          <w:rFonts w:ascii="宋体" w:hAnsi="宋体"/>
          <w:b/>
          <w:kern w:val="0"/>
          <w:sz w:val="24"/>
        </w:rPr>
        <w:t xml:space="preserve">与终止 </w:t>
      </w:r>
    </w:p>
    <w:p w14:paraId="318596FF" w14:textId="77777777" w:rsidR="00CF57A4" w:rsidRDefault="00B13D46">
      <w:pPr>
        <w:spacing w:line="360" w:lineRule="auto"/>
        <w:ind w:firstLine="420"/>
        <w:rPr>
          <w:rFonts w:ascii="宋体" w:hAnsi="宋体"/>
          <w:sz w:val="24"/>
        </w:rPr>
      </w:pPr>
      <w:r>
        <w:rPr>
          <w:rFonts w:ascii="宋体" w:hAnsi="宋体" w:hint="eastAsia"/>
          <w:sz w:val="24"/>
        </w:rPr>
        <w:t>1、托管协议的变更程序</w:t>
      </w:r>
    </w:p>
    <w:p w14:paraId="6CFE8D46" w14:textId="77777777" w:rsidR="00CF57A4" w:rsidRDefault="00B13D46">
      <w:pPr>
        <w:spacing w:line="360" w:lineRule="auto"/>
        <w:ind w:firstLine="420"/>
        <w:rPr>
          <w:rFonts w:ascii="宋体" w:hAnsi="宋体"/>
          <w:sz w:val="24"/>
        </w:rPr>
      </w:pPr>
      <w:r>
        <w:rPr>
          <w:rFonts w:ascii="宋体" w:hAnsi="宋体" w:hint="eastAsia"/>
          <w:sz w:val="24"/>
        </w:rPr>
        <w:t>本协议双方当事人经协商一致，可以对协议进行修改。修改后的新协议，其内容不得与基金合同的规定有任何冲突。基金托管协议的变更报中国证监会核准后生效。</w:t>
      </w:r>
    </w:p>
    <w:p w14:paraId="7C7EB20F" w14:textId="77777777" w:rsidR="00CF57A4" w:rsidRDefault="00B13D46">
      <w:pPr>
        <w:spacing w:line="360" w:lineRule="auto"/>
        <w:ind w:firstLine="420"/>
        <w:rPr>
          <w:rFonts w:ascii="宋体" w:hAnsi="宋体"/>
          <w:sz w:val="24"/>
        </w:rPr>
      </w:pPr>
      <w:r>
        <w:rPr>
          <w:rFonts w:ascii="宋体" w:hAnsi="宋体" w:hint="eastAsia"/>
          <w:sz w:val="24"/>
        </w:rPr>
        <w:t>2、基金托管协议终止的情形</w:t>
      </w:r>
    </w:p>
    <w:p w14:paraId="2381DE90" w14:textId="77777777" w:rsidR="00CF57A4" w:rsidRDefault="00B13D46">
      <w:pPr>
        <w:spacing w:line="360" w:lineRule="auto"/>
        <w:ind w:firstLine="420"/>
        <w:rPr>
          <w:rFonts w:ascii="宋体" w:hAnsi="宋体"/>
          <w:sz w:val="24"/>
        </w:rPr>
      </w:pPr>
      <w:r>
        <w:rPr>
          <w:rFonts w:ascii="宋体" w:hAnsi="宋体" w:hint="eastAsia"/>
          <w:sz w:val="24"/>
        </w:rPr>
        <w:t>（1）基金合同终止；</w:t>
      </w:r>
    </w:p>
    <w:p w14:paraId="4844108E" w14:textId="77777777" w:rsidR="00CF57A4" w:rsidRDefault="00B13D46">
      <w:pPr>
        <w:spacing w:line="360" w:lineRule="auto"/>
        <w:ind w:firstLine="420"/>
        <w:rPr>
          <w:rFonts w:ascii="宋体" w:hAnsi="宋体"/>
          <w:sz w:val="24"/>
        </w:rPr>
      </w:pPr>
      <w:r>
        <w:rPr>
          <w:rFonts w:ascii="宋体" w:hAnsi="宋体" w:hint="eastAsia"/>
          <w:sz w:val="24"/>
        </w:rPr>
        <w:t>（2）基金托管人解散、依法被撤销、破产或由其他基金托管人接管基金资产；</w:t>
      </w:r>
    </w:p>
    <w:p w14:paraId="763BF40B" w14:textId="77777777" w:rsidR="00CF57A4" w:rsidRDefault="00B13D46">
      <w:pPr>
        <w:spacing w:line="360" w:lineRule="auto"/>
        <w:ind w:firstLine="420"/>
        <w:rPr>
          <w:rFonts w:ascii="宋体" w:hAnsi="宋体"/>
          <w:sz w:val="24"/>
        </w:rPr>
      </w:pPr>
      <w:r>
        <w:rPr>
          <w:rFonts w:ascii="宋体" w:hAnsi="宋体" w:hint="eastAsia"/>
          <w:sz w:val="24"/>
        </w:rPr>
        <w:t>（3）基金管理人解散、依法被撤销、破产或由其他基金管理人接管基金管理权；</w:t>
      </w:r>
    </w:p>
    <w:p w14:paraId="750E4FBD" w14:textId="77777777" w:rsidR="00CF57A4" w:rsidRDefault="00B13D46">
      <w:pPr>
        <w:spacing w:line="360" w:lineRule="auto"/>
        <w:rPr>
          <w:rFonts w:ascii="宋体" w:hAnsi="宋体"/>
          <w:kern w:val="0"/>
          <w:sz w:val="24"/>
        </w:rPr>
      </w:pPr>
      <w:r>
        <w:rPr>
          <w:rFonts w:ascii="宋体" w:hAnsi="宋体" w:hint="eastAsia"/>
          <w:sz w:val="24"/>
        </w:rPr>
        <w:t xml:space="preserve">    （4）发生法律法规或基金合同规定的终止事项。</w:t>
      </w:r>
    </w:p>
    <w:p w14:paraId="41160EB4" w14:textId="77777777" w:rsidR="00CF57A4" w:rsidRDefault="00B13D46">
      <w:pPr>
        <w:pStyle w:val="af1"/>
        <w:rPr>
          <w:rFonts w:eastAsia="黑体"/>
          <w:color w:val="000000"/>
          <w:kern w:val="0"/>
          <w:sz w:val="30"/>
        </w:rPr>
      </w:pPr>
      <w:bookmarkStart w:id="251" w:name="_Toc109537400"/>
      <w:r>
        <w:rPr>
          <w:rFonts w:eastAsia="黑体"/>
          <w:color w:val="000000"/>
          <w:kern w:val="0"/>
          <w:sz w:val="30"/>
        </w:rPr>
        <w:br w:type="page"/>
      </w:r>
      <w:bookmarkStart w:id="252" w:name="_Toc320704105"/>
      <w:bookmarkStart w:id="253" w:name="_Toc320704374"/>
      <w:bookmarkStart w:id="254" w:name="_Toc322002738"/>
      <w:bookmarkStart w:id="255" w:name="_Toc320703981"/>
      <w:bookmarkStart w:id="256" w:name="_Toc322519889"/>
      <w:bookmarkStart w:id="257" w:name="_Toc320704032"/>
      <w:r>
        <w:rPr>
          <w:rFonts w:eastAsia="黑体" w:hint="eastAsia"/>
          <w:color w:val="000000"/>
          <w:kern w:val="0"/>
          <w:sz w:val="30"/>
        </w:rPr>
        <w:lastRenderedPageBreak/>
        <w:t>二十二、对基金份额持有人的服务</w:t>
      </w:r>
      <w:bookmarkEnd w:id="251"/>
      <w:bookmarkEnd w:id="252"/>
      <w:bookmarkEnd w:id="253"/>
      <w:bookmarkEnd w:id="254"/>
      <w:bookmarkEnd w:id="255"/>
      <w:bookmarkEnd w:id="256"/>
      <w:bookmarkEnd w:id="257"/>
    </w:p>
    <w:p w14:paraId="063EF1C6" w14:textId="77777777" w:rsidR="00CF57A4" w:rsidRDefault="00B13D46">
      <w:pPr>
        <w:widowControl/>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t>对本基金份额持有人的服务主要由基金管理人、发售代理机构以及申购赎回代理券商提供。本</w:t>
      </w:r>
      <w:r>
        <w:rPr>
          <w:rFonts w:ascii="宋体" w:hAnsi="宋体" w:cs="宋体"/>
          <w:color w:val="000000"/>
          <w:kern w:val="0"/>
          <w:sz w:val="24"/>
        </w:rPr>
        <w:t xml:space="preserve">基金管理人根据基金份额持有人的需要和市场的变化，有权增加或变更服务项目。主要服务内容如下： </w:t>
      </w:r>
    </w:p>
    <w:p w14:paraId="37CDFF5D" w14:textId="77777777" w:rsidR="00CF57A4" w:rsidRDefault="00B13D46">
      <w:pPr>
        <w:widowControl/>
        <w:spacing w:line="360" w:lineRule="auto"/>
        <w:ind w:firstLineChars="200" w:firstLine="480"/>
        <w:rPr>
          <w:rFonts w:ascii="宋体" w:hAnsi="宋体" w:cs="宋体"/>
          <w:color w:val="000000"/>
          <w:kern w:val="0"/>
          <w:sz w:val="24"/>
        </w:rPr>
      </w:pPr>
      <w:r>
        <w:rPr>
          <w:rFonts w:ascii="宋体" w:hAnsi="宋体" w:cs="宋体"/>
          <w:color w:val="000000"/>
          <w:kern w:val="0"/>
          <w:sz w:val="24"/>
        </w:rPr>
        <w:t>投资者如果想查询</w:t>
      </w:r>
      <w:r>
        <w:rPr>
          <w:rFonts w:ascii="宋体" w:hAnsi="宋体" w:cs="宋体" w:hint="eastAsia"/>
          <w:color w:val="000000"/>
          <w:kern w:val="0"/>
          <w:sz w:val="24"/>
        </w:rPr>
        <w:t>基金净值</w:t>
      </w:r>
      <w:r>
        <w:rPr>
          <w:rFonts w:ascii="宋体" w:hAnsi="宋体" w:cs="宋体"/>
          <w:color w:val="000000"/>
          <w:kern w:val="0"/>
          <w:sz w:val="24"/>
        </w:rPr>
        <w:t>、</w:t>
      </w:r>
      <w:r>
        <w:rPr>
          <w:rFonts w:ascii="宋体" w:hAnsi="宋体" w:cs="宋体" w:hint="eastAsia"/>
          <w:color w:val="000000"/>
          <w:kern w:val="0"/>
          <w:sz w:val="24"/>
        </w:rPr>
        <w:t>相关公告、</w:t>
      </w:r>
      <w:r>
        <w:rPr>
          <w:rFonts w:ascii="宋体" w:hAnsi="宋体" w:cs="宋体"/>
          <w:color w:val="000000"/>
          <w:kern w:val="0"/>
          <w:sz w:val="24"/>
        </w:rPr>
        <w:t>基金产品与服务等信息，请拨打</w:t>
      </w:r>
      <w:r>
        <w:rPr>
          <w:rFonts w:ascii="宋体" w:hAnsi="宋体" w:cs="宋体" w:hint="eastAsia"/>
          <w:color w:val="000000"/>
          <w:kern w:val="0"/>
          <w:sz w:val="24"/>
        </w:rPr>
        <w:t>本基金管理人</w:t>
      </w:r>
      <w:r>
        <w:rPr>
          <w:rFonts w:ascii="宋体" w:hAnsi="宋体" w:cs="宋体"/>
          <w:color w:val="000000"/>
          <w:kern w:val="0"/>
          <w:sz w:val="24"/>
        </w:rPr>
        <w:t>客户服务电话</w:t>
      </w:r>
      <w:r>
        <w:rPr>
          <w:rFonts w:ascii="宋体" w:hAnsi="宋体" w:cs="宋体" w:hint="eastAsia"/>
          <w:color w:val="000000"/>
          <w:kern w:val="0"/>
          <w:sz w:val="24"/>
        </w:rPr>
        <w:t>（400-700-5000，</w:t>
      </w:r>
      <w:r>
        <w:rPr>
          <w:rFonts w:ascii="宋体" w:hAnsi="宋体" w:cs="宋体"/>
          <w:color w:val="000000"/>
          <w:kern w:val="0"/>
          <w:sz w:val="24"/>
        </w:rPr>
        <w:t>0</w:t>
      </w:r>
      <w:r>
        <w:rPr>
          <w:rFonts w:ascii="宋体" w:hAnsi="宋体" w:cs="宋体" w:hint="eastAsia"/>
          <w:color w:val="000000"/>
          <w:kern w:val="0"/>
          <w:sz w:val="24"/>
        </w:rPr>
        <w:t>21-61055000）</w:t>
      </w:r>
      <w:r>
        <w:rPr>
          <w:rFonts w:ascii="宋体" w:hAnsi="宋体" w:cs="宋体"/>
          <w:color w:val="000000"/>
          <w:kern w:val="0"/>
          <w:sz w:val="24"/>
        </w:rPr>
        <w:t>或登录</w:t>
      </w:r>
      <w:r>
        <w:rPr>
          <w:rFonts w:ascii="宋体" w:hAnsi="宋体" w:cs="宋体" w:hint="eastAsia"/>
          <w:color w:val="000000"/>
          <w:kern w:val="0"/>
          <w:sz w:val="24"/>
        </w:rPr>
        <w:t>本基金管理人</w:t>
      </w:r>
      <w:r>
        <w:rPr>
          <w:rFonts w:ascii="宋体" w:hAnsi="宋体" w:cs="宋体"/>
          <w:color w:val="000000"/>
          <w:kern w:val="0"/>
          <w:sz w:val="24"/>
        </w:rPr>
        <w:t>网站（</w:t>
      </w:r>
      <w:hyperlink r:id="rId17" w:history="1">
        <w:r>
          <w:rPr>
            <w:rStyle w:val="af4"/>
            <w:rFonts w:hint="eastAsia"/>
            <w:color w:val="000000"/>
            <w:sz w:val="24"/>
            <w:u w:val="none"/>
          </w:rPr>
          <w:t>www.fund001.com</w:t>
        </w:r>
      </w:hyperlink>
      <w:r>
        <w:rPr>
          <w:rStyle w:val="af4"/>
          <w:rFonts w:hint="eastAsia"/>
          <w:color w:val="000000"/>
          <w:u w:val="none"/>
        </w:rPr>
        <w:t>，</w:t>
      </w:r>
      <w:r>
        <w:rPr>
          <w:rStyle w:val="af4"/>
          <w:rFonts w:hint="eastAsia"/>
          <w:color w:val="000000"/>
          <w:u w:val="none"/>
        </w:rPr>
        <w:t>www</w:t>
      </w:r>
      <w:r>
        <w:rPr>
          <w:rStyle w:val="af4"/>
          <w:rFonts w:hint="eastAsia"/>
          <w:color w:val="000000"/>
          <w:sz w:val="24"/>
          <w:u w:val="none"/>
        </w:rPr>
        <w:t>.bocomschroder.com</w:t>
      </w:r>
      <w:r>
        <w:rPr>
          <w:rFonts w:ascii="宋体" w:hAnsi="宋体" w:cs="宋体"/>
          <w:color w:val="000000"/>
          <w:kern w:val="0"/>
          <w:sz w:val="24"/>
        </w:rPr>
        <w:t xml:space="preserve">）进行咨询、查询。 </w:t>
      </w:r>
    </w:p>
    <w:p w14:paraId="74CA62BB" w14:textId="77777777" w:rsidR="00CF57A4" w:rsidRDefault="00B13D46">
      <w:pPr>
        <w:widowControl/>
        <w:spacing w:line="360" w:lineRule="auto"/>
        <w:ind w:firstLineChars="200" w:firstLine="480"/>
        <w:rPr>
          <w:color w:val="000000"/>
          <w:kern w:val="0"/>
          <w:sz w:val="24"/>
        </w:rPr>
      </w:pPr>
      <w:r>
        <w:rPr>
          <w:color w:val="000000"/>
          <w:kern w:val="0"/>
          <w:sz w:val="24"/>
        </w:rPr>
        <w:t>服务联系方式：</w:t>
      </w:r>
      <w:r>
        <w:rPr>
          <w:color w:val="000000"/>
          <w:kern w:val="0"/>
          <w:sz w:val="24"/>
        </w:rPr>
        <w:t xml:space="preserve"> </w:t>
      </w:r>
    </w:p>
    <w:p w14:paraId="133A98DF" w14:textId="77777777" w:rsidR="00CF57A4" w:rsidRDefault="00B13D46">
      <w:pPr>
        <w:widowControl/>
        <w:spacing w:line="360" w:lineRule="auto"/>
        <w:ind w:firstLineChars="200" w:firstLine="480"/>
        <w:rPr>
          <w:color w:val="000000"/>
          <w:kern w:val="0"/>
          <w:sz w:val="24"/>
        </w:rPr>
      </w:pPr>
      <w:r>
        <w:rPr>
          <w:rFonts w:hint="eastAsia"/>
          <w:color w:val="000000"/>
          <w:kern w:val="0"/>
          <w:sz w:val="24"/>
        </w:rPr>
        <w:t>本</w:t>
      </w:r>
      <w:r>
        <w:rPr>
          <w:color w:val="000000"/>
          <w:kern w:val="0"/>
          <w:sz w:val="24"/>
        </w:rPr>
        <w:t>基金管理人的互联网地址及电子信箱</w:t>
      </w:r>
      <w:r>
        <w:rPr>
          <w:color w:val="000000"/>
          <w:kern w:val="0"/>
          <w:sz w:val="24"/>
        </w:rPr>
        <w:t xml:space="preserve"> </w:t>
      </w:r>
    </w:p>
    <w:p w14:paraId="4A075D15" w14:textId="77777777" w:rsidR="00CF57A4" w:rsidRDefault="00B13D46">
      <w:pPr>
        <w:widowControl/>
        <w:spacing w:line="360" w:lineRule="auto"/>
        <w:ind w:firstLineChars="200" w:firstLine="480"/>
        <w:rPr>
          <w:color w:val="000000"/>
          <w:kern w:val="0"/>
          <w:sz w:val="24"/>
        </w:rPr>
      </w:pPr>
      <w:r>
        <w:rPr>
          <w:color w:val="000000"/>
          <w:kern w:val="0"/>
          <w:sz w:val="24"/>
        </w:rPr>
        <w:t>网址</w:t>
      </w:r>
      <w:r>
        <w:rPr>
          <w:rFonts w:hint="eastAsia"/>
          <w:color w:val="000000"/>
          <w:kern w:val="0"/>
          <w:sz w:val="24"/>
        </w:rPr>
        <w:t>：</w:t>
      </w:r>
      <w:hyperlink r:id="rId18" w:history="1">
        <w:r>
          <w:rPr>
            <w:rStyle w:val="af4"/>
            <w:color w:val="000000"/>
            <w:kern w:val="0"/>
            <w:sz w:val="24"/>
            <w:u w:val="none"/>
          </w:rPr>
          <w:t>www.fund001.com</w:t>
        </w:r>
      </w:hyperlink>
      <w:r>
        <w:rPr>
          <w:rFonts w:hint="eastAsia"/>
          <w:color w:val="000000"/>
          <w:kern w:val="0"/>
          <w:sz w:val="24"/>
        </w:rPr>
        <w:t>，</w:t>
      </w:r>
      <w:r>
        <w:rPr>
          <w:color w:val="000000"/>
          <w:kern w:val="0"/>
          <w:sz w:val="24"/>
        </w:rPr>
        <w:t xml:space="preserve">www.bocomschroder.com </w:t>
      </w:r>
    </w:p>
    <w:p w14:paraId="178ABFB4" w14:textId="77777777" w:rsidR="00CF57A4" w:rsidRDefault="00B13D46">
      <w:pPr>
        <w:widowControl/>
        <w:spacing w:line="360" w:lineRule="auto"/>
        <w:ind w:firstLineChars="200" w:firstLine="480"/>
        <w:rPr>
          <w:color w:val="000000"/>
          <w:kern w:val="0"/>
          <w:sz w:val="24"/>
        </w:rPr>
      </w:pPr>
      <w:r>
        <w:rPr>
          <w:color w:val="000000"/>
          <w:kern w:val="0"/>
          <w:sz w:val="24"/>
        </w:rPr>
        <w:t>电子信箱：</w:t>
      </w:r>
      <w:r>
        <w:rPr>
          <w:color w:val="000000"/>
          <w:kern w:val="0"/>
          <w:sz w:val="24"/>
        </w:rPr>
        <w:t>services@jysld.com</w:t>
      </w:r>
    </w:p>
    <w:p w14:paraId="40E92466" w14:textId="77777777" w:rsidR="00CF57A4" w:rsidRDefault="00CF57A4">
      <w:pPr>
        <w:widowControl/>
        <w:spacing w:line="360" w:lineRule="auto"/>
        <w:ind w:firstLineChars="200" w:firstLine="480"/>
        <w:rPr>
          <w:rFonts w:ascii="宋体" w:hAnsi="宋体" w:cs="宋体"/>
          <w:color w:val="000000"/>
          <w:kern w:val="0"/>
          <w:sz w:val="24"/>
        </w:rPr>
      </w:pPr>
    </w:p>
    <w:p w14:paraId="4B2625E2" w14:textId="77777777" w:rsidR="00CF57A4" w:rsidRDefault="00CF57A4">
      <w:pPr>
        <w:widowControl/>
        <w:spacing w:line="360" w:lineRule="auto"/>
        <w:ind w:firstLineChars="200" w:firstLine="480"/>
        <w:rPr>
          <w:rFonts w:ascii="宋体" w:hAnsi="宋体" w:cs="宋体"/>
          <w:color w:val="000000"/>
          <w:kern w:val="0"/>
          <w:sz w:val="24"/>
        </w:rPr>
      </w:pPr>
    </w:p>
    <w:p w14:paraId="11883E39" w14:textId="77777777" w:rsidR="00CF57A4" w:rsidRDefault="00CF57A4">
      <w:pPr>
        <w:widowControl/>
        <w:spacing w:line="360" w:lineRule="auto"/>
        <w:ind w:firstLineChars="200" w:firstLine="480"/>
        <w:rPr>
          <w:rFonts w:ascii="宋体" w:hAnsi="宋体" w:cs="宋体"/>
          <w:color w:val="000000"/>
          <w:kern w:val="0"/>
          <w:sz w:val="24"/>
        </w:rPr>
      </w:pPr>
    </w:p>
    <w:p w14:paraId="32C7D27F" w14:textId="77777777" w:rsidR="00CF57A4" w:rsidRDefault="00CF57A4">
      <w:pPr>
        <w:widowControl/>
        <w:spacing w:line="360" w:lineRule="auto"/>
        <w:ind w:firstLineChars="200" w:firstLine="480"/>
        <w:rPr>
          <w:rFonts w:ascii="宋体" w:hAnsi="宋体" w:cs="宋体"/>
          <w:color w:val="000000"/>
          <w:kern w:val="0"/>
          <w:sz w:val="24"/>
        </w:rPr>
      </w:pPr>
    </w:p>
    <w:p w14:paraId="36E3180C" w14:textId="77777777" w:rsidR="00CF57A4" w:rsidRDefault="00CF57A4">
      <w:pPr>
        <w:widowControl/>
        <w:spacing w:line="360" w:lineRule="auto"/>
        <w:ind w:firstLineChars="200" w:firstLine="480"/>
        <w:rPr>
          <w:rFonts w:ascii="宋体" w:hAnsi="宋体" w:cs="宋体"/>
          <w:color w:val="000000"/>
          <w:kern w:val="0"/>
          <w:sz w:val="24"/>
        </w:rPr>
      </w:pPr>
    </w:p>
    <w:p w14:paraId="411E49E5" w14:textId="77777777" w:rsidR="00CF57A4" w:rsidRDefault="00CF57A4">
      <w:pPr>
        <w:widowControl/>
        <w:spacing w:line="360" w:lineRule="auto"/>
        <w:ind w:firstLineChars="200" w:firstLine="480"/>
        <w:rPr>
          <w:rFonts w:ascii="宋体" w:hAnsi="宋体" w:cs="宋体"/>
          <w:color w:val="000000"/>
          <w:kern w:val="0"/>
          <w:sz w:val="24"/>
        </w:rPr>
      </w:pPr>
    </w:p>
    <w:p w14:paraId="42059F3F" w14:textId="77777777" w:rsidR="00CF57A4" w:rsidRDefault="00CF57A4">
      <w:pPr>
        <w:widowControl/>
        <w:spacing w:line="360" w:lineRule="auto"/>
        <w:ind w:firstLineChars="200" w:firstLine="480"/>
        <w:rPr>
          <w:rFonts w:ascii="宋体" w:hAnsi="宋体" w:cs="宋体"/>
          <w:color w:val="000000"/>
          <w:kern w:val="0"/>
          <w:sz w:val="24"/>
        </w:rPr>
      </w:pPr>
    </w:p>
    <w:p w14:paraId="6CBB118B" w14:textId="77777777" w:rsidR="00CF57A4" w:rsidRDefault="00CF57A4">
      <w:pPr>
        <w:widowControl/>
        <w:spacing w:line="360" w:lineRule="auto"/>
        <w:ind w:firstLineChars="200" w:firstLine="480"/>
        <w:rPr>
          <w:rFonts w:ascii="宋体" w:hAnsi="宋体" w:cs="宋体"/>
          <w:color w:val="000000"/>
          <w:kern w:val="0"/>
          <w:sz w:val="24"/>
        </w:rPr>
      </w:pPr>
    </w:p>
    <w:p w14:paraId="5F9D03A5" w14:textId="77777777" w:rsidR="00CF57A4" w:rsidRDefault="00B13D46">
      <w:pPr>
        <w:pStyle w:val="af1"/>
        <w:rPr>
          <w:rFonts w:eastAsia="黑体"/>
          <w:color w:val="000000"/>
          <w:kern w:val="0"/>
          <w:sz w:val="30"/>
        </w:rPr>
      </w:pPr>
      <w:bookmarkStart w:id="258" w:name="_Toc109537401"/>
      <w:r>
        <w:rPr>
          <w:rFonts w:eastAsia="黑体"/>
          <w:color w:val="000000"/>
          <w:kern w:val="0"/>
          <w:sz w:val="30"/>
        </w:rPr>
        <w:br w:type="page"/>
      </w:r>
      <w:bookmarkStart w:id="259" w:name="_Toc320704106"/>
      <w:bookmarkStart w:id="260" w:name="_Toc320704375"/>
      <w:bookmarkStart w:id="261" w:name="_Toc322002739"/>
      <w:bookmarkStart w:id="262" w:name="_Toc320703982"/>
      <w:bookmarkStart w:id="263" w:name="_Toc320704033"/>
      <w:bookmarkStart w:id="264" w:name="_Toc322519890"/>
      <w:r>
        <w:rPr>
          <w:rFonts w:eastAsia="黑体" w:hint="eastAsia"/>
          <w:color w:val="000000"/>
          <w:kern w:val="0"/>
          <w:sz w:val="30"/>
        </w:rPr>
        <w:lastRenderedPageBreak/>
        <w:t>二十三、其他应披露事项</w:t>
      </w:r>
      <w:bookmarkEnd w:id="258"/>
      <w:bookmarkEnd w:id="259"/>
      <w:bookmarkEnd w:id="260"/>
      <w:bookmarkEnd w:id="261"/>
      <w:bookmarkEnd w:id="262"/>
      <w:bookmarkEnd w:id="263"/>
      <w:bookmarkEnd w:id="264"/>
    </w:p>
    <w:p w14:paraId="25A1BE6A" w14:textId="77777777" w:rsidR="006B782E" w:rsidRPr="00410806" w:rsidRDefault="006B782E" w:rsidP="006B782E">
      <w:pPr>
        <w:widowControl/>
        <w:spacing w:line="360" w:lineRule="auto"/>
        <w:ind w:rightChars="-85" w:right="-178" w:firstLineChars="200" w:firstLine="480"/>
        <w:jc w:val="left"/>
        <w:rPr>
          <w:kern w:val="0"/>
          <w:sz w:val="24"/>
        </w:rPr>
      </w:pPr>
      <w:r w:rsidRPr="00410806">
        <w:rPr>
          <w:kern w:val="0"/>
          <w:sz w:val="24"/>
        </w:rPr>
        <w:t>基金合同如有未尽事宜，由基金合同当事人各方按有关法律法规协商解决。</w:t>
      </w:r>
    </w:p>
    <w:p w14:paraId="4912AA72" w14:textId="77777777" w:rsidR="006B782E" w:rsidRPr="00EF2704" w:rsidRDefault="006B782E" w:rsidP="006B782E">
      <w:pPr>
        <w:widowControl/>
        <w:spacing w:line="360" w:lineRule="auto"/>
        <w:ind w:rightChars="-85" w:right="-178" w:firstLineChars="200" w:firstLine="480"/>
        <w:jc w:val="left"/>
      </w:pPr>
      <w:r w:rsidRPr="00410806">
        <w:rPr>
          <w:rFonts w:hint="eastAsia"/>
          <w:kern w:val="0"/>
          <w:sz w:val="24"/>
        </w:rPr>
        <w:t>本招募说明书更新期间基金披露的其他重要事项</w:t>
      </w:r>
    </w:p>
    <w:tbl>
      <w:tblPr>
        <w:tblW w:w="520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7"/>
        <w:gridCol w:w="4188"/>
        <w:gridCol w:w="1586"/>
        <w:gridCol w:w="2312"/>
      </w:tblGrid>
      <w:tr w:rsidR="006B782E" w:rsidRPr="003757FB" w14:paraId="2110B207" w14:textId="77777777" w:rsidTr="009C5B8C">
        <w:trPr>
          <w:trHeight w:val="20"/>
        </w:trPr>
        <w:tc>
          <w:tcPr>
            <w:tcW w:w="407" w:type="pct"/>
            <w:shd w:val="clear" w:color="auto" w:fill="auto"/>
            <w:vAlign w:val="center"/>
            <w:hideMark/>
          </w:tcPr>
          <w:p w14:paraId="6C21AB42" w14:textId="77777777" w:rsidR="006B782E" w:rsidRPr="009C5B8C" w:rsidRDefault="006B782E" w:rsidP="00DB30BC">
            <w:pPr>
              <w:widowControl/>
              <w:rPr>
                <w:rFonts w:asciiTheme="minorEastAsia" w:eastAsiaTheme="minorEastAsia" w:hAnsiTheme="minorEastAsia"/>
                <w:color w:val="000000"/>
                <w:kern w:val="0"/>
                <w:sz w:val="24"/>
              </w:rPr>
            </w:pPr>
            <w:r w:rsidRPr="009C5B8C">
              <w:rPr>
                <w:rFonts w:asciiTheme="minorEastAsia" w:eastAsiaTheme="minorEastAsia" w:hAnsiTheme="minorEastAsia" w:hint="eastAsia"/>
                <w:color w:val="000000"/>
                <w:kern w:val="0"/>
                <w:sz w:val="24"/>
              </w:rPr>
              <w:t>序号</w:t>
            </w:r>
          </w:p>
        </w:tc>
        <w:tc>
          <w:tcPr>
            <w:tcW w:w="2379" w:type="pct"/>
            <w:shd w:val="clear" w:color="auto" w:fill="auto"/>
            <w:noWrap/>
            <w:vAlign w:val="center"/>
            <w:hideMark/>
          </w:tcPr>
          <w:p w14:paraId="62B3E6A1" w14:textId="77777777" w:rsidR="006B782E" w:rsidRPr="009C5B8C" w:rsidRDefault="006B782E" w:rsidP="00DB30BC">
            <w:pPr>
              <w:widowControl/>
              <w:jc w:val="center"/>
              <w:rPr>
                <w:rFonts w:asciiTheme="minorEastAsia" w:eastAsiaTheme="minorEastAsia" w:hAnsiTheme="minorEastAsia" w:cs="宋体"/>
                <w:color w:val="000000"/>
                <w:kern w:val="0"/>
                <w:sz w:val="24"/>
              </w:rPr>
            </w:pPr>
            <w:r w:rsidRPr="009C5B8C">
              <w:rPr>
                <w:rFonts w:asciiTheme="minorEastAsia" w:eastAsiaTheme="minorEastAsia" w:hAnsiTheme="minorEastAsia" w:cs="宋体" w:hint="eastAsia"/>
                <w:color w:val="000000"/>
                <w:kern w:val="0"/>
                <w:sz w:val="24"/>
              </w:rPr>
              <w:t>公告事项</w:t>
            </w:r>
          </w:p>
        </w:tc>
        <w:tc>
          <w:tcPr>
            <w:tcW w:w="901" w:type="pct"/>
            <w:shd w:val="clear" w:color="auto" w:fill="auto"/>
            <w:noWrap/>
            <w:vAlign w:val="center"/>
            <w:hideMark/>
          </w:tcPr>
          <w:p w14:paraId="2AA39ECF" w14:textId="77777777" w:rsidR="006B782E" w:rsidRPr="009C5B8C" w:rsidRDefault="006B782E" w:rsidP="00DB30BC">
            <w:pPr>
              <w:widowControl/>
              <w:jc w:val="center"/>
              <w:rPr>
                <w:rFonts w:asciiTheme="minorEastAsia" w:eastAsiaTheme="minorEastAsia" w:hAnsiTheme="minorEastAsia" w:cs="宋体"/>
                <w:color w:val="000000"/>
                <w:kern w:val="0"/>
                <w:sz w:val="24"/>
              </w:rPr>
            </w:pPr>
            <w:r w:rsidRPr="009C5B8C">
              <w:rPr>
                <w:rFonts w:asciiTheme="minorEastAsia" w:eastAsiaTheme="minorEastAsia" w:hAnsiTheme="minorEastAsia" w:cs="宋体" w:hint="eastAsia"/>
                <w:color w:val="000000"/>
                <w:kern w:val="0"/>
                <w:sz w:val="24"/>
              </w:rPr>
              <w:t>法定披露方式</w:t>
            </w:r>
          </w:p>
        </w:tc>
        <w:tc>
          <w:tcPr>
            <w:tcW w:w="1313" w:type="pct"/>
            <w:shd w:val="clear" w:color="auto" w:fill="auto"/>
            <w:noWrap/>
            <w:vAlign w:val="center"/>
            <w:hideMark/>
          </w:tcPr>
          <w:p w14:paraId="62102963" w14:textId="77777777" w:rsidR="006B782E" w:rsidRPr="009C5B8C" w:rsidRDefault="006B782E" w:rsidP="00DB30BC">
            <w:pPr>
              <w:widowControl/>
              <w:ind w:rightChars="83" w:right="174"/>
              <w:jc w:val="center"/>
              <w:rPr>
                <w:rFonts w:asciiTheme="minorEastAsia" w:eastAsiaTheme="minorEastAsia" w:hAnsiTheme="minorEastAsia"/>
                <w:color w:val="000000"/>
                <w:kern w:val="0"/>
                <w:sz w:val="24"/>
              </w:rPr>
            </w:pPr>
            <w:r w:rsidRPr="009C5B8C">
              <w:rPr>
                <w:rFonts w:asciiTheme="minorEastAsia" w:eastAsiaTheme="minorEastAsia" w:hAnsiTheme="minorEastAsia" w:hint="eastAsia"/>
                <w:color w:val="000000"/>
                <w:kern w:val="0"/>
                <w:sz w:val="24"/>
              </w:rPr>
              <w:t>法定披露日期</w:t>
            </w:r>
          </w:p>
        </w:tc>
      </w:tr>
      <w:tr w:rsidR="003757FB" w:rsidRPr="003757FB" w14:paraId="58A8CC5D" w14:textId="77777777" w:rsidTr="009C5B8C">
        <w:trPr>
          <w:trHeight w:val="20"/>
        </w:trPr>
        <w:tc>
          <w:tcPr>
            <w:tcW w:w="407" w:type="pct"/>
            <w:shd w:val="clear" w:color="auto" w:fill="auto"/>
            <w:vAlign w:val="center"/>
          </w:tcPr>
          <w:p w14:paraId="79EC49D8" w14:textId="0218B191" w:rsidR="003757FB" w:rsidRPr="009C5B8C" w:rsidRDefault="003757FB" w:rsidP="003757FB">
            <w:pPr>
              <w:widowControl/>
              <w:rPr>
                <w:rFonts w:asciiTheme="minorEastAsia" w:eastAsiaTheme="minorEastAsia" w:hAnsiTheme="minorEastAsia"/>
                <w:color w:val="000000"/>
                <w:kern w:val="0"/>
                <w:sz w:val="24"/>
              </w:rPr>
            </w:pPr>
            <w:r w:rsidRPr="009C5B8C">
              <w:rPr>
                <w:rFonts w:asciiTheme="minorEastAsia" w:eastAsiaTheme="minorEastAsia" w:hAnsiTheme="minorEastAsia"/>
                <w:color w:val="000000"/>
                <w:kern w:val="0"/>
                <w:sz w:val="24"/>
              </w:rPr>
              <w:t>1</w:t>
            </w:r>
          </w:p>
        </w:tc>
        <w:tc>
          <w:tcPr>
            <w:tcW w:w="2379" w:type="pct"/>
            <w:shd w:val="clear" w:color="auto" w:fill="auto"/>
            <w:noWrap/>
            <w:vAlign w:val="center"/>
          </w:tcPr>
          <w:p w14:paraId="78D9DF79" w14:textId="578DE816" w:rsidR="003757FB" w:rsidRPr="009C5B8C" w:rsidRDefault="003757FB" w:rsidP="003757FB">
            <w:pPr>
              <w:widowControl/>
              <w:jc w:val="center"/>
              <w:rPr>
                <w:rFonts w:asciiTheme="minorEastAsia" w:eastAsiaTheme="minorEastAsia" w:hAnsiTheme="minorEastAsia" w:cs="宋体"/>
                <w:color w:val="000000"/>
                <w:kern w:val="0"/>
                <w:sz w:val="24"/>
              </w:rPr>
            </w:pPr>
            <w:r w:rsidRPr="009C5B8C">
              <w:rPr>
                <w:rFonts w:asciiTheme="minorEastAsia" w:eastAsiaTheme="minorEastAsia" w:hAnsiTheme="minorEastAsia" w:hint="eastAsia"/>
                <w:sz w:val="24"/>
              </w:rPr>
              <w:t>深证</w:t>
            </w:r>
            <w:r w:rsidRPr="009C5B8C">
              <w:rPr>
                <w:rFonts w:asciiTheme="minorEastAsia" w:eastAsiaTheme="minorEastAsia" w:hAnsiTheme="minorEastAsia"/>
                <w:sz w:val="24"/>
              </w:rPr>
              <w:t>300</w:t>
            </w:r>
            <w:r w:rsidRPr="009C5B8C">
              <w:rPr>
                <w:rFonts w:asciiTheme="minorEastAsia" w:eastAsiaTheme="minorEastAsia" w:hAnsiTheme="minorEastAsia" w:hint="eastAsia"/>
                <w:sz w:val="24"/>
              </w:rPr>
              <w:t>价值交易型开放式指数证券投资基金</w:t>
            </w:r>
            <w:r w:rsidRPr="009C5B8C">
              <w:rPr>
                <w:rFonts w:asciiTheme="minorEastAsia" w:eastAsiaTheme="minorEastAsia" w:hAnsiTheme="minorEastAsia"/>
                <w:sz w:val="24"/>
              </w:rPr>
              <w:t>2017</w:t>
            </w:r>
            <w:r w:rsidRPr="009C5B8C">
              <w:rPr>
                <w:rFonts w:asciiTheme="minorEastAsia" w:eastAsiaTheme="minorEastAsia" w:hAnsiTheme="minorEastAsia" w:hint="eastAsia"/>
                <w:sz w:val="24"/>
              </w:rPr>
              <w:t>年第</w:t>
            </w:r>
            <w:r w:rsidRPr="009C5B8C">
              <w:rPr>
                <w:rFonts w:asciiTheme="minorEastAsia" w:eastAsiaTheme="minorEastAsia" w:hAnsiTheme="minorEastAsia"/>
                <w:sz w:val="24"/>
              </w:rPr>
              <w:t>3</w:t>
            </w:r>
            <w:r w:rsidRPr="009C5B8C">
              <w:rPr>
                <w:rFonts w:asciiTheme="minorEastAsia" w:eastAsiaTheme="minorEastAsia" w:hAnsiTheme="minorEastAsia" w:hint="eastAsia"/>
                <w:sz w:val="24"/>
              </w:rPr>
              <w:t>季度报告</w:t>
            </w:r>
          </w:p>
        </w:tc>
        <w:tc>
          <w:tcPr>
            <w:tcW w:w="901" w:type="pct"/>
            <w:shd w:val="clear" w:color="auto" w:fill="auto"/>
            <w:noWrap/>
            <w:vAlign w:val="center"/>
          </w:tcPr>
          <w:p w14:paraId="595F1679" w14:textId="7A0D86A1" w:rsidR="003757FB" w:rsidRPr="009C5B8C" w:rsidRDefault="003757FB" w:rsidP="003757FB">
            <w:pPr>
              <w:widowControl/>
              <w:jc w:val="center"/>
              <w:rPr>
                <w:rFonts w:asciiTheme="minorEastAsia" w:eastAsiaTheme="minorEastAsia" w:hAnsiTheme="minorEastAsia" w:cs="宋体"/>
                <w:color w:val="000000"/>
                <w:kern w:val="0"/>
                <w:sz w:val="24"/>
              </w:rPr>
            </w:pPr>
            <w:r w:rsidRPr="009C5B8C">
              <w:rPr>
                <w:rFonts w:asciiTheme="minorEastAsia" w:eastAsiaTheme="minorEastAsia" w:hAnsiTheme="minorEastAsia" w:hint="eastAsia"/>
                <w:sz w:val="24"/>
              </w:rPr>
              <w:t>中国证券报、上海证券报、证券时报</w:t>
            </w:r>
          </w:p>
        </w:tc>
        <w:tc>
          <w:tcPr>
            <w:tcW w:w="1313" w:type="pct"/>
            <w:shd w:val="clear" w:color="auto" w:fill="auto"/>
            <w:noWrap/>
            <w:vAlign w:val="center"/>
          </w:tcPr>
          <w:p w14:paraId="2FEE00FE" w14:textId="73F2CB3E" w:rsidR="003757FB" w:rsidRPr="009C5B8C" w:rsidRDefault="003757FB" w:rsidP="003757FB">
            <w:pPr>
              <w:widowControl/>
              <w:ind w:rightChars="83" w:right="174"/>
              <w:jc w:val="center"/>
              <w:rPr>
                <w:rFonts w:asciiTheme="minorEastAsia" w:eastAsiaTheme="minorEastAsia" w:hAnsiTheme="minorEastAsia"/>
                <w:color w:val="000000"/>
                <w:kern w:val="0"/>
                <w:sz w:val="24"/>
              </w:rPr>
            </w:pPr>
            <w:r w:rsidRPr="009C5B8C">
              <w:rPr>
                <w:rFonts w:asciiTheme="minorEastAsia" w:eastAsiaTheme="minorEastAsia" w:hAnsiTheme="minorEastAsia"/>
                <w:sz w:val="24"/>
              </w:rPr>
              <w:t>2017-10-25</w:t>
            </w:r>
          </w:p>
        </w:tc>
      </w:tr>
      <w:tr w:rsidR="003757FB" w:rsidRPr="003757FB" w14:paraId="451E73A9" w14:textId="77777777" w:rsidTr="009C5B8C">
        <w:trPr>
          <w:trHeight w:val="20"/>
        </w:trPr>
        <w:tc>
          <w:tcPr>
            <w:tcW w:w="407" w:type="pct"/>
            <w:shd w:val="clear" w:color="auto" w:fill="auto"/>
            <w:vAlign w:val="center"/>
          </w:tcPr>
          <w:p w14:paraId="47AB147F" w14:textId="2A738067" w:rsidR="003757FB" w:rsidRPr="009C5B8C" w:rsidRDefault="003757FB" w:rsidP="003757FB">
            <w:pPr>
              <w:widowControl/>
              <w:rPr>
                <w:rFonts w:asciiTheme="minorEastAsia" w:eastAsiaTheme="minorEastAsia" w:hAnsiTheme="minorEastAsia"/>
                <w:color w:val="000000"/>
                <w:kern w:val="0"/>
                <w:sz w:val="24"/>
              </w:rPr>
            </w:pPr>
            <w:r w:rsidRPr="009C5B8C">
              <w:rPr>
                <w:rFonts w:asciiTheme="minorEastAsia" w:eastAsiaTheme="minorEastAsia" w:hAnsiTheme="minorEastAsia"/>
                <w:color w:val="000000"/>
                <w:kern w:val="0"/>
                <w:sz w:val="24"/>
              </w:rPr>
              <w:t>2</w:t>
            </w:r>
          </w:p>
        </w:tc>
        <w:tc>
          <w:tcPr>
            <w:tcW w:w="2379" w:type="pct"/>
            <w:shd w:val="clear" w:color="auto" w:fill="auto"/>
            <w:noWrap/>
            <w:vAlign w:val="center"/>
          </w:tcPr>
          <w:p w14:paraId="093E3591" w14:textId="42CDC887" w:rsidR="003757FB" w:rsidRPr="009C5B8C" w:rsidRDefault="003757FB" w:rsidP="003757FB">
            <w:pPr>
              <w:widowControl/>
              <w:jc w:val="center"/>
              <w:rPr>
                <w:rFonts w:asciiTheme="minorEastAsia" w:eastAsiaTheme="minorEastAsia" w:hAnsiTheme="minorEastAsia" w:cs="宋体"/>
                <w:color w:val="000000"/>
                <w:kern w:val="0"/>
                <w:sz w:val="24"/>
              </w:rPr>
            </w:pPr>
            <w:r w:rsidRPr="009C5B8C">
              <w:rPr>
                <w:rFonts w:asciiTheme="minorEastAsia" w:eastAsiaTheme="minorEastAsia" w:hAnsiTheme="minorEastAsia" w:hint="eastAsia"/>
                <w:sz w:val="24"/>
              </w:rPr>
              <w:t>深证</w:t>
            </w:r>
            <w:r w:rsidRPr="009C5B8C">
              <w:rPr>
                <w:rFonts w:asciiTheme="minorEastAsia" w:eastAsiaTheme="minorEastAsia" w:hAnsiTheme="minorEastAsia"/>
                <w:sz w:val="24"/>
              </w:rPr>
              <w:t>300</w:t>
            </w:r>
            <w:r w:rsidRPr="009C5B8C">
              <w:rPr>
                <w:rFonts w:asciiTheme="minorEastAsia" w:eastAsiaTheme="minorEastAsia" w:hAnsiTheme="minorEastAsia" w:hint="eastAsia"/>
                <w:sz w:val="24"/>
              </w:rPr>
              <w:t>价值交易型开放式指数证券投资基金（更新）招募说明书摘要（</w:t>
            </w:r>
            <w:r w:rsidRPr="009C5B8C">
              <w:rPr>
                <w:rFonts w:asciiTheme="minorEastAsia" w:eastAsiaTheme="minorEastAsia" w:hAnsiTheme="minorEastAsia"/>
                <w:sz w:val="24"/>
              </w:rPr>
              <w:t>2017</w:t>
            </w:r>
            <w:r w:rsidRPr="009C5B8C">
              <w:rPr>
                <w:rFonts w:asciiTheme="minorEastAsia" w:eastAsiaTheme="minorEastAsia" w:hAnsiTheme="minorEastAsia" w:hint="eastAsia"/>
                <w:sz w:val="24"/>
              </w:rPr>
              <w:t>年第</w:t>
            </w:r>
            <w:r w:rsidRPr="009C5B8C">
              <w:rPr>
                <w:rFonts w:asciiTheme="minorEastAsia" w:eastAsiaTheme="minorEastAsia" w:hAnsiTheme="minorEastAsia"/>
                <w:sz w:val="24"/>
              </w:rPr>
              <w:t>2</w:t>
            </w:r>
            <w:r w:rsidRPr="009C5B8C">
              <w:rPr>
                <w:rFonts w:asciiTheme="minorEastAsia" w:eastAsiaTheme="minorEastAsia" w:hAnsiTheme="minorEastAsia" w:hint="eastAsia"/>
                <w:sz w:val="24"/>
              </w:rPr>
              <w:t>号）</w:t>
            </w:r>
          </w:p>
        </w:tc>
        <w:tc>
          <w:tcPr>
            <w:tcW w:w="901" w:type="pct"/>
            <w:shd w:val="clear" w:color="auto" w:fill="auto"/>
            <w:noWrap/>
            <w:vAlign w:val="center"/>
          </w:tcPr>
          <w:p w14:paraId="32999E98" w14:textId="6B92B46A" w:rsidR="003757FB" w:rsidRPr="009C5B8C" w:rsidRDefault="003757FB" w:rsidP="003757FB">
            <w:pPr>
              <w:widowControl/>
              <w:jc w:val="center"/>
              <w:rPr>
                <w:rFonts w:asciiTheme="minorEastAsia" w:eastAsiaTheme="minorEastAsia" w:hAnsiTheme="minorEastAsia" w:cs="宋体"/>
                <w:color w:val="000000"/>
                <w:kern w:val="0"/>
                <w:sz w:val="24"/>
              </w:rPr>
            </w:pPr>
            <w:r w:rsidRPr="009C5B8C">
              <w:rPr>
                <w:rFonts w:asciiTheme="minorEastAsia" w:eastAsiaTheme="minorEastAsia" w:hAnsiTheme="minorEastAsia" w:hint="eastAsia"/>
                <w:sz w:val="24"/>
              </w:rPr>
              <w:t>中国证券报、上海证券报、证券时报</w:t>
            </w:r>
          </w:p>
        </w:tc>
        <w:tc>
          <w:tcPr>
            <w:tcW w:w="1313" w:type="pct"/>
            <w:shd w:val="clear" w:color="auto" w:fill="auto"/>
            <w:noWrap/>
            <w:vAlign w:val="center"/>
          </w:tcPr>
          <w:p w14:paraId="4A65F96C" w14:textId="76202A62" w:rsidR="003757FB" w:rsidRPr="009C5B8C" w:rsidRDefault="003757FB" w:rsidP="003757FB">
            <w:pPr>
              <w:widowControl/>
              <w:ind w:rightChars="83" w:right="174"/>
              <w:jc w:val="center"/>
              <w:rPr>
                <w:rFonts w:asciiTheme="minorEastAsia" w:eastAsiaTheme="minorEastAsia" w:hAnsiTheme="minorEastAsia"/>
                <w:color w:val="000000"/>
                <w:kern w:val="0"/>
                <w:sz w:val="24"/>
              </w:rPr>
            </w:pPr>
            <w:r w:rsidRPr="009C5B8C">
              <w:rPr>
                <w:rFonts w:asciiTheme="minorEastAsia" w:eastAsiaTheme="minorEastAsia" w:hAnsiTheme="minorEastAsia"/>
                <w:sz w:val="24"/>
              </w:rPr>
              <w:t>2017-11-6</w:t>
            </w:r>
          </w:p>
        </w:tc>
      </w:tr>
      <w:tr w:rsidR="003757FB" w:rsidRPr="003757FB" w14:paraId="003A7137" w14:textId="77777777" w:rsidTr="009C5B8C">
        <w:trPr>
          <w:trHeight w:val="20"/>
        </w:trPr>
        <w:tc>
          <w:tcPr>
            <w:tcW w:w="407" w:type="pct"/>
            <w:shd w:val="clear" w:color="auto" w:fill="auto"/>
            <w:vAlign w:val="center"/>
          </w:tcPr>
          <w:p w14:paraId="68134012" w14:textId="0EFC0C47" w:rsidR="003757FB" w:rsidRPr="009C5B8C" w:rsidRDefault="003757FB" w:rsidP="003757FB">
            <w:pPr>
              <w:widowControl/>
              <w:rPr>
                <w:rFonts w:asciiTheme="minorEastAsia" w:eastAsiaTheme="minorEastAsia" w:hAnsiTheme="minorEastAsia"/>
                <w:color w:val="000000"/>
                <w:kern w:val="0"/>
                <w:sz w:val="24"/>
              </w:rPr>
            </w:pPr>
            <w:r w:rsidRPr="009C5B8C">
              <w:rPr>
                <w:rFonts w:asciiTheme="minorEastAsia" w:eastAsiaTheme="minorEastAsia" w:hAnsiTheme="minorEastAsia"/>
                <w:color w:val="000000"/>
                <w:kern w:val="0"/>
                <w:sz w:val="24"/>
              </w:rPr>
              <w:t>3</w:t>
            </w:r>
          </w:p>
        </w:tc>
        <w:tc>
          <w:tcPr>
            <w:tcW w:w="2379" w:type="pct"/>
            <w:shd w:val="clear" w:color="auto" w:fill="auto"/>
            <w:noWrap/>
            <w:vAlign w:val="center"/>
          </w:tcPr>
          <w:p w14:paraId="458DEB1A" w14:textId="6FC39234" w:rsidR="003757FB" w:rsidRPr="009C5B8C" w:rsidRDefault="003757FB" w:rsidP="003757FB">
            <w:pPr>
              <w:widowControl/>
              <w:jc w:val="center"/>
              <w:rPr>
                <w:rFonts w:asciiTheme="minorEastAsia" w:eastAsiaTheme="minorEastAsia" w:hAnsiTheme="minorEastAsia" w:cs="宋体"/>
                <w:color w:val="000000"/>
                <w:kern w:val="0"/>
                <w:sz w:val="24"/>
              </w:rPr>
            </w:pPr>
            <w:r w:rsidRPr="009C5B8C">
              <w:rPr>
                <w:rFonts w:asciiTheme="minorEastAsia" w:eastAsiaTheme="minorEastAsia" w:hAnsiTheme="minorEastAsia" w:hint="eastAsia"/>
                <w:sz w:val="24"/>
              </w:rPr>
              <w:t>交银施罗德基金管理有限公司关于旗下基金缴纳增值税的提示性公告</w:t>
            </w:r>
          </w:p>
        </w:tc>
        <w:tc>
          <w:tcPr>
            <w:tcW w:w="901" w:type="pct"/>
            <w:shd w:val="clear" w:color="auto" w:fill="auto"/>
            <w:noWrap/>
            <w:vAlign w:val="center"/>
          </w:tcPr>
          <w:p w14:paraId="708118E3" w14:textId="3CCCBE2A" w:rsidR="003757FB" w:rsidRPr="009C5B8C" w:rsidRDefault="003757FB" w:rsidP="003757FB">
            <w:pPr>
              <w:widowControl/>
              <w:jc w:val="center"/>
              <w:rPr>
                <w:rFonts w:asciiTheme="minorEastAsia" w:eastAsiaTheme="minorEastAsia" w:hAnsiTheme="minorEastAsia" w:cs="宋体"/>
                <w:color w:val="000000"/>
                <w:kern w:val="0"/>
                <w:sz w:val="24"/>
              </w:rPr>
            </w:pPr>
            <w:r w:rsidRPr="009C5B8C">
              <w:rPr>
                <w:rFonts w:asciiTheme="minorEastAsia" w:eastAsiaTheme="minorEastAsia" w:hAnsiTheme="minorEastAsia" w:hint="eastAsia"/>
                <w:sz w:val="24"/>
              </w:rPr>
              <w:t>中国证券报、上海证券报、证券时报</w:t>
            </w:r>
          </w:p>
        </w:tc>
        <w:tc>
          <w:tcPr>
            <w:tcW w:w="1313" w:type="pct"/>
            <w:shd w:val="clear" w:color="auto" w:fill="auto"/>
            <w:noWrap/>
            <w:vAlign w:val="center"/>
          </w:tcPr>
          <w:p w14:paraId="23A4B181" w14:textId="15A8330B" w:rsidR="003757FB" w:rsidRPr="009C5B8C" w:rsidRDefault="003757FB" w:rsidP="003757FB">
            <w:pPr>
              <w:widowControl/>
              <w:ind w:rightChars="83" w:right="174"/>
              <w:jc w:val="center"/>
              <w:rPr>
                <w:rFonts w:asciiTheme="minorEastAsia" w:eastAsiaTheme="minorEastAsia" w:hAnsiTheme="minorEastAsia"/>
                <w:color w:val="000000"/>
                <w:kern w:val="0"/>
                <w:sz w:val="24"/>
              </w:rPr>
            </w:pPr>
            <w:r w:rsidRPr="009C5B8C">
              <w:rPr>
                <w:rFonts w:asciiTheme="minorEastAsia" w:eastAsiaTheme="minorEastAsia" w:hAnsiTheme="minorEastAsia"/>
                <w:sz w:val="24"/>
              </w:rPr>
              <w:t>2018-1-3</w:t>
            </w:r>
          </w:p>
        </w:tc>
      </w:tr>
      <w:tr w:rsidR="003757FB" w:rsidRPr="003757FB" w14:paraId="32CC157F" w14:textId="77777777" w:rsidTr="009C5B8C">
        <w:trPr>
          <w:trHeight w:val="20"/>
        </w:trPr>
        <w:tc>
          <w:tcPr>
            <w:tcW w:w="407" w:type="pct"/>
            <w:shd w:val="clear" w:color="auto" w:fill="auto"/>
            <w:vAlign w:val="center"/>
          </w:tcPr>
          <w:p w14:paraId="1E068DD3" w14:textId="56B6F44F" w:rsidR="003757FB" w:rsidRPr="009C5B8C" w:rsidRDefault="003757FB" w:rsidP="003757FB">
            <w:pPr>
              <w:widowControl/>
              <w:rPr>
                <w:rFonts w:asciiTheme="minorEastAsia" w:eastAsiaTheme="minorEastAsia" w:hAnsiTheme="minorEastAsia"/>
                <w:color w:val="000000"/>
                <w:kern w:val="0"/>
                <w:sz w:val="24"/>
              </w:rPr>
            </w:pPr>
            <w:r w:rsidRPr="009C5B8C">
              <w:rPr>
                <w:rFonts w:asciiTheme="minorEastAsia" w:eastAsiaTheme="minorEastAsia" w:hAnsiTheme="minorEastAsia"/>
                <w:color w:val="000000"/>
                <w:kern w:val="0"/>
                <w:sz w:val="24"/>
              </w:rPr>
              <w:t>4</w:t>
            </w:r>
          </w:p>
        </w:tc>
        <w:tc>
          <w:tcPr>
            <w:tcW w:w="2379" w:type="pct"/>
            <w:shd w:val="clear" w:color="auto" w:fill="auto"/>
            <w:noWrap/>
            <w:vAlign w:val="center"/>
          </w:tcPr>
          <w:p w14:paraId="7C7B9AC9" w14:textId="2EA9BE9F" w:rsidR="003757FB" w:rsidRPr="009C5B8C" w:rsidRDefault="003757FB" w:rsidP="003757FB">
            <w:pPr>
              <w:widowControl/>
              <w:jc w:val="center"/>
              <w:rPr>
                <w:rFonts w:asciiTheme="minorEastAsia" w:eastAsiaTheme="minorEastAsia" w:hAnsiTheme="minorEastAsia" w:cs="宋体"/>
                <w:color w:val="000000"/>
                <w:kern w:val="0"/>
                <w:sz w:val="24"/>
              </w:rPr>
            </w:pPr>
            <w:r w:rsidRPr="009C5B8C">
              <w:rPr>
                <w:rFonts w:asciiTheme="minorEastAsia" w:eastAsiaTheme="minorEastAsia" w:hAnsiTheme="minorEastAsia" w:hint="eastAsia"/>
                <w:sz w:val="24"/>
              </w:rPr>
              <w:t>深证</w:t>
            </w:r>
            <w:r w:rsidRPr="009C5B8C">
              <w:rPr>
                <w:rFonts w:asciiTheme="minorEastAsia" w:eastAsiaTheme="minorEastAsia" w:hAnsiTheme="minorEastAsia"/>
                <w:sz w:val="24"/>
              </w:rPr>
              <w:t>300</w:t>
            </w:r>
            <w:r w:rsidRPr="009C5B8C">
              <w:rPr>
                <w:rFonts w:asciiTheme="minorEastAsia" w:eastAsiaTheme="minorEastAsia" w:hAnsiTheme="minorEastAsia" w:hint="eastAsia"/>
                <w:sz w:val="24"/>
              </w:rPr>
              <w:t>价值交易型开放式指数证券投资基金</w:t>
            </w:r>
            <w:r w:rsidRPr="009C5B8C">
              <w:rPr>
                <w:rFonts w:asciiTheme="minorEastAsia" w:eastAsiaTheme="minorEastAsia" w:hAnsiTheme="minorEastAsia"/>
                <w:sz w:val="24"/>
              </w:rPr>
              <w:t>2017</w:t>
            </w:r>
            <w:r w:rsidRPr="009C5B8C">
              <w:rPr>
                <w:rFonts w:asciiTheme="minorEastAsia" w:eastAsiaTheme="minorEastAsia" w:hAnsiTheme="minorEastAsia" w:hint="eastAsia"/>
                <w:sz w:val="24"/>
              </w:rPr>
              <w:t>年第</w:t>
            </w:r>
            <w:r w:rsidRPr="009C5B8C">
              <w:rPr>
                <w:rFonts w:asciiTheme="minorEastAsia" w:eastAsiaTheme="minorEastAsia" w:hAnsiTheme="minorEastAsia"/>
                <w:sz w:val="24"/>
              </w:rPr>
              <w:t>4</w:t>
            </w:r>
            <w:r w:rsidRPr="009C5B8C">
              <w:rPr>
                <w:rFonts w:asciiTheme="minorEastAsia" w:eastAsiaTheme="minorEastAsia" w:hAnsiTheme="minorEastAsia" w:hint="eastAsia"/>
                <w:sz w:val="24"/>
              </w:rPr>
              <w:t>季度报告</w:t>
            </w:r>
          </w:p>
        </w:tc>
        <w:tc>
          <w:tcPr>
            <w:tcW w:w="901" w:type="pct"/>
            <w:shd w:val="clear" w:color="auto" w:fill="auto"/>
            <w:noWrap/>
            <w:vAlign w:val="center"/>
          </w:tcPr>
          <w:p w14:paraId="2CEE07A2" w14:textId="4102AA63" w:rsidR="003757FB" w:rsidRPr="009C5B8C" w:rsidRDefault="003757FB" w:rsidP="003757FB">
            <w:pPr>
              <w:widowControl/>
              <w:jc w:val="center"/>
              <w:rPr>
                <w:rFonts w:asciiTheme="minorEastAsia" w:eastAsiaTheme="minorEastAsia" w:hAnsiTheme="minorEastAsia" w:cs="宋体"/>
                <w:color w:val="000000"/>
                <w:kern w:val="0"/>
                <w:sz w:val="24"/>
              </w:rPr>
            </w:pPr>
            <w:r w:rsidRPr="009C5B8C">
              <w:rPr>
                <w:rFonts w:asciiTheme="minorEastAsia" w:eastAsiaTheme="minorEastAsia" w:hAnsiTheme="minorEastAsia" w:hint="eastAsia"/>
                <w:sz w:val="24"/>
              </w:rPr>
              <w:t>中国证券报、上海证券报、证券时报</w:t>
            </w:r>
          </w:p>
        </w:tc>
        <w:tc>
          <w:tcPr>
            <w:tcW w:w="1313" w:type="pct"/>
            <w:shd w:val="clear" w:color="auto" w:fill="auto"/>
            <w:noWrap/>
            <w:vAlign w:val="center"/>
          </w:tcPr>
          <w:p w14:paraId="42A79A02" w14:textId="1E4F5C87" w:rsidR="003757FB" w:rsidRPr="009C5B8C" w:rsidRDefault="003757FB" w:rsidP="003757FB">
            <w:pPr>
              <w:widowControl/>
              <w:ind w:rightChars="83" w:right="174"/>
              <w:jc w:val="center"/>
              <w:rPr>
                <w:rFonts w:asciiTheme="minorEastAsia" w:eastAsiaTheme="minorEastAsia" w:hAnsiTheme="minorEastAsia"/>
                <w:color w:val="000000"/>
                <w:kern w:val="0"/>
                <w:sz w:val="24"/>
              </w:rPr>
            </w:pPr>
            <w:r w:rsidRPr="009C5B8C">
              <w:rPr>
                <w:rFonts w:asciiTheme="minorEastAsia" w:eastAsiaTheme="minorEastAsia" w:hAnsiTheme="minorEastAsia"/>
                <w:sz w:val="24"/>
              </w:rPr>
              <w:t>2018-1-22</w:t>
            </w:r>
          </w:p>
        </w:tc>
      </w:tr>
      <w:tr w:rsidR="00782C2F" w:rsidRPr="003757FB" w14:paraId="55CA1D07" w14:textId="77777777" w:rsidTr="009C5B8C">
        <w:trPr>
          <w:trHeight w:val="20"/>
        </w:trPr>
        <w:tc>
          <w:tcPr>
            <w:tcW w:w="407" w:type="pct"/>
            <w:shd w:val="clear" w:color="auto" w:fill="auto"/>
            <w:vAlign w:val="center"/>
          </w:tcPr>
          <w:p w14:paraId="721BE8BF" w14:textId="24DA399C" w:rsidR="00782C2F" w:rsidRPr="009C5B8C" w:rsidRDefault="00782C2F" w:rsidP="00782C2F">
            <w:pPr>
              <w:widowControl/>
              <w:rPr>
                <w:rFonts w:asciiTheme="minorEastAsia" w:eastAsiaTheme="minorEastAsia" w:hAnsiTheme="minorEastAsia"/>
                <w:color w:val="000000"/>
                <w:kern w:val="0"/>
                <w:sz w:val="24"/>
              </w:rPr>
            </w:pPr>
            <w:r w:rsidRPr="009C5B8C">
              <w:rPr>
                <w:rFonts w:asciiTheme="minorEastAsia" w:eastAsiaTheme="minorEastAsia" w:hAnsiTheme="minorEastAsia"/>
                <w:color w:val="000000"/>
                <w:kern w:val="0"/>
                <w:sz w:val="24"/>
              </w:rPr>
              <w:t>5</w:t>
            </w:r>
          </w:p>
        </w:tc>
        <w:tc>
          <w:tcPr>
            <w:tcW w:w="2379" w:type="pct"/>
            <w:shd w:val="clear" w:color="auto" w:fill="auto"/>
            <w:noWrap/>
            <w:vAlign w:val="center"/>
          </w:tcPr>
          <w:p w14:paraId="33BCCD84" w14:textId="1B0D5F4A" w:rsidR="00782C2F" w:rsidRPr="009C5B8C" w:rsidRDefault="003757FB" w:rsidP="00782C2F">
            <w:pPr>
              <w:widowControl/>
              <w:jc w:val="center"/>
              <w:rPr>
                <w:rFonts w:asciiTheme="minorEastAsia" w:eastAsiaTheme="minorEastAsia" w:hAnsiTheme="minorEastAsia" w:cs="宋体"/>
                <w:color w:val="000000"/>
                <w:kern w:val="0"/>
                <w:sz w:val="24"/>
              </w:rPr>
            </w:pPr>
            <w:r w:rsidRPr="009C5B8C">
              <w:rPr>
                <w:rFonts w:asciiTheme="minorEastAsia" w:eastAsiaTheme="minorEastAsia" w:hAnsiTheme="minorEastAsia" w:hint="eastAsia"/>
                <w:sz w:val="24"/>
              </w:rPr>
              <w:t>交银施罗德基金管理有限公司关于深证</w:t>
            </w:r>
            <w:r w:rsidRPr="009C5B8C">
              <w:rPr>
                <w:rFonts w:asciiTheme="minorEastAsia" w:eastAsiaTheme="minorEastAsia" w:hAnsiTheme="minorEastAsia"/>
                <w:sz w:val="24"/>
              </w:rPr>
              <w:t>300</w:t>
            </w:r>
            <w:r w:rsidRPr="009C5B8C">
              <w:rPr>
                <w:rFonts w:asciiTheme="minorEastAsia" w:eastAsiaTheme="minorEastAsia" w:hAnsiTheme="minorEastAsia" w:hint="eastAsia"/>
                <w:sz w:val="24"/>
              </w:rPr>
              <w:t>价值交易型开放式指数证券投资基金修改基金合同的公告</w:t>
            </w:r>
          </w:p>
        </w:tc>
        <w:tc>
          <w:tcPr>
            <w:tcW w:w="901" w:type="pct"/>
            <w:shd w:val="clear" w:color="auto" w:fill="auto"/>
            <w:noWrap/>
            <w:vAlign w:val="center"/>
          </w:tcPr>
          <w:p w14:paraId="6D250A9B" w14:textId="2CD4BCE2" w:rsidR="00782C2F" w:rsidRPr="009C5B8C" w:rsidRDefault="00782C2F" w:rsidP="00782C2F">
            <w:pPr>
              <w:widowControl/>
              <w:jc w:val="center"/>
              <w:rPr>
                <w:rFonts w:asciiTheme="minorEastAsia" w:eastAsiaTheme="minorEastAsia" w:hAnsiTheme="minorEastAsia" w:cs="宋体"/>
                <w:color w:val="000000"/>
                <w:kern w:val="0"/>
                <w:sz w:val="24"/>
              </w:rPr>
            </w:pPr>
            <w:r w:rsidRPr="009C5B8C">
              <w:rPr>
                <w:rFonts w:asciiTheme="minorEastAsia" w:eastAsiaTheme="minorEastAsia" w:hAnsiTheme="minorEastAsia" w:hint="eastAsia"/>
                <w:color w:val="000000"/>
                <w:sz w:val="24"/>
              </w:rPr>
              <w:t>中国证券报、上海证券报、证券时报</w:t>
            </w:r>
          </w:p>
        </w:tc>
        <w:tc>
          <w:tcPr>
            <w:tcW w:w="1313" w:type="pct"/>
            <w:shd w:val="clear" w:color="auto" w:fill="auto"/>
            <w:noWrap/>
            <w:vAlign w:val="center"/>
          </w:tcPr>
          <w:p w14:paraId="4114CB5A" w14:textId="5E230C53" w:rsidR="00782C2F" w:rsidRPr="009C5B8C" w:rsidRDefault="003757FB" w:rsidP="003757FB">
            <w:pPr>
              <w:widowControl/>
              <w:ind w:rightChars="83" w:right="174"/>
              <w:jc w:val="center"/>
              <w:rPr>
                <w:rFonts w:asciiTheme="minorEastAsia" w:eastAsiaTheme="minorEastAsia" w:hAnsiTheme="minorEastAsia"/>
                <w:color w:val="000000"/>
                <w:kern w:val="0"/>
                <w:sz w:val="24"/>
              </w:rPr>
            </w:pPr>
            <w:r w:rsidRPr="009C5B8C">
              <w:rPr>
                <w:rFonts w:asciiTheme="minorEastAsia" w:eastAsiaTheme="minorEastAsia" w:hAnsiTheme="minorEastAsia"/>
                <w:color w:val="000000"/>
                <w:sz w:val="24"/>
              </w:rPr>
              <w:t>2018</w:t>
            </w:r>
            <w:r w:rsidR="00782C2F" w:rsidRPr="009C5B8C">
              <w:rPr>
                <w:rFonts w:asciiTheme="minorEastAsia" w:eastAsiaTheme="minorEastAsia" w:hAnsiTheme="minorEastAsia"/>
                <w:color w:val="000000"/>
                <w:sz w:val="24"/>
              </w:rPr>
              <w:t>-</w:t>
            </w:r>
            <w:r w:rsidRPr="009C5B8C">
              <w:rPr>
                <w:rFonts w:asciiTheme="minorEastAsia" w:eastAsiaTheme="minorEastAsia" w:hAnsiTheme="minorEastAsia"/>
                <w:color w:val="000000"/>
                <w:sz w:val="24"/>
              </w:rPr>
              <w:t>3</w:t>
            </w:r>
            <w:r w:rsidR="00782C2F" w:rsidRPr="009C5B8C">
              <w:rPr>
                <w:rFonts w:asciiTheme="minorEastAsia" w:eastAsiaTheme="minorEastAsia" w:hAnsiTheme="minorEastAsia"/>
                <w:color w:val="000000"/>
                <w:sz w:val="24"/>
              </w:rPr>
              <w:t>-2</w:t>
            </w:r>
            <w:r w:rsidRPr="009C5B8C">
              <w:rPr>
                <w:rFonts w:asciiTheme="minorEastAsia" w:eastAsiaTheme="minorEastAsia" w:hAnsiTheme="minorEastAsia"/>
                <w:color w:val="000000"/>
                <w:sz w:val="24"/>
              </w:rPr>
              <w:t>2</w:t>
            </w:r>
          </w:p>
        </w:tc>
      </w:tr>
    </w:tbl>
    <w:p w14:paraId="224BED55" w14:textId="77777777" w:rsidR="006B782E" w:rsidRPr="0025388A" w:rsidRDefault="006B782E" w:rsidP="006B782E"/>
    <w:p w14:paraId="55DCAA19" w14:textId="77777777" w:rsidR="00CF57A4" w:rsidRDefault="00B13D46" w:rsidP="009C5B8C">
      <w:pPr>
        <w:rPr>
          <w:rFonts w:eastAsia="黑体"/>
          <w:color w:val="000000"/>
          <w:kern w:val="0"/>
          <w:sz w:val="30"/>
        </w:rPr>
      </w:pPr>
      <w:r>
        <w:rPr>
          <w:rFonts w:ascii="宋体" w:hAnsi="宋体" w:cs="宋体"/>
          <w:color w:val="000000"/>
          <w:kern w:val="0"/>
          <w:sz w:val="24"/>
        </w:rPr>
        <w:br w:type="page"/>
      </w:r>
      <w:bookmarkStart w:id="265" w:name="_Toc320704376"/>
      <w:bookmarkStart w:id="266" w:name="_Toc322002740"/>
      <w:bookmarkStart w:id="267" w:name="_Toc320704034"/>
      <w:bookmarkStart w:id="268" w:name="_Toc322519891"/>
      <w:bookmarkStart w:id="269" w:name="_Toc320704107"/>
      <w:bookmarkStart w:id="270" w:name="_Toc320703983"/>
      <w:bookmarkStart w:id="271" w:name="_Toc109537402"/>
      <w:r>
        <w:rPr>
          <w:rFonts w:eastAsia="黑体" w:hint="eastAsia"/>
          <w:color w:val="000000"/>
          <w:kern w:val="0"/>
          <w:sz w:val="30"/>
        </w:rPr>
        <w:lastRenderedPageBreak/>
        <w:t>二十四、招募说明书的存放及查阅方式</w:t>
      </w:r>
      <w:bookmarkEnd w:id="265"/>
      <w:bookmarkEnd w:id="266"/>
      <w:bookmarkEnd w:id="267"/>
      <w:bookmarkEnd w:id="268"/>
      <w:bookmarkEnd w:id="269"/>
      <w:bookmarkEnd w:id="270"/>
      <w:bookmarkEnd w:id="271"/>
    </w:p>
    <w:p w14:paraId="0D766138" w14:textId="77777777" w:rsidR="00CF57A4" w:rsidRDefault="00B13D46">
      <w:pPr>
        <w:widowControl/>
        <w:spacing w:line="360" w:lineRule="auto"/>
        <w:ind w:firstLineChars="200" w:firstLine="480"/>
        <w:rPr>
          <w:rFonts w:ascii="宋体" w:hAnsi="宋体" w:cs="宋体"/>
          <w:color w:val="000000"/>
          <w:kern w:val="0"/>
          <w:sz w:val="24"/>
        </w:rPr>
      </w:pPr>
      <w:r>
        <w:rPr>
          <w:rFonts w:ascii="宋体" w:hAnsi="宋体" w:cs="宋体"/>
          <w:color w:val="000000"/>
          <w:kern w:val="0"/>
          <w:sz w:val="24"/>
        </w:rPr>
        <w:t xml:space="preserve">招募说明书存放在基金管理人、基金托管人的办公场所，投资者可在办公时间查阅；投资者在支付工本费后，可在合理时间内取得上述文件复制件或复印件。对投资者按此种方式所获得的文件及其复印件，基金管理人和基金托管人保证文本的内容与所公告的内容完全一致。 </w:t>
      </w:r>
    </w:p>
    <w:p w14:paraId="117C568C" w14:textId="77777777" w:rsidR="00CF57A4" w:rsidRDefault="00B13D46">
      <w:pPr>
        <w:widowControl/>
        <w:spacing w:line="360" w:lineRule="auto"/>
        <w:ind w:firstLineChars="200" w:firstLine="480"/>
        <w:rPr>
          <w:rFonts w:ascii="宋体" w:hAnsi="宋体" w:cs="宋体"/>
          <w:color w:val="000000"/>
          <w:kern w:val="0"/>
          <w:sz w:val="24"/>
        </w:rPr>
      </w:pPr>
      <w:r>
        <w:rPr>
          <w:rFonts w:ascii="宋体" w:hAnsi="宋体" w:cs="宋体"/>
          <w:color w:val="000000"/>
          <w:kern w:val="0"/>
          <w:sz w:val="24"/>
        </w:rPr>
        <w:t>投资者还可以直接登录基金管理人的网站</w:t>
      </w:r>
      <w:r>
        <w:rPr>
          <w:rStyle w:val="af4"/>
          <w:color w:val="000000"/>
          <w:sz w:val="24"/>
          <w:u w:val="none"/>
        </w:rPr>
        <w:t>(</w:t>
      </w:r>
      <w:r>
        <w:rPr>
          <w:rStyle w:val="af4"/>
          <w:rFonts w:hint="eastAsia"/>
          <w:color w:val="000000"/>
          <w:sz w:val="24"/>
          <w:u w:val="none"/>
        </w:rPr>
        <w:t>www.fund001.com</w:t>
      </w:r>
      <w:r>
        <w:rPr>
          <w:rStyle w:val="af4"/>
          <w:color w:val="000000"/>
          <w:sz w:val="24"/>
          <w:u w:val="none"/>
        </w:rPr>
        <w:t>或</w:t>
      </w:r>
      <w:r>
        <w:rPr>
          <w:rStyle w:val="af4"/>
          <w:color w:val="000000"/>
          <w:sz w:val="24"/>
          <w:u w:val="none"/>
        </w:rPr>
        <w:t>www.bocomschroder.com</w:t>
      </w:r>
      <w:r>
        <w:rPr>
          <w:rFonts w:ascii="宋体" w:hAnsi="宋体" w:cs="宋体"/>
          <w:color w:val="000000"/>
          <w:kern w:val="0"/>
          <w:sz w:val="24"/>
        </w:rPr>
        <w:t xml:space="preserve">)查阅和下载招募说明书。 </w:t>
      </w:r>
    </w:p>
    <w:p w14:paraId="6A10EAFC" w14:textId="77777777" w:rsidR="00CF57A4" w:rsidRDefault="00CF57A4">
      <w:pPr>
        <w:widowControl/>
        <w:spacing w:line="360" w:lineRule="auto"/>
        <w:ind w:firstLineChars="200" w:firstLine="480"/>
        <w:rPr>
          <w:rFonts w:ascii="宋体" w:hAnsi="宋体" w:cs="宋体"/>
          <w:color w:val="000000"/>
          <w:kern w:val="0"/>
          <w:sz w:val="24"/>
        </w:rPr>
      </w:pPr>
    </w:p>
    <w:p w14:paraId="2613B33E" w14:textId="77777777" w:rsidR="00CF57A4" w:rsidRDefault="00CF57A4">
      <w:pPr>
        <w:widowControl/>
        <w:spacing w:line="360" w:lineRule="auto"/>
        <w:ind w:firstLineChars="200" w:firstLine="480"/>
        <w:rPr>
          <w:rFonts w:ascii="宋体" w:hAnsi="宋体" w:cs="宋体"/>
          <w:color w:val="000000"/>
          <w:kern w:val="0"/>
          <w:sz w:val="24"/>
        </w:rPr>
      </w:pPr>
    </w:p>
    <w:p w14:paraId="5CD0285D" w14:textId="77777777" w:rsidR="00CF57A4" w:rsidRDefault="00CF57A4">
      <w:pPr>
        <w:widowControl/>
        <w:spacing w:line="360" w:lineRule="auto"/>
        <w:ind w:firstLineChars="200" w:firstLine="480"/>
        <w:rPr>
          <w:rFonts w:ascii="宋体" w:hAnsi="宋体" w:cs="宋体"/>
          <w:color w:val="000000"/>
          <w:kern w:val="0"/>
          <w:sz w:val="24"/>
        </w:rPr>
      </w:pPr>
    </w:p>
    <w:p w14:paraId="38A965A1" w14:textId="77777777" w:rsidR="00CF57A4" w:rsidRDefault="00CF57A4">
      <w:pPr>
        <w:widowControl/>
        <w:spacing w:line="360" w:lineRule="auto"/>
        <w:ind w:firstLineChars="200" w:firstLine="480"/>
        <w:rPr>
          <w:rFonts w:ascii="宋体" w:hAnsi="宋体" w:cs="宋体"/>
          <w:color w:val="000000"/>
          <w:kern w:val="0"/>
          <w:sz w:val="24"/>
        </w:rPr>
      </w:pPr>
    </w:p>
    <w:p w14:paraId="55ACB644" w14:textId="77777777" w:rsidR="00CF57A4" w:rsidRDefault="00CF57A4">
      <w:pPr>
        <w:widowControl/>
        <w:spacing w:line="360" w:lineRule="auto"/>
        <w:ind w:firstLineChars="200" w:firstLine="480"/>
        <w:rPr>
          <w:rFonts w:ascii="宋体" w:hAnsi="宋体" w:cs="宋体"/>
          <w:color w:val="000000"/>
          <w:kern w:val="0"/>
          <w:sz w:val="24"/>
        </w:rPr>
      </w:pPr>
    </w:p>
    <w:p w14:paraId="5DD9344E" w14:textId="77777777" w:rsidR="00CF57A4" w:rsidRDefault="00CF57A4">
      <w:pPr>
        <w:widowControl/>
        <w:spacing w:line="360" w:lineRule="auto"/>
        <w:ind w:firstLineChars="200" w:firstLine="480"/>
        <w:rPr>
          <w:rFonts w:ascii="宋体" w:hAnsi="宋体" w:cs="宋体"/>
          <w:color w:val="000000"/>
          <w:kern w:val="0"/>
          <w:sz w:val="24"/>
        </w:rPr>
      </w:pPr>
    </w:p>
    <w:p w14:paraId="70B879DC" w14:textId="77777777" w:rsidR="00CF57A4" w:rsidRDefault="00CF57A4">
      <w:pPr>
        <w:widowControl/>
        <w:spacing w:line="360" w:lineRule="auto"/>
        <w:ind w:firstLineChars="200" w:firstLine="480"/>
        <w:rPr>
          <w:rFonts w:ascii="宋体" w:hAnsi="宋体" w:cs="宋体"/>
          <w:color w:val="000000"/>
          <w:kern w:val="0"/>
          <w:sz w:val="24"/>
        </w:rPr>
      </w:pPr>
    </w:p>
    <w:p w14:paraId="7027F1D8" w14:textId="77777777" w:rsidR="00CF57A4" w:rsidRDefault="00CF57A4">
      <w:pPr>
        <w:widowControl/>
        <w:spacing w:line="360" w:lineRule="auto"/>
        <w:ind w:firstLineChars="200" w:firstLine="480"/>
        <w:rPr>
          <w:rFonts w:ascii="宋体" w:hAnsi="宋体" w:cs="宋体"/>
          <w:color w:val="000000"/>
          <w:kern w:val="0"/>
          <w:sz w:val="24"/>
        </w:rPr>
      </w:pPr>
    </w:p>
    <w:p w14:paraId="4775CE4D" w14:textId="77777777" w:rsidR="00CF57A4" w:rsidRDefault="00CF57A4">
      <w:pPr>
        <w:widowControl/>
        <w:spacing w:line="360" w:lineRule="auto"/>
        <w:ind w:firstLineChars="200" w:firstLine="480"/>
        <w:rPr>
          <w:rFonts w:ascii="宋体" w:hAnsi="宋体" w:cs="宋体"/>
          <w:color w:val="000000"/>
          <w:kern w:val="0"/>
          <w:sz w:val="24"/>
        </w:rPr>
      </w:pPr>
    </w:p>
    <w:p w14:paraId="0D7829EE" w14:textId="77777777" w:rsidR="00CF57A4" w:rsidRDefault="00CF57A4">
      <w:pPr>
        <w:widowControl/>
        <w:spacing w:line="360" w:lineRule="auto"/>
        <w:ind w:firstLineChars="200" w:firstLine="480"/>
        <w:rPr>
          <w:rFonts w:ascii="宋体" w:hAnsi="宋体" w:cs="宋体"/>
          <w:color w:val="000000"/>
          <w:kern w:val="0"/>
          <w:sz w:val="24"/>
        </w:rPr>
      </w:pPr>
    </w:p>
    <w:p w14:paraId="55ED4DA7" w14:textId="77777777" w:rsidR="00CF57A4" w:rsidRDefault="00CF57A4">
      <w:pPr>
        <w:widowControl/>
        <w:spacing w:line="360" w:lineRule="auto"/>
        <w:ind w:firstLineChars="200" w:firstLine="480"/>
        <w:rPr>
          <w:rFonts w:ascii="宋体" w:hAnsi="宋体" w:cs="宋体"/>
          <w:color w:val="000000"/>
          <w:kern w:val="0"/>
          <w:sz w:val="24"/>
        </w:rPr>
      </w:pPr>
    </w:p>
    <w:p w14:paraId="0BC8D05F" w14:textId="77777777" w:rsidR="00CF57A4" w:rsidRDefault="00CF57A4">
      <w:pPr>
        <w:widowControl/>
        <w:spacing w:line="360" w:lineRule="auto"/>
        <w:ind w:firstLineChars="200" w:firstLine="480"/>
        <w:rPr>
          <w:rFonts w:ascii="宋体" w:hAnsi="宋体" w:cs="宋体"/>
          <w:color w:val="000000"/>
          <w:kern w:val="0"/>
          <w:sz w:val="24"/>
        </w:rPr>
      </w:pPr>
    </w:p>
    <w:p w14:paraId="31EE71AD" w14:textId="77777777" w:rsidR="00CF57A4" w:rsidRDefault="00CF57A4">
      <w:pPr>
        <w:widowControl/>
        <w:spacing w:line="360" w:lineRule="auto"/>
        <w:ind w:firstLineChars="200" w:firstLine="480"/>
        <w:rPr>
          <w:rFonts w:ascii="宋体" w:hAnsi="宋体" w:cs="宋体"/>
          <w:color w:val="000000"/>
          <w:kern w:val="0"/>
          <w:sz w:val="24"/>
        </w:rPr>
      </w:pPr>
    </w:p>
    <w:p w14:paraId="238BD749" w14:textId="77777777" w:rsidR="00CF57A4" w:rsidRDefault="00CF57A4">
      <w:pPr>
        <w:widowControl/>
        <w:spacing w:line="360" w:lineRule="auto"/>
        <w:ind w:firstLineChars="200" w:firstLine="480"/>
        <w:rPr>
          <w:rFonts w:ascii="宋体" w:hAnsi="宋体" w:cs="宋体"/>
          <w:color w:val="000000"/>
          <w:kern w:val="0"/>
          <w:sz w:val="24"/>
        </w:rPr>
      </w:pPr>
    </w:p>
    <w:p w14:paraId="46CED267" w14:textId="77777777" w:rsidR="00CF57A4" w:rsidRDefault="00CF57A4">
      <w:pPr>
        <w:widowControl/>
        <w:spacing w:line="360" w:lineRule="auto"/>
        <w:ind w:firstLineChars="200" w:firstLine="480"/>
        <w:rPr>
          <w:rFonts w:ascii="宋体" w:hAnsi="宋体" w:cs="宋体"/>
          <w:color w:val="000000"/>
          <w:kern w:val="0"/>
          <w:sz w:val="24"/>
        </w:rPr>
      </w:pPr>
    </w:p>
    <w:p w14:paraId="076A8CD1" w14:textId="77777777" w:rsidR="00CF57A4" w:rsidRDefault="00CF57A4">
      <w:pPr>
        <w:widowControl/>
        <w:spacing w:line="360" w:lineRule="auto"/>
        <w:ind w:firstLineChars="200" w:firstLine="480"/>
        <w:rPr>
          <w:rFonts w:ascii="宋体" w:hAnsi="宋体" w:cs="宋体"/>
          <w:color w:val="000000"/>
          <w:kern w:val="0"/>
          <w:sz w:val="24"/>
        </w:rPr>
      </w:pPr>
    </w:p>
    <w:p w14:paraId="1DA8E7C6" w14:textId="77777777" w:rsidR="00CF57A4" w:rsidRDefault="00CF57A4">
      <w:pPr>
        <w:widowControl/>
        <w:spacing w:line="360" w:lineRule="auto"/>
        <w:ind w:firstLineChars="200" w:firstLine="480"/>
        <w:rPr>
          <w:rFonts w:ascii="宋体" w:hAnsi="宋体" w:cs="宋体"/>
          <w:color w:val="000000"/>
          <w:kern w:val="0"/>
          <w:sz w:val="24"/>
        </w:rPr>
      </w:pPr>
    </w:p>
    <w:p w14:paraId="73D05318" w14:textId="77777777" w:rsidR="00CF57A4" w:rsidRDefault="00CF57A4">
      <w:pPr>
        <w:widowControl/>
        <w:spacing w:line="360" w:lineRule="auto"/>
        <w:ind w:firstLineChars="200" w:firstLine="480"/>
        <w:rPr>
          <w:rFonts w:ascii="宋体" w:hAnsi="宋体" w:cs="宋体"/>
          <w:color w:val="000000"/>
          <w:kern w:val="0"/>
          <w:sz w:val="24"/>
        </w:rPr>
      </w:pPr>
    </w:p>
    <w:p w14:paraId="1A10BA74" w14:textId="77777777" w:rsidR="00CF57A4" w:rsidRDefault="00CF57A4">
      <w:pPr>
        <w:widowControl/>
        <w:spacing w:line="360" w:lineRule="auto"/>
        <w:ind w:firstLineChars="200" w:firstLine="480"/>
        <w:rPr>
          <w:rFonts w:ascii="宋体" w:hAnsi="宋体" w:cs="宋体"/>
          <w:color w:val="000000"/>
          <w:kern w:val="0"/>
          <w:sz w:val="24"/>
        </w:rPr>
      </w:pPr>
    </w:p>
    <w:p w14:paraId="0ECDBC00" w14:textId="77777777" w:rsidR="00CF57A4" w:rsidRDefault="00CF57A4">
      <w:pPr>
        <w:widowControl/>
        <w:spacing w:line="360" w:lineRule="auto"/>
        <w:ind w:firstLineChars="200" w:firstLine="480"/>
        <w:rPr>
          <w:rFonts w:ascii="宋体" w:hAnsi="宋体" w:cs="宋体"/>
          <w:color w:val="000000"/>
          <w:kern w:val="0"/>
          <w:sz w:val="24"/>
        </w:rPr>
      </w:pPr>
    </w:p>
    <w:p w14:paraId="05B206E6" w14:textId="77777777" w:rsidR="00CF57A4" w:rsidRDefault="00CF57A4">
      <w:pPr>
        <w:widowControl/>
        <w:spacing w:line="360" w:lineRule="auto"/>
        <w:ind w:firstLineChars="200" w:firstLine="480"/>
        <w:rPr>
          <w:rFonts w:ascii="宋体" w:hAnsi="宋体" w:cs="宋体"/>
          <w:color w:val="000000"/>
          <w:kern w:val="0"/>
          <w:sz w:val="24"/>
        </w:rPr>
      </w:pPr>
    </w:p>
    <w:p w14:paraId="19BF5031" w14:textId="77777777" w:rsidR="00CF57A4" w:rsidRDefault="00B13D46">
      <w:pPr>
        <w:pStyle w:val="af1"/>
        <w:rPr>
          <w:rFonts w:eastAsia="黑体"/>
          <w:color w:val="000000"/>
          <w:kern w:val="0"/>
          <w:sz w:val="30"/>
        </w:rPr>
      </w:pPr>
      <w:bookmarkStart w:id="272" w:name="_Toc109537403"/>
      <w:r>
        <w:rPr>
          <w:rFonts w:eastAsia="黑体"/>
          <w:color w:val="000000"/>
          <w:kern w:val="0"/>
          <w:sz w:val="30"/>
        </w:rPr>
        <w:br w:type="page"/>
      </w:r>
      <w:bookmarkStart w:id="273" w:name="_Toc320703984"/>
      <w:bookmarkStart w:id="274" w:name="_Toc320704035"/>
      <w:bookmarkStart w:id="275" w:name="_Toc320704108"/>
      <w:bookmarkStart w:id="276" w:name="_Toc320704377"/>
      <w:bookmarkStart w:id="277" w:name="_Toc322002741"/>
      <w:bookmarkStart w:id="278" w:name="_Toc322519892"/>
      <w:r>
        <w:rPr>
          <w:rFonts w:eastAsia="黑体" w:hint="eastAsia"/>
          <w:color w:val="000000"/>
          <w:kern w:val="0"/>
          <w:sz w:val="30"/>
        </w:rPr>
        <w:lastRenderedPageBreak/>
        <w:t>二十五、备查文件</w:t>
      </w:r>
      <w:bookmarkEnd w:id="272"/>
      <w:bookmarkEnd w:id="273"/>
      <w:bookmarkEnd w:id="274"/>
      <w:bookmarkEnd w:id="275"/>
      <w:bookmarkEnd w:id="276"/>
      <w:bookmarkEnd w:id="277"/>
      <w:bookmarkEnd w:id="278"/>
    </w:p>
    <w:p w14:paraId="5B7428D6" w14:textId="77777777" w:rsidR="00CF57A4" w:rsidRDefault="00B13D46">
      <w:pPr>
        <w:widowControl/>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t>以下备查文件存放在基金管理人的办公场所，在办公时间可供免费查阅。</w:t>
      </w:r>
    </w:p>
    <w:p w14:paraId="124F8D0F" w14:textId="77777777" w:rsidR="00CF57A4" w:rsidRDefault="00B13D46">
      <w:pPr>
        <w:widowControl/>
        <w:spacing w:line="360" w:lineRule="auto"/>
        <w:ind w:firstLineChars="200" w:firstLine="480"/>
        <w:rPr>
          <w:rFonts w:ascii="宋体" w:hAnsi="宋体" w:cs="宋体"/>
          <w:color w:val="000000"/>
          <w:kern w:val="0"/>
          <w:sz w:val="24"/>
        </w:rPr>
      </w:pPr>
      <w:r>
        <w:rPr>
          <w:rFonts w:ascii="宋体" w:hAnsi="宋体" w:cs="宋体"/>
          <w:color w:val="000000"/>
          <w:kern w:val="0"/>
          <w:sz w:val="24"/>
        </w:rPr>
        <w:t>（一）中国证监会</w:t>
      </w:r>
      <w:r>
        <w:rPr>
          <w:rFonts w:ascii="宋体" w:hAnsi="宋体" w:cs="宋体" w:hint="eastAsia"/>
          <w:color w:val="000000"/>
          <w:kern w:val="0"/>
          <w:sz w:val="24"/>
        </w:rPr>
        <w:t>核准</w:t>
      </w:r>
      <w:r>
        <w:rPr>
          <w:rFonts w:ascii="宋体" w:hAnsi="宋体" w:cs="宋体"/>
          <w:color w:val="000000"/>
          <w:kern w:val="0"/>
          <w:sz w:val="24"/>
        </w:rPr>
        <w:t xml:space="preserve">深证300价值交易型开放式指数证券投资基金募集的文件 </w:t>
      </w:r>
    </w:p>
    <w:p w14:paraId="10E340D5" w14:textId="77777777" w:rsidR="00CF57A4" w:rsidRDefault="00B13D46">
      <w:pPr>
        <w:widowControl/>
        <w:spacing w:line="360" w:lineRule="auto"/>
        <w:ind w:firstLineChars="200" w:firstLine="480"/>
        <w:rPr>
          <w:rFonts w:ascii="宋体" w:hAnsi="宋体" w:cs="宋体"/>
          <w:color w:val="000000"/>
          <w:kern w:val="0"/>
          <w:sz w:val="24"/>
        </w:rPr>
      </w:pPr>
      <w:r>
        <w:rPr>
          <w:rFonts w:ascii="宋体" w:hAnsi="宋体" w:cs="宋体"/>
          <w:color w:val="000000"/>
          <w:kern w:val="0"/>
          <w:sz w:val="24"/>
        </w:rPr>
        <w:t>（二）《</w:t>
      </w:r>
      <w:r>
        <w:rPr>
          <w:rFonts w:ascii="宋体" w:hAnsi="宋体" w:cs="宋体" w:hint="eastAsia"/>
          <w:color w:val="000000"/>
          <w:kern w:val="0"/>
          <w:sz w:val="24"/>
        </w:rPr>
        <w:t>深证300价值交易型开放式指数</w:t>
      </w:r>
      <w:r>
        <w:rPr>
          <w:rFonts w:ascii="宋体" w:hAnsi="宋体" w:cs="宋体"/>
          <w:color w:val="000000"/>
          <w:kern w:val="0"/>
          <w:sz w:val="24"/>
        </w:rPr>
        <w:t xml:space="preserve">证券投资基金基金合同》 </w:t>
      </w:r>
    </w:p>
    <w:p w14:paraId="793AF0AF" w14:textId="77777777" w:rsidR="00CF57A4" w:rsidRDefault="00B13D46">
      <w:pPr>
        <w:widowControl/>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t>（</w:t>
      </w:r>
      <w:r>
        <w:rPr>
          <w:rFonts w:ascii="宋体" w:hAnsi="宋体" w:cs="宋体"/>
          <w:color w:val="000000"/>
          <w:kern w:val="0"/>
          <w:sz w:val="24"/>
        </w:rPr>
        <w:t>三</w:t>
      </w:r>
      <w:r>
        <w:rPr>
          <w:rFonts w:ascii="宋体" w:hAnsi="宋体" w:cs="宋体" w:hint="eastAsia"/>
          <w:color w:val="000000"/>
          <w:kern w:val="0"/>
          <w:sz w:val="24"/>
        </w:rPr>
        <w:t>）</w:t>
      </w:r>
      <w:r>
        <w:rPr>
          <w:rFonts w:ascii="宋体" w:hAnsi="宋体" w:cs="宋体"/>
          <w:color w:val="000000"/>
          <w:kern w:val="0"/>
          <w:sz w:val="24"/>
        </w:rPr>
        <w:t>《</w:t>
      </w:r>
      <w:r>
        <w:rPr>
          <w:rFonts w:ascii="宋体" w:hAnsi="宋体" w:cs="宋体" w:hint="eastAsia"/>
          <w:color w:val="000000"/>
          <w:kern w:val="0"/>
          <w:sz w:val="24"/>
        </w:rPr>
        <w:t>深证300价值交易型开放式指数</w:t>
      </w:r>
      <w:r>
        <w:rPr>
          <w:rFonts w:ascii="宋体" w:hAnsi="宋体" w:cs="宋体"/>
          <w:color w:val="000000"/>
          <w:kern w:val="0"/>
          <w:sz w:val="24"/>
        </w:rPr>
        <w:t xml:space="preserve">证券投资基金托管协议》 </w:t>
      </w:r>
    </w:p>
    <w:p w14:paraId="65306A73" w14:textId="77777777" w:rsidR="00CF57A4" w:rsidRDefault="00B13D46">
      <w:pPr>
        <w:widowControl/>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t>（四）</w:t>
      </w:r>
      <w:r>
        <w:rPr>
          <w:rFonts w:ascii="宋体" w:hAnsi="宋体" w:cs="宋体"/>
          <w:color w:val="000000"/>
          <w:kern w:val="0"/>
          <w:sz w:val="24"/>
        </w:rPr>
        <w:t>基金管理人业务资格批件、营业执照</w:t>
      </w:r>
    </w:p>
    <w:p w14:paraId="0D70A7CE" w14:textId="77777777" w:rsidR="00CF57A4" w:rsidRDefault="00B13D46">
      <w:pPr>
        <w:widowControl/>
        <w:spacing w:line="360" w:lineRule="auto"/>
        <w:ind w:firstLineChars="200" w:firstLine="480"/>
        <w:rPr>
          <w:rFonts w:ascii="宋体" w:hAnsi="宋体" w:cs="宋体"/>
          <w:color w:val="000000"/>
          <w:kern w:val="0"/>
          <w:sz w:val="24"/>
        </w:rPr>
      </w:pPr>
      <w:r>
        <w:rPr>
          <w:rFonts w:ascii="宋体" w:hAnsi="宋体" w:cs="宋体"/>
          <w:color w:val="000000"/>
          <w:kern w:val="0"/>
          <w:sz w:val="24"/>
        </w:rPr>
        <w:t>（</w:t>
      </w:r>
      <w:r>
        <w:rPr>
          <w:rFonts w:ascii="宋体" w:hAnsi="宋体" w:cs="宋体" w:hint="eastAsia"/>
          <w:color w:val="000000"/>
          <w:kern w:val="0"/>
          <w:sz w:val="24"/>
        </w:rPr>
        <w:t>五</w:t>
      </w:r>
      <w:r>
        <w:rPr>
          <w:rFonts w:ascii="宋体" w:hAnsi="宋体" w:cs="宋体"/>
          <w:color w:val="000000"/>
          <w:kern w:val="0"/>
          <w:sz w:val="24"/>
        </w:rPr>
        <w:t>）基金托管人业务资格批件、营业执照</w:t>
      </w:r>
    </w:p>
    <w:p w14:paraId="35E23E23" w14:textId="77777777" w:rsidR="00CF57A4" w:rsidRDefault="00B13D46">
      <w:pPr>
        <w:widowControl/>
        <w:spacing w:line="360" w:lineRule="auto"/>
        <w:ind w:firstLineChars="200" w:firstLine="480"/>
        <w:rPr>
          <w:rFonts w:ascii="宋体" w:hAnsi="宋体" w:cs="宋体"/>
          <w:color w:val="000000"/>
          <w:kern w:val="0"/>
          <w:sz w:val="24"/>
        </w:rPr>
      </w:pPr>
      <w:r>
        <w:rPr>
          <w:rFonts w:ascii="宋体" w:hAnsi="宋体" w:cs="宋体"/>
          <w:color w:val="000000"/>
          <w:kern w:val="0"/>
          <w:sz w:val="24"/>
        </w:rPr>
        <w:t>（</w:t>
      </w:r>
      <w:r>
        <w:rPr>
          <w:rFonts w:ascii="宋体" w:hAnsi="宋体" w:cs="宋体" w:hint="eastAsia"/>
          <w:color w:val="000000"/>
          <w:kern w:val="0"/>
          <w:sz w:val="24"/>
        </w:rPr>
        <w:t>六</w:t>
      </w:r>
      <w:r>
        <w:rPr>
          <w:rFonts w:ascii="宋体" w:hAnsi="宋体" w:cs="宋体"/>
          <w:color w:val="000000"/>
          <w:kern w:val="0"/>
          <w:sz w:val="24"/>
        </w:rPr>
        <w:t>）关于</w:t>
      </w:r>
      <w:r>
        <w:rPr>
          <w:rFonts w:ascii="宋体" w:hAnsi="宋体" w:cs="宋体" w:hint="eastAsia"/>
          <w:color w:val="000000"/>
          <w:kern w:val="0"/>
          <w:sz w:val="24"/>
        </w:rPr>
        <w:t>申请</w:t>
      </w:r>
      <w:r>
        <w:rPr>
          <w:rFonts w:ascii="宋体" w:hAnsi="宋体" w:cs="宋体"/>
          <w:color w:val="000000"/>
          <w:kern w:val="0"/>
          <w:sz w:val="24"/>
        </w:rPr>
        <w:t>募集</w:t>
      </w:r>
      <w:r>
        <w:rPr>
          <w:rFonts w:ascii="宋体" w:hAnsi="宋体" w:cs="宋体" w:hint="eastAsia"/>
          <w:color w:val="000000"/>
          <w:kern w:val="0"/>
          <w:sz w:val="24"/>
        </w:rPr>
        <w:t>深证300价值交易型开放式指数</w:t>
      </w:r>
      <w:r>
        <w:rPr>
          <w:rFonts w:ascii="宋体" w:hAnsi="宋体" w:cs="宋体"/>
          <w:color w:val="000000"/>
          <w:kern w:val="0"/>
          <w:sz w:val="24"/>
        </w:rPr>
        <w:t>证券投资基金之法律意见书</w:t>
      </w:r>
    </w:p>
    <w:p w14:paraId="43769650" w14:textId="77777777" w:rsidR="00CF57A4" w:rsidRDefault="00CF57A4">
      <w:pPr>
        <w:tabs>
          <w:tab w:val="left" w:pos="1501"/>
        </w:tabs>
        <w:spacing w:line="360" w:lineRule="auto"/>
        <w:ind w:firstLineChars="200" w:firstLine="480"/>
        <w:rPr>
          <w:rFonts w:ascii="宋体" w:hAnsi="宋体"/>
          <w:color w:val="000000"/>
          <w:sz w:val="24"/>
        </w:rPr>
        <w:sectPr w:rsidR="00CF57A4">
          <w:headerReference w:type="default" r:id="rId19"/>
          <w:footerReference w:type="default" r:id="rId20"/>
          <w:footerReference w:type="first" r:id="rId21"/>
          <w:type w:val="continuous"/>
          <w:pgSz w:w="11906" w:h="16838"/>
          <w:pgMar w:top="1703" w:right="1826" w:bottom="1440" w:left="1620" w:header="851" w:footer="992" w:gutter="0"/>
          <w:pgNumType w:start="1"/>
          <w:cols w:space="720"/>
          <w:docGrid w:type="lines" w:linePitch="312"/>
        </w:sectPr>
      </w:pPr>
    </w:p>
    <w:p w14:paraId="37714D7C" w14:textId="77777777" w:rsidR="00CF57A4" w:rsidRDefault="00CF57A4">
      <w:pPr>
        <w:tabs>
          <w:tab w:val="left" w:pos="1501"/>
        </w:tabs>
        <w:spacing w:line="360" w:lineRule="auto"/>
        <w:ind w:firstLineChars="200" w:firstLine="480"/>
        <w:rPr>
          <w:rFonts w:ascii="宋体" w:hAnsi="宋体"/>
          <w:color w:val="000000"/>
          <w:sz w:val="24"/>
        </w:rPr>
      </w:pPr>
    </w:p>
    <w:bookmarkEnd w:id="110"/>
    <w:p w14:paraId="10B66065" w14:textId="77777777" w:rsidR="00CF57A4" w:rsidRDefault="00CF57A4">
      <w:pPr>
        <w:widowControl/>
        <w:spacing w:line="360" w:lineRule="auto"/>
        <w:ind w:firstLineChars="200" w:firstLine="480"/>
        <w:rPr>
          <w:rFonts w:ascii="宋体" w:hAnsi="宋体" w:cs="宋体"/>
          <w:color w:val="000000"/>
          <w:kern w:val="0"/>
          <w:sz w:val="24"/>
        </w:rPr>
      </w:pPr>
    </w:p>
    <w:sectPr w:rsidR="00CF57A4">
      <w:type w:val="continuous"/>
      <w:pgSz w:w="11906" w:h="16838"/>
      <w:pgMar w:top="1887" w:right="1826" w:bottom="1440" w:left="162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5AB45A" w14:textId="77777777" w:rsidR="009C426A" w:rsidRDefault="009C426A">
      <w:r>
        <w:separator/>
      </w:r>
    </w:p>
  </w:endnote>
  <w:endnote w:type="continuationSeparator" w:id="0">
    <w:p w14:paraId="27E14EE8" w14:textId="77777777" w:rsidR="009C426A" w:rsidRDefault="009C4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五">
    <w:altName w:val="黑体"/>
    <w:charset w:val="86"/>
    <w:family w:val="auto"/>
    <w:pitch w:val="default"/>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C16064" w14:textId="77777777" w:rsidR="00432C1E" w:rsidRDefault="00432C1E">
    <w:pPr>
      <w:pStyle w:val="ae"/>
      <w:framePr w:wrap="around" w:vAnchor="text" w:hAnchor="margin" w:xAlign="center" w:y="1"/>
      <w:rPr>
        <w:rStyle w:val="af2"/>
      </w:rPr>
    </w:pPr>
    <w:r>
      <w:fldChar w:fldCharType="begin"/>
    </w:r>
    <w:r>
      <w:rPr>
        <w:rStyle w:val="af2"/>
      </w:rPr>
      <w:instrText xml:space="preserve">PAGE  </w:instrText>
    </w:r>
    <w:r>
      <w:fldChar w:fldCharType="end"/>
    </w:r>
  </w:p>
  <w:p w14:paraId="189BB92B" w14:textId="77777777" w:rsidR="00432C1E" w:rsidRDefault="00432C1E">
    <w:pPr>
      <w:pStyle w:val="a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A9DF44" w14:textId="77777777" w:rsidR="00432C1E" w:rsidRDefault="00432C1E">
    <w:pPr>
      <w:pStyle w:val="ae"/>
      <w:ind w:right="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C0FB90" w14:textId="77777777" w:rsidR="00432C1E" w:rsidRDefault="00432C1E">
    <w:pPr>
      <w:pStyle w:val="ae"/>
      <w:framePr w:wrap="around" w:vAnchor="text" w:hAnchor="margin" w:xAlign="center" w:y="1"/>
      <w:rPr>
        <w:rStyle w:val="af2"/>
      </w:rPr>
    </w:pPr>
    <w:r>
      <w:fldChar w:fldCharType="begin"/>
    </w:r>
    <w:r>
      <w:rPr>
        <w:rStyle w:val="af2"/>
      </w:rPr>
      <w:instrText xml:space="preserve">PAGE  </w:instrText>
    </w:r>
    <w:r>
      <w:fldChar w:fldCharType="separate"/>
    </w:r>
    <w:r>
      <w:rPr>
        <w:rStyle w:val="af2"/>
      </w:rPr>
      <w:t>2</w:t>
    </w:r>
    <w:r>
      <w:fldChar w:fldCharType="end"/>
    </w:r>
  </w:p>
  <w:p w14:paraId="0B7FA313" w14:textId="77777777" w:rsidR="00432C1E" w:rsidRDefault="00432C1E">
    <w:pPr>
      <w:pStyle w:val="a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A35D42" w14:textId="77777777" w:rsidR="00432C1E" w:rsidRDefault="00432C1E">
    <w:pPr>
      <w:pStyle w:val="ae"/>
      <w:ind w:right="360"/>
      <w:jc w:val="center"/>
    </w:pPr>
    <w:r>
      <w:fldChar w:fldCharType="begin"/>
    </w:r>
    <w:r>
      <w:instrText>PAGE   \* MERGEFORMAT</w:instrText>
    </w:r>
    <w:r>
      <w:fldChar w:fldCharType="separate"/>
    </w:r>
    <w:r w:rsidR="00541168" w:rsidRPr="00541168">
      <w:rPr>
        <w:noProof/>
        <w:lang w:val="zh-CN"/>
      </w:rPr>
      <w:t>19</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1F6BFB" w14:textId="77777777" w:rsidR="00432C1E" w:rsidRDefault="00432C1E">
    <w:pPr>
      <w:pStyle w:val="ae"/>
      <w:framePr w:wrap="around" w:vAnchor="text" w:hAnchor="margin" w:xAlign="center" w:y="1"/>
      <w:rPr>
        <w:rStyle w:val="af2"/>
      </w:rPr>
    </w:pPr>
    <w:r>
      <w:fldChar w:fldCharType="begin"/>
    </w:r>
    <w:r>
      <w:rPr>
        <w:rStyle w:val="af2"/>
      </w:rPr>
      <w:instrText xml:space="preserve">PAGE  </w:instrText>
    </w:r>
    <w:r>
      <w:fldChar w:fldCharType="separate"/>
    </w:r>
    <w:r>
      <w:rPr>
        <w:rStyle w:val="af2"/>
      </w:rPr>
      <w:t>1</w:t>
    </w:r>
    <w:r>
      <w:fldChar w:fldCharType="end"/>
    </w:r>
  </w:p>
  <w:p w14:paraId="6E7E5246" w14:textId="77777777" w:rsidR="00432C1E" w:rsidRDefault="00432C1E">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610D70" w14:textId="77777777" w:rsidR="009C426A" w:rsidRDefault="009C426A">
      <w:r>
        <w:separator/>
      </w:r>
    </w:p>
  </w:footnote>
  <w:footnote w:type="continuationSeparator" w:id="0">
    <w:p w14:paraId="094B25F4" w14:textId="77777777" w:rsidR="009C426A" w:rsidRDefault="009C42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2B6765" w14:textId="77777777" w:rsidR="00432C1E" w:rsidRDefault="00432C1E">
    <w:pPr>
      <w:pStyle w:val="af"/>
      <w:pBdr>
        <w:bottom w:val="none" w:sz="0" w:space="0" w:color="auto"/>
      </w:pBdr>
      <w:tabs>
        <w:tab w:val="right" w:pos="8280"/>
      </w:tabs>
      <w:spacing w:line="160" w:lineRule="exact"/>
      <w:jc w:val="right"/>
    </w:pPr>
    <w:r>
      <w:rPr>
        <w:rFonts w:hint="eastAsia"/>
      </w:rPr>
      <w:t xml:space="preserve">             </w:t>
    </w:r>
  </w:p>
  <w:p w14:paraId="2F2A6A74" w14:textId="77777777" w:rsidR="00432C1E" w:rsidRDefault="00432C1E">
    <w:pPr>
      <w:pStyle w:val="af"/>
      <w:pBdr>
        <w:bottom w:val="none" w:sz="0" w:space="0" w:color="auto"/>
      </w:pBdr>
      <w:tabs>
        <w:tab w:val="right" w:pos="8280"/>
      </w:tabs>
      <w:spacing w:line="160" w:lineRule="exact"/>
      <w:jc w:val="right"/>
      <w:rPr>
        <w:rFonts w:ascii="宋体" w:hAnsi="宋体"/>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E068DC" w14:textId="77777777" w:rsidR="00432C1E" w:rsidRDefault="00432C1E">
    <w:pPr>
      <w:pStyle w:val="af"/>
      <w:pBdr>
        <w:bottom w:val="none" w:sz="0" w:space="0" w:color="auto"/>
      </w:pBdr>
      <w:tabs>
        <w:tab w:val="right" w:pos="8280"/>
      </w:tabs>
      <w:spacing w:line="160" w:lineRule="exact"/>
      <w:jc w:val="right"/>
    </w:pPr>
    <w:r>
      <w:rPr>
        <w:noProof/>
      </w:rPr>
      <w:drawing>
        <wp:anchor distT="0" distB="0" distL="114300" distR="114300" simplePos="0" relativeHeight="251658240" behindDoc="0" locked="0" layoutInCell="1" allowOverlap="1" wp14:anchorId="1355A2E1" wp14:editId="57563FE5">
          <wp:simplePos x="0" y="0"/>
          <wp:positionH relativeFrom="column">
            <wp:posOffset>0</wp:posOffset>
          </wp:positionH>
          <wp:positionV relativeFrom="paragraph">
            <wp:posOffset>63500</wp:posOffset>
          </wp:positionV>
          <wp:extent cx="1485900" cy="297180"/>
          <wp:effectExtent l="0" t="0" r="0" b="7620"/>
          <wp:wrapNone/>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5900" cy="29718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hint="eastAsia"/>
      </w:rPr>
      <w:t xml:space="preserve">             </w:t>
    </w:r>
  </w:p>
  <w:p w14:paraId="22238562" w14:textId="77777777" w:rsidR="00432C1E" w:rsidRDefault="00432C1E">
    <w:pPr>
      <w:pStyle w:val="af"/>
      <w:pBdr>
        <w:bottom w:val="none" w:sz="0" w:space="0" w:color="auto"/>
      </w:pBdr>
      <w:tabs>
        <w:tab w:val="right" w:pos="8280"/>
      </w:tabs>
      <w:jc w:val="right"/>
      <w:rPr>
        <w:rFonts w:ascii="宋体" w:hAnsi="宋体"/>
      </w:rPr>
    </w:pPr>
    <w:r>
      <w:rPr>
        <w:rFonts w:ascii="宋体" w:hAnsi="宋体" w:hint="eastAsia"/>
      </w:rPr>
      <w:t>深证300价值交易型开放式指数证券投资基金</w:t>
    </w:r>
  </w:p>
  <w:p w14:paraId="47C0C2B0" w14:textId="756A26F9" w:rsidR="00432C1E" w:rsidRDefault="00432C1E">
    <w:pPr>
      <w:pStyle w:val="af"/>
      <w:pBdr>
        <w:bottom w:val="none" w:sz="0" w:space="0" w:color="auto"/>
      </w:pBdr>
      <w:tabs>
        <w:tab w:val="right" w:pos="8280"/>
      </w:tabs>
      <w:jc w:val="right"/>
    </w:pPr>
    <w:r>
      <w:rPr>
        <w:noProof/>
      </w:rPr>
      <mc:AlternateContent>
        <mc:Choice Requires="wps">
          <w:drawing>
            <wp:anchor distT="0" distB="0" distL="114300" distR="114300" simplePos="0" relativeHeight="251659264" behindDoc="0" locked="0" layoutInCell="1" allowOverlap="1" wp14:anchorId="22DE09D6" wp14:editId="3B2C21D2">
              <wp:simplePos x="0" y="0"/>
              <wp:positionH relativeFrom="column">
                <wp:posOffset>0</wp:posOffset>
              </wp:positionH>
              <wp:positionV relativeFrom="paragraph">
                <wp:posOffset>157480</wp:posOffset>
              </wp:positionV>
              <wp:extent cx="5372100" cy="635"/>
              <wp:effectExtent l="9525" t="5080" r="9525" b="1333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9B7C1B" id="Line 2"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4pt" to="423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"/>
          </w:pict>
        </mc:Fallback>
      </mc:AlternateContent>
    </w:r>
    <w:r>
      <w:rPr>
        <w:rFonts w:ascii="宋体" w:hAnsi="宋体" w:hint="eastAsia"/>
      </w:rPr>
      <w:t>（更新）招募说明书（201</w:t>
    </w:r>
    <w:r>
      <w:rPr>
        <w:rFonts w:ascii="宋体" w:hAnsi="宋体"/>
      </w:rPr>
      <w:t>8</w:t>
    </w:r>
    <w:r>
      <w:rPr>
        <w:rFonts w:ascii="宋体" w:hAnsi="宋体" w:hint="eastAsia"/>
      </w:rPr>
      <w:t>年第</w:t>
    </w:r>
    <w:r>
      <w:rPr>
        <w:rFonts w:ascii="宋体" w:hAnsi="宋体"/>
      </w:rPr>
      <w:t>1</w:t>
    </w:r>
    <w:r>
      <w:rPr>
        <w:rFonts w:ascii="宋体" w:hAnsi="宋体" w:hint="eastAsia"/>
      </w:rPr>
      <w:t>号）</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6"/>
    <w:multiLevelType w:val="multilevel"/>
    <w:tmpl w:val="00000006"/>
    <w:lvl w:ilvl="0" w:tentative="1">
      <w:start w:val="1"/>
      <w:numFmt w:val="decimal"/>
      <w:pStyle w:val="2"/>
      <w:lvlText w:val="（%1）"/>
      <w:lvlJc w:val="center"/>
      <w:pPr>
        <w:tabs>
          <w:tab w:val="left" w:pos="648"/>
        </w:tabs>
        <w:ind w:left="0" w:firstLine="288"/>
      </w:pPr>
      <w:rPr>
        <w:rFonts w:hint="eastAsia"/>
      </w:rPr>
    </w:lvl>
    <w:lvl w:ilvl="1" w:tentative="1">
      <w:start w:val="1"/>
      <w:numFmt w:val="lowerLetter"/>
      <w:lvlText w:val="%2)"/>
      <w:lvlJc w:val="left"/>
      <w:pPr>
        <w:tabs>
          <w:tab w:val="left" w:pos="840"/>
        </w:tabs>
        <w:ind w:left="840" w:hanging="420"/>
      </w:p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1" w15:restartNumberingAfterBreak="0">
    <w:nsid w:val="00000008"/>
    <w:multiLevelType w:val="multilevel"/>
    <w:tmpl w:val="00000008"/>
    <w:lvl w:ilvl="0" w:tentative="1">
      <w:start w:val="1"/>
      <w:numFmt w:val="chineseCountingThousand"/>
      <w:pStyle w:val="1"/>
      <w:lvlText w:val="第%1章"/>
      <w:lvlJc w:val="left"/>
      <w:pPr>
        <w:tabs>
          <w:tab w:val="left" w:pos="1182"/>
        </w:tabs>
        <w:ind w:left="527" w:hanging="425"/>
      </w:pPr>
      <w:rPr>
        <w:rFonts w:hint="eastAsia"/>
        <w:b/>
        <w:i w:val="0"/>
        <w:sz w:val="30"/>
      </w:rPr>
    </w:lvl>
    <w:lvl w:ilvl="1" w:tentative="1">
      <w:start w:val="1"/>
      <w:numFmt w:val="chineseCountingThousand"/>
      <w:pStyle w:val="20"/>
      <w:lvlText w:val="%2、"/>
      <w:lvlJc w:val="left"/>
      <w:pPr>
        <w:tabs>
          <w:tab w:val="left" w:pos="2434"/>
        </w:tabs>
        <w:ind w:left="2434" w:hanging="454"/>
      </w:pPr>
      <w:rPr>
        <w:rFonts w:hint="eastAsia"/>
        <w:b/>
        <w:i w:val="0"/>
        <w:sz w:val="24"/>
      </w:rPr>
    </w:lvl>
    <w:lvl w:ilvl="2" w:tentative="1">
      <w:start w:val="1"/>
      <w:numFmt w:val="decimal"/>
      <w:pStyle w:val="3"/>
      <w:lvlText w:val="%3. "/>
      <w:lvlJc w:val="left"/>
      <w:pPr>
        <w:tabs>
          <w:tab w:val="left" w:pos="475"/>
        </w:tabs>
        <w:ind w:left="102" w:firstLine="13"/>
      </w:pPr>
      <w:rPr>
        <w:rFonts w:hint="eastAsia"/>
        <w:sz w:val="24"/>
      </w:rPr>
    </w:lvl>
    <w:lvl w:ilvl="3" w:tentative="1">
      <w:start w:val="1"/>
      <w:numFmt w:val="decimal"/>
      <w:lvlText w:val="（%4）"/>
      <w:lvlJc w:val="left"/>
      <w:pPr>
        <w:tabs>
          <w:tab w:val="left" w:pos="720"/>
        </w:tabs>
        <w:ind w:left="57" w:hanging="57"/>
      </w:pPr>
      <w:rPr>
        <w:rFonts w:hint="eastAsia"/>
        <w:sz w:val="24"/>
      </w:rPr>
    </w:lvl>
    <w:lvl w:ilvl="4" w:tentative="1">
      <w:start w:val="1"/>
      <w:numFmt w:val="upperLetter"/>
      <w:pStyle w:val="5"/>
      <w:lvlText w:val="%5."/>
      <w:lvlJc w:val="left"/>
      <w:pPr>
        <w:tabs>
          <w:tab w:val="left" w:pos="462"/>
        </w:tabs>
        <w:ind w:left="102" w:firstLine="0"/>
      </w:pPr>
      <w:rPr>
        <w:rFonts w:hint="eastAsia"/>
        <w:sz w:val="24"/>
      </w:rPr>
    </w:lvl>
    <w:lvl w:ilvl="5" w:tentative="1">
      <w:start w:val="1"/>
      <w:numFmt w:val="lowerLetter"/>
      <w:pStyle w:val="6"/>
      <w:lvlText w:val="%6."/>
      <w:lvlJc w:val="left"/>
      <w:pPr>
        <w:tabs>
          <w:tab w:val="left" w:pos="462"/>
        </w:tabs>
        <w:ind w:left="102" w:firstLine="0"/>
      </w:pPr>
      <w:rPr>
        <w:rFonts w:hint="eastAsia"/>
        <w:sz w:val="24"/>
      </w:rPr>
    </w:lvl>
    <w:lvl w:ilvl="6" w:tentative="1">
      <w:start w:val="1"/>
      <w:numFmt w:val="none"/>
      <w:lvlText w:val=""/>
      <w:lvlJc w:val="left"/>
      <w:pPr>
        <w:tabs>
          <w:tab w:val="left" w:pos="3929"/>
        </w:tabs>
        <w:ind w:left="3929" w:hanging="1276"/>
      </w:pPr>
      <w:rPr>
        <w:rFonts w:hint="eastAsia"/>
      </w:rPr>
    </w:lvl>
    <w:lvl w:ilvl="7" w:tentative="1">
      <w:start w:val="1"/>
      <w:numFmt w:val="none"/>
      <w:lvlText w:val=""/>
      <w:lvlJc w:val="left"/>
      <w:pPr>
        <w:tabs>
          <w:tab w:val="left" w:pos="4496"/>
        </w:tabs>
        <w:ind w:left="4496" w:hanging="1418"/>
      </w:pPr>
      <w:rPr>
        <w:rFonts w:hint="eastAsia"/>
      </w:rPr>
    </w:lvl>
    <w:lvl w:ilvl="8" w:tentative="1">
      <w:start w:val="1"/>
      <w:numFmt w:val="none"/>
      <w:lvlText w:val=""/>
      <w:lvlJc w:val="left"/>
      <w:pPr>
        <w:tabs>
          <w:tab w:val="left" w:pos="5204"/>
        </w:tabs>
        <w:ind w:left="5204" w:hanging="1700"/>
      </w:pPr>
      <w:rPr>
        <w:rFonts w:hint="eastAsia"/>
      </w:rPr>
    </w:lvl>
  </w:abstractNum>
  <w:abstractNum w:abstractNumId="2" w15:restartNumberingAfterBreak="0">
    <w:nsid w:val="0000000A"/>
    <w:multiLevelType w:val="multilevel"/>
    <w:tmpl w:val="0000000A"/>
    <w:lvl w:ilvl="0">
      <w:start w:val="1"/>
      <w:numFmt w:val="decimal"/>
      <w:lvlText w:val="（%1）"/>
      <w:lvlJc w:val="left"/>
      <w:pPr>
        <w:tabs>
          <w:tab w:val="left" w:pos="1080"/>
        </w:tabs>
        <w:ind w:left="1080" w:hanging="720"/>
      </w:pPr>
      <w:rPr>
        <w:rFonts w:hint="default"/>
      </w:rPr>
    </w:lvl>
    <w:lvl w:ilvl="1" w:tentative="1">
      <w:start w:val="1"/>
      <w:numFmt w:val="decimal"/>
      <w:lvlText w:val="（%2）"/>
      <w:lvlJc w:val="left"/>
      <w:pPr>
        <w:tabs>
          <w:tab w:val="left" w:pos="1500"/>
        </w:tabs>
        <w:ind w:left="1500" w:hanging="720"/>
      </w:pPr>
      <w:rPr>
        <w:rFonts w:hint="default"/>
      </w:rPr>
    </w:lvl>
    <w:lvl w:ilvl="2" w:tentative="1">
      <w:start w:val="1"/>
      <w:numFmt w:val="lowerRoman"/>
      <w:lvlText w:val="%3."/>
      <w:lvlJc w:val="right"/>
      <w:pPr>
        <w:tabs>
          <w:tab w:val="left" w:pos="1620"/>
        </w:tabs>
        <w:ind w:left="1620" w:hanging="420"/>
      </w:pPr>
    </w:lvl>
    <w:lvl w:ilvl="3" w:tentative="1">
      <w:start w:val="1"/>
      <w:numFmt w:val="decimal"/>
      <w:lvlText w:val="%4."/>
      <w:lvlJc w:val="left"/>
      <w:pPr>
        <w:tabs>
          <w:tab w:val="left" w:pos="2040"/>
        </w:tabs>
        <w:ind w:left="2040" w:hanging="420"/>
      </w:pPr>
    </w:lvl>
    <w:lvl w:ilvl="4" w:tentative="1">
      <w:start w:val="1"/>
      <w:numFmt w:val="lowerLetter"/>
      <w:lvlText w:val="%5)"/>
      <w:lvlJc w:val="left"/>
      <w:pPr>
        <w:tabs>
          <w:tab w:val="left" w:pos="2460"/>
        </w:tabs>
        <w:ind w:left="2460" w:hanging="420"/>
      </w:pPr>
    </w:lvl>
    <w:lvl w:ilvl="5" w:tentative="1">
      <w:start w:val="1"/>
      <w:numFmt w:val="lowerRoman"/>
      <w:lvlText w:val="%6."/>
      <w:lvlJc w:val="right"/>
      <w:pPr>
        <w:tabs>
          <w:tab w:val="left" w:pos="2880"/>
        </w:tabs>
        <w:ind w:left="2880" w:hanging="420"/>
      </w:pPr>
    </w:lvl>
    <w:lvl w:ilvl="6" w:tentative="1">
      <w:start w:val="1"/>
      <w:numFmt w:val="decimal"/>
      <w:lvlText w:val="%7."/>
      <w:lvlJc w:val="left"/>
      <w:pPr>
        <w:tabs>
          <w:tab w:val="left" w:pos="3300"/>
        </w:tabs>
        <w:ind w:left="3300" w:hanging="420"/>
      </w:pPr>
    </w:lvl>
    <w:lvl w:ilvl="7" w:tentative="1">
      <w:start w:val="1"/>
      <w:numFmt w:val="lowerLetter"/>
      <w:lvlText w:val="%8)"/>
      <w:lvlJc w:val="left"/>
      <w:pPr>
        <w:tabs>
          <w:tab w:val="left" w:pos="3720"/>
        </w:tabs>
        <w:ind w:left="3720" w:hanging="420"/>
      </w:pPr>
    </w:lvl>
    <w:lvl w:ilvl="8" w:tentative="1">
      <w:start w:val="1"/>
      <w:numFmt w:val="lowerRoman"/>
      <w:lvlText w:val="%9."/>
      <w:lvlJc w:val="right"/>
      <w:pPr>
        <w:tabs>
          <w:tab w:val="left" w:pos="4140"/>
        </w:tabs>
        <w:ind w:left="4140" w:hanging="420"/>
      </w:pPr>
    </w:lvl>
  </w:abstractNum>
  <w:abstractNum w:abstractNumId="3" w15:restartNumberingAfterBreak="0">
    <w:nsid w:val="0000000C"/>
    <w:multiLevelType w:val="multilevel"/>
    <w:tmpl w:val="0000000C"/>
    <w:lvl w:ilvl="0" w:tentative="1">
      <w:start w:val="1"/>
      <w:numFmt w:val="none"/>
      <w:suff w:val="nothing"/>
      <w:lvlText w:val=""/>
      <w:lvlJc w:val="left"/>
      <w:pPr>
        <w:ind w:left="0" w:firstLine="0"/>
      </w:pPr>
      <w:rPr>
        <w:rFonts w:ascii="楷体_GB2312" w:eastAsia="@楷体_GB2312" w:hint="eastAsia"/>
        <w:b/>
        <w:i w:val="0"/>
        <w:sz w:val="30"/>
      </w:rPr>
    </w:lvl>
    <w:lvl w:ilvl="1" w:tentative="1">
      <w:start w:val="1"/>
      <w:numFmt w:val="chineseCountingThousand"/>
      <w:suff w:val="nothing"/>
      <w:lvlText w:val="第%2章"/>
      <w:lvlJc w:val="left"/>
      <w:pPr>
        <w:ind w:left="0" w:firstLine="0"/>
      </w:pPr>
      <w:rPr>
        <w:rFonts w:ascii="楷体_GB2312" w:eastAsia="@楷体_GB2312" w:hint="eastAsia"/>
        <w:b/>
        <w:i w:val="0"/>
        <w:sz w:val="30"/>
      </w:rPr>
    </w:lvl>
    <w:lvl w:ilvl="2" w:tentative="1">
      <w:start w:val="1"/>
      <w:numFmt w:val="chineseCountingThousand"/>
      <w:suff w:val="nothing"/>
      <w:lvlText w:val="%3、"/>
      <w:lvlJc w:val="left"/>
      <w:pPr>
        <w:ind w:left="0" w:firstLine="0"/>
      </w:pPr>
      <w:rPr>
        <w:rFonts w:ascii="楷体_GB2312" w:eastAsia="@楷体_GB2312" w:hint="eastAsia"/>
        <w:b w:val="0"/>
        <w:i w:val="0"/>
        <w:sz w:val="28"/>
      </w:rPr>
    </w:lvl>
    <w:lvl w:ilvl="3" w:tentative="1">
      <w:start w:val="1"/>
      <w:numFmt w:val="chineseCountingThousand"/>
      <w:pStyle w:val="a"/>
      <w:suff w:val="nothing"/>
      <w:lvlText w:val="（%4）"/>
      <w:lvlJc w:val="left"/>
      <w:pPr>
        <w:ind w:left="0" w:firstLine="0"/>
      </w:pPr>
      <w:rPr>
        <w:rFonts w:ascii="楷体_GB2312" w:eastAsia="@楷体_GB2312" w:hint="eastAsia"/>
        <w:b w:val="0"/>
        <w:i w:val="0"/>
        <w:sz w:val="24"/>
      </w:rPr>
    </w:lvl>
    <w:lvl w:ilvl="4" w:tentative="1">
      <w:start w:val="1"/>
      <w:numFmt w:val="decimal"/>
      <w:suff w:val="nothing"/>
      <w:lvlText w:val="%5、"/>
      <w:lvlJc w:val="left"/>
      <w:pPr>
        <w:ind w:left="0" w:firstLine="0"/>
      </w:pPr>
      <w:rPr>
        <w:rFonts w:ascii="Times New Roman" w:hAnsi="Times New Roman" w:hint="default"/>
        <w:b w:val="0"/>
        <w:i w:val="0"/>
        <w:sz w:val="24"/>
      </w:rPr>
    </w:lvl>
    <w:lvl w:ilvl="5" w:tentative="1">
      <w:start w:val="1"/>
      <w:numFmt w:val="decimal"/>
      <w:suff w:val="nothing"/>
      <w:lvlText w:val="（%6）"/>
      <w:lvlJc w:val="left"/>
      <w:pPr>
        <w:ind w:left="0" w:firstLine="0"/>
      </w:pPr>
      <w:rPr>
        <w:rFonts w:ascii="Times New Roman" w:hAnsi="Times New Roman" w:hint="default"/>
        <w:b w:val="0"/>
        <w:i w:val="0"/>
        <w:sz w:val="24"/>
      </w:rPr>
    </w:lvl>
    <w:lvl w:ilvl="6" w:tentative="1">
      <w:start w:val="1"/>
      <w:numFmt w:val="none"/>
      <w:suff w:val="nothing"/>
      <w:lvlText w:val=""/>
      <w:lvlJc w:val="left"/>
      <w:pPr>
        <w:ind w:left="0" w:firstLine="0"/>
      </w:pPr>
      <w:rPr>
        <w:rFonts w:hint="eastAsia"/>
      </w:rPr>
    </w:lvl>
    <w:lvl w:ilvl="7" w:tentative="1">
      <w:start w:val="1"/>
      <w:numFmt w:val="none"/>
      <w:suff w:val="nothing"/>
      <w:lvlText w:val=""/>
      <w:lvlJc w:val="left"/>
      <w:pPr>
        <w:ind w:left="0" w:firstLine="0"/>
      </w:pPr>
      <w:rPr>
        <w:rFonts w:hint="eastAsia"/>
      </w:rPr>
    </w:lvl>
    <w:lvl w:ilvl="8" w:tentative="1">
      <w:start w:val="1"/>
      <w:numFmt w:val="none"/>
      <w:suff w:val="nothing"/>
      <w:lvlText w:val=""/>
      <w:lvlJc w:val="left"/>
      <w:pPr>
        <w:ind w:left="0" w:firstLine="0"/>
      </w:pPr>
      <w:rPr>
        <w:rFonts w:hint="eastAsia"/>
      </w:rPr>
    </w:lvl>
  </w:abstractNum>
  <w:abstractNum w:abstractNumId="4" w15:restartNumberingAfterBreak="0">
    <w:nsid w:val="0000000E"/>
    <w:multiLevelType w:val="singleLevel"/>
    <w:tmpl w:val="0000000E"/>
    <w:lvl w:ilvl="0" w:tentative="1">
      <w:start w:val="1"/>
      <w:numFmt w:val="decimal"/>
      <w:pStyle w:val="21"/>
      <w:lvlText w:val="(%1)"/>
      <w:lvlJc w:val="left"/>
      <w:pPr>
        <w:tabs>
          <w:tab w:val="left" w:pos="360"/>
        </w:tabs>
        <w:ind w:left="0" w:firstLine="0"/>
      </w:pPr>
      <w:rPr>
        <w:rFonts w:hint="eastAsia"/>
      </w:rPr>
    </w:lvl>
  </w:abstractNum>
  <w:abstractNum w:abstractNumId="5" w15:restartNumberingAfterBreak="0">
    <w:nsid w:val="560B75D4"/>
    <w:multiLevelType w:val="singleLevel"/>
    <w:tmpl w:val="560B75D4"/>
    <w:lvl w:ilvl="0">
      <w:start w:val="3"/>
      <w:numFmt w:val="decimal"/>
      <w:suff w:val="nothing"/>
      <w:lvlText w:val="%1、"/>
      <w:lvlJc w:val="left"/>
    </w:lvl>
  </w:abstractNum>
  <w:abstractNum w:abstractNumId="6" w15:restartNumberingAfterBreak="0">
    <w:nsid w:val="5C5D35F3"/>
    <w:multiLevelType w:val="multilevel"/>
    <w:tmpl w:val="5C5D35F3"/>
    <w:lvl w:ilvl="0">
      <w:start w:val="1"/>
      <w:numFmt w:val="decimal"/>
      <w:lvlText w:val="%1、"/>
      <w:lvlJc w:val="left"/>
      <w:pPr>
        <w:ind w:left="840" w:hanging="360"/>
      </w:pPr>
      <w:rPr>
        <w:rFonts w:hint="default"/>
      </w:rPr>
    </w:lvl>
    <w:lvl w:ilvl="1" w:tentative="1">
      <w:start w:val="1"/>
      <w:numFmt w:val="lowerLetter"/>
      <w:lvlText w:val="%2)"/>
      <w:lvlJc w:val="left"/>
      <w:pPr>
        <w:ind w:left="1320" w:hanging="420"/>
      </w:pPr>
    </w:lvl>
    <w:lvl w:ilvl="2" w:tentative="1">
      <w:start w:val="1"/>
      <w:numFmt w:val="lowerRoman"/>
      <w:lvlText w:val="%3."/>
      <w:lvlJc w:val="right"/>
      <w:pPr>
        <w:ind w:left="1740" w:hanging="420"/>
      </w:pPr>
    </w:lvl>
    <w:lvl w:ilvl="3" w:tentative="1">
      <w:start w:val="1"/>
      <w:numFmt w:val="decimal"/>
      <w:lvlText w:val="%4."/>
      <w:lvlJc w:val="left"/>
      <w:pPr>
        <w:ind w:left="2160" w:hanging="420"/>
      </w:pPr>
    </w:lvl>
    <w:lvl w:ilvl="4" w:tentative="1">
      <w:start w:val="1"/>
      <w:numFmt w:val="lowerLetter"/>
      <w:lvlText w:val="%5)"/>
      <w:lvlJc w:val="left"/>
      <w:pPr>
        <w:ind w:left="2580" w:hanging="420"/>
      </w:pPr>
    </w:lvl>
    <w:lvl w:ilvl="5" w:tentative="1">
      <w:start w:val="1"/>
      <w:numFmt w:val="lowerRoman"/>
      <w:lvlText w:val="%6."/>
      <w:lvlJc w:val="right"/>
      <w:pPr>
        <w:ind w:left="3000" w:hanging="420"/>
      </w:pPr>
    </w:lvl>
    <w:lvl w:ilvl="6" w:tentative="1">
      <w:start w:val="1"/>
      <w:numFmt w:val="decimal"/>
      <w:lvlText w:val="%7."/>
      <w:lvlJc w:val="left"/>
      <w:pPr>
        <w:ind w:left="3420" w:hanging="420"/>
      </w:pPr>
    </w:lvl>
    <w:lvl w:ilvl="7" w:tentative="1">
      <w:start w:val="1"/>
      <w:numFmt w:val="lowerLetter"/>
      <w:lvlText w:val="%8)"/>
      <w:lvlJc w:val="left"/>
      <w:pPr>
        <w:ind w:left="3840" w:hanging="420"/>
      </w:pPr>
    </w:lvl>
    <w:lvl w:ilvl="8" w:tentative="1">
      <w:start w:val="1"/>
      <w:numFmt w:val="lowerRoman"/>
      <w:lvlText w:val="%9."/>
      <w:lvlJc w:val="right"/>
      <w:pPr>
        <w:ind w:left="4260" w:hanging="420"/>
      </w:pPr>
    </w:lvl>
  </w:abstractNum>
  <w:num w:numId="1">
    <w:abstractNumId w:val="1"/>
  </w:num>
  <w:num w:numId="2">
    <w:abstractNumId w:val="4"/>
  </w:num>
  <w:num w:numId="3">
    <w:abstractNumId w:val="0"/>
  </w:num>
  <w:num w:numId="4">
    <w:abstractNumId w:val="3"/>
  </w:num>
  <w:num w:numId="5">
    <w:abstractNumId w:val="2"/>
  </w:num>
  <w:num w:numId="6">
    <w:abstractNumId w:val="5"/>
  </w:num>
  <w:num w:numId="7">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汤程翔">
    <w15:presenceInfo w15:providerId="AD" w15:userId="S-1-5-21-3611496191-2553899486-1547728003-78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proofState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4A0"/>
    <w:rsid w:val="00013EDD"/>
    <w:rsid w:val="00022513"/>
    <w:rsid w:val="000442B9"/>
    <w:rsid w:val="000508A1"/>
    <w:rsid w:val="0005190D"/>
    <w:rsid w:val="00053341"/>
    <w:rsid w:val="00054086"/>
    <w:rsid w:val="000720B1"/>
    <w:rsid w:val="00085CDA"/>
    <w:rsid w:val="0009626C"/>
    <w:rsid w:val="00096285"/>
    <w:rsid w:val="000A3D72"/>
    <w:rsid w:val="000A4E2F"/>
    <w:rsid w:val="000A762B"/>
    <w:rsid w:val="000B1B3C"/>
    <w:rsid w:val="000B2A26"/>
    <w:rsid w:val="000D0BAF"/>
    <w:rsid w:val="000D3DBB"/>
    <w:rsid w:val="000E021A"/>
    <w:rsid w:val="000E24A0"/>
    <w:rsid w:val="000E5BAB"/>
    <w:rsid w:val="000F41C9"/>
    <w:rsid w:val="00115BDC"/>
    <w:rsid w:val="00122F5D"/>
    <w:rsid w:val="001420C1"/>
    <w:rsid w:val="00171548"/>
    <w:rsid w:val="00174552"/>
    <w:rsid w:val="001759AB"/>
    <w:rsid w:val="00193D73"/>
    <w:rsid w:val="001941FF"/>
    <w:rsid w:val="001C3420"/>
    <w:rsid w:val="001D7509"/>
    <w:rsid w:val="001E3EE5"/>
    <w:rsid w:val="001E46FE"/>
    <w:rsid w:val="00207F03"/>
    <w:rsid w:val="00211284"/>
    <w:rsid w:val="002244FC"/>
    <w:rsid w:val="00224CA1"/>
    <w:rsid w:val="00241842"/>
    <w:rsid w:val="00254B10"/>
    <w:rsid w:val="002573E3"/>
    <w:rsid w:val="00263738"/>
    <w:rsid w:val="00265A47"/>
    <w:rsid w:val="00275224"/>
    <w:rsid w:val="002913D2"/>
    <w:rsid w:val="00291755"/>
    <w:rsid w:val="00295F54"/>
    <w:rsid w:val="002B0F7F"/>
    <w:rsid w:val="002C2A73"/>
    <w:rsid w:val="003242F1"/>
    <w:rsid w:val="00326BD2"/>
    <w:rsid w:val="00332706"/>
    <w:rsid w:val="00340909"/>
    <w:rsid w:val="0034575B"/>
    <w:rsid w:val="00354A8C"/>
    <w:rsid w:val="00354F28"/>
    <w:rsid w:val="003607FB"/>
    <w:rsid w:val="003616F4"/>
    <w:rsid w:val="003638C2"/>
    <w:rsid w:val="003757FB"/>
    <w:rsid w:val="00376C0A"/>
    <w:rsid w:val="00381157"/>
    <w:rsid w:val="00382B8E"/>
    <w:rsid w:val="003831A2"/>
    <w:rsid w:val="003A5950"/>
    <w:rsid w:val="003A5F06"/>
    <w:rsid w:val="003A60E0"/>
    <w:rsid w:val="003A6E0F"/>
    <w:rsid w:val="003B6F9F"/>
    <w:rsid w:val="003C3CEB"/>
    <w:rsid w:val="003C4007"/>
    <w:rsid w:val="003F1E8B"/>
    <w:rsid w:val="003F69E1"/>
    <w:rsid w:val="00432C1E"/>
    <w:rsid w:val="00433554"/>
    <w:rsid w:val="004377D2"/>
    <w:rsid w:val="004475B9"/>
    <w:rsid w:val="00490A55"/>
    <w:rsid w:val="004C3EF9"/>
    <w:rsid w:val="004C421D"/>
    <w:rsid w:val="004C69FC"/>
    <w:rsid w:val="004D30F1"/>
    <w:rsid w:val="004D70AD"/>
    <w:rsid w:val="004E49CF"/>
    <w:rsid w:val="004F1FE6"/>
    <w:rsid w:val="005043DB"/>
    <w:rsid w:val="00507BE6"/>
    <w:rsid w:val="00541168"/>
    <w:rsid w:val="00550876"/>
    <w:rsid w:val="00552F03"/>
    <w:rsid w:val="0059496E"/>
    <w:rsid w:val="005B44B4"/>
    <w:rsid w:val="005C0E30"/>
    <w:rsid w:val="005E1FEC"/>
    <w:rsid w:val="005E31F7"/>
    <w:rsid w:val="00607C40"/>
    <w:rsid w:val="006260C9"/>
    <w:rsid w:val="00631996"/>
    <w:rsid w:val="00641E7B"/>
    <w:rsid w:val="00645DDE"/>
    <w:rsid w:val="0066583A"/>
    <w:rsid w:val="006662F7"/>
    <w:rsid w:val="006920ED"/>
    <w:rsid w:val="006A4373"/>
    <w:rsid w:val="006A59F2"/>
    <w:rsid w:val="006B782E"/>
    <w:rsid w:val="006C06C5"/>
    <w:rsid w:val="006C2B19"/>
    <w:rsid w:val="006E0394"/>
    <w:rsid w:val="006E2E3F"/>
    <w:rsid w:val="00705196"/>
    <w:rsid w:val="00710C8F"/>
    <w:rsid w:val="0074655D"/>
    <w:rsid w:val="007616C3"/>
    <w:rsid w:val="00761B72"/>
    <w:rsid w:val="0076668C"/>
    <w:rsid w:val="00782C2F"/>
    <w:rsid w:val="00793FB5"/>
    <w:rsid w:val="007B7BDB"/>
    <w:rsid w:val="007C3B5F"/>
    <w:rsid w:val="008057B6"/>
    <w:rsid w:val="00806899"/>
    <w:rsid w:val="00816F8A"/>
    <w:rsid w:val="008253D2"/>
    <w:rsid w:val="00875317"/>
    <w:rsid w:val="0087762D"/>
    <w:rsid w:val="00877FB0"/>
    <w:rsid w:val="0088429F"/>
    <w:rsid w:val="0088644F"/>
    <w:rsid w:val="008869D1"/>
    <w:rsid w:val="00890849"/>
    <w:rsid w:val="008940A2"/>
    <w:rsid w:val="00897BF3"/>
    <w:rsid w:val="008A62A6"/>
    <w:rsid w:val="008B0C74"/>
    <w:rsid w:val="008B1ECF"/>
    <w:rsid w:val="008B516D"/>
    <w:rsid w:val="008B534D"/>
    <w:rsid w:val="008B556F"/>
    <w:rsid w:val="008C3361"/>
    <w:rsid w:val="008E533A"/>
    <w:rsid w:val="008E55E4"/>
    <w:rsid w:val="008E6B84"/>
    <w:rsid w:val="009018BE"/>
    <w:rsid w:val="00904D07"/>
    <w:rsid w:val="00907AE3"/>
    <w:rsid w:val="00910938"/>
    <w:rsid w:val="00936F02"/>
    <w:rsid w:val="009429E5"/>
    <w:rsid w:val="00952523"/>
    <w:rsid w:val="00961D74"/>
    <w:rsid w:val="00985303"/>
    <w:rsid w:val="00991E92"/>
    <w:rsid w:val="009B28F4"/>
    <w:rsid w:val="009C426A"/>
    <w:rsid w:val="009C4DD2"/>
    <w:rsid w:val="009C5B8C"/>
    <w:rsid w:val="009D3604"/>
    <w:rsid w:val="009D5155"/>
    <w:rsid w:val="009F0748"/>
    <w:rsid w:val="00A00040"/>
    <w:rsid w:val="00A03E13"/>
    <w:rsid w:val="00A21277"/>
    <w:rsid w:val="00A373BD"/>
    <w:rsid w:val="00A373FB"/>
    <w:rsid w:val="00A430A5"/>
    <w:rsid w:val="00A60946"/>
    <w:rsid w:val="00A70B57"/>
    <w:rsid w:val="00A750FC"/>
    <w:rsid w:val="00A90578"/>
    <w:rsid w:val="00AA1F4C"/>
    <w:rsid w:val="00AA243A"/>
    <w:rsid w:val="00AB4CEA"/>
    <w:rsid w:val="00AC0A12"/>
    <w:rsid w:val="00AC71C6"/>
    <w:rsid w:val="00AE6D4C"/>
    <w:rsid w:val="00AF033B"/>
    <w:rsid w:val="00AF36DF"/>
    <w:rsid w:val="00B13D46"/>
    <w:rsid w:val="00B1497D"/>
    <w:rsid w:val="00B15FDF"/>
    <w:rsid w:val="00B43DFF"/>
    <w:rsid w:val="00B458DC"/>
    <w:rsid w:val="00B610C5"/>
    <w:rsid w:val="00B63436"/>
    <w:rsid w:val="00B8363A"/>
    <w:rsid w:val="00B87377"/>
    <w:rsid w:val="00B95F2C"/>
    <w:rsid w:val="00BB29DB"/>
    <w:rsid w:val="00BB5AD7"/>
    <w:rsid w:val="00BB7B31"/>
    <w:rsid w:val="00BC25EE"/>
    <w:rsid w:val="00BC4D40"/>
    <w:rsid w:val="00BD1EB6"/>
    <w:rsid w:val="00BD40B6"/>
    <w:rsid w:val="00BD6A0A"/>
    <w:rsid w:val="00C15839"/>
    <w:rsid w:val="00C2000A"/>
    <w:rsid w:val="00C23A6E"/>
    <w:rsid w:val="00C4017C"/>
    <w:rsid w:val="00C43BE5"/>
    <w:rsid w:val="00C46EAA"/>
    <w:rsid w:val="00C5750B"/>
    <w:rsid w:val="00C7289E"/>
    <w:rsid w:val="00C80C62"/>
    <w:rsid w:val="00C85A8D"/>
    <w:rsid w:val="00C8742A"/>
    <w:rsid w:val="00CB213F"/>
    <w:rsid w:val="00CB7BC9"/>
    <w:rsid w:val="00CD2BAD"/>
    <w:rsid w:val="00CE07ED"/>
    <w:rsid w:val="00CF57A4"/>
    <w:rsid w:val="00CF7A3A"/>
    <w:rsid w:val="00D1070C"/>
    <w:rsid w:val="00D20A9B"/>
    <w:rsid w:val="00D27FEF"/>
    <w:rsid w:val="00D31770"/>
    <w:rsid w:val="00D36AF9"/>
    <w:rsid w:val="00D37C89"/>
    <w:rsid w:val="00D42D73"/>
    <w:rsid w:val="00D51C19"/>
    <w:rsid w:val="00D55C4C"/>
    <w:rsid w:val="00D562FE"/>
    <w:rsid w:val="00D61BE8"/>
    <w:rsid w:val="00D7318B"/>
    <w:rsid w:val="00D75113"/>
    <w:rsid w:val="00DA745A"/>
    <w:rsid w:val="00DB30BC"/>
    <w:rsid w:val="00DC0528"/>
    <w:rsid w:val="00DC4858"/>
    <w:rsid w:val="00DC5165"/>
    <w:rsid w:val="00DC6989"/>
    <w:rsid w:val="00DD74F6"/>
    <w:rsid w:val="00DE13E5"/>
    <w:rsid w:val="00DE2783"/>
    <w:rsid w:val="00DE632A"/>
    <w:rsid w:val="00E06C0A"/>
    <w:rsid w:val="00E123F5"/>
    <w:rsid w:val="00E175C2"/>
    <w:rsid w:val="00E21D6A"/>
    <w:rsid w:val="00E231B5"/>
    <w:rsid w:val="00E26C91"/>
    <w:rsid w:val="00E47A63"/>
    <w:rsid w:val="00E52BF5"/>
    <w:rsid w:val="00E62186"/>
    <w:rsid w:val="00E65BD7"/>
    <w:rsid w:val="00E848E7"/>
    <w:rsid w:val="00EB1F8D"/>
    <w:rsid w:val="00EC4BFA"/>
    <w:rsid w:val="00EC73A3"/>
    <w:rsid w:val="00EC7C6E"/>
    <w:rsid w:val="00EE0D1D"/>
    <w:rsid w:val="00EE1E2F"/>
    <w:rsid w:val="00EF01C9"/>
    <w:rsid w:val="00EF6070"/>
    <w:rsid w:val="00F032FB"/>
    <w:rsid w:val="00F17009"/>
    <w:rsid w:val="00F26CDE"/>
    <w:rsid w:val="00F26D2B"/>
    <w:rsid w:val="00F32517"/>
    <w:rsid w:val="00F33B20"/>
    <w:rsid w:val="00F414A0"/>
    <w:rsid w:val="00F44D01"/>
    <w:rsid w:val="00F55AA0"/>
    <w:rsid w:val="00F55C9E"/>
    <w:rsid w:val="00F62CA9"/>
    <w:rsid w:val="00F638FE"/>
    <w:rsid w:val="00F65779"/>
    <w:rsid w:val="00F75123"/>
    <w:rsid w:val="00F757A1"/>
    <w:rsid w:val="00F84A67"/>
    <w:rsid w:val="00F86334"/>
    <w:rsid w:val="00FA42F0"/>
    <w:rsid w:val="00FB1AEE"/>
    <w:rsid w:val="00FB3EFF"/>
    <w:rsid w:val="00FC4B88"/>
    <w:rsid w:val="00FC5141"/>
    <w:rsid w:val="00FC6D77"/>
    <w:rsid w:val="00FD3A3E"/>
    <w:rsid w:val="00FD476B"/>
    <w:rsid w:val="00FE6F37"/>
    <w:rsid w:val="00FE709B"/>
    <w:rsid w:val="00FF0A4B"/>
    <w:rsid w:val="5CC83C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271A4F48"/>
  <w15:docId w15:val="{4C036347-1B8F-4141-AE77-147D070F2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note text" w:semiHidden="1" w:unhideWhenUsed="1"/>
    <w:lsdException w:name="footer" w:uiPriority="99"/>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Body Text First Indent 2" w:semiHidden="1" w:unhideWhenUsed="1"/>
    <w:lsdException w:name="Note Heading" w:semiHidden="1" w:unhideWhenUsed="1"/>
    <w:lsdException w:name="Body Text 2" w:semiHidden="1" w:unhideWhenUsed="1"/>
    <w:lsdException w:name="Block Text" w:semiHidden="1" w:unhideWhenUsed="1"/>
    <w:lsdException w:name="Hyperlink" w:uiPriority="99"/>
    <w:lsdException w:name="Strong" w:uiPriority="22" w:qFormat="1"/>
    <w:lsdException w:name="Emphasis" w:uiPriority="20" w:qFormat="1"/>
    <w:lsdException w:name="Plain Text" w:uiPriority="99"/>
    <w:lsdException w:name="E-mail Signature" w:semiHidden="1" w:unhideWhenUsed="1"/>
    <w:lsdException w:name="HTML Top of Form" w:semiHidden="1" w:uiPriority="99" w:unhideWhenUsed="1"/>
    <w:lsdException w:name="HTML Bottom of Form"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jc w:val="both"/>
    </w:pPr>
    <w:rPr>
      <w:kern w:val="2"/>
      <w:sz w:val="21"/>
      <w:szCs w:val="24"/>
    </w:rPr>
  </w:style>
  <w:style w:type="paragraph" w:styleId="1">
    <w:name w:val="heading 1"/>
    <w:basedOn w:val="a0"/>
    <w:next w:val="a0"/>
    <w:qFormat/>
    <w:pPr>
      <w:keepNext/>
      <w:keepLines/>
      <w:numPr>
        <w:numId w:val="1"/>
      </w:numPr>
      <w:spacing w:beforeLines="100" w:afterLines="100" w:line="360" w:lineRule="auto"/>
      <w:jc w:val="center"/>
      <w:outlineLvl w:val="0"/>
    </w:pPr>
    <w:rPr>
      <w:rFonts w:eastAsia="楷体_GB2312"/>
      <w:b/>
      <w:kern w:val="44"/>
      <w:sz w:val="32"/>
      <w:szCs w:val="20"/>
    </w:rPr>
  </w:style>
  <w:style w:type="paragraph" w:styleId="20">
    <w:name w:val="heading 2"/>
    <w:basedOn w:val="a0"/>
    <w:next w:val="a1"/>
    <w:qFormat/>
    <w:pPr>
      <w:keepNext/>
      <w:keepLines/>
      <w:numPr>
        <w:ilvl w:val="1"/>
        <w:numId w:val="1"/>
      </w:numPr>
      <w:tabs>
        <w:tab w:val="clear" w:pos="2434"/>
        <w:tab w:val="left" w:pos="456"/>
        <w:tab w:val="left" w:pos="1182"/>
      </w:tabs>
      <w:spacing w:beforeLines="100" w:afterLines="100" w:line="360" w:lineRule="auto"/>
      <w:ind w:left="456"/>
      <w:outlineLvl w:val="1"/>
    </w:pPr>
    <w:rPr>
      <w:rFonts w:cs="Arial"/>
      <w:b/>
      <w:sz w:val="24"/>
      <w:szCs w:val="20"/>
    </w:rPr>
  </w:style>
  <w:style w:type="paragraph" w:styleId="3">
    <w:name w:val="heading 3"/>
    <w:basedOn w:val="a0"/>
    <w:next w:val="a1"/>
    <w:qFormat/>
    <w:pPr>
      <w:keepNext/>
      <w:keepLines/>
      <w:numPr>
        <w:ilvl w:val="2"/>
        <w:numId w:val="1"/>
      </w:numPr>
      <w:tabs>
        <w:tab w:val="left" w:pos="1182"/>
      </w:tabs>
      <w:spacing w:beforeLines="50" w:afterLines="50" w:line="360" w:lineRule="auto"/>
      <w:outlineLvl w:val="2"/>
    </w:pPr>
    <w:rPr>
      <w:rFonts w:cs="Arial"/>
      <w:b/>
      <w:sz w:val="24"/>
      <w:szCs w:val="20"/>
    </w:rPr>
  </w:style>
  <w:style w:type="paragraph" w:styleId="4">
    <w:name w:val="heading 4"/>
    <w:basedOn w:val="a0"/>
    <w:next w:val="a0"/>
    <w:qFormat/>
    <w:pPr>
      <w:keepNext/>
      <w:keepLines/>
      <w:spacing w:before="280" w:after="290" w:line="374" w:lineRule="auto"/>
      <w:outlineLvl w:val="3"/>
    </w:pPr>
    <w:rPr>
      <w:rFonts w:ascii="Arial" w:eastAsia="黑体" w:hAnsi="Arial"/>
      <w:b/>
      <w:bCs/>
      <w:sz w:val="28"/>
      <w:szCs w:val="28"/>
    </w:rPr>
  </w:style>
  <w:style w:type="paragraph" w:styleId="5">
    <w:name w:val="heading 5"/>
    <w:basedOn w:val="a0"/>
    <w:next w:val="a1"/>
    <w:qFormat/>
    <w:pPr>
      <w:keepNext/>
      <w:keepLines/>
      <w:numPr>
        <w:ilvl w:val="4"/>
        <w:numId w:val="1"/>
      </w:numPr>
      <w:tabs>
        <w:tab w:val="left" w:pos="1182"/>
      </w:tabs>
      <w:spacing w:before="100" w:beforeAutospacing="1" w:after="100" w:afterAutospacing="1" w:line="360" w:lineRule="auto"/>
      <w:outlineLvl w:val="4"/>
    </w:pPr>
    <w:rPr>
      <w:rFonts w:cs="Arial"/>
      <w:b/>
      <w:sz w:val="24"/>
      <w:szCs w:val="20"/>
    </w:rPr>
  </w:style>
  <w:style w:type="paragraph" w:styleId="6">
    <w:name w:val="heading 6"/>
    <w:basedOn w:val="a0"/>
    <w:next w:val="a1"/>
    <w:qFormat/>
    <w:pPr>
      <w:keepNext/>
      <w:keepLines/>
      <w:numPr>
        <w:ilvl w:val="5"/>
        <w:numId w:val="1"/>
      </w:numPr>
      <w:tabs>
        <w:tab w:val="left" w:pos="1182"/>
      </w:tabs>
      <w:spacing w:before="100" w:beforeAutospacing="1" w:after="100" w:afterAutospacing="1" w:line="360" w:lineRule="auto"/>
      <w:outlineLvl w:val="5"/>
    </w:pPr>
    <w:rPr>
      <w:rFonts w:cs="Arial"/>
      <w:b/>
      <w:szCs w:val="20"/>
    </w:rPr>
  </w:style>
  <w:style w:type="paragraph" w:styleId="7">
    <w:name w:val="heading 7"/>
    <w:basedOn w:val="a0"/>
    <w:next w:val="a0"/>
    <w:qFormat/>
    <w:pPr>
      <w:keepNext/>
      <w:keepLines/>
      <w:spacing w:before="240" w:after="64" w:line="319" w:lineRule="auto"/>
      <w:outlineLvl w:val="6"/>
    </w:pPr>
    <w:rPr>
      <w:b/>
      <w:sz w:val="24"/>
      <w:szCs w:val="20"/>
    </w:rPr>
  </w:style>
  <w:style w:type="paragraph" w:styleId="8">
    <w:name w:val="heading 8"/>
    <w:basedOn w:val="a0"/>
    <w:next w:val="a0"/>
    <w:qFormat/>
    <w:pPr>
      <w:keepNext/>
      <w:keepLines/>
      <w:spacing w:before="240" w:after="64" w:line="319" w:lineRule="auto"/>
      <w:outlineLvl w:val="7"/>
    </w:pPr>
    <w:rPr>
      <w:rFonts w:ascii="Arial" w:eastAsia="黑体" w:hAnsi="Arial"/>
      <w:sz w:val="24"/>
      <w:szCs w:val="20"/>
    </w:rPr>
  </w:style>
  <w:style w:type="paragraph" w:styleId="9">
    <w:name w:val="heading 9"/>
    <w:basedOn w:val="a0"/>
    <w:next w:val="a0"/>
    <w:qFormat/>
    <w:pPr>
      <w:keepNext/>
      <w:keepLines/>
      <w:spacing w:before="240" w:after="64" w:line="319" w:lineRule="auto"/>
      <w:outlineLvl w:val="8"/>
    </w:pPr>
    <w:rPr>
      <w:rFonts w:ascii="Arial" w:eastAsia="黑体" w:hAnsi="Arial"/>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Normal Indent"/>
    <w:basedOn w:val="a0"/>
    <w:pPr>
      <w:ind w:firstLineChars="200" w:firstLine="420"/>
    </w:pPr>
  </w:style>
  <w:style w:type="paragraph" w:styleId="a5">
    <w:name w:val="annotation subject"/>
    <w:basedOn w:val="a6"/>
    <w:next w:val="a6"/>
    <w:rPr>
      <w:b/>
      <w:bCs/>
    </w:rPr>
  </w:style>
  <w:style w:type="paragraph" w:styleId="a6">
    <w:name w:val="annotation text"/>
    <w:basedOn w:val="a0"/>
    <w:link w:val="Char"/>
    <w:pPr>
      <w:jc w:val="left"/>
    </w:pPr>
  </w:style>
  <w:style w:type="paragraph" w:styleId="a7">
    <w:name w:val="Body Text First Indent"/>
    <w:basedOn w:val="a8"/>
    <w:pPr>
      <w:spacing w:line="300" w:lineRule="auto"/>
      <w:ind w:firstLine="425"/>
    </w:pPr>
    <w:rPr>
      <w:szCs w:val="20"/>
    </w:rPr>
  </w:style>
  <w:style w:type="paragraph" w:styleId="a8">
    <w:name w:val="Body Text"/>
    <w:basedOn w:val="a0"/>
    <w:pPr>
      <w:spacing w:after="120"/>
    </w:pPr>
  </w:style>
  <w:style w:type="paragraph" w:styleId="a9">
    <w:name w:val="Document Map"/>
    <w:basedOn w:val="a0"/>
    <w:link w:val="Char0"/>
    <w:rPr>
      <w:rFonts w:ascii="宋体"/>
      <w:sz w:val="18"/>
      <w:szCs w:val="18"/>
    </w:rPr>
  </w:style>
  <w:style w:type="paragraph" w:styleId="30">
    <w:name w:val="Body Text 3"/>
    <w:basedOn w:val="a0"/>
    <w:pPr>
      <w:spacing w:line="360" w:lineRule="auto"/>
    </w:pPr>
    <w:rPr>
      <w:rFonts w:ascii="仿宋_GB2312" w:eastAsia="仿宋_GB2312" w:hAnsi="Arial"/>
    </w:rPr>
  </w:style>
  <w:style w:type="paragraph" w:styleId="aa">
    <w:name w:val="Body Text Indent"/>
    <w:basedOn w:val="a0"/>
    <w:pPr>
      <w:widowControl/>
      <w:spacing w:line="360" w:lineRule="auto"/>
      <w:ind w:rightChars="-85" w:right="-178" w:firstLineChars="150" w:firstLine="360"/>
      <w:jc w:val="left"/>
    </w:pPr>
    <w:rPr>
      <w:rFonts w:ascii="宋体" w:hAnsi="宋体"/>
      <w:sz w:val="24"/>
    </w:rPr>
  </w:style>
  <w:style w:type="paragraph" w:styleId="ab">
    <w:name w:val="Plain Text"/>
    <w:basedOn w:val="a0"/>
    <w:link w:val="Char1"/>
    <w:uiPriority w:val="99"/>
    <w:pPr>
      <w:widowControl/>
      <w:jc w:val="left"/>
    </w:pPr>
    <w:rPr>
      <w:rFonts w:ascii="Courier New" w:hAnsi="Courier New" w:cs="Courier New"/>
    </w:rPr>
  </w:style>
  <w:style w:type="paragraph" w:styleId="ac">
    <w:name w:val="Date"/>
    <w:basedOn w:val="a0"/>
    <w:next w:val="a0"/>
    <w:pPr>
      <w:ind w:leftChars="2500" w:left="100"/>
    </w:pPr>
  </w:style>
  <w:style w:type="paragraph" w:styleId="22">
    <w:name w:val="Body Text Indent 2"/>
    <w:basedOn w:val="a0"/>
    <w:pPr>
      <w:widowControl/>
      <w:spacing w:before="100" w:beforeAutospacing="1" w:after="100" w:afterAutospacing="1"/>
      <w:ind w:rightChars="-85" w:right="-178" w:firstLine="480"/>
      <w:outlineLvl w:val="0"/>
    </w:pPr>
    <w:rPr>
      <w:rFonts w:ascii="宋体" w:hAnsi="宋体"/>
      <w:color w:val="000000"/>
      <w:sz w:val="24"/>
    </w:rPr>
  </w:style>
  <w:style w:type="paragraph" w:styleId="ad">
    <w:name w:val="Balloon Text"/>
    <w:basedOn w:val="a0"/>
    <w:rPr>
      <w:sz w:val="18"/>
      <w:szCs w:val="18"/>
    </w:rPr>
  </w:style>
  <w:style w:type="paragraph" w:styleId="ae">
    <w:name w:val="footer"/>
    <w:basedOn w:val="a0"/>
    <w:link w:val="Char2"/>
    <w:uiPriority w:val="99"/>
    <w:pPr>
      <w:tabs>
        <w:tab w:val="center" w:pos="4153"/>
        <w:tab w:val="right" w:pos="8306"/>
      </w:tabs>
      <w:snapToGrid w:val="0"/>
      <w:jc w:val="left"/>
    </w:pPr>
    <w:rPr>
      <w:sz w:val="18"/>
      <w:szCs w:val="18"/>
    </w:rPr>
  </w:style>
  <w:style w:type="paragraph" w:styleId="af">
    <w:name w:val="header"/>
    <w:basedOn w:val="a0"/>
    <w:pPr>
      <w:pBdr>
        <w:bottom w:val="single" w:sz="6" w:space="1" w:color="auto"/>
      </w:pBdr>
      <w:tabs>
        <w:tab w:val="center" w:pos="4153"/>
        <w:tab w:val="right" w:pos="8306"/>
      </w:tabs>
      <w:snapToGrid w:val="0"/>
      <w:jc w:val="center"/>
    </w:pPr>
    <w:rPr>
      <w:sz w:val="18"/>
      <w:szCs w:val="18"/>
    </w:rPr>
  </w:style>
  <w:style w:type="paragraph" w:styleId="10">
    <w:name w:val="toc 1"/>
    <w:basedOn w:val="a0"/>
    <w:next w:val="a0"/>
    <w:uiPriority w:val="39"/>
    <w:pPr>
      <w:tabs>
        <w:tab w:val="right" w:leader="dot" w:pos="8450"/>
      </w:tabs>
    </w:pPr>
    <w:rPr>
      <w:rFonts w:ascii="黑体" w:eastAsia="黑体" w:hAnsi="宋体"/>
      <w:sz w:val="24"/>
    </w:rPr>
  </w:style>
  <w:style w:type="paragraph" w:styleId="31">
    <w:name w:val="Body Text Indent 3"/>
    <w:basedOn w:val="a0"/>
    <w:pPr>
      <w:spacing w:after="120"/>
      <w:ind w:leftChars="200" w:left="420"/>
    </w:pPr>
    <w:rPr>
      <w:sz w:val="16"/>
      <w:szCs w:val="16"/>
    </w:rPr>
  </w:style>
  <w:style w:type="paragraph" w:styleId="23">
    <w:name w:val="toc 2"/>
    <w:basedOn w:val="a0"/>
    <w:next w:val="a0"/>
    <w:pPr>
      <w:ind w:leftChars="200" w:left="420"/>
    </w:pPr>
  </w:style>
  <w:style w:type="paragraph" w:styleId="HTML">
    <w:name w:val="HTML Preformatted"/>
    <w:basedOn w:val="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0">
    <w:name w:val="Normal (Web)"/>
    <w:basedOn w:val="a0"/>
    <w:pPr>
      <w:widowControl/>
      <w:tabs>
        <w:tab w:val="left" w:pos="360"/>
      </w:tabs>
      <w:spacing w:before="100" w:beforeAutospacing="1" w:after="100" w:afterAutospacing="1"/>
      <w:jc w:val="left"/>
    </w:pPr>
    <w:rPr>
      <w:rFonts w:ascii="Arial Unicode MS" w:eastAsia="Arial Unicode MS" w:hAnsi="Arial Unicode MS" w:cs="Arial Unicode MS"/>
      <w:kern w:val="0"/>
      <w:sz w:val="24"/>
    </w:rPr>
  </w:style>
  <w:style w:type="paragraph" w:styleId="af1">
    <w:name w:val="Title"/>
    <w:basedOn w:val="a8"/>
    <w:next w:val="a8"/>
    <w:qFormat/>
    <w:pPr>
      <w:tabs>
        <w:tab w:val="left" w:pos="-540"/>
        <w:tab w:val="left" w:pos="1182"/>
      </w:tabs>
      <w:snapToGrid w:val="0"/>
      <w:spacing w:before="240" w:after="60" w:line="360" w:lineRule="auto"/>
      <w:ind w:left="527" w:hanging="425"/>
      <w:jc w:val="center"/>
      <w:outlineLvl w:val="0"/>
    </w:pPr>
    <w:rPr>
      <w:b/>
      <w:bCs/>
      <w:sz w:val="36"/>
      <w:szCs w:val="20"/>
    </w:rPr>
  </w:style>
  <w:style w:type="character" w:styleId="af2">
    <w:name w:val="page number"/>
    <w:basedOn w:val="a2"/>
  </w:style>
  <w:style w:type="character" w:styleId="af3">
    <w:name w:val="FollowedHyperlink"/>
    <w:rPr>
      <w:color w:val="800080"/>
      <w:u w:val="single"/>
    </w:rPr>
  </w:style>
  <w:style w:type="character" w:styleId="af4">
    <w:name w:val="Hyperlink"/>
    <w:uiPriority w:val="99"/>
    <w:rPr>
      <w:color w:val="0000FF"/>
      <w:u w:val="single"/>
    </w:rPr>
  </w:style>
  <w:style w:type="character" w:styleId="af5">
    <w:name w:val="annotation reference"/>
    <w:rPr>
      <w:sz w:val="21"/>
      <w:szCs w:val="21"/>
    </w:rPr>
  </w:style>
  <w:style w:type="table" w:styleId="af6">
    <w:name w:val="Table Grid"/>
    <w:basedOn w:val="a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CharCharCharCharCharCharCharCharCharCharCharChar1CharCharCharCharCharCharCharCharCharCharCharChar1CharCharChar">
    <w:name w:val="Char1 Char Char Char Char Char Char Char Char Char Char Char Char1 Char Char Char Char Char Char Char Char Char Char Char Char1 Char Char Char"/>
    <w:basedOn w:val="a0"/>
  </w:style>
  <w:style w:type="paragraph" w:customStyle="1" w:styleId="CharCharChar">
    <w:name w:val="Char Char Char"/>
    <w:basedOn w:val="a0"/>
  </w:style>
  <w:style w:type="paragraph" w:customStyle="1" w:styleId="Default">
    <w:name w:val="Default"/>
    <w:pPr>
      <w:widowControl w:val="0"/>
      <w:autoSpaceDE w:val="0"/>
      <w:autoSpaceDN w:val="0"/>
      <w:adjustRightInd w:val="0"/>
    </w:pPr>
    <w:rPr>
      <w:rFonts w:ascii="宋体" w:cs="宋体"/>
      <w:color w:val="000000"/>
      <w:sz w:val="24"/>
      <w:szCs w:val="24"/>
    </w:rPr>
  </w:style>
  <w:style w:type="paragraph" w:customStyle="1" w:styleId="Char3">
    <w:name w:val="Char"/>
    <w:basedOn w:val="a0"/>
  </w:style>
  <w:style w:type="paragraph" w:customStyle="1" w:styleId="11">
    <w:name w:val="修订1"/>
    <w:rPr>
      <w:kern w:val="2"/>
      <w:sz w:val="21"/>
      <w:szCs w:val="24"/>
    </w:rPr>
  </w:style>
  <w:style w:type="paragraph" w:customStyle="1" w:styleId="CharCharCharChar1CharCharChar">
    <w:name w:val="Char Char Char Char1 Char Char Char"/>
    <w:basedOn w:val="a0"/>
  </w:style>
  <w:style w:type="paragraph" w:customStyle="1" w:styleId="12">
    <w:name w:val="1"/>
    <w:basedOn w:val="a0"/>
    <w:next w:val="31"/>
    <w:pPr>
      <w:adjustRightInd w:val="0"/>
      <w:snapToGrid w:val="0"/>
      <w:ind w:firstLineChars="200" w:firstLine="480"/>
    </w:pPr>
    <w:rPr>
      <w:rFonts w:ascii="仿宋_GB2312" w:eastAsia="仿宋_GB2312" w:hAnsi="宋体" w:cs="Arial"/>
      <w:color w:val="000000"/>
      <w:sz w:val="24"/>
    </w:rPr>
  </w:style>
  <w:style w:type="paragraph" w:customStyle="1" w:styleId="Char1CharCharCharCharCharChar">
    <w:name w:val="Char1 Char Char Char Char Char Char"/>
    <w:basedOn w:val="a0"/>
  </w:style>
  <w:style w:type="paragraph" w:customStyle="1" w:styleId="Char10">
    <w:name w:val="Char1"/>
    <w:basedOn w:val="a0"/>
  </w:style>
  <w:style w:type="paragraph" w:customStyle="1" w:styleId="xl22">
    <w:name w:val="xl22"/>
    <w:basedOn w:val="a0"/>
    <w:pPr>
      <w:widowControl/>
      <w:spacing w:before="100" w:beforeAutospacing="1" w:after="100" w:afterAutospacing="1"/>
      <w:textAlignment w:val="top"/>
    </w:pPr>
    <w:rPr>
      <w:rFonts w:ascii="宋体" w:hAnsi="宋体" w:cs="Arial Unicode MS" w:hint="eastAsia"/>
      <w:kern w:val="0"/>
      <w:sz w:val="18"/>
      <w:szCs w:val="18"/>
    </w:rPr>
  </w:style>
  <w:style w:type="paragraph" w:customStyle="1" w:styleId="40">
    <w:name w:val="4"/>
    <w:basedOn w:val="a0"/>
  </w:style>
  <w:style w:type="paragraph" w:customStyle="1" w:styleId="ParaChar">
    <w:name w:val="默认段落字体 Para Char"/>
    <w:basedOn w:val="a0"/>
    <w:pPr>
      <w:tabs>
        <w:tab w:val="left" w:pos="840"/>
      </w:tabs>
      <w:ind w:left="840" w:hanging="420"/>
    </w:pPr>
    <w:rPr>
      <w:sz w:val="24"/>
    </w:rPr>
  </w:style>
  <w:style w:type="paragraph" w:customStyle="1" w:styleId="21">
    <w:name w:val="列表2"/>
    <w:basedOn w:val="a0"/>
    <w:next w:val="af1"/>
    <w:pPr>
      <w:numPr>
        <w:numId w:val="2"/>
      </w:numPr>
      <w:tabs>
        <w:tab w:val="clear" w:pos="360"/>
        <w:tab w:val="left" w:pos="1125"/>
      </w:tabs>
      <w:spacing w:line="360" w:lineRule="auto"/>
      <w:ind w:left="1125" w:hanging="1125"/>
    </w:pPr>
    <w:rPr>
      <w:rFonts w:ascii="宋体"/>
      <w:szCs w:val="20"/>
    </w:rPr>
  </w:style>
  <w:style w:type="paragraph" w:customStyle="1" w:styleId="2">
    <w:name w:val="编号正文2"/>
    <w:basedOn w:val="a0"/>
    <w:pPr>
      <w:numPr>
        <w:numId w:val="3"/>
      </w:numPr>
      <w:autoSpaceDE w:val="0"/>
      <w:autoSpaceDN w:val="0"/>
      <w:adjustRightInd w:val="0"/>
      <w:spacing w:after="120" w:line="300" w:lineRule="auto"/>
      <w:textAlignment w:val="baseline"/>
    </w:pPr>
    <w:rPr>
      <w:rFonts w:ascii="宋体"/>
      <w:kern w:val="0"/>
      <w:szCs w:val="20"/>
    </w:rPr>
  </w:style>
  <w:style w:type="paragraph" w:customStyle="1" w:styleId="a">
    <w:name w:val="项目"/>
    <w:basedOn w:val="4"/>
    <w:pPr>
      <w:numPr>
        <w:ilvl w:val="3"/>
        <w:numId w:val="4"/>
      </w:numPr>
      <w:snapToGrid w:val="0"/>
      <w:spacing w:before="120" w:after="120" w:line="360" w:lineRule="auto"/>
    </w:pPr>
    <w:rPr>
      <w:rFonts w:ascii="Times New Roman" w:eastAsia="楷体_GB2312" w:hAnsi="Times New Roman"/>
      <w:b w:val="0"/>
      <w:sz w:val="24"/>
      <w:szCs w:val="20"/>
    </w:rPr>
  </w:style>
  <w:style w:type="paragraph" w:customStyle="1" w:styleId="af7">
    <w:name w:val="表格正文"/>
    <w:basedOn w:val="a1"/>
    <w:pPr>
      <w:spacing w:beforeLines="50"/>
      <w:ind w:firstLineChars="0" w:firstLine="0"/>
      <w:jc w:val="center"/>
    </w:pPr>
    <w:rPr>
      <w:sz w:val="24"/>
      <w:szCs w:val="20"/>
    </w:rPr>
  </w:style>
  <w:style w:type="paragraph" w:customStyle="1" w:styleId="af8">
    <w:name w:val="报告署名"/>
    <w:basedOn w:val="a0"/>
    <w:next w:val="a0"/>
    <w:pPr>
      <w:spacing w:line="360" w:lineRule="auto"/>
      <w:jc w:val="center"/>
    </w:pPr>
    <w:rPr>
      <w:rFonts w:ascii="宋体" w:hAnsi="宋体"/>
      <w:sz w:val="24"/>
      <w:szCs w:val="20"/>
    </w:rPr>
  </w:style>
  <w:style w:type="paragraph" w:customStyle="1" w:styleId="CharCharCharCharCharCharChar">
    <w:name w:val="Char Char Char Char Char Char Char"/>
    <w:basedOn w:val="a0"/>
    <w:pPr>
      <w:tabs>
        <w:tab w:val="left" w:pos="840"/>
      </w:tabs>
      <w:ind w:left="840" w:hanging="360"/>
    </w:pPr>
    <w:rPr>
      <w:sz w:val="24"/>
    </w:rPr>
  </w:style>
  <w:style w:type="paragraph" w:customStyle="1" w:styleId="ParaCharCharCharCharCharChar">
    <w:name w:val="默认段落字体 Para Char Char Char Char Char Char"/>
    <w:basedOn w:val="a0"/>
    <w:pPr>
      <w:tabs>
        <w:tab w:val="left" w:pos="840"/>
      </w:tabs>
      <w:ind w:left="840" w:hanging="360"/>
    </w:pPr>
    <w:rPr>
      <w:sz w:val="24"/>
    </w:rPr>
  </w:style>
  <w:style w:type="paragraph" w:customStyle="1" w:styleId="c">
    <w:name w:val="c_"/>
    <w:pPr>
      <w:widowControl w:val="0"/>
      <w:autoSpaceDE w:val="0"/>
      <w:autoSpaceDN w:val="0"/>
      <w:adjustRightInd w:val="0"/>
      <w:jc w:val="both"/>
    </w:pPr>
    <w:rPr>
      <w:rFonts w:ascii="五" w:eastAsia="五"/>
      <w:sz w:val="24"/>
    </w:rPr>
  </w:style>
  <w:style w:type="paragraph" w:customStyle="1" w:styleId="13">
    <w:name w:val="列出段落1"/>
    <w:basedOn w:val="a0"/>
    <w:uiPriority w:val="34"/>
    <w:qFormat/>
    <w:pPr>
      <w:ind w:firstLineChars="200" w:firstLine="420"/>
    </w:pPr>
  </w:style>
  <w:style w:type="character" w:customStyle="1" w:styleId="ten51">
    <w:name w:val="ten51"/>
    <w:rPr>
      <w:sz w:val="21"/>
      <w:szCs w:val="21"/>
    </w:rPr>
  </w:style>
  <w:style w:type="character" w:customStyle="1" w:styleId="heigh1801">
    <w:name w:val="heigh1801"/>
    <w:basedOn w:val="a2"/>
  </w:style>
  <w:style w:type="character" w:customStyle="1" w:styleId="DeltaViewInsertion">
    <w:name w:val="DeltaView Insertion"/>
    <w:rPr>
      <w:color w:val="0000FF"/>
      <w:spacing w:val="0"/>
      <w:u w:val="double"/>
    </w:rPr>
  </w:style>
  <w:style w:type="character" w:customStyle="1" w:styleId="Char">
    <w:name w:val="批注文字 Char"/>
    <w:link w:val="a6"/>
    <w:rPr>
      <w:kern w:val="2"/>
      <w:sz w:val="21"/>
      <w:szCs w:val="24"/>
    </w:rPr>
  </w:style>
  <w:style w:type="character" w:customStyle="1" w:styleId="read">
    <w:name w:val="read"/>
    <w:basedOn w:val="a2"/>
  </w:style>
  <w:style w:type="character" w:customStyle="1" w:styleId="Char2">
    <w:name w:val="页脚 Char"/>
    <w:link w:val="ae"/>
    <w:uiPriority w:val="99"/>
    <w:rPr>
      <w:kern w:val="2"/>
      <w:sz w:val="18"/>
      <w:szCs w:val="18"/>
    </w:rPr>
  </w:style>
  <w:style w:type="character" w:customStyle="1" w:styleId="big1">
    <w:name w:val="big1"/>
    <w:rPr>
      <w:sz w:val="22"/>
      <w:szCs w:val="22"/>
    </w:rPr>
  </w:style>
  <w:style w:type="character" w:customStyle="1" w:styleId="Char1">
    <w:name w:val="纯文本 Char"/>
    <w:link w:val="ab"/>
    <w:uiPriority w:val="99"/>
    <w:rPr>
      <w:rFonts w:ascii="Courier New" w:eastAsia="宋体" w:hAnsi="Courier New" w:cs="Courier New"/>
      <w:lang w:val="en-US" w:eastAsia="zh-CN" w:bidi="ar-SA"/>
    </w:rPr>
  </w:style>
  <w:style w:type="character" w:customStyle="1" w:styleId="Char0">
    <w:name w:val="文档结构图 Char"/>
    <w:link w:val="a9"/>
    <w:rPr>
      <w:rFonts w:ascii="宋体"/>
      <w:kern w:val="2"/>
      <w:sz w:val="18"/>
      <w:szCs w:val="18"/>
    </w:rPr>
  </w:style>
  <w:style w:type="table" w:customStyle="1" w:styleId="14">
    <w:name w:val="网格型1"/>
    <w:basedOn w:val="a3"/>
    <w:uiPriority w:val="39"/>
    <w:rPr>
      <w:rFonts w:ascii="Calibri" w:hAnsi="Calibri" w:cs="黑体"/>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List Paragraph"/>
    <w:basedOn w:val="a0"/>
    <w:uiPriority w:val="99"/>
    <w:rsid w:val="00433554"/>
    <w:pPr>
      <w:ind w:firstLineChars="200" w:firstLine="420"/>
    </w:pPr>
  </w:style>
  <w:style w:type="paragraph" w:styleId="afa">
    <w:name w:val="Revision"/>
    <w:hidden/>
    <w:uiPriority w:val="99"/>
    <w:semiHidden/>
    <w:rsid w:val="008B534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3827186">
      <w:bodyDiv w:val="1"/>
      <w:marLeft w:val="0"/>
      <w:marRight w:val="0"/>
      <w:marTop w:val="0"/>
      <w:marBottom w:val="0"/>
      <w:divBdr>
        <w:top w:val="none" w:sz="0" w:space="0" w:color="auto"/>
        <w:left w:val="none" w:sz="0" w:space="0" w:color="auto"/>
        <w:bottom w:val="none" w:sz="0" w:space="0" w:color="auto"/>
        <w:right w:val="none" w:sz="0" w:space="0" w:color="auto"/>
      </w:divBdr>
    </w:div>
    <w:div w:id="1241133307">
      <w:bodyDiv w:val="1"/>
      <w:marLeft w:val="0"/>
      <w:marRight w:val="0"/>
      <w:marTop w:val="0"/>
      <w:marBottom w:val="0"/>
      <w:divBdr>
        <w:top w:val="none" w:sz="0" w:space="0" w:color="auto"/>
        <w:left w:val="none" w:sz="0" w:space="0" w:color="auto"/>
        <w:bottom w:val="none" w:sz="0" w:space="0" w:color="auto"/>
        <w:right w:val="none" w:sz="0" w:space="0" w:color="auto"/>
      </w:divBdr>
    </w:div>
    <w:div w:id="1383941760">
      <w:bodyDiv w:val="1"/>
      <w:marLeft w:val="0"/>
      <w:marRight w:val="0"/>
      <w:marTop w:val="0"/>
      <w:marBottom w:val="0"/>
      <w:divBdr>
        <w:top w:val="none" w:sz="0" w:space="0" w:color="auto"/>
        <w:left w:val="none" w:sz="0" w:space="0" w:color="auto"/>
        <w:bottom w:val="none" w:sz="0" w:space="0" w:color="auto"/>
        <w:right w:val="none" w:sz="0" w:space="0" w:color="auto"/>
      </w:divBdr>
    </w:div>
    <w:div w:id="1860460669">
      <w:bodyDiv w:val="1"/>
      <w:marLeft w:val="0"/>
      <w:marRight w:val="0"/>
      <w:marTop w:val="0"/>
      <w:marBottom w:val="0"/>
      <w:divBdr>
        <w:top w:val="none" w:sz="0" w:space="0" w:color="auto"/>
        <w:left w:val="none" w:sz="0" w:space="0" w:color="auto"/>
        <w:bottom w:val="none" w:sz="0" w:space="0" w:color="auto"/>
        <w:right w:val="none" w:sz="0" w:space="0" w:color="auto"/>
      </w:divBdr>
    </w:div>
    <w:div w:id="1982539439">
      <w:bodyDiv w:val="1"/>
      <w:marLeft w:val="0"/>
      <w:marRight w:val="0"/>
      <w:marTop w:val="0"/>
      <w:marBottom w:val="0"/>
      <w:divBdr>
        <w:top w:val="none" w:sz="0" w:space="0" w:color="auto"/>
        <w:left w:val="none" w:sz="0" w:space="0" w:color="auto"/>
        <w:bottom w:val="none" w:sz="0" w:space="0" w:color="auto"/>
        <w:right w:val="none" w:sz="0" w:space="0" w:color="auto"/>
      </w:divBdr>
    </w:div>
    <w:div w:id="20098669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hyperlink" Target="http://www.jyfund.com/" TargetMode="External"/><Relationship Id="rId3" Type="http://schemas.openxmlformats.org/officeDocument/2006/relationships/numbering" Target="numbering.xml"/><Relationship Id="rId21" Type="http://schemas.openxmlformats.org/officeDocument/2006/relationships/footer" Target="footer5.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www.jyfund.com/" TargetMode="External"/><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oleObject" Target="embeddings/oleObject1.bin"/><Relationship Id="rId23" Type="http://schemas.microsoft.com/office/2011/relationships/people" Target="people.xml"/><Relationship Id="rId10" Type="http://schemas.openxmlformats.org/officeDocument/2006/relationships/header" Target="header1.xm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2.wmf"/><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433A80B-C76F-4FF4-B2D0-A24273D61D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125</Pages>
  <Words>12564</Words>
  <Characters>71619</Characters>
  <Application>Microsoft Office Word</Application>
  <DocSecurity>0</DocSecurity>
  <Lines>596</Lines>
  <Paragraphs>168</Paragraphs>
  <ScaleCrop>false</ScaleCrop>
  <Company>Microsoft</Company>
  <LinksUpToDate>false</LinksUpToDate>
  <CharactersWithSpaces>84015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招募说明书</dc:title>
  <dc:creator>zhangchunhong</dc:creator>
  <cp:lastModifiedBy>汤程翔</cp:lastModifiedBy>
  <cp:revision>4</cp:revision>
  <cp:lastPrinted>2017-04-21T02:24:00Z</cp:lastPrinted>
  <dcterms:created xsi:type="dcterms:W3CDTF">2018-04-20T07:36:00Z</dcterms:created>
  <dcterms:modified xsi:type="dcterms:W3CDTF">2018-04-20T07:40:00Z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2052-9.1.0.4940</vt:lpwstr>
  </property>
</Properties>
</file>